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3.xml" ContentType="application/vnd.openxmlformats-officedocument.wordprocessingml.header+xml"/>
  <Override PartName="/word/footer20.xml" ContentType="application/vnd.openxmlformats-officedocument.wordprocessingml.foot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10"/>
          <w:szCs w:val="10"/>
        </w:rPr>
      </w:pPr>
    </w:p>
    <w:p>
      <w:pPr>
        <w:spacing w:line="1382" w:lineRule="exact"/>
        <w:ind w:left="2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1969395" cy="8778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969395" cy="877824"/>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621" w:lineRule="exact" w:before="0"/>
        <w:ind w:left="0" w:right="162" w:firstLine="0"/>
        <w:jc w:val="center"/>
        <w:rPr>
          <w:rFonts w:ascii="黑体" w:hAnsi="黑体" w:cs="黑体" w:eastAsia="黑体" w:hint="default"/>
          <w:sz w:val="52"/>
          <w:szCs w:val="52"/>
        </w:rPr>
      </w:pPr>
      <w:r>
        <w:rPr>
          <w:rFonts w:ascii="黑体" w:hAnsi="黑体" w:cs="黑体" w:eastAsia="黑体" w:hint="default"/>
          <w:b/>
          <w:bCs/>
          <w:sz w:val="52"/>
          <w:szCs w:val="52"/>
        </w:rPr>
        <w:t>深圳市新国都技术股份有限公司</w:t>
      </w:r>
      <w:r>
        <w:rPr>
          <w:rFonts w:ascii="黑体" w:hAnsi="黑体" w:cs="黑体" w:eastAsia="黑体" w:hint="default"/>
          <w:sz w:val="52"/>
          <w:szCs w:val="52"/>
        </w:rPr>
      </w:r>
    </w:p>
    <w:p>
      <w:pPr>
        <w:spacing w:line="240" w:lineRule="auto" w:before="8"/>
        <w:rPr>
          <w:rFonts w:ascii="黑体" w:hAnsi="黑体" w:cs="黑体" w:eastAsia="黑体" w:hint="default"/>
          <w:b/>
          <w:bCs/>
          <w:sz w:val="45"/>
          <w:szCs w:val="45"/>
        </w:rPr>
      </w:pPr>
    </w:p>
    <w:p>
      <w:pPr>
        <w:spacing w:before="0"/>
        <w:ind w:left="0" w:right="162" w:firstLine="0"/>
        <w:jc w:val="center"/>
        <w:rPr>
          <w:rFonts w:ascii="黑体" w:hAnsi="黑体" w:cs="黑体" w:eastAsia="黑体" w:hint="default"/>
          <w:sz w:val="52"/>
          <w:szCs w:val="52"/>
        </w:rPr>
      </w:pPr>
      <w:r>
        <w:rPr>
          <w:rFonts w:ascii="Times New Roman" w:hAnsi="Times New Roman" w:cs="Times New Roman" w:eastAsia="Times New Roman" w:hint="default"/>
          <w:b/>
          <w:bCs/>
          <w:sz w:val="52"/>
          <w:szCs w:val="52"/>
        </w:rPr>
        <w:t>2010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10"/>
        <w:rPr>
          <w:rFonts w:ascii="黑体" w:hAnsi="黑体" w:cs="黑体" w:eastAsia="黑体" w:hint="default"/>
          <w:b/>
          <w:bCs/>
          <w:sz w:val="62"/>
          <w:szCs w:val="62"/>
        </w:rPr>
      </w:pPr>
    </w:p>
    <w:p>
      <w:pPr>
        <w:spacing w:line="276" w:lineRule="auto" w:before="0"/>
        <w:ind w:left="2612" w:right="2771" w:hanging="2"/>
        <w:jc w:val="center"/>
        <w:rPr>
          <w:rFonts w:ascii="Times New Roman" w:hAnsi="Times New Roman" w:cs="Times New Roman" w:eastAsia="Times New Roman" w:hint="default"/>
          <w:sz w:val="44"/>
          <w:szCs w:val="44"/>
        </w:rPr>
      </w:pPr>
      <w:r>
        <w:rPr>
          <w:rFonts w:ascii="黑体" w:hAnsi="黑体" w:cs="黑体" w:eastAsia="黑体" w:hint="default"/>
          <w:sz w:val="44"/>
          <w:szCs w:val="44"/>
        </w:rPr>
        <w:t>股票简称：新国都</w:t>
      </w:r>
      <w:r>
        <w:rPr>
          <w:rFonts w:ascii="黑体" w:hAnsi="黑体" w:cs="黑体" w:eastAsia="黑体" w:hint="default"/>
          <w:w w:val="99"/>
          <w:sz w:val="44"/>
          <w:szCs w:val="44"/>
        </w:rPr>
        <w:t> </w:t>
      </w:r>
      <w:r>
        <w:rPr>
          <w:rFonts w:ascii="黑体" w:hAnsi="黑体" w:cs="黑体" w:eastAsia="黑体" w:hint="default"/>
          <w:sz w:val="44"/>
          <w:szCs w:val="44"/>
        </w:rPr>
        <w:t>股票代码：</w:t>
      </w:r>
      <w:r>
        <w:rPr>
          <w:rFonts w:ascii="Times New Roman" w:hAnsi="Times New Roman" w:cs="Times New Roman" w:eastAsia="Times New Roman" w:hint="default"/>
          <w:sz w:val="44"/>
          <w:szCs w:val="44"/>
        </w:rPr>
        <w:t>300130</w:t>
      </w:r>
    </w:p>
    <w:p>
      <w:pPr>
        <w:spacing w:after="0" w:line="276" w:lineRule="auto"/>
        <w:jc w:val="center"/>
        <w:rPr>
          <w:rFonts w:ascii="Times New Roman" w:hAnsi="Times New Roman" w:cs="Times New Roman" w:eastAsia="Times New Roman" w:hint="default"/>
          <w:sz w:val="44"/>
          <w:szCs w:val="44"/>
        </w:rPr>
        <w:sectPr>
          <w:headerReference w:type="default" r:id="rId5"/>
          <w:footerReference w:type="default" r:id="rId6"/>
          <w:type w:val="continuous"/>
          <w:pgSz w:w="11910" w:h="16840"/>
          <w:pgMar w:header="877" w:footer="1267" w:top="1060" w:bottom="1460" w:left="1560" w:right="1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Heading3"/>
        <w:spacing w:line="240" w:lineRule="auto"/>
        <w:ind w:left="142" w:right="0" w:firstLine="3667"/>
        <w:jc w:val="left"/>
        <w:rPr>
          <w:b w:val="0"/>
          <w:bCs w:val="0"/>
        </w:rPr>
      </w:pPr>
      <w:r>
        <w:rPr/>
        <w:t>重要提示</w:t>
      </w:r>
      <w:r>
        <w:rPr>
          <w:b w:val="0"/>
          <w:bCs w:val="0"/>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21"/>
          <w:szCs w:val="21"/>
        </w:rPr>
      </w:pPr>
    </w:p>
    <w:p>
      <w:pPr>
        <w:pStyle w:val="Heading4"/>
        <w:spacing w:line="403" w:lineRule="auto"/>
        <w:ind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、本公司董事会、监事会及董事、监事、高级管理人员保证本报告所</w:t>
      </w:r>
      <w:r>
        <w:rPr>
          <w:rFonts w:ascii="宋体" w:hAnsi="宋体" w:cs="宋体" w:eastAsia="宋体" w:hint="default"/>
          <w:w w:val="100"/>
        </w:rPr>
        <w:t> </w:t>
      </w:r>
      <w:r>
        <w:rPr>
          <w:rFonts w:ascii="宋体" w:hAnsi="宋体" w:cs="宋体" w:eastAsia="宋体" w:hint="default"/>
          <w:spacing w:val="-4"/>
        </w:rPr>
        <w:t>载资料不存在任何虚假记载、误导性陈述或者重大遗漏，并对其内容的</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3"/>
        </w:rPr>
        <w:t>真实性、准确性和完整性承担个别及连带责任。本年度报告摘要摘自年</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3"/>
        </w:rPr>
        <w:t>度报告全文，报告全文同时刊载于证监会指定网站和公司网站。为全面</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4"/>
        </w:rPr>
        <w:t>了解本公司生产经营状况和财务成果及公司的未来发展规划，投资者应</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到指定网站仔细阅读年度报告全文。</w:t>
      </w:r>
      <w:r>
        <w:rPr>
          <w:rFonts w:ascii="宋体" w:hAnsi="宋体" w:cs="宋体" w:eastAsia="宋体" w:hint="default"/>
          <w:w w:val="100"/>
        </w:rPr>
        <w:t> </w:t>
      </w:r>
      <w:r>
        <w:rPr>
          <w:rFonts w:ascii="Times New Roman" w:hAnsi="Times New Roman" w:cs="Times New Roman" w:eastAsia="Times New Roman" w:hint="default"/>
        </w:rPr>
        <w:t>2</w:t>
      </w:r>
      <w:r>
        <w:rPr>
          <w:rFonts w:ascii="宋体" w:hAnsi="宋体" w:cs="宋体" w:eastAsia="宋体" w:hint="default"/>
        </w:rPr>
        <w:t>、没有董事、监事、高级管理人员声明对年度报告内容的真实性、准</w:t>
      </w:r>
      <w:r>
        <w:rPr>
          <w:rFonts w:ascii="宋体" w:hAnsi="宋体" w:cs="宋体" w:eastAsia="宋体" w:hint="default"/>
          <w:w w:val="100"/>
        </w:rPr>
        <w:t> </w:t>
      </w:r>
      <w:r>
        <w:rPr>
          <w:rFonts w:ascii="宋体" w:hAnsi="宋体" w:cs="宋体" w:eastAsia="宋体" w:hint="default"/>
        </w:rPr>
        <w:t>确性和完整性无法保证或存在异议。</w:t>
      </w:r>
      <w:r>
        <w:rPr>
          <w:rFonts w:ascii="宋体" w:hAnsi="宋体" w:cs="宋体" w:eastAsia="宋体" w:hint="default"/>
          <w:w w:val="100"/>
        </w:rPr>
        <w:t> </w:t>
      </w:r>
      <w:r>
        <w:rPr>
          <w:rFonts w:ascii="Times New Roman" w:hAnsi="Times New Roman" w:cs="Times New Roman" w:eastAsia="Times New Roman" w:hint="default"/>
        </w:rPr>
        <w:t>3</w:t>
      </w:r>
      <w:r>
        <w:rPr>
          <w:rFonts w:ascii="宋体" w:hAnsi="宋体" w:cs="宋体" w:eastAsia="宋体" w:hint="default"/>
        </w:rPr>
        <w:t>、所有董事均已出席审议本次年报的董事会会议。</w:t>
      </w:r>
    </w:p>
    <w:p>
      <w:pPr>
        <w:spacing w:line="393" w:lineRule="auto" w:before="25"/>
        <w:ind w:left="142" w:right="0" w:firstLine="0"/>
        <w:jc w:val="left"/>
        <w:rPr>
          <w:rFonts w:ascii="宋体" w:hAnsi="宋体" w:cs="宋体" w:eastAsia="宋体" w:hint="default"/>
          <w:sz w:val="28"/>
          <w:szCs w:val="28"/>
        </w:rPr>
      </w:pPr>
      <w:r>
        <w:rPr>
          <w:rFonts w:ascii="Times New Roman" w:hAnsi="Times New Roman" w:cs="Times New Roman" w:eastAsia="Times New Roman" w:hint="default"/>
          <w:spacing w:val="-4"/>
          <w:sz w:val="28"/>
          <w:szCs w:val="28"/>
        </w:rPr>
        <w:t>4</w:t>
      </w:r>
      <w:r>
        <w:rPr>
          <w:rFonts w:ascii="宋体" w:hAnsi="宋体" w:cs="宋体" w:eastAsia="宋体" w:hint="default"/>
          <w:spacing w:val="-4"/>
          <w:sz w:val="28"/>
          <w:szCs w:val="28"/>
        </w:rPr>
        <w:t>、立信大华会计师事务所有限公司为本公司</w:t>
      </w:r>
      <w:r>
        <w:rPr>
          <w:rFonts w:ascii="Times New Roman" w:hAnsi="Times New Roman" w:cs="Times New Roman" w:eastAsia="Times New Roman" w:hint="default"/>
          <w:spacing w:val="-4"/>
          <w:sz w:val="28"/>
          <w:szCs w:val="28"/>
        </w:rPr>
        <w:t>2010 </w:t>
      </w:r>
      <w:r>
        <w:rPr>
          <w:rFonts w:ascii="宋体" w:hAnsi="宋体" w:cs="宋体" w:eastAsia="宋体" w:hint="default"/>
          <w:sz w:val="28"/>
          <w:szCs w:val="28"/>
        </w:rPr>
        <w:t>年度财务报告出具了</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标准无保留意见的审计报告。</w:t>
      </w:r>
      <w:r>
        <w:rPr>
          <w:rFonts w:ascii="宋体" w:hAnsi="宋体" w:cs="宋体" w:eastAsia="宋体" w:hint="default"/>
          <w:w w:val="100"/>
          <w:sz w:val="28"/>
          <w:szCs w:val="28"/>
        </w:rPr>
        <w:t> </w:t>
      </w:r>
      <w:r>
        <w:rPr>
          <w:rFonts w:ascii="Times New Roman" w:hAnsi="Times New Roman" w:cs="Times New Roman" w:eastAsia="Times New Roman" w:hint="default"/>
          <w:spacing w:val="-3"/>
          <w:sz w:val="28"/>
          <w:szCs w:val="28"/>
        </w:rPr>
        <w:t>5</w:t>
      </w:r>
      <w:r>
        <w:rPr>
          <w:rFonts w:ascii="宋体" w:hAnsi="宋体" w:cs="宋体" w:eastAsia="宋体" w:hint="default"/>
          <w:spacing w:val="-3"/>
          <w:sz w:val="28"/>
          <w:szCs w:val="28"/>
        </w:rPr>
        <w:t>、公司负责人刘祥、主管会计工作负责人及会计机构负责人赵辉声明：</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保证年度报告中财务报告的真实、完整。</w:t>
      </w:r>
    </w:p>
    <w:p>
      <w:pPr>
        <w:spacing w:after="0" w:line="393" w:lineRule="auto"/>
        <w:jc w:val="left"/>
        <w:rPr>
          <w:rFonts w:ascii="宋体" w:hAnsi="宋体" w:cs="宋体" w:eastAsia="宋体" w:hint="default"/>
          <w:sz w:val="28"/>
          <w:szCs w:val="28"/>
        </w:rPr>
        <w:sectPr>
          <w:footerReference w:type="default" r:id="rId8"/>
          <w:pgSz w:w="11910" w:h="16840"/>
          <w:pgMar w:footer="1267" w:header="877" w:top="1100" w:bottom="1460" w:left="1560" w:right="1340"/>
          <w:pgNumType w:start="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14"/>
        <w:ind w:left="2756" w:right="1334" w:firstLine="0"/>
        <w:jc w:val="left"/>
        <w:rPr>
          <w:rFonts w:ascii="宋体" w:hAnsi="宋体" w:cs="宋体" w:eastAsia="宋体" w:hint="default"/>
          <w:sz w:val="28"/>
          <w:szCs w:val="28"/>
        </w:rPr>
      </w:pPr>
      <w:r>
        <w:rPr>
          <w:rFonts w:ascii="宋体" w:hAnsi="宋体" w:cs="宋体" w:eastAsia="宋体" w:hint="default"/>
          <w:b/>
          <w:bCs/>
          <w:sz w:val="28"/>
          <w:szCs w:val="28"/>
        </w:rPr>
        <w:t>第一节</w:t>
      </w:r>
      <w:r>
        <w:rPr>
          <w:rFonts w:ascii="宋体" w:hAnsi="宋体" w:cs="宋体" w:eastAsia="宋体" w:hint="default"/>
          <w:b/>
          <w:bCs/>
          <w:spacing w:val="-2"/>
          <w:sz w:val="28"/>
          <w:szCs w:val="28"/>
        </w:rPr>
        <w:t> </w:t>
      </w:r>
      <w:r>
        <w:rPr>
          <w:rFonts w:ascii="宋体" w:hAnsi="宋体" w:cs="宋体" w:eastAsia="宋体" w:hint="default"/>
          <w:b/>
          <w:bCs/>
          <w:sz w:val="28"/>
          <w:szCs w:val="28"/>
        </w:rPr>
        <w:t>公司基本情况简介</w:t>
      </w:r>
      <w:r>
        <w:rPr>
          <w:rFonts w:ascii="宋体" w:hAnsi="宋体" w:cs="宋体" w:eastAsia="宋体" w:hint="default"/>
          <w:sz w:val="28"/>
          <w:szCs w:val="28"/>
        </w:rPr>
      </w:r>
    </w:p>
    <w:p>
      <w:pPr>
        <w:spacing w:line="780" w:lineRule="atLeast" w:before="179"/>
        <w:ind w:left="621" w:right="1334" w:hanging="48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一、公司的法定中文名称：深圳市新国都技术股份有限公司</w:t>
      </w:r>
      <w:r>
        <w:rPr>
          <w:rFonts w:ascii="宋体" w:hAnsi="宋体" w:cs="宋体" w:eastAsia="宋体" w:hint="default"/>
          <w:b/>
          <w:bCs/>
          <w:w w:val="99"/>
          <w:sz w:val="24"/>
          <w:szCs w:val="24"/>
        </w:rPr>
        <w:t> </w:t>
      </w:r>
      <w:r>
        <w:rPr>
          <w:rFonts w:ascii="宋体" w:hAnsi="宋体" w:cs="宋体" w:eastAsia="宋体" w:hint="default"/>
          <w:sz w:val="24"/>
          <w:szCs w:val="24"/>
        </w:rPr>
        <w:t>法定英文名称：</w:t>
      </w:r>
      <w:r>
        <w:rPr>
          <w:rFonts w:ascii="Times New Roman" w:hAnsi="Times New Roman" w:cs="Times New Roman" w:eastAsia="Times New Roman" w:hint="default"/>
          <w:sz w:val="24"/>
          <w:szCs w:val="24"/>
        </w:rPr>
        <w:t>SHENZHEN XINGUODU TECHNOLOGY</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CO.,LTD</w:t>
      </w:r>
    </w:p>
    <w:p>
      <w:pPr>
        <w:pStyle w:val="BodyText"/>
        <w:spacing w:line="357" w:lineRule="auto" w:before="135"/>
        <w:ind w:left="621" w:right="6105"/>
        <w:jc w:val="left"/>
        <w:rPr>
          <w:rFonts w:ascii="Times New Roman" w:hAnsi="Times New Roman" w:cs="Times New Roman" w:eastAsia="Times New Roman" w:hint="default"/>
        </w:rPr>
      </w:pPr>
      <w:r>
        <w:rPr/>
        <w:t>中文简称：新国都 英文简称：</w:t>
      </w:r>
      <w:r>
        <w:rPr>
          <w:rFonts w:ascii="Times New Roman" w:hAnsi="Times New Roman" w:cs="Times New Roman" w:eastAsia="Times New Roman" w:hint="default"/>
        </w:rPr>
        <w:t>Xinguodu</w:t>
      </w:r>
    </w:p>
    <w:p>
      <w:pPr>
        <w:spacing w:line="240" w:lineRule="auto" w:before="5"/>
        <w:rPr>
          <w:rFonts w:ascii="Times New Roman" w:hAnsi="Times New Roman" w:cs="Times New Roman" w:eastAsia="Times New Roman" w:hint="default"/>
          <w:sz w:val="26"/>
          <w:szCs w:val="26"/>
        </w:rPr>
      </w:pPr>
    </w:p>
    <w:p>
      <w:pPr>
        <w:pStyle w:val="Heading6"/>
        <w:spacing w:line="612" w:lineRule="auto"/>
        <w:ind w:right="5853"/>
        <w:jc w:val="left"/>
        <w:rPr>
          <w:b w:val="0"/>
          <w:bCs w:val="0"/>
        </w:rPr>
      </w:pPr>
      <w:r>
        <w:rPr/>
        <w:t>二、公司法定代表人：刘祥</w:t>
      </w:r>
      <w:r>
        <w:rPr>
          <w:w w:val="99"/>
        </w:rPr>
        <w:t> </w:t>
      </w:r>
      <w:r>
        <w:rPr/>
        <w:t>三、公司联系人及联系方式</w:t>
      </w:r>
      <w:r>
        <w:rPr>
          <w:b w:val="0"/>
          <w:bCs w:val="0"/>
        </w:rPr>
      </w:r>
    </w:p>
    <w:p>
      <w:pPr>
        <w:spacing w:line="240" w:lineRule="auto" w:before="12"/>
        <w:rPr>
          <w:rFonts w:ascii="宋体" w:hAnsi="宋体" w:cs="宋体" w:eastAsia="宋体" w:hint="default"/>
          <w:b/>
          <w:bCs/>
          <w:sz w:val="2"/>
          <w:szCs w:val="2"/>
        </w:rPr>
      </w:pPr>
    </w:p>
    <w:tbl>
      <w:tblPr>
        <w:tblW w:w="0" w:type="auto"/>
        <w:jc w:val="left"/>
        <w:tblInd w:w="770" w:type="dxa"/>
        <w:tblLayout w:type="fixed"/>
        <w:tblCellMar>
          <w:top w:w="0" w:type="dxa"/>
          <w:left w:w="0" w:type="dxa"/>
          <w:bottom w:w="0" w:type="dxa"/>
          <w:right w:w="0" w:type="dxa"/>
        </w:tblCellMar>
        <w:tblLook w:val="01E0"/>
      </w:tblPr>
      <w:tblGrid>
        <w:gridCol w:w="1186"/>
        <w:gridCol w:w="3123"/>
        <w:gridCol w:w="3044"/>
      </w:tblGrid>
      <w:tr>
        <w:trPr>
          <w:trHeight w:val="478" w:hRule="exact"/>
        </w:trPr>
        <w:tc>
          <w:tcPr>
            <w:tcW w:w="1186"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312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b/>
                <w:bCs/>
                <w:sz w:val="24"/>
                <w:szCs w:val="24"/>
              </w:rPr>
              <w:t>董事会秘书</w:t>
            </w:r>
            <w:r>
              <w:rPr>
                <w:rFonts w:ascii="宋体" w:hAnsi="宋体" w:cs="宋体" w:eastAsia="宋体" w:hint="default"/>
                <w:sz w:val="24"/>
                <w:szCs w:val="24"/>
              </w:rPr>
            </w:r>
          </w:p>
        </w:tc>
        <w:tc>
          <w:tcPr>
            <w:tcW w:w="304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b/>
                <w:bCs/>
                <w:sz w:val="24"/>
                <w:szCs w:val="24"/>
              </w:rPr>
              <w:t>证券事务代表</w:t>
            </w:r>
            <w:r>
              <w:rPr>
                <w:rFonts w:ascii="宋体" w:hAnsi="宋体" w:cs="宋体" w:eastAsia="宋体" w:hint="default"/>
                <w:sz w:val="24"/>
                <w:szCs w:val="24"/>
              </w:rPr>
            </w:r>
          </w:p>
        </w:tc>
      </w:tr>
      <w:tr>
        <w:trPr>
          <w:trHeight w:val="47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姓名</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center"/>
              <w:rPr>
                <w:rFonts w:ascii="宋体" w:hAnsi="宋体" w:cs="宋体" w:eastAsia="宋体" w:hint="default"/>
                <w:sz w:val="24"/>
                <w:szCs w:val="24"/>
              </w:rPr>
            </w:pPr>
            <w:r>
              <w:rPr>
                <w:rFonts w:ascii="宋体" w:hAnsi="宋体" w:cs="宋体" w:eastAsia="宋体" w:hint="default"/>
                <w:sz w:val="24"/>
                <w:szCs w:val="24"/>
              </w:rPr>
              <w:t>赵辉</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李艳芳</w:t>
            </w:r>
          </w:p>
        </w:tc>
      </w:tr>
      <w:tr>
        <w:trPr>
          <w:trHeight w:val="14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right="2"/>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357" w:lineRule="auto"/>
              <w:ind w:left="238" w:right="120" w:hanging="126"/>
              <w:jc w:val="left"/>
              <w:rPr>
                <w:rFonts w:ascii="Times New Roman" w:hAnsi="Times New Roman" w:cs="Times New Roman" w:eastAsia="Times New Roman" w:hint="default"/>
                <w:sz w:val="24"/>
                <w:szCs w:val="24"/>
              </w:rPr>
            </w:pPr>
            <w:r>
              <w:rPr>
                <w:rFonts w:ascii="宋体" w:hAnsi="宋体" w:cs="宋体" w:eastAsia="宋体" w:hint="default"/>
                <w:sz w:val="24"/>
                <w:szCs w:val="24"/>
              </w:rPr>
              <w:t>深圳市福田区深南路车公庙 工业区泰然劲松大厦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17A</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41"/>
              <w:ind w:left="196" w:right="195"/>
              <w:jc w:val="center"/>
              <w:rPr>
                <w:rFonts w:ascii="Times New Roman" w:hAnsi="Times New Roman" w:cs="Times New Roman" w:eastAsia="Times New Roman" w:hint="default"/>
                <w:sz w:val="24"/>
                <w:szCs w:val="24"/>
              </w:rPr>
            </w:pPr>
            <w:r>
              <w:rPr>
                <w:rFonts w:ascii="宋体" w:hAnsi="宋体" w:cs="宋体" w:eastAsia="宋体" w:hint="default"/>
                <w:sz w:val="24"/>
                <w:szCs w:val="24"/>
              </w:rPr>
              <w:t>深圳市福田区深南路车公 庙工业区泰然劲松大厦 </w:t>
            </w:r>
            <w:r>
              <w:rPr>
                <w:rFonts w:ascii="Times New Roman" w:hAnsi="Times New Roman" w:cs="Times New Roman" w:eastAsia="Times New Roman" w:hint="default"/>
                <w:sz w:val="24"/>
                <w:szCs w:val="24"/>
              </w:rPr>
              <w:t>17A</w:t>
            </w:r>
          </w:p>
        </w:tc>
      </w:tr>
      <w:tr>
        <w:trPr>
          <w:trHeight w:val="94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电话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0755-83890390</w:t>
            </w:r>
            <w:r>
              <w:rPr>
                <w:rFonts w:ascii="宋体" w:hAnsi="宋体" w:cs="宋体" w:eastAsia="宋体" w:hint="default"/>
                <w:sz w:val="24"/>
                <w:szCs w:val="24"/>
              </w:rPr>
              <w:t>；</w:t>
            </w:r>
          </w:p>
          <w:p>
            <w:pPr>
              <w:pStyle w:val="TableParagraph"/>
              <w:spacing w:line="240" w:lineRule="auto" w:before="189"/>
              <w:ind w:right="2"/>
              <w:jc w:val="center"/>
              <w:rPr>
                <w:rFonts w:ascii="Times New Roman" w:hAnsi="Times New Roman" w:cs="Times New Roman" w:eastAsia="Times New Roman" w:hint="default"/>
                <w:sz w:val="24"/>
                <w:szCs w:val="24"/>
              </w:rPr>
            </w:pPr>
            <w:r>
              <w:rPr>
                <w:rFonts w:ascii="Times New Roman"/>
                <w:sz w:val="24"/>
              </w:rPr>
              <w:t>0755-83899462</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0755-83890390</w:t>
            </w:r>
            <w:r>
              <w:rPr>
                <w:rFonts w:ascii="宋体" w:hAnsi="宋体" w:cs="宋体" w:eastAsia="宋体" w:hint="default"/>
                <w:sz w:val="24"/>
                <w:szCs w:val="24"/>
              </w:rPr>
              <w:t>；</w:t>
            </w:r>
          </w:p>
          <w:p>
            <w:pPr>
              <w:pStyle w:val="TableParagraph"/>
              <w:spacing w:line="240" w:lineRule="auto" w:before="189"/>
              <w:ind w:right="1"/>
              <w:jc w:val="center"/>
              <w:rPr>
                <w:rFonts w:ascii="Times New Roman" w:hAnsi="Times New Roman" w:cs="Times New Roman" w:eastAsia="Times New Roman" w:hint="default"/>
                <w:sz w:val="24"/>
                <w:szCs w:val="24"/>
              </w:rPr>
            </w:pPr>
            <w:r>
              <w:rPr>
                <w:rFonts w:ascii="Times New Roman"/>
                <w:sz w:val="24"/>
              </w:rPr>
              <w:t>0755-83481391</w:t>
            </w:r>
          </w:p>
        </w:tc>
      </w:tr>
      <w:tr>
        <w:trPr>
          <w:trHeight w:val="47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传真</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4"/>
                <w:szCs w:val="24"/>
              </w:rPr>
            </w:pPr>
            <w:r>
              <w:rPr>
                <w:rFonts w:ascii="Times New Roman"/>
                <w:sz w:val="24"/>
              </w:rPr>
              <w:t>0755-86319990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4"/>
                <w:szCs w:val="24"/>
              </w:rPr>
            </w:pPr>
            <w:r>
              <w:rPr>
                <w:rFonts w:ascii="Times New Roman"/>
                <w:sz w:val="24"/>
              </w:rPr>
              <w:t>0755-86319990</w:t>
            </w:r>
          </w:p>
        </w:tc>
      </w:tr>
      <w:tr>
        <w:trPr>
          <w:trHeight w:val="47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center"/>
              <w:rPr>
                <w:rFonts w:ascii="Times New Roman" w:hAnsi="Times New Roman" w:cs="Times New Roman" w:eastAsia="Times New Roman" w:hint="default"/>
                <w:sz w:val="24"/>
                <w:szCs w:val="24"/>
              </w:rPr>
            </w:pPr>
            <w:hyperlink r:id="rId9">
              <w:r>
                <w:rPr>
                  <w:rFonts w:ascii="Times New Roman"/>
                  <w:sz w:val="24"/>
                </w:rPr>
                <w:t>zhaohui@xinguodu.com</w:t>
              </w:r>
            </w:hyperlink>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4"/>
                <w:szCs w:val="24"/>
              </w:rPr>
            </w:pPr>
            <w:hyperlink r:id="rId10">
              <w:r>
                <w:rPr>
                  <w:rFonts w:ascii="Times New Roman"/>
                  <w:sz w:val="24"/>
                </w:rPr>
                <w:t>liyanfang@xinguodu.com</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26"/>
        <w:ind w:left="621" w:right="176" w:hanging="48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四、公司注册地址：深圳市福田区深南路车公庙工业区泰然劲松大厦</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17A</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b/>
          <w:bCs/>
          <w:sz w:val="24"/>
          <w:szCs w:val="24"/>
        </w:rPr>
      </w:pPr>
    </w:p>
    <w:p>
      <w:pPr>
        <w:pStyle w:val="BodyText"/>
        <w:spacing w:line="338" w:lineRule="auto" w:before="155"/>
        <w:ind w:left="621" w:right="1612"/>
        <w:jc w:val="left"/>
        <w:rPr>
          <w:rFonts w:ascii="Times New Roman" w:hAnsi="Times New Roman" w:cs="Times New Roman" w:eastAsia="Times New Roman" w:hint="default"/>
        </w:rPr>
      </w:pPr>
      <w:r>
        <w:rPr/>
        <w:t>办公地址：深圳市福田区深南路车公庙工业区泰然劲松大厦</w:t>
      </w:r>
      <w:r>
        <w:rPr>
          <w:rFonts w:ascii="Times New Roman" w:hAnsi="Times New Roman" w:cs="Times New Roman" w:eastAsia="Times New Roman" w:hint="default"/>
        </w:rPr>
        <w:t>17A </w:t>
      </w:r>
      <w:r>
        <w:rPr/>
        <w:t>邮政编码：</w:t>
      </w:r>
      <w:r>
        <w:rPr>
          <w:rFonts w:ascii="Times New Roman" w:hAnsi="Times New Roman" w:cs="Times New Roman" w:eastAsia="Times New Roman" w:hint="default"/>
        </w:rPr>
        <w:t>518040</w:t>
      </w:r>
    </w:p>
    <w:p>
      <w:pPr>
        <w:pStyle w:val="BodyText"/>
        <w:spacing w:line="338" w:lineRule="auto" w:before="27"/>
        <w:ind w:left="621" w:right="3977"/>
        <w:jc w:val="left"/>
        <w:rPr>
          <w:rFonts w:ascii="Times New Roman" w:hAnsi="Times New Roman" w:cs="Times New Roman" w:eastAsia="Times New Roman" w:hint="default"/>
        </w:rPr>
      </w:pPr>
      <w:r>
        <w:rPr/>
        <w:t>网址：</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www.xinguodu.com</w:t>
        </w:r>
        <w:r>
          <w:rPr>
            <w:rFonts w:ascii="Times New Roman" w:hAnsi="Times New Roman" w:cs="Times New Roman" w:eastAsia="Times New Roman" w:hint="default"/>
            <w:color w:val="0000FF"/>
          </w:rPr>
        </w:r>
      </w:hyperlink>
      <w:r>
        <w:rPr>
          <w:rFonts w:ascii="Times New Roman" w:hAnsi="Times New Roman" w:cs="Times New Roman" w:eastAsia="Times New Roman" w:hint="default"/>
          <w:color w:val="0000FF"/>
        </w:rPr>
        <w:t> </w:t>
      </w:r>
      <w:r>
        <w:rPr/>
        <w:t>投资者关系信箱：</w:t>
      </w:r>
      <w:hyperlink r:id="rId12">
        <w:r>
          <w:rPr>
            <w:rFonts w:ascii="Times New Roman" w:hAnsi="Times New Roman" w:cs="Times New Roman" w:eastAsia="Times New Roman" w:hint="default"/>
            <w:color w:val="0000FF"/>
          </w:rPr>
          <w:t>xgd-zqb@xinguodu.com</w:t>
        </w:r>
        <w:r>
          <w:rPr>
            <w:rFonts w:ascii="Times New Roman" w:hAnsi="Times New Roman" w:cs="Times New Roman" w:eastAsia="Times New Roman" w:hint="default"/>
          </w:rPr>
        </w:r>
      </w:hyperlink>
    </w:p>
    <w:p>
      <w:pPr>
        <w:spacing w:after="0" w:line="338" w:lineRule="auto"/>
        <w:jc w:val="left"/>
        <w:rPr>
          <w:rFonts w:ascii="Times New Roman" w:hAnsi="Times New Roman" w:cs="Times New Roman" w:eastAsia="Times New Roman" w:hint="default"/>
        </w:rPr>
        <w:sectPr>
          <w:pgSz w:w="11910" w:h="16840"/>
          <w:pgMar w:header="877" w:footer="1267" w:top="1100" w:bottom="1460" w:left="1560" w:right="1440"/>
        </w:sectPr>
      </w:pPr>
    </w:p>
    <w:p>
      <w:pPr>
        <w:pStyle w:val="Heading6"/>
        <w:spacing w:line="240" w:lineRule="auto" w:before="91"/>
        <w:ind w:right="1334"/>
        <w:jc w:val="left"/>
        <w:rPr>
          <w:b w:val="0"/>
          <w:bCs w:val="0"/>
        </w:rPr>
      </w:pPr>
      <w:r>
        <w:rPr/>
        <w:t>五、公司选定的信息披露报纸名称：《证券时报》、《中国证券报》</w:t>
      </w:r>
      <w:r>
        <w:rPr>
          <w:b w:val="0"/>
          <w:bCs w:val="0"/>
        </w:rPr>
      </w:r>
    </w:p>
    <w:p>
      <w:pPr>
        <w:spacing w:line="240" w:lineRule="auto" w:before="5"/>
        <w:rPr>
          <w:rFonts w:ascii="宋体" w:hAnsi="宋体" w:cs="宋体" w:eastAsia="宋体" w:hint="default"/>
          <w:b/>
          <w:bCs/>
          <w:sz w:val="34"/>
          <w:szCs w:val="34"/>
        </w:rPr>
      </w:pPr>
    </w:p>
    <w:p>
      <w:pPr>
        <w:pStyle w:val="BodyText"/>
        <w:spacing w:line="338" w:lineRule="auto"/>
        <w:ind w:left="621" w:right="3432"/>
        <w:jc w:val="left"/>
      </w:pPr>
      <w:r>
        <w:rPr/>
        <w:t>登载年度报告的网站网址：</w:t>
      </w:r>
      <w:hyperlink r:id="rId13">
        <w:r>
          <w:rPr>
            <w:rFonts w:ascii="Times New Roman" w:hAnsi="Times New Roman" w:cs="Times New Roman" w:eastAsia="Times New Roman" w:hint="default"/>
          </w:rPr>
          <w:t>www.cninfo.com.cn</w:t>
        </w:r>
      </w:hyperlink>
      <w:r>
        <w:rPr>
          <w:rFonts w:ascii="Times New Roman" w:hAnsi="Times New Roman" w:cs="Times New Roman" w:eastAsia="Times New Roman" w:hint="default"/>
          <w:w w:val="99"/>
        </w:rPr>
        <w:t> </w:t>
      </w:r>
      <w:r>
        <w:rPr/>
        <w:t>公司年度报告备置地点：公司董事会办公室</w:t>
      </w:r>
    </w:p>
    <w:p>
      <w:pPr>
        <w:spacing w:line="240" w:lineRule="auto" w:before="13"/>
        <w:rPr>
          <w:rFonts w:ascii="宋体" w:hAnsi="宋体" w:cs="宋体" w:eastAsia="宋体" w:hint="default"/>
          <w:sz w:val="26"/>
          <w:szCs w:val="26"/>
        </w:rPr>
      </w:pPr>
    </w:p>
    <w:p>
      <w:pPr>
        <w:tabs>
          <w:tab w:pos="3142" w:val="left" w:leader="none"/>
        </w:tabs>
        <w:spacing w:line="583" w:lineRule="auto" w:before="0"/>
        <w:ind w:left="621" w:right="3841" w:hanging="48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六、公司股票上市交易所：深圳证券交易所</w:t>
      </w:r>
      <w:r>
        <w:rPr>
          <w:rFonts w:ascii="宋体" w:hAnsi="宋体" w:cs="宋体" w:eastAsia="宋体" w:hint="default"/>
          <w:b/>
          <w:bCs/>
          <w:w w:val="99"/>
          <w:sz w:val="24"/>
          <w:szCs w:val="24"/>
        </w:rPr>
        <w:t> </w:t>
      </w:r>
      <w:r>
        <w:rPr>
          <w:rFonts w:ascii="宋体" w:hAnsi="宋体" w:cs="宋体" w:eastAsia="宋体" w:hint="default"/>
          <w:sz w:val="24"/>
          <w:szCs w:val="24"/>
        </w:rPr>
        <w:t>股票简称：新国都</w:t>
        <w:tab/>
        <w:t>股票代码：</w:t>
      </w:r>
      <w:r>
        <w:rPr>
          <w:rFonts w:ascii="Times New Roman" w:hAnsi="Times New Roman" w:cs="Times New Roman" w:eastAsia="Times New Roman" w:hint="default"/>
          <w:sz w:val="24"/>
          <w:szCs w:val="24"/>
        </w:rPr>
        <w:t>300130</w:t>
      </w:r>
    </w:p>
    <w:p>
      <w:pPr>
        <w:spacing w:after="0" w:line="583" w:lineRule="auto"/>
        <w:jc w:val="left"/>
        <w:rPr>
          <w:rFonts w:ascii="Times New Roman" w:hAnsi="Times New Roman" w:cs="Times New Roman" w:eastAsia="Times New Roman" w:hint="default"/>
          <w:sz w:val="24"/>
          <w:szCs w:val="24"/>
        </w:rPr>
        <w:sectPr>
          <w:pgSz w:w="11910" w:h="16840"/>
          <w:pgMar w:header="877" w:footer="1267" w:top="1100" w:bottom="1460" w:left="1560" w:right="14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3"/>
        <w:tabs>
          <w:tab w:pos="3387" w:val="left" w:leader="none"/>
        </w:tabs>
        <w:spacing w:line="240" w:lineRule="auto"/>
        <w:ind w:left="2264" w:right="1334"/>
        <w:jc w:val="left"/>
        <w:rPr>
          <w:b w:val="0"/>
          <w:bCs w:val="0"/>
        </w:rPr>
      </w:pPr>
      <w:r>
        <w:rPr>
          <w:w w:val="95"/>
        </w:rPr>
        <w:t>第二节</w:t>
        <w:tab/>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6"/>
        <w:spacing w:line="240" w:lineRule="auto" w:before="26"/>
        <w:ind w:right="1334"/>
        <w:jc w:val="left"/>
        <w:rPr>
          <w:b w:val="0"/>
          <w:bCs w:val="0"/>
        </w:rPr>
      </w:pPr>
      <w:r>
        <w:rPr/>
        <w:t>一、主要会计数据</w:t>
      </w:r>
      <w:r>
        <w:rPr>
          <w:b w:val="0"/>
          <w:bCs w:val="0"/>
        </w:rPr>
      </w:r>
    </w:p>
    <w:p>
      <w:pPr>
        <w:spacing w:line="240" w:lineRule="auto" w:before="12"/>
        <w:rPr>
          <w:rFonts w:ascii="宋体" w:hAnsi="宋体" w:cs="宋体" w:eastAsia="宋体" w:hint="default"/>
          <w:b/>
          <w:bCs/>
          <w:sz w:val="22"/>
          <w:szCs w:val="22"/>
        </w:rPr>
      </w:pPr>
    </w:p>
    <w:p>
      <w:pPr>
        <w:spacing w:before="44"/>
        <w:ind w:left="0" w:right="30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04" w:type="dxa"/>
        <w:tblLayout w:type="fixed"/>
        <w:tblCellMar>
          <w:top w:w="0" w:type="dxa"/>
          <w:left w:w="0" w:type="dxa"/>
          <w:bottom w:w="0" w:type="dxa"/>
          <w:right w:w="0" w:type="dxa"/>
        </w:tblCellMar>
        <w:tblLook w:val="01E0"/>
      </w:tblPr>
      <w:tblGrid>
        <w:gridCol w:w="1692"/>
        <w:gridCol w:w="1558"/>
        <w:gridCol w:w="1702"/>
        <w:gridCol w:w="1841"/>
        <w:gridCol w:w="1702"/>
      </w:tblGrid>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0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208,527,076.74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139,734,761.37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107,915,828.64</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59,606,397.10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46,474,840.45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34,155,919.71</w:t>
            </w:r>
          </w:p>
        </w:tc>
      </w:tr>
      <w:tr>
        <w:trPr>
          <w:trHeight w:val="716"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4" w:lineRule="auto" w:before="52"/>
              <w:ind w:left="211" w:right="29"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57,894,445.26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44,395,399.78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31,118,544.38</w:t>
            </w:r>
          </w:p>
        </w:tc>
      </w:tr>
      <w:tr>
        <w:trPr>
          <w:trHeight w:val="1025"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31" w:right="29"/>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52,801,031.57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39,476,209.15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31,118,544.38</w:t>
            </w:r>
          </w:p>
        </w:tc>
      </w:tr>
      <w:tr>
        <w:trPr>
          <w:trHeight w:val="715"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4" w:lineRule="auto" w:before="51"/>
              <w:ind w:left="211" w:right="29"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-3,004,624.04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29,959,944.44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-110.03%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26,120,263.56</w:t>
            </w:r>
          </w:p>
        </w:tc>
      </w:tr>
      <w:tr>
        <w:trPr>
          <w:trHeight w:val="161" w:hRule="exact"/>
        </w:trPr>
        <w:tc>
          <w:tcPr>
            <w:tcW w:w="1692" w:type="dxa"/>
            <w:tcBorders>
              <w:top w:val="single" w:sz="4" w:space="0" w:color="000000"/>
              <w:left w:val="single" w:sz="4" w:space="0" w:color="000000"/>
              <w:bottom w:val="nil" w:sz="6" w:space="0" w:color="auto"/>
              <w:right w:val="single" w:sz="4" w:space="0" w:color="000000"/>
            </w:tcBorders>
            <w:shd w:val="clear" w:color="auto" w:fill="8DB3E1"/>
          </w:tcPr>
          <w:p>
            <w:pPr/>
          </w:p>
        </w:tc>
        <w:tc>
          <w:tcPr>
            <w:tcW w:w="1558" w:type="dxa"/>
            <w:tcBorders>
              <w:top w:val="single" w:sz="4" w:space="0" w:color="000000"/>
              <w:left w:val="single" w:sz="4" w:space="0" w:color="000000"/>
              <w:bottom w:val="nil" w:sz="6" w:space="0" w:color="auto"/>
              <w:right w:val="single" w:sz="4" w:space="0" w:color="000000"/>
            </w:tcBorders>
            <w:shd w:val="clear" w:color="auto" w:fill="8DB3E1"/>
          </w:tcPr>
          <w:p>
            <w:pPr/>
          </w:p>
        </w:tc>
        <w:tc>
          <w:tcPr>
            <w:tcW w:w="1702" w:type="dxa"/>
            <w:tcBorders>
              <w:top w:val="single" w:sz="4" w:space="0" w:color="000000"/>
              <w:left w:val="single" w:sz="4" w:space="0" w:color="000000"/>
              <w:bottom w:val="nil" w:sz="6" w:space="0" w:color="auto"/>
              <w:right w:val="single" w:sz="4" w:space="0" w:color="000000"/>
            </w:tcBorders>
            <w:shd w:val="clear" w:color="auto" w:fill="8DB3E1"/>
          </w:tcPr>
          <w:p>
            <w:pPr/>
          </w:p>
        </w:tc>
        <w:tc>
          <w:tcPr>
            <w:tcW w:w="1841" w:type="dxa"/>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702" w:type="dxa"/>
            <w:tcBorders>
              <w:top w:val="single" w:sz="4" w:space="0" w:color="000000"/>
              <w:left w:val="single" w:sz="4" w:space="0" w:color="000000"/>
              <w:bottom w:val="nil" w:sz="6" w:space="0" w:color="auto"/>
              <w:right w:val="single" w:sz="4" w:space="0" w:color="000000"/>
            </w:tcBorders>
            <w:shd w:val="clear" w:color="auto" w:fill="8DB3E1"/>
          </w:tcPr>
          <w:p>
            <w:pPr/>
          </w:p>
        </w:tc>
      </w:tr>
      <w:tr>
        <w:trPr>
          <w:trHeight w:val="391" w:hRule="exact"/>
        </w:trPr>
        <w:tc>
          <w:tcPr>
            <w:tcW w:w="1692" w:type="dxa"/>
            <w:tcBorders>
              <w:top w:val="nil" w:sz="6" w:space="0" w:color="auto"/>
              <w:left w:val="single" w:sz="4" w:space="0" w:color="000000"/>
              <w:bottom w:val="nil" w:sz="6" w:space="0" w:color="auto"/>
              <w:right w:val="single" w:sz="4" w:space="0" w:color="000000"/>
            </w:tcBorders>
            <w:shd w:val="clear" w:color="auto" w:fill="8DB3E1"/>
          </w:tcPr>
          <w:p>
            <w:pPr/>
          </w:p>
        </w:tc>
        <w:tc>
          <w:tcPr>
            <w:tcW w:w="155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0" w:lineRule="auto" w:before="49"/>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841" w:type="dxa"/>
            <w:vMerge/>
            <w:tcBorders>
              <w:left w:val="single" w:sz="4" w:space="0" w:color="000000"/>
              <w:right w:val="single" w:sz="4" w:space="0" w:color="000000"/>
            </w:tcBorders>
            <w:shd w:val="clear" w:color="auto" w:fill="8DB3E1"/>
          </w:tcPr>
          <w:p>
            <w:pPr/>
          </w:p>
        </w:tc>
        <w:tc>
          <w:tcPr>
            <w:tcW w:w="1702"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1692" w:type="dxa"/>
            <w:tcBorders>
              <w:top w:val="nil" w:sz="6" w:space="0" w:color="auto"/>
              <w:left w:val="single" w:sz="4" w:space="0" w:color="000000"/>
              <w:bottom w:val="single" w:sz="4" w:space="0" w:color="000000"/>
              <w:right w:val="single" w:sz="4" w:space="0" w:color="000000"/>
            </w:tcBorders>
            <w:shd w:val="clear" w:color="auto" w:fill="8DB3E1"/>
          </w:tcPr>
          <w:p>
            <w:pPr/>
          </w:p>
        </w:tc>
        <w:tc>
          <w:tcPr>
            <w:tcW w:w="1558" w:type="dxa"/>
            <w:tcBorders>
              <w:top w:val="nil" w:sz="6" w:space="0" w:color="auto"/>
              <w:left w:val="single" w:sz="4" w:space="0" w:color="000000"/>
              <w:bottom w:val="single" w:sz="4" w:space="0" w:color="000000"/>
              <w:right w:val="single" w:sz="4" w:space="0" w:color="000000"/>
            </w:tcBorders>
            <w:shd w:val="clear" w:color="auto" w:fill="8DB3E1"/>
          </w:tcPr>
          <w:p>
            <w:pPr/>
          </w:p>
        </w:tc>
        <w:tc>
          <w:tcPr>
            <w:tcW w:w="1702" w:type="dxa"/>
            <w:tcBorders>
              <w:top w:val="nil" w:sz="6" w:space="0" w:color="auto"/>
              <w:left w:val="single" w:sz="4" w:space="0" w:color="000000"/>
              <w:bottom w:val="single" w:sz="4" w:space="0" w:color="000000"/>
              <w:right w:val="single" w:sz="4" w:space="0" w:color="000000"/>
            </w:tcBorders>
            <w:shd w:val="clear" w:color="auto" w:fill="8DB3E1"/>
          </w:tcPr>
          <w:p>
            <w:pPr/>
          </w:p>
        </w:tc>
        <w:tc>
          <w:tcPr>
            <w:tcW w:w="1841" w:type="dxa"/>
            <w:vMerge/>
            <w:tcBorders>
              <w:left w:val="single" w:sz="4" w:space="0" w:color="000000"/>
              <w:bottom w:val="single" w:sz="4" w:space="0" w:color="000000"/>
              <w:right w:val="single" w:sz="4" w:space="0" w:color="000000"/>
            </w:tcBorders>
            <w:shd w:val="clear" w:color="auto" w:fill="8DB3E1"/>
          </w:tcPr>
          <w:p>
            <w:pPr/>
          </w:p>
        </w:tc>
        <w:tc>
          <w:tcPr>
            <w:tcW w:w="1702" w:type="dxa"/>
            <w:tcBorders>
              <w:top w:val="nil" w:sz="6" w:space="0" w:color="auto"/>
              <w:left w:val="single" w:sz="4" w:space="0" w:color="000000"/>
              <w:bottom w:val="single" w:sz="4" w:space="0" w:color="000000"/>
              <w:right w:val="single" w:sz="4" w:space="0" w:color="000000"/>
            </w:tcBorders>
            <w:shd w:val="clear" w:color="auto" w:fill="8DB3E1"/>
          </w:tcPr>
          <w:p>
            <w:pPr/>
          </w:p>
        </w:tc>
      </w:tr>
      <w:tr>
        <w:trPr>
          <w:trHeight w:val="404"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933,469,788.64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190,710,718.81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389.47%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158,956,410.76</w:t>
            </w:r>
          </w:p>
        </w:tc>
      </w:tr>
      <w:tr>
        <w:trPr>
          <w:trHeight w:val="713"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31" w:right="29"/>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872,005,005.62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167,775,626.03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419.74%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132,880,226.25</w:t>
            </w: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558"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47,500,000.00</w:t>
            </w:r>
          </w:p>
        </w:tc>
      </w:tr>
    </w:tbl>
    <w:p>
      <w:pPr>
        <w:spacing w:line="240" w:lineRule="auto" w:before="1"/>
        <w:rPr>
          <w:rFonts w:ascii="宋体" w:hAnsi="宋体" w:cs="宋体" w:eastAsia="宋体" w:hint="default"/>
          <w:sz w:val="18"/>
          <w:szCs w:val="18"/>
        </w:rPr>
      </w:pPr>
    </w:p>
    <w:p>
      <w:pPr>
        <w:pStyle w:val="Heading6"/>
        <w:spacing w:line="240" w:lineRule="auto" w:before="26"/>
        <w:ind w:right="1334"/>
        <w:jc w:val="left"/>
        <w:rPr>
          <w:b w:val="0"/>
          <w:bCs w:val="0"/>
        </w:rPr>
      </w:pPr>
      <w:r>
        <w:rPr/>
        <w:t>二、主要财务指标</w:t>
      </w:r>
      <w:r>
        <w:rPr>
          <w:b w:val="0"/>
          <w:bCs w:val="0"/>
        </w:rPr>
      </w:r>
    </w:p>
    <w:p>
      <w:pPr>
        <w:spacing w:line="240" w:lineRule="auto" w:before="11"/>
        <w:rPr>
          <w:rFonts w:ascii="宋体" w:hAnsi="宋体" w:cs="宋体" w:eastAsia="宋体" w:hint="default"/>
          <w:b/>
          <w:bCs/>
          <w:sz w:val="25"/>
          <w:szCs w:val="25"/>
        </w:rPr>
      </w:pPr>
    </w:p>
    <w:tbl>
      <w:tblPr>
        <w:tblW w:w="0" w:type="auto"/>
        <w:jc w:val="left"/>
        <w:tblInd w:w="204" w:type="dxa"/>
        <w:tblLayout w:type="fixed"/>
        <w:tblCellMar>
          <w:top w:w="0" w:type="dxa"/>
          <w:left w:w="0" w:type="dxa"/>
          <w:bottom w:w="0" w:type="dxa"/>
          <w:right w:w="0" w:type="dxa"/>
        </w:tblCellMar>
        <w:tblLook w:val="01E0"/>
      </w:tblPr>
      <w:tblGrid>
        <w:gridCol w:w="2266"/>
        <w:gridCol w:w="246"/>
        <w:gridCol w:w="1163"/>
        <w:gridCol w:w="1419"/>
        <w:gridCol w:w="1699"/>
        <w:gridCol w:w="310"/>
        <w:gridCol w:w="1392"/>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pacing w:val="-8"/>
                <w:sz w:val="18"/>
                <w:szCs w:val="18"/>
              </w:rPr>
              <w:t>本年比上年增减（％</w:t>
            </w:r>
          </w:p>
        </w:tc>
        <w:tc>
          <w:tcPr>
            <w:tcW w:w="310" w:type="dxa"/>
            <w:tcBorders>
              <w:top w:val="single" w:sz="4" w:space="0" w:color="000000"/>
              <w:left w:val="single" w:sz="4" w:space="0" w:color="000000"/>
              <w:bottom w:val="single" w:sz="4" w:space="0" w:color="000000"/>
              <w:right w:val="nil" w:sz="6" w:space="0" w:color="auto"/>
            </w:tcBorders>
            <w:shd w:val="clear" w:color="auto" w:fill="8DB3E1"/>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92" w:type="dxa"/>
            <w:tcBorders>
              <w:top w:val="single" w:sz="4" w:space="0" w:color="000000"/>
              <w:left w:val="nil" w:sz="6" w:space="0" w:color="auto"/>
              <w:bottom w:val="single" w:sz="4" w:space="0" w:color="000000"/>
              <w:right w:val="single" w:sz="4" w:space="0" w:color="000000"/>
            </w:tcBorders>
            <w:shd w:val="clear" w:color="auto" w:fill="8DB3E1"/>
          </w:tcPr>
          <w:p>
            <w:pPr>
              <w:pStyle w:val="TableParagraph"/>
              <w:spacing w:line="240" w:lineRule="auto" w:before="49"/>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9" w:type="dxa"/>
            <w:gridSpan w:val="2"/>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23.66%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0.72</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9" w:type="dxa"/>
            <w:gridSpan w:val="2"/>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23.66%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0.72</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11" w:right="82"/>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9" w:type="dxa"/>
            <w:gridSpan w:val="2"/>
            <w:tcBorders>
              <w:top w:val="single" w:sz="4" w:space="0" w:color="000000"/>
              <w:left w:val="single" w:sz="13" w:space="0" w:color="8DB3E1"/>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26.51%</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246" w:type="dxa"/>
            <w:tcBorders>
              <w:top w:val="single" w:sz="4" w:space="0" w:color="000000"/>
              <w:left w:val="single" w:sz="13" w:space="0" w:color="8DB3E1"/>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19.02%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-10.36%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33.71%</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11" w:right="82"/>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9" w:type="dxa"/>
            <w:gridSpan w:val="2"/>
            <w:tcBorders>
              <w:top w:val="single" w:sz="4" w:space="0" w:color="000000"/>
              <w:left w:val="single" w:sz="13" w:space="0" w:color="8DB3E1"/>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28.58%</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4" w:lineRule="auto" w:before="49"/>
              <w:ind w:left="11" w:right="82"/>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9" w:type="dxa"/>
            <w:gridSpan w:val="2"/>
            <w:tcBorders>
              <w:top w:val="single" w:sz="4" w:space="0" w:color="000000"/>
              <w:left w:val="single" w:sz="13" w:space="0" w:color="8DB3E1"/>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-107.94%</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0.55</w:t>
            </w:r>
          </w:p>
        </w:tc>
      </w:tr>
      <w:tr>
        <w:trPr>
          <w:trHeight w:val="161" w:hRule="exact"/>
        </w:trPr>
        <w:tc>
          <w:tcPr>
            <w:tcW w:w="2266" w:type="dxa"/>
            <w:tcBorders>
              <w:top w:val="single" w:sz="4" w:space="0" w:color="000000"/>
              <w:left w:val="single" w:sz="4" w:space="0" w:color="000000"/>
              <w:bottom w:val="nil" w:sz="6" w:space="0" w:color="auto"/>
              <w:right w:val="single" w:sz="4" w:space="0" w:color="000000"/>
            </w:tcBorders>
            <w:shd w:val="clear" w:color="auto" w:fill="8DB3E1"/>
          </w:tcPr>
          <w:p>
            <w:pPr/>
          </w:p>
        </w:tc>
        <w:tc>
          <w:tcPr>
            <w:tcW w:w="1409" w:type="dxa"/>
            <w:gridSpan w:val="2"/>
            <w:tcBorders>
              <w:top w:val="single" w:sz="4" w:space="0" w:color="000000"/>
              <w:left w:val="single" w:sz="4" w:space="0" w:color="000000"/>
              <w:bottom w:val="nil" w:sz="6" w:space="0" w:color="auto"/>
              <w:right w:val="single" w:sz="4" w:space="0" w:color="000000"/>
            </w:tcBorders>
            <w:shd w:val="clear" w:color="auto" w:fill="8DB3E1"/>
          </w:tcPr>
          <w:p>
            <w:pPr/>
          </w:p>
        </w:tc>
        <w:tc>
          <w:tcPr>
            <w:tcW w:w="1419" w:type="dxa"/>
            <w:tcBorders>
              <w:top w:val="single" w:sz="4" w:space="0" w:color="000000"/>
              <w:left w:val="single" w:sz="4" w:space="0" w:color="000000"/>
              <w:bottom w:val="nil" w:sz="6" w:space="0" w:color="auto"/>
              <w:right w:val="single" w:sz="4" w:space="0" w:color="000000"/>
            </w:tcBorders>
            <w:shd w:val="clear" w:color="auto" w:fill="8DB3E1"/>
          </w:tcPr>
          <w:p>
            <w:pPr/>
          </w:p>
        </w:tc>
        <w:tc>
          <w:tcPr>
            <w:tcW w:w="1699" w:type="dxa"/>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02" w:type="dxa"/>
            <w:gridSpan w:val="2"/>
            <w:tcBorders>
              <w:top w:val="single" w:sz="4" w:space="0" w:color="000000"/>
              <w:left w:val="single" w:sz="4" w:space="0" w:color="000000"/>
              <w:bottom w:val="nil" w:sz="6" w:space="0" w:color="auto"/>
              <w:right w:val="single" w:sz="4" w:space="0" w:color="000000"/>
            </w:tcBorders>
            <w:shd w:val="clear" w:color="auto" w:fill="8DB3E1"/>
          </w:tcPr>
          <w:p>
            <w:pPr/>
          </w:p>
        </w:tc>
      </w:tr>
      <w:tr>
        <w:trPr>
          <w:trHeight w:val="394" w:hRule="exact"/>
        </w:trPr>
        <w:tc>
          <w:tcPr>
            <w:tcW w:w="2266" w:type="dxa"/>
            <w:tcBorders>
              <w:top w:val="nil" w:sz="6" w:space="0" w:color="auto"/>
              <w:left w:val="single" w:sz="4" w:space="0" w:color="000000"/>
              <w:bottom w:val="nil" w:sz="6" w:space="0" w:color="auto"/>
              <w:right w:val="single" w:sz="4" w:space="0" w:color="000000"/>
            </w:tcBorders>
            <w:shd w:val="clear" w:color="auto" w:fill="8DB3E1"/>
          </w:tcPr>
          <w:p>
            <w:pPr/>
          </w:p>
        </w:tc>
        <w:tc>
          <w:tcPr>
            <w:tcW w:w="1409" w:type="dxa"/>
            <w:gridSpan w:val="2"/>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0" w:lineRule="auto" w:before="4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19"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99" w:type="dxa"/>
            <w:vMerge/>
            <w:tcBorders>
              <w:left w:val="single" w:sz="4" w:space="0" w:color="000000"/>
              <w:right w:val="single" w:sz="4" w:space="0" w:color="000000"/>
            </w:tcBorders>
            <w:shd w:val="clear" w:color="auto" w:fill="8DB3E1"/>
          </w:tcPr>
          <w:p>
            <w:pPr/>
          </w:p>
        </w:tc>
        <w:tc>
          <w:tcPr>
            <w:tcW w:w="1702" w:type="dxa"/>
            <w:gridSpan w:val="2"/>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266" w:type="dxa"/>
            <w:tcBorders>
              <w:top w:val="nil" w:sz="6" w:space="0" w:color="auto"/>
              <w:left w:val="single" w:sz="4" w:space="0" w:color="000000"/>
              <w:bottom w:val="single" w:sz="4" w:space="0" w:color="000000"/>
              <w:right w:val="single" w:sz="4" w:space="0" w:color="000000"/>
            </w:tcBorders>
            <w:shd w:val="clear" w:color="auto" w:fill="8DB3E1"/>
          </w:tcPr>
          <w:p>
            <w:pPr/>
          </w:p>
        </w:tc>
        <w:tc>
          <w:tcPr>
            <w:tcW w:w="1409" w:type="dxa"/>
            <w:gridSpan w:val="2"/>
            <w:tcBorders>
              <w:top w:val="nil" w:sz="6" w:space="0" w:color="auto"/>
              <w:left w:val="single" w:sz="4" w:space="0" w:color="000000"/>
              <w:bottom w:val="single" w:sz="4" w:space="0" w:color="000000"/>
              <w:right w:val="single" w:sz="4" w:space="0" w:color="000000"/>
            </w:tcBorders>
            <w:shd w:val="clear" w:color="auto" w:fill="8DB3E1"/>
          </w:tcPr>
          <w:p>
            <w:pPr/>
          </w:p>
        </w:tc>
        <w:tc>
          <w:tcPr>
            <w:tcW w:w="1419" w:type="dxa"/>
            <w:tcBorders>
              <w:top w:val="nil" w:sz="6" w:space="0" w:color="auto"/>
              <w:left w:val="single" w:sz="4" w:space="0" w:color="000000"/>
              <w:bottom w:val="single" w:sz="4" w:space="0" w:color="000000"/>
              <w:right w:val="single" w:sz="4" w:space="0" w:color="000000"/>
            </w:tcBorders>
            <w:shd w:val="clear" w:color="auto" w:fill="8DB3E1"/>
          </w:tcPr>
          <w:p>
            <w:pPr/>
          </w:p>
        </w:tc>
        <w:tc>
          <w:tcPr>
            <w:tcW w:w="1699" w:type="dxa"/>
            <w:vMerge/>
            <w:tcBorders>
              <w:left w:val="single" w:sz="4" w:space="0" w:color="000000"/>
              <w:bottom w:val="single" w:sz="4" w:space="0" w:color="000000"/>
              <w:right w:val="single" w:sz="4" w:space="0" w:color="000000"/>
            </w:tcBorders>
            <w:shd w:val="clear" w:color="auto" w:fill="8DB3E1"/>
          </w:tcPr>
          <w:p>
            <w:pPr/>
          </w:p>
        </w:tc>
        <w:tc>
          <w:tcPr>
            <w:tcW w:w="1702" w:type="dxa"/>
            <w:gridSpan w:val="2"/>
            <w:tcBorders>
              <w:top w:val="nil" w:sz="6" w:space="0" w:color="auto"/>
              <w:left w:val="single" w:sz="4" w:space="0" w:color="000000"/>
              <w:bottom w:val="single" w:sz="4" w:space="0" w:color="000000"/>
              <w:right w:val="single" w:sz="4" w:space="0" w:color="000000"/>
            </w:tcBorders>
            <w:shd w:val="clear" w:color="auto" w:fill="8DB3E1"/>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w:t>
            </w:r>
          </w:p>
        </w:tc>
        <w:tc>
          <w:tcPr>
            <w:tcW w:w="1409" w:type="dxa"/>
            <w:gridSpan w:val="2"/>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288.95%</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67" w:top="1100" w:bottom="1460" w:left="1560" w:right="1440"/>
        </w:sectPr>
      </w:pPr>
    </w:p>
    <w:p>
      <w:pPr>
        <w:spacing w:line="240" w:lineRule="auto" w:before="11"/>
        <w:rPr>
          <w:rFonts w:ascii="宋体" w:hAnsi="宋体" w:cs="宋体" w:eastAsia="宋体" w:hint="default"/>
          <w:b/>
          <w:bCs/>
          <w:sz w:val="2"/>
          <w:szCs w:val="2"/>
        </w:rPr>
      </w:pPr>
    </w:p>
    <w:tbl>
      <w:tblPr>
        <w:tblW w:w="0" w:type="auto"/>
        <w:jc w:val="left"/>
        <w:tblInd w:w="152" w:type="dxa"/>
        <w:tblLayout w:type="fixed"/>
        <w:tblCellMar>
          <w:top w:w="0" w:type="dxa"/>
          <w:left w:w="0" w:type="dxa"/>
          <w:bottom w:w="0" w:type="dxa"/>
          <w:right w:w="0" w:type="dxa"/>
        </w:tblCellMar>
        <w:tblLook w:val="01E0"/>
      </w:tblPr>
      <w:tblGrid>
        <w:gridCol w:w="2278"/>
        <w:gridCol w:w="1409"/>
        <w:gridCol w:w="1419"/>
        <w:gridCol w:w="1699"/>
        <w:gridCol w:w="1702"/>
      </w:tblGrid>
      <w:tr>
        <w:trPr>
          <w:trHeight w:val="377" w:hRule="exact"/>
        </w:trPr>
        <w:tc>
          <w:tcPr>
            <w:tcW w:w="2278" w:type="dxa"/>
            <w:tcBorders>
              <w:top w:val="single" w:sz="15"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9" w:type="dxa"/>
            <w:tcBorders>
              <w:top w:val="single" w:sz="15" w:space="0" w:color="000000"/>
              <w:left w:val="single" w:sz="13" w:space="0" w:color="8DB3E1"/>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699"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r>
    </w:tbl>
    <w:p>
      <w:pPr>
        <w:pStyle w:val="BodyText"/>
        <w:spacing w:line="273" w:lineRule="exact"/>
        <w:ind w:left="102" w:right="100"/>
        <w:jc w:val="left"/>
      </w:pPr>
      <w:r>
        <w:rPr/>
        <w:t>非经常性损益项目</w:t>
      </w:r>
    </w:p>
    <w:p>
      <w:pPr>
        <w:pStyle w:val="BodyText"/>
        <w:spacing w:line="312" w:lineRule="exact" w:before="29"/>
        <w:ind w:left="102" w:right="100"/>
        <w:jc w:val="left"/>
      </w:pPr>
      <w:r>
        <w:rPr/>
        <w:t>本节相关财务数据的计算是按照按中国证监会规定的计算公式计算。 </w:t>
      </w:r>
      <w:r>
        <w:rPr>
          <w:spacing w:val="-1"/>
        </w:rPr>
        <w:t>净资产收益率、每股收益的计算公式参照《公开发行证券的公司信息披露编报规则</w:t>
      </w:r>
      <w:r>
        <w:rPr>
          <w:spacing w:val="-108"/>
        </w:rPr>
        <w:t> </w:t>
      </w:r>
      <w:r>
        <w:rPr>
          <w:spacing w:val="-108"/>
        </w:rPr>
      </w:r>
      <w:r>
        <w:rPr/>
        <w:t>第</w:t>
      </w:r>
      <w:r>
        <w:rPr>
          <w:rFonts w:ascii="Times New Roman" w:hAnsi="Times New Roman" w:cs="Times New Roman" w:eastAsia="Times New Roman" w:hint="default"/>
        </w:rPr>
        <w:t>9</w:t>
      </w:r>
      <w:r>
        <w:rPr>
          <w:rFonts w:ascii="Times New Roman" w:hAnsi="Times New Roman" w:cs="Times New Roman" w:eastAsia="Times New Roman" w:hint="default"/>
          <w:spacing w:val="59"/>
        </w:rPr>
        <w:t> </w:t>
      </w:r>
      <w:r>
        <w:rPr/>
        <w:t>号</w:t>
      </w:r>
      <w:r>
        <w:rPr>
          <w:rFonts w:ascii="Times New Roman" w:hAnsi="Times New Roman" w:cs="Times New Roman" w:eastAsia="Times New Roman" w:hint="default"/>
        </w:rPr>
        <w:t>——</w:t>
      </w:r>
      <w:r>
        <w:rPr/>
        <w:t>净资产收益率和每股收益的计算及披露》执行。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6"/>
        <w:spacing w:line="240" w:lineRule="auto"/>
        <w:ind w:left="102" w:right="100"/>
        <w:jc w:val="left"/>
        <w:rPr>
          <w:b w:val="0"/>
          <w:bCs w:val="0"/>
        </w:rPr>
      </w:pPr>
      <w:r>
        <w:rPr/>
        <w:t>三、非经常性损益项目</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52" w:type="dxa"/>
        <w:tblLayout w:type="fixed"/>
        <w:tblCellMar>
          <w:top w:w="0" w:type="dxa"/>
          <w:left w:w="0" w:type="dxa"/>
          <w:bottom w:w="0" w:type="dxa"/>
          <w:right w:w="0" w:type="dxa"/>
        </w:tblCellMar>
        <w:tblLook w:val="01E0"/>
      </w:tblPr>
      <w:tblGrid>
        <w:gridCol w:w="5202"/>
        <w:gridCol w:w="1603"/>
        <w:gridCol w:w="1702"/>
      </w:tblGrid>
      <w:tr>
        <w:trPr>
          <w:trHeight w:val="403" w:hRule="exact"/>
        </w:trPr>
        <w:tc>
          <w:tcPr>
            <w:tcW w:w="520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60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附注（如适用）</w:t>
            </w:r>
            <w:r>
              <w:rPr>
                <w:rFonts w:ascii="宋体" w:hAnsi="宋体" w:cs="宋体" w:eastAsia="宋体" w:hint="default"/>
                <w:sz w:val="18"/>
                <w:szCs w:val="18"/>
              </w:rPr>
            </w: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2,563,124.40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2,841,700.00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15,826.46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-14,514.67</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-312,722.50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5,093,413.69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520" w:lineRule="auto" w:before="166"/>
        <w:ind w:left="581" w:right="2945" w:hanging="480"/>
        <w:jc w:val="left"/>
        <w:rPr>
          <w:rFonts w:ascii="宋体" w:hAnsi="宋体" w:cs="宋体" w:eastAsia="宋体" w:hint="default"/>
          <w:sz w:val="24"/>
          <w:szCs w:val="24"/>
        </w:rPr>
      </w:pPr>
      <w:r>
        <w:rPr>
          <w:rFonts w:ascii="宋体" w:hAnsi="宋体" w:cs="宋体" w:eastAsia="宋体" w:hint="default"/>
          <w:b/>
          <w:bCs/>
          <w:sz w:val="24"/>
          <w:szCs w:val="24"/>
        </w:rPr>
        <w:t>四、采用公允价值计量的项目</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报告期内，公司不存在采用公允价值计量的项目。</w:t>
      </w:r>
    </w:p>
    <w:p>
      <w:pPr>
        <w:spacing w:after="0" w:line="520" w:lineRule="auto"/>
        <w:jc w:val="left"/>
        <w:rPr>
          <w:rFonts w:ascii="宋体" w:hAnsi="宋体" w:cs="宋体" w:eastAsia="宋体" w:hint="default"/>
          <w:sz w:val="24"/>
          <w:szCs w:val="24"/>
        </w:rPr>
        <w:sectPr>
          <w:pgSz w:w="11910" w:h="16840"/>
          <w:pgMar w:header="877" w:footer="1267" w:top="1060" w:bottom="1460" w:left="1600" w:right="148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3158" w:right="3399"/>
        <w:jc w:val="center"/>
        <w:rPr>
          <w:b w:val="0"/>
          <w:bCs w:val="0"/>
        </w:rPr>
      </w:pPr>
      <w:r>
        <w:rPr/>
        <w:t>第三节</w:t>
      </w:r>
      <w:r>
        <w:rPr>
          <w:spacing w:val="-1"/>
        </w:rPr>
        <w:t> </w:t>
      </w:r>
      <w:r>
        <w:rPr/>
        <w:t>董事会报告</w:t>
      </w:r>
      <w:r>
        <w:rPr>
          <w:b w:val="0"/>
          <w:bCs w:val="0"/>
        </w:rPr>
      </w:r>
    </w:p>
    <w:p>
      <w:pPr>
        <w:spacing w:line="240" w:lineRule="auto" w:before="0"/>
        <w:rPr>
          <w:rFonts w:ascii="宋体" w:hAnsi="宋体" w:cs="宋体" w:eastAsia="宋体" w:hint="default"/>
          <w:b/>
          <w:bCs/>
          <w:sz w:val="28"/>
          <w:szCs w:val="28"/>
        </w:rPr>
      </w:pPr>
    </w:p>
    <w:p>
      <w:pPr>
        <w:spacing w:before="189"/>
        <w:ind w:left="142" w:right="219" w:firstLine="0"/>
        <w:jc w:val="left"/>
        <w:rPr>
          <w:rFonts w:ascii="宋体" w:hAnsi="宋体" w:cs="宋体" w:eastAsia="宋体" w:hint="default"/>
          <w:sz w:val="21"/>
          <w:szCs w:val="21"/>
        </w:rPr>
      </w:pPr>
      <w:r>
        <w:rPr>
          <w:rFonts w:ascii="宋体" w:hAnsi="宋体" w:cs="宋体" w:eastAsia="宋体" w:hint="default"/>
          <w:b/>
          <w:bCs/>
          <w:sz w:val="21"/>
          <w:szCs w:val="21"/>
        </w:rPr>
        <w:t>一、对经营情况及未来发展情况讨论与分析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Heading6"/>
        <w:spacing w:line="240" w:lineRule="auto" w:before="165"/>
        <w:ind w:right="219"/>
        <w:jc w:val="left"/>
        <w:rPr>
          <w:b w:val="0"/>
          <w:bCs w:val="0"/>
        </w:rPr>
      </w:pPr>
      <w:r>
        <w:rPr/>
        <w:t>（一）、报告期内总体经营情况</w:t>
      </w:r>
      <w:r>
        <w:rPr>
          <w:b w:val="0"/>
          <w:bCs w:val="0"/>
        </w:rPr>
      </w:r>
    </w:p>
    <w:p>
      <w:pPr>
        <w:spacing w:line="240" w:lineRule="auto" w:before="0"/>
        <w:rPr>
          <w:rFonts w:ascii="宋体" w:hAnsi="宋体" w:cs="宋体" w:eastAsia="宋体" w:hint="default"/>
          <w:b/>
          <w:bCs/>
          <w:sz w:val="24"/>
          <w:szCs w:val="24"/>
        </w:rPr>
      </w:pPr>
    </w:p>
    <w:p>
      <w:pPr>
        <w:spacing w:before="166"/>
        <w:ind w:left="142" w:right="2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年公司总体经营情况概述</w:t>
      </w:r>
      <w:r>
        <w:rPr>
          <w:rFonts w:ascii="宋体" w:hAnsi="宋体" w:cs="宋体" w:eastAsia="宋体" w:hint="default"/>
          <w:sz w:val="24"/>
          <w:szCs w:val="24"/>
        </w:rPr>
      </w:r>
    </w:p>
    <w:p>
      <w:pPr>
        <w:spacing w:line="240" w:lineRule="auto" w:before="5"/>
        <w:rPr>
          <w:rFonts w:ascii="宋体" w:hAnsi="宋体" w:cs="宋体" w:eastAsia="宋体" w:hint="default"/>
          <w:b/>
          <w:bCs/>
          <w:sz w:val="33"/>
          <w:szCs w:val="33"/>
        </w:rPr>
      </w:pPr>
    </w:p>
    <w:p>
      <w:pPr>
        <w:pStyle w:val="BodyText"/>
        <w:spacing w:line="343" w:lineRule="auto"/>
        <w:ind w:right="219" w:firstLine="479"/>
        <w:jc w:val="left"/>
      </w:pPr>
      <w:r>
        <w:rPr>
          <w:rFonts w:ascii="Times New Roman" w:hAnsi="Times New Roman" w:cs="Times New Roman" w:eastAsia="Times New Roman" w:hint="default"/>
        </w:rPr>
        <w:t>2010</w:t>
      </w:r>
      <w:r>
        <w:rPr/>
        <w:t>年，公司坚持以</w:t>
      </w:r>
      <w:r>
        <w:rPr>
          <w:rFonts w:ascii="Times New Roman" w:hAnsi="Times New Roman" w:cs="Times New Roman" w:eastAsia="Times New Roman" w:hint="default"/>
        </w:rPr>
        <w:t>“</w:t>
      </w:r>
      <w:r>
        <w:rPr/>
        <w:t>创新</w:t>
      </w:r>
      <w:r>
        <w:rPr>
          <w:rFonts w:ascii="Times New Roman" w:hAnsi="Times New Roman" w:cs="Times New Roman" w:eastAsia="Times New Roman" w:hint="default"/>
        </w:rPr>
        <w:t>”</w:t>
      </w:r>
      <w:r>
        <w:rPr/>
        <w:t>为核心追求的企业发展理念，秉承</w:t>
      </w:r>
      <w:r>
        <w:rPr>
          <w:rFonts w:ascii="Times New Roman" w:hAnsi="Times New Roman" w:cs="Times New Roman" w:eastAsia="Times New Roman" w:hint="default"/>
        </w:rPr>
        <w:t>“</w:t>
      </w:r>
      <w:r>
        <w:rPr/>
        <w:t>专注、专业</w:t>
      </w:r>
      <w:r>
        <w:rPr>
          <w:rFonts w:ascii="Times New Roman" w:hAnsi="Times New Roman" w:cs="Times New Roman" w:eastAsia="Times New Roman" w:hint="default"/>
        </w:rPr>
        <w:t>”</w:t>
      </w:r>
      <w:r>
        <w:rPr/>
        <w:t>的 </w:t>
      </w:r>
      <w:r>
        <w:rPr>
          <w:spacing w:val="-3"/>
        </w:rPr>
        <w:t>企业精神，继续在金融</w:t>
      </w:r>
      <w:r>
        <w:rPr>
          <w:rFonts w:ascii="Times New Roman" w:hAnsi="Times New Roman" w:cs="Times New Roman" w:eastAsia="Times New Roman" w:hint="default"/>
          <w:spacing w:val="-3"/>
        </w:rPr>
        <w:t>POS</w:t>
      </w:r>
      <w:r>
        <w:rPr>
          <w:spacing w:val="-3"/>
        </w:rPr>
        <w:t>机领域深化和巩固自己的行业地位，以</w:t>
      </w:r>
      <w:r>
        <w:rPr>
          <w:rFonts w:ascii="Times New Roman" w:hAnsi="Times New Roman" w:cs="Times New Roman" w:eastAsia="Times New Roman" w:hint="default"/>
          <w:spacing w:val="-3"/>
        </w:rPr>
        <w:t>“</w:t>
      </w:r>
      <w:r>
        <w:rPr>
          <w:spacing w:val="-3"/>
        </w:rPr>
        <w:t>人性、安全、便</w:t>
      </w:r>
      <w:r>
        <w:rPr>
          <w:spacing w:val="-97"/>
        </w:rPr>
        <w:t> </w:t>
      </w:r>
      <w:r>
        <w:rPr>
          <w:spacing w:val="-97"/>
        </w:rPr>
      </w:r>
      <w:r>
        <w:rPr/>
        <w:t>捷、速度</w:t>
      </w:r>
      <w:r>
        <w:rPr>
          <w:rFonts w:ascii="Times New Roman" w:hAnsi="Times New Roman" w:cs="Times New Roman" w:eastAsia="Times New Roman" w:hint="default"/>
        </w:rPr>
        <w:t>”</w:t>
      </w:r>
      <w:r>
        <w:rPr/>
        <w:t>为标准，以商户需求和使用体验为导向，积极开发新产品，改进现有产 </w:t>
      </w:r>
      <w:r>
        <w:rPr>
          <w:spacing w:val="-1"/>
        </w:rPr>
        <w:t>品品质，进一步增强产品和服务的竞争力，在销售规模迅速扩张的同时，实现了经</w:t>
      </w:r>
      <w:r>
        <w:rPr>
          <w:spacing w:val="-108"/>
        </w:rPr>
        <w:t> </w:t>
      </w:r>
      <w:r>
        <w:rPr>
          <w:spacing w:val="-108"/>
        </w:rPr>
      </w:r>
      <w:r>
        <w:rPr/>
        <w:t>营业绩的稳定增长。</w:t>
      </w:r>
    </w:p>
    <w:p>
      <w:pPr>
        <w:pStyle w:val="BodyText"/>
        <w:spacing w:line="345" w:lineRule="auto" w:before="89"/>
        <w:ind w:right="226" w:firstLine="479"/>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日，公司在深交所创业板成功挂牌上市，通过本次股票发行共募</w:t>
      </w:r>
      <w:r>
        <w:rPr/>
        <w:t> </w:t>
      </w:r>
      <w:r>
        <w:rPr>
          <w:spacing w:val="-2"/>
        </w:rPr>
        <w:t>集资金净额</w:t>
      </w:r>
      <w:r>
        <w:rPr>
          <w:rFonts w:ascii="Times New Roman" w:hAnsi="Times New Roman" w:cs="Times New Roman" w:eastAsia="Times New Roman" w:hint="default"/>
          <w:spacing w:val="-2"/>
        </w:rPr>
        <w:t>646,334,934.33</w:t>
      </w:r>
      <w:r>
        <w:rPr>
          <w:spacing w:val="-2"/>
        </w:rPr>
        <w:t>元，公司的资产规模大幅度提升，公司治理更加规范、品</w:t>
      </w:r>
      <w:r>
        <w:rPr/>
        <w:t> </w:t>
      </w:r>
      <w:r>
        <w:rPr>
          <w:spacing w:val="-1"/>
        </w:rPr>
        <w:t>牌知名度和行业影响力得到了明显提高，公司综合竞争力得到了进一步的提升，公</w:t>
      </w:r>
      <w:r>
        <w:rPr>
          <w:spacing w:val="-108"/>
        </w:rPr>
        <w:t> </w:t>
      </w:r>
      <w:r>
        <w:rPr>
          <w:spacing w:val="-108"/>
        </w:rPr>
      </w:r>
      <w:r>
        <w:rPr/>
        <w:t>司进入了一个全新的发展阶段。</w:t>
      </w:r>
    </w:p>
    <w:p>
      <w:pPr>
        <w:pStyle w:val="BodyText"/>
        <w:spacing w:line="240" w:lineRule="auto" w:before="89"/>
        <w:ind w:left="621" w:right="219"/>
        <w:jc w:val="left"/>
      </w:pPr>
      <w:r>
        <w:rPr/>
        <w:t>报告期内，公司实现营业收入</w:t>
      </w:r>
      <w:r>
        <w:rPr>
          <w:rFonts w:ascii="Times New Roman" w:hAnsi="Times New Roman" w:cs="Times New Roman" w:eastAsia="Times New Roman" w:hint="default"/>
        </w:rPr>
        <w:t>20,852.71</w:t>
      </w:r>
      <w:r>
        <w:rPr/>
        <w:t>万元，同比增长</w:t>
      </w:r>
      <w:r>
        <w:rPr>
          <w:rFonts w:ascii="Times New Roman" w:hAnsi="Times New Roman" w:cs="Times New Roman" w:eastAsia="Times New Roman" w:hint="default"/>
        </w:rPr>
        <w:t>49.23%</w:t>
      </w:r>
      <w:r>
        <w:rPr/>
        <w:t>，实现净利润</w:t>
      </w:r>
    </w:p>
    <w:p>
      <w:pPr>
        <w:pStyle w:val="BodyText"/>
        <w:spacing w:line="367" w:lineRule="auto" w:before="135"/>
        <w:ind w:left="621" w:right="219" w:hanging="480"/>
        <w:jc w:val="left"/>
      </w:pPr>
      <w:r>
        <w:rPr>
          <w:rFonts w:ascii="Times New Roman" w:hAnsi="Times New Roman" w:cs="Times New Roman" w:eastAsia="Times New Roman" w:hint="default"/>
        </w:rPr>
        <w:t>5,789.44</w:t>
      </w:r>
      <w:r>
        <w:rPr/>
        <w:t>万元，同比增长</w:t>
      </w:r>
      <w:r>
        <w:rPr>
          <w:rFonts w:ascii="Times New Roman" w:hAnsi="Times New Roman" w:cs="Times New Roman" w:eastAsia="Times New Roman" w:hint="default"/>
        </w:rPr>
        <w:t>30.41%</w:t>
      </w:r>
      <w:r>
        <w:rPr/>
        <w:t>。 </w:t>
      </w:r>
      <w:r>
        <w:rPr>
          <w:spacing w:val="-1"/>
        </w:rPr>
        <w:t>在全体股东和员工的支持下，公司管理层认真执行董事会的各项决议，实现了</w:t>
      </w:r>
    </w:p>
    <w:p>
      <w:pPr>
        <w:pStyle w:val="BodyText"/>
        <w:spacing w:line="240" w:lineRule="auto" w:before="26"/>
        <w:ind w:right="219"/>
        <w:jc w:val="left"/>
      </w:pPr>
      <w:r>
        <w:rPr/>
        <w:t>公司制定的</w:t>
      </w:r>
      <w:r>
        <w:rPr>
          <w:rFonts w:ascii="Times New Roman" w:hAnsi="Times New Roman" w:cs="Times New Roman" w:eastAsia="Times New Roman" w:hint="default"/>
        </w:rPr>
        <w:t>2010</w:t>
      </w:r>
      <w:r>
        <w:rPr/>
        <w:t>年各项业绩目标，</w:t>
      </w:r>
      <w:r>
        <w:rPr>
          <w:rFonts w:ascii="Times New Roman" w:hAnsi="Times New Roman" w:cs="Times New Roman" w:eastAsia="Times New Roman" w:hint="default"/>
        </w:rPr>
        <w:t>2010</w:t>
      </w:r>
      <w:r>
        <w:rPr/>
        <w:t>年，公司的主要经营情况如下：</w:t>
      </w:r>
    </w:p>
    <w:p>
      <w:pPr>
        <w:spacing w:line="312" w:lineRule="auto" w:before="95"/>
        <w:ind w:left="621" w:right="932"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）、市场和营销：</w:t>
      </w:r>
      <w:r>
        <w:rPr>
          <w:rFonts w:ascii="宋体" w:hAnsi="宋体" w:cs="宋体" w:eastAsia="宋体" w:hint="default"/>
          <w:b/>
          <w:bCs/>
          <w:w w:val="99"/>
          <w:sz w:val="24"/>
          <w:szCs w:val="24"/>
        </w:rPr>
        <w:t> </w:t>
      </w:r>
      <w:r>
        <w:rPr>
          <w:rFonts w:ascii="宋体" w:hAnsi="宋体" w:cs="宋体" w:eastAsia="宋体" w:hint="default"/>
          <w:sz w:val="24"/>
          <w:szCs w:val="24"/>
        </w:rPr>
        <w:t>在市场和营销工作方面，公司奉行</w:t>
      </w:r>
      <w:r>
        <w:rPr>
          <w:rFonts w:ascii="Times New Roman" w:hAnsi="Times New Roman" w:cs="Times New Roman" w:eastAsia="Times New Roman" w:hint="default"/>
          <w:sz w:val="24"/>
          <w:szCs w:val="24"/>
        </w:rPr>
        <w:t>“</w:t>
      </w:r>
      <w:r>
        <w:rPr>
          <w:rFonts w:ascii="宋体" w:hAnsi="宋体" w:cs="宋体" w:eastAsia="宋体" w:hint="default"/>
          <w:sz w:val="24"/>
          <w:szCs w:val="24"/>
        </w:rPr>
        <w:t>新市场、新客户、新产品</w:t>
      </w:r>
      <w:r>
        <w:rPr>
          <w:rFonts w:ascii="Times New Roman" w:hAnsi="Times New Roman" w:cs="Times New Roman" w:eastAsia="Times New Roman" w:hint="default"/>
          <w:sz w:val="24"/>
          <w:szCs w:val="24"/>
        </w:rPr>
        <w:t>”</w:t>
      </w:r>
      <w:r>
        <w:rPr>
          <w:rFonts w:ascii="宋体" w:hAnsi="宋体" w:cs="宋体" w:eastAsia="宋体" w:hint="default"/>
          <w:sz w:val="24"/>
          <w:szCs w:val="24"/>
        </w:rPr>
        <w:t>的原则：</w:t>
      </w:r>
    </w:p>
    <w:p>
      <w:pPr>
        <w:pStyle w:val="BodyText"/>
        <w:spacing w:line="240" w:lineRule="auto" w:before="17"/>
        <w:ind w:right="219"/>
        <w:jc w:val="left"/>
      </w:pPr>
      <w:r>
        <w:rPr>
          <w:rFonts w:ascii="Times New Roman" w:hAnsi="Times New Roman" w:cs="Times New Roman" w:eastAsia="Times New Roman" w:hint="default"/>
        </w:rPr>
        <w:t>1</w:t>
      </w:r>
      <w:r>
        <w:rPr/>
        <w:t>）在新市场、新客户方面：</w:t>
      </w:r>
    </w:p>
    <w:p>
      <w:pPr>
        <w:pStyle w:val="BodyText"/>
        <w:spacing w:line="350" w:lineRule="auto" w:before="97"/>
        <w:ind w:right="100" w:firstLine="479"/>
        <w:jc w:val="left"/>
      </w:pPr>
      <w:r>
        <w:rPr>
          <w:rFonts w:ascii="Times New Roman" w:hAnsi="Times New Roman" w:cs="Times New Roman" w:eastAsia="Times New Roman" w:hint="default"/>
        </w:rPr>
        <w:t>2010</w:t>
      </w:r>
      <w:r>
        <w:rPr/>
        <w:t>年，公司在保证银联体系大客户市场份额稳步提高的基础上，加大商业银 </w:t>
      </w:r>
      <w:r>
        <w:rPr>
          <w:spacing w:val="-4"/>
        </w:rPr>
        <w:t>行的市场工作力度。</w:t>
      </w:r>
      <w:r>
        <w:rPr>
          <w:rFonts w:ascii="Times New Roman" w:hAnsi="Times New Roman" w:cs="Times New Roman" w:eastAsia="Times New Roman" w:hint="default"/>
          <w:spacing w:val="-4"/>
        </w:rPr>
        <w:t>2010</w:t>
      </w:r>
      <w:r>
        <w:rPr>
          <w:spacing w:val="-4"/>
        </w:rPr>
        <w:t>年公司新中标的商业银行有中国邮政储蓄银行、招商银行、</w:t>
      </w:r>
      <w:r>
        <w:rPr>
          <w:spacing w:val="-109"/>
        </w:rPr>
        <w:t> </w:t>
      </w:r>
      <w:r>
        <w:rPr>
          <w:spacing w:val="-109"/>
        </w:rPr>
      </w:r>
      <w:r>
        <w:rPr/>
        <w:t>中国银行、中国民生银行、中国光大银行、交通银行等，进一步拓宽了商业银行的</w:t>
      </w:r>
      <w:r>
        <w:rPr/>
        <w:t> 新市场，增加了新客户，有效实现了销售的开源工作。为巩固新市场的地位，公司 营销中心及时成立了银行业务部，在商业银行中标后，协助全国各销售区域的商业 银行营销工作落地。经过一年的努力，公司进一步丰富了客户类型，社会第三方收</w:t>
      </w:r>
    </w:p>
    <w:p>
      <w:pPr>
        <w:spacing w:after="0" w:line="350" w:lineRule="auto"/>
        <w:jc w:val="left"/>
        <w:sectPr>
          <w:pgSz w:w="11910" w:h="16840"/>
          <w:pgMar w:header="877" w:footer="1267" w:top="1060" w:bottom="1460" w:left="1560" w:right="1360"/>
        </w:sectPr>
      </w:pPr>
    </w:p>
    <w:p>
      <w:pPr>
        <w:pStyle w:val="BodyText"/>
        <w:spacing w:line="345" w:lineRule="auto" w:before="104"/>
        <w:ind w:right="184"/>
        <w:jc w:val="left"/>
      </w:pPr>
      <w:r>
        <w:rPr/>
        <w:t>单服务机构的销售占比稳步提高至</w:t>
      </w:r>
      <w:r>
        <w:rPr>
          <w:rFonts w:ascii="Times New Roman" w:hAnsi="Times New Roman" w:cs="Times New Roman" w:eastAsia="Times New Roman" w:hint="default"/>
        </w:rPr>
        <w:t>16.54%</w:t>
      </w:r>
      <w:r>
        <w:rPr/>
        <w:t>，商业银行客户的销售占比提升到 </w:t>
      </w:r>
      <w:r>
        <w:rPr>
          <w:rFonts w:ascii="Times New Roman" w:hAnsi="Times New Roman" w:cs="Times New Roman" w:eastAsia="Times New Roman" w:hint="default"/>
          <w:spacing w:val="-2"/>
        </w:rPr>
        <w:t>22.63%</w:t>
      </w:r>
      <w:r>
        <w:rPr>
          <w:spacing w:val="-2"/>
        </w:rPr>
        <w:t>。在海外市场方面，公司改变策略，由单一跟踪美国市场转向全球市场，在</w:t>
      </w:r>
      <w:r>
        <w:rPr>
          <w:spacing w:val="-86"/>
        </w:rPr>
        <w:t> </w:t>
      </w:r>
      <w:r>
        <w:rPr>
          <w:spacing w:val="-86"/>
        </w:rPr>
      </w:r>
      <w:r>
        <w:rPr/>
        <w:t>全球范围内收集市场信息，研究国际发卡机构技术动向，与东南亚、南亚、中东、 欧洲、美国、俄罗斯等地区和国家的客户建立了联系。</w:t>
      </w:r>
    </w:p>
    <w:p>
      <w:pPr>
        <w:pStyle w:val="BodyText"/>
        <w:spacing w:line="240" w:lineRule="auto" w:before="10"/>
        <w:ind w:right="219"/>
        <w:jc w:val="left"/>
      </w:pPr>
      <w:r>
        <w:rPr>
          <w:rFonts w:ascii="Times New Roman" w:hAnsi="Times New Roman" w:cs="Times New Roman" w:eastAsia="Times New Roman" w:hint="default"/>
        </w:rPr>
        <w:t>2</w:t>
      </w:r>
      <w:r>
        <w:rPr/>
        <w:t>）在新产品方面：</w:t>
      </w:r>
    </w:p>
    <w:p>
      <w:pPr>
        <w:pStyle w:val="BodyText"/>
        <w:spacing w:line="338" w:lineRule="auto" w:before="99"/>
        <w:ind w:right="186" w:firstLine="479"/>
        <w:jc w:val="both"/>
      </w:pPr>
      <w:r>
        <w:rPr>
          <w:rFonts w:ascii="Times New Roman" w:hAnsi="Times New Roman" w:cs="Times New Roman" w:eastAsia="Times New Roman" w:hint="default"/>
          <w:spacing w:val="-1"/>
        </w:rPr>
        <w:t>2010</w:t>
      </w:r>
      <w:r>
        <w:rPr>
          <w:spacing w:val="-1"/>
        </w:rPr>
        <w:t>年，公司在</w:t>
      </w:r>
      <w:r>
        <w:rPr>
          <w:rFonts w:ascii="Times New Roman" w:hAnsi="Times New Roman" w:cs="Times New Roman" w:eastAsia="Times New Roman" w:hint="default"/>
          <w:spacing w:val="-1"/>
        </w:rPr>
        <w:t>K301FZ</w:t>
      </w:r>
      <w:r>
        <w:rPr>
          <w:spacing w:val="-1"/>
        </w:rPr>
        <w:t>系列产品、</w:t>
      </w:r>
      <w:r>
        <w:rPr>
          <w:rFonts w:ascii="Times New Roman" w:hAnsi="Times New Roman" w:cs="Times New Roman" w:eastAsia="Times New Roman" w:hint="default"/>
          <w:spacing w:val="-1"/>
        </w:rPr>
        <w:t>K350</w:t>
      </w:r>
      <w:r>
        <w:rPr>
          <w:spacing w:val="-1"/>
        </w:rPr>
        <w:t>系列产品、</w:t>
      </w:r>
      <w:r>
        <w:rPr>
          <w:rFonts w:ascii="Times New Roman" w:hAnsi="Times New Roman" w:cs="Times New Roman" w:eastAsia="Times New Roman" w:hint="default"/>
          <w:spacing w:val="-1"/>
        </w:rPr>
        <w:t>K360</w:t>
      </w:r>
      <w:r>
        <w:rPr>
          <w:spacing w:val="-1"/>
        </w:rPr>
        <w:t>系列产品、</w:t>
      </w:r>
      <w:r>
        <w:rPr>
          <w:rFonts w:ascii="Times New Roman" w:hAnsi="Times New Roman" w:cs="Times New Roman" w:eastAsia="Times New Roman" w:hint="default"/>
          <w:spacing w:val="-1"/>
        </w:rPr>
        <w:t>K370</w:t>
      </w:r>
      <w:r>
        <w:rPr>
          <w:spacing w:val="-1"/>
        </w:rPr>
        <w:t>系列</w:t>
      </w:r>
      <w:r>
        <w:rPr/>
        <w:t> 产品的销售基础上，抓住商业银行大力推广电话</w:t>
      </w:r>
      <w:r>
        <w:rPr>
          <w:rFonts w:ascii="Times New Roman" w:hAnsi="Times New Roman" w:cs="Times New Roman" w:eastAsia="Times New Roman" w:hint="default"/>
        </w:rPr>
        <w:t>POS</w:t>
      </w:r>
      <w:r>
        <w:rPr/>
        <w:t>机的市场机遇，主推新产品热 敏打印电话</w:t>
      </w:r>
      <w:r>
        <w:rPr>
          <w:rFonts w:ascii="Times New Roman" w:hAnsi="Times New Roman" w:cs="Times New Roman" w:eastAsia="Times New Roman" w:hint="default"/>
        </w:rPr>
        <w:t>POS</w:t>
      </w:r>
      <w:r>
        <w:rPr/>
        <w:t>机</w:t>
      </w:r>
      <w:r>
        <w:rPr>
          <w:rFonts w:ascii="Times New Roman" w:hAnsi="Times New Roman" w:cs="Times New Roman" w:eastAsia="Times New Roman" w:hint="default"/>
        </w:rPr>
        <w:t>K501A</w:t>
      </w:r>
      <w:r>
        <w:rPr/>
        <w:t>，在中国邮政储蓄银行、中国银行、光大银行以及第三方 收单服务机构实现了批量出机。此外，公司的高端产品</w:t>
      </w:r>
      <w:r>
        <w:rPr>
          <w:rFonts w:ascii="Times New Roman" w:hAnsi="Times New Roman" w:cs="Times New Roman" w:eastAsia="Times New Roman" w:hint="default"/>
        </w:rPr>
        <w:t>K390</w:t>
      </w:r>
      <w:r>
        <w:rPr/>
        <w:t>自助式金融</w:t>
      </w:r>
      <w:r>
        <w:rPr>
          <w:rFonts w:ascii="Times New Roman" w:hAnsi="Times New Roman" w:cs="Times New Roman" w:eastAsia="Times New Roman" w:hint="default"/>
        </w:rPr>
        <w:t>POS</w:t>
      </w:r>
      <w:r>
        <w:rPr/>
        <w:t>终端， 在</w:t>
      </w:r>
      <w:r>
        <w:rPr>
          <w:rFonts w:ascii="Times New Roman" w:hAnsi="Times New Roman" w:cs="Times New Roman" w:eastAsia="Times New Roman" w:hint="default"/>
        </w:rPr>
        <w:t>2010</w:t>
      </w:r>
      <w:r>
        <w:rPr/>
        <w:t>年成功向市场推广，获得银联商务的采购订单。</w:t>
      </w:r>
    </w:p>
    <w:p>
      <w:pPr>
        <w:pStyle w:val="BodyText"/>
        <w:spacing w:line="312" w:lineRule="auto"/>
        <w:ind w:left="621" w:right="221" w:hanging="480"/>
        <w:jc w:val="left"/>
      </w:pPr>
      <w:r>
        <w:rPr>
          <w:rFonts w:ascii="Times New Roman" w:hAnsi="Times New Roman" w:cs="Times New Roman" w:eastAsia="Times New Roman" w:hint="default"/>
        </w:rPr>
        <w:t>3</w:t>
      </w:r>
      <w:r>
        <w:rPr/>
        <w:t>）市场和营销体系管理： </w:t>
      </w:r>
      <w:r>
        <w:rPr>
          <w:spacing w:val="-1"/>
        </w:rPr>
        <w:t>在公司市场和营销工作取得全面进展的同时，公司在</w:t>
      </w:r>
      <w:r>
        <w:rPr>
          <w:rFonts w:ascii="Times New Roman" w:hAnsi="Times New Roman" w:cs="Times New Roman" w:eastAsia="Times New Roman" w:hint="default"/>
          <w:spacing w:val="-1"/>
        </w:rPr>
        <w:t>2010</w:t>
      </w:r>
      <w:r>
        <w:rPr>
          <w:spacing w:val="-1"/>
        </w:rPr>
        <w:t>年加强了市场和营销</w:t>
      </w:r>
    </w:p>
    <w:p>
      <w:pPr>
        <w:pStyle w:val="BodyText"/>
        <w:spacing w:line="345" w:lineRule="auto" w:before="56"/>
        <w:ind w:right="224"/>
        <w:jc w:val="both"/>
      </w:pPr>
      <w:r>
        <w:rPr>
          <w:spacing w:val="-1"/>
        </w:rPr>
        <w:t>体系的管理工作。在公司深圳总部成立营销中心本部，负责全国营销体系与公司各</w:t>
      </w:r>
      <w:r>
        <w:rPr>
          <w:spacing w:val="-109"/>
        </w:rPr>
        <w:t> </w:t>
      </w:r>
      <w:r>
        <w:rPr>
          <w:spacing w:val="-109"/>
        </w:rPr>
      </w:r>
      <w:r>
        <w:rPr>
          <w:spacing w:val="-1"/>
        </w:rPr>
        <w:t>部门资源的协调、对接工作，有效促进了</w:t>
      </w:r>
      <w:r>
        <w:rPr>
          <w:rFonts w:ascii="Times New Roman" w:hAnsi="Times New Roman" w:cs="Times New Roman" w:eastAsia="Times New Roman" w:hint="default"/>
          <w:spacing w:val="-1"/>
        </w:rPr>
        <w:t>2010</w:t>
      </w:r>
      <w:r>
        <w:rPr>
          <w:spacing w:val="-1"/>
        </w:rPr>
        <w:t>年度营销目标的达成。此外，公司在</w:t>
      </w:r>
      <w:r>
        <w:rPr>
          <w:spacing w:val="-105"/>
        </w:rPr>
        <w:t> </w:t>
      </w:r>
      <w:r>
        <w:rPr>
          <w:spacing w:val="-105"/>
        </w:rPr>
      </w:r>
      <w:r>
        <w:rPr>
          <w:spacing w:val="-2"/>
        </w:rPr>
        <w:t>市场和营销体系全面推行费用预算和控制工作，在主营业务收入增长</w:t>
      </w:r>
      <w:r>
        <w:rPr>
          <w:rFonts w:ascii="Times New Roman" w:hAnsi="Times New Roman" w:cs="Times New Roman" w:eastAsia="Times New Roman" w:hint="default"/>
          <w:spacing w:val="-2"/>
        </w:rPr>
        <w:t>49.23%</w:t>
      </w:r>
      <w:r>
        <w:rPr>
          <w:spacing w:val="-2"/>
        </w:rPr>
        <w:t>的背景</w:t>
      </w:r>
      <w:r>
        <w:rPr>
          <w:spacing w:val="-86"/>
        </w:rPr>
        <w:t> </w:t>
      </w:r>
      <w:r>
        <w:rPr/>
        <w:t>下，公司营销费用为</w:t>
      </w:r>
      <w:r>
        <w:rPr>
          <w:rFonts w:ascii="Times New Roman" w:hAnsi="Times New Roman" w:cs="Times New Roman" w:eastAsia="Times New Roman" w:hint="default"/>
        </w:rPr>
        <w:t>3,052.86</w:t>
      </w:r>
      <w:r>
        <w:rPr/>
        <w:t>万元，占主营业务收入的比例同比下降</w:t>
      </w:r>
      <w:r>
        <w:rPr>
          <w:rFonts w:ascii="Times New Roman" w:hAnsi="Times New Roman" w:cs="Times New Roman" w:eastAsia="Times New Roman" w:hint="default"/>
        </w:rPr>
        <w:t>1.02%</w:t>
      </w:r>
      <w:r>
        <w:rPr/>
        <w:t>。</w:t>
      </w:r>
    </w:p>
    <w:p>
      <w:pPr>
        <w:spacing w:line="364" w:lineRule="auto" w:before="59"/>
        <w:ind w:left="621" w:right="225"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）、产品和技术研发</w:t>
      </w:r>
      <w:r>
        <w:rPr>
          <w:rFonts w:ascii="宋体" w:hAnsi="宋体" w:cs="宋体" w:eastAsia="宋体" w:hint="default"/>
          <w:b/>
          <w:bCs/>
          <w:w w:val="99"/>
          <w:sz w:val="24"/>
          <w:szCs w:val="24"/>
        </w:rPr>
        <w:t> </w:t>
      </w:r>
      <w:r>
        <w:rPr>
          <w:rFonts w:ascii="宋体" w:hAnsi="宋体" w:cs="宋体" w:eastAsia="宋体" w:hint="default"/>
          <w:sz w:val="24"/>
          <w:szCs w:val="24"/>
        </w:rPr>
        <w:t>由于金融</w:t>
      </w:r>
      <w:r>
        <w:rPr>
          <w:rFonts w:ascii="Times New Roman" w:hAnsi="Times New Roman" w:cs="Times New Roman" w:eastAsia="Times New Roman" w:hint="default"/>
          <w:sz w:val="24"/>
          <w:szCs w:val="24"/>
        </w:rPr>
        <w:t>POS</w:t>
      </w:r>
      <w:r>
        <w:rPr>
          <w:rFonts w:ascii="宋体" w:hAnsi="宋体" w:cs="宋体" w:eastAsia="宋体" w:hint="default"/>
          <w:sz w:val="24"/>
          <w:szCs w:val="24"/>
        </w:rPr>
        <w:t>机涉及国家金融安全，为了进一步提升国内银行卡受理终端设备</w:t>
      </w:r>
    </w:p>
    <w:p>
      <w:pPr>
        <w:pStyle w:val="BodyText"/>
        <w:spacing w:line="338" w:lineRule="auto"/>
        <w:ind w:right="100"/>
        <w:jc w:val="left"/>
      </w:pPr>
      <w:r>
        <w:rPr/>
        <w:t>的安全性，</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月，中国银联启动了</w:t>
      </w:r>
      <w:r>
        <w:rPr>
          <w:rFonts w:ascii="Times New Roman" w:hAnsi="Times New Roman" w:cs="Times New Roman" w:eastAsia="Times New Roman" w:hint="default"/>
        </w:rPr>
        <w:t>“</w:t>
      </w:r>
      <w:r>
        <w:rPr/>
        <w:t>银联卡受理终端</w:t>
      </w:r>
      <w:r>
        <w:rPr>
          <w:rFonts w:ascii="Times New Roman" w:hAnsi="Times New Roman" w:cs="Times New Roman" w:eastAsia="Times New Roman" w:hint="default"/>
        </w:rPr>
        <w:t>PIN</w:t>
      </w:r>
      <w:r>
        <w:rPr/>
        <w:t>输入设备及银联卡受 </w:t>
      </w:r>
      <w:r>
        <w:rPr>
          <w:spacing w:val="-1"/>
        </w:rPr>
        <w:t>理信息系统</w:t>
      </w:r>
      <w:r>
        <w:rPr>
          <w:rFonts w:ascii="Times New Roman" w:hAnsi="Times New Roman" w:cs="Times New Roman" w:eastAsia="Times New Roman" w:hint="default"/>
          <w:spacing w:val="-1"/>
        </w:rPr>
        <w:t>(MIS)</w:t>
      </w:r>
      <w:r>
        <w:rPr>
          <w:spacing w:val="-1"/>
        </w:rPr>
        <w:t>安全认证工作</w:t>
      </w:r>
      <w:r>
        <w:rPr>
          <w:rFonts w:ascii="Times New Roman" w:hAnsi="Times New Roman" w:cs="Times New Roman" w:eastAsia="Times New Roman" w:hint="default"/>
          <w:spacing w:val="-1"/>
        </w:rPr>
        <w:t>”</w:t>
      </w:r>
      <w:r>
        <w:rPr>
          <w:spacing w:val="-1"/>
        </w:rPr>
        <w:t>，推出了全新的银行卡受理终端</w:t>
      </w:r>
      <w:r>
        <w:rPr>
          <w:rFonts w:ascii="Times New Roman" w:hAnsi="Times New Roman" w:cs="Times New Roman" w:eastAsia="Times New Roman" w:hint="default"/>
          <w:spacing w:val="-1"/>
        </w:rPr>
        <w:t>PIN</w:t>
      </w:r>
      <w:r>
        <w:rPr>
          <w:spacing w:val="-1"/>
        </w:rPr>
        <w:t>安全认证标准，</w:t>
      </w:r>
      <w:r>
        <w:rPr>
          <w:spacing w:val="-106"/>
        </w:rPr>
        <w:t> </w:t>
      </w:r>
      <w:r>
        <w:rPr/>
        <w:t>该标准被称为</w:t>
      </w:r>
      <w:r>
        <w:rPr>
          <w:rFonts w:ascii="Times New Roman" w:hAnsi="Times New Roman" w:cs="Times New Roman" w:eastAsia="Times New Roman" w:hint="default"/>
        </w:rPr>
        <w:t>“</w:t>
      </w:r>
      <w:r>
        <w:rPr/>
        <w:t>中国的</w:t>
      </w:r>
      <w:r>
        <w:rPr>
          <w:rFonts w:ascii="Times New Roman" w:hAnsi="Times New Roman" w:cs="Times New Roman" w:eastAsia="Times New Roman" w:hint="default"/>
        </w:rPr>
        <w:t>PCI</w:t>
      </w:r>
      <w:r>
        <w:rPr/>
        <w:t>认证标准</w:t>
      </w:r>
      <w:r>
        <w:rPr>
          <w:rFonts w:ascii="Times New Roman" w:hAnsi="Times New Roman" w:cs="Times New Roman" w:eastAsia="Times New Roman" w:hint="default"/>
        </w:rPr>
        <w:t>”</w:t>
      </w:r>
      <w:r>
        <w:rPr/>
        <w:t>，是国内目前最严格的安全认证标准，公司已 经启动相关产品的</w:t>
      </w:r>
      <w:r>
        <w:rPr>
          <w:rFonts w:ascii="Times New Roman" w:hAnsi="Times New Roman" w:cs="Times New Roman" w:eastAsia="Times New Roman" w:hint="default"/>
        </w:rPr>
        <w:t>PIN</w:t>
      </w:r>
      <w:r>
        <w:rPr/>
        <w:t>安全认证工作。</w:t>
      </w:r>
    </w:p>
    <w:p>
      <w:pPr>
        <w:pStyle w:val="BodyText"/>
        <w:spacing w:line="343" w:lineRule="auto" w:before="68"/>
        <w:ind w:right="223" w:firstLine="479"/>
        <w:jc w:val="both"/>
      </w:pPr>
      <w:r>
        <w:rPr/>
        <w:t>围绕卡技术尤其是银行卡技术的发展，公司专注经营的金融</w:t>
      </w:r>
      <w:r>
        <w:rPr>
          <w:rFonts w:ascii="Times New Roman" w:hAnsi="Times New Roman" w:cs="Times New Roman" w:eastAsia="Times New Roman" w:hint="default"/>
        </w:rPr>
        <w:t>POS</w:t>
      </w:r>
      <w:r>
        <w:rPr/>
        <w:t>机作为支付卡 </w:t>
      </w:r>
      <w:r>
        <w:rPr>
          <w:spacing w:val="-1"/>
        </w:rPr>
        <w:t>的受理终端设备，其技术发展与卡技术的发展息息相关。人们对支付的安全性、便</w:t>
      </w:r>
      <w:r>
        <w:rPr>
          <w:spacing w:val="-108"/>
        </w:rPr>
        <w:t> </w:t>
      </w:r>
      <w:r>
        <w:rPr>
          <w:spacing w:val="-108"/>
        </w:rPr>
      </w:r>
      <w:r>
        <w:rPr>
          <w:spacing w:val="-1"/>
        </w:rPr>
        <w:t>捷性的追求是无止境的，而现有支付方式或多或少在安全性、便捷性方面都存在一</w:t>
      </w:r>
      <w:r>
        <w:rPr>
          <w:spacing w:val="-108"/>
        </w:rPr>
        <w:t> </w:t>
      </w:r>
      <w:r>
        <w:rPr>
          <w:spacing w:val="-108"/>
        </w:rPr>
      </w:r>
      <w:r>
        <w:rPr/>
        <w:t>定的局限性。目前，国内金融</w:t>
      </w:r>
      <w:r>
        <w:rPr>
          <w:rFonts w:ascii="Times New Roman" w:hAnsi="Times New Roman" w:cs="Times New Roman" w:eastAsia="Times New Roman" w:hint="default"/>
        </w:rPr>
        <w:t>POS</w:t>
      </w:r>
      <w:r>
        <w:rPr/>
        <w:t>机可受理磁条银行卡、接触式银行</w:t>
      </w:r>
      <w:r>
        <w:rPr>
          <w:rFonts w:ascii="Times New Roman" w:hAnsi="Times New Roman" w:cs="Times New Roman" w:eastAsia="Times New Roman" w:hint="default"/>
        </w:rPr>
        <w:t>IC</w:t>
      </w:r>
      <w:r>
        <w:rPr/>
        <w:t>卡、非接触 式金融</w:t>
      </w:r>
      <w:r>
        <w:rPr>
          <w:rFonts w:ascii="Times New Roman" w:hAnsi="Times New Roman" w:cs="Times New Roman" w:eastAsia="Times New Roman" w:hint="default"/>
        </w:rPr>
        <w:t>IC</w:t>
      </w:r>
      <w:r>
        <w:rPr/>
        <w:t>卡、各种用于购买公共服务的非接触式频射卡、</w:t>
      </w:r>
      <w:r>
        <w:rPr>
          <w:rFonts w:ascii="Times New Roman" w:hAnsi="Times New Roman" w:cs="Times New Roman" w:eastAsia="Times New Roman" w:hint="default"/>
        </w:rPr>
        <w:t>NFC</w:t>
      </w:r>
      <w:r>
        <w:rPr/>
        <w:t>手机</w:t>
      </w:r>
      <w:r>
        <w:rPr>
          <w:rFonts w:ascii="Times New Roman" w:hAnsi="Times New Roman" w:cs="Times New Roman" w:eastAsia="Times New Roman" w:hint="default"/>
        </w:rPr>
        <w:t>SIM</w:t>
      </w:r>
      <w:r>
        <w:rPr/>
        <w:t>卡等。随着 卡技术的不断发展，以金融</w:t>
      </w:r>
      <w:r>
        <w:rPr>
          <w:rFonts w:ascii="Times New Roman" w:hAnsi="Times New Roman" w:cs="Times New Roman" w:eastAsia="Times New Roman" w:hint="default"/>
        </w:rPr>
        <w:t>POS</w:t>
      </w:r>
      <w:r>
        <w:rPr/>
        <w:t>机为载体的支付受理技术和服务也必须不断进步， 进而推动金融</w:t>
      </w:r>
      <w:r>
        <w:rPr>
          <w:rFonts w:ascii="Times New Roman" w:hAnsi="Times New Roman" w:cs="Times New Roman" w:eastAsia="Times New Roman" w:hint="default"/>
        </w:rPr>
        <w:t>POS</w:t>
      </w:r>
      <w:r>
        <w:rPr/>
        <w:t>机设备的不断升级换代，使得各种增值应用开发和实施更加复杂 </w:t>
      </w:r>
      <w:r>
        <w:rPr>
          <w:spacing w:val="-1"/>
        </w:rPr>
        <w:t>化、个性化。公司正是出于对支付的安全性和便捷性考虑，储备以银行卡支付技术</w:t>
      </w:r>
    </w:p>
    <w:p>
      <w:pPr>
        <w:spacing w:after="0" w:line="343" w:lineRule="auto"/>
        <w:jc w:val="both"/>
        <w:sectPr>
          <w:footerReference w:type="default" r:id="rId14"/>
          <w:pgSz w:w="11910" w:h="16840"/>
          <w:pgMar w:footer="1267" w:header="877" w:top="1060" w:bottom="1460" w:left="1560" w:right="1360"/>
          <w:pgNumType w:start="7"/>
        </w:sectPr>
      </w:pPr>
    </w:p>
    <w:p>
      <w:pPr>
        <w:pStyle w:val="BodyText"/>
        <w:spacing w:line="357" w:lineRule="auto" w:before="104"/>
        <w:ind w:right="106"/>
        <w:jc w:val="both"/>
      </w:pPr>
      <w:r>
        <w:rPr/>
        <w:t>为主，兼顾小额支付、手机支付等新的支付市场动向，不断开发更高安全需求、更 人性化操作、使用更便捷、交易更迅速的产品和技术，并将此技术积累向以电信运 </w:t>
      </w:r>
      <w:r>
        <w:rPr>
          <w:spacing w:val="-4"/>
        </w:rPr>
        <w:t>营商、社会第三方收单服务机构、公交卡运营机构等为代表的非金融行业进行推广。</w:t>
      </w:r>
    </w:p>
    <w:p>
      <w:pPr>
        <w:pStyle w:val="BodyText"/>
        <w:spacing w:line="338" w:lineRule="auto" w:before="77"/>
        <w:ind w:right="222" w:firstLine="479"/>
        <w:jc w:val="both"/>
      </w:pPr>
      <w:r>
        <w:rPr>
          <w:rFonts w:ascii="Times New Roman" w:hAnsi="Times New Roman" w:cs="Times New Roman" w:eastAsia="Times New Roman" w:hint="default"/>
          <w:spacing w:val="-1"/>
        </w:rPr>
        <w:t>2010</w:t>
      </w:r>
      <w:r>
        <w:rPr>
          <w:spacing w:val="-1"/>
        </w:rPr>
        <w:t>年，公司在拥有以一体热敏打印</w:t>
      </w:r>
      <w:r>
        <w:rPr>
          <w:rFonts w:ascii="Times New Roman" w:hAnsi="Times New Roman" w:cs="Times New Roman" w:eastAsia="Times New Roman" w:hint="default"/>
          <w:spacing w:val="-1"/>
        </w:rPr>
        <w:t>POS</w:t>
      </w:r>
      <w:r>
        <w:rPr>
          <w:spacing w:val="-1"/>
        </w:rPr>
        <w:t>机</w:t>
      </w:r>
      <w:r>
        <w:rPr>
          <w:rFonts w:ascii="Times New Roman" w:hAnsi="Times New Roman" w:cs="Times New Roman" w:eastAsia="Times New Roman" w:hint="default"/>
          <w:spacing w:val="-1"/>
        </w:rPr>
        <w:t>K301FZ</w:t>
      </w:r>
      <w:r>
        <w:rPr>
          <w:spacing w:val="-1"/>
        </w:rPr>
        <w:t>系列、一体针式打印</w:t>
      </w:r>
      <w:r>
        <w:rPr>
          <w:rFonts w:ascii="Times New Roman" w:hAnsi="Times New Roman" w:cs="Times New Roman" w:eastAsia="Times New Roman" w:hint="default"/>
          <w:spacing w:val="-1"/>
        </w:rPr>
        <w:t>POS</w:t>
      </w:r>
      <w:r>
        <w:rPr>
          <w:spacing w:val="-1"/>
        </w:rPr>
        <w:t>机</w:t>
      </w:r>
      <w:r>
        <w:rPr/>
        <w:t> </w:t>
      </w:r>
      <w:r>
        <w:rPr>
          <w:rFonts w:ascii="Times New Roman" w:hAnsi="Times New Roman" w:cs="Times New Roman" w:eastAsia="Times New Roman" w:hint="default"/>
          <w:spacing w:val="-3"/>
        </w:rPr>
        <w:t>K350</w:t>
      </w:r>
      <w:r>
        <w:rPr>
          <w:spacing w:val="-3"/>
        </w:rPr>
        <w:t>系列、彩色分体针式打印</w:t>
      </w:r>
      <w:r>
        <w:rPr>
          <w:rFonts w:ascii="Times New Roman" w:hAnsi="Times New Roman" w:cs="Times New Roman" w:eastAsia="Times New Roman" w:hint="default"/>
          <w:spacing w:val="-3"/>
        </w:rPr>
        <w:t>POS</w:t>
      </w:r>
      <w:r>
        <w:rPr>
          <w:spacing w:val="-3"/>
        </w:rPr>
        <w:t>机</w:t>
      </w:r>
      <w:r>
        <w:rPr>
          <w:rFonts w:ascii="Times New Roman" w:hAnsi="Times New Roman" w:cs="Times New Roman" w:eastAsia="Times New Roman" w:hint="default"/>
          <w:spacing w:val="-3"/>
        </w:rPr>
        <w:t>K360</w:t>
      </w:r>
      <w:r>
        <w:rPr>
          <w:spacing w:val="-3"/>
        </w:rPr>
        <w:t>系列、无线移动热敏打印</w:t>
      </w:r>
      <w:r>
        <w:rPr>
          <w:rFonts w:ascii="Times New Roman" w:hAnsi="Times New Roman" w:cs="Times New Roman" w:eastAsia="Times New Roman" w:hint="default"/>
          <w:spacing w:val="-3"/>
        </w:rPr>
        <w:t>POS</w:t>
      </w:r>
      <w:r>
        <w:rPr>
          <w:spacing w:val="-3"/>
        </w:rPr>
        <w:t>机</w:t>
      </w:r>
      <w:r>
        <w:rPr>
          <w:rFonts w:ascii="Times New Roman" w:hAnsi="Times New Roman" w:cs="Times New Roman" w:eastAsia="Times New Roman" w:hint="default"/>
          <w:spacing w:val="-3"/>
        </w:rPr>
        <w:t>K370</w:t>
      </w:r>
      <w:r>
        <w:rPr>
          <w:spacing w:val="-3"/>
        </w:rPr>
        <w:t>、台</w:t>
      </w:r>
      <w:r>
        <w:rPr>
          <w:spacing w:val="-95"/>
        </w:rPr>
        <w:t> </w:t>
      </w:r>
      <w:r>
        <w:rPr>
          <w:spacing w:val="-95"/>
        </w:rPr>
      </w:r>
      <w:r>
        <w:rPr>
          <w:spacing w:val="-1"/>
        </w:rPr>
        <w:t>式热敏高档彩屏</w:t>
      </w:r>
      <w:r>
        <w:rPr>
          <w:rFonts w:ascii="Times New Roman" w:hAnsi="Times New Roman" w:cs="Times New Roman" w:eastAsia="Times New Roman" w:hint="default"/>
          <w:spacing w:val="-1"/>
        </w:rPr>
        <w:t>POS</w:t>
      </w:r>
      <w:r>
        <w:rPr>
          <w:spacing w:val="-1"/>
        </w:rPr>
        <w:t>机</w:t>
      </w:r>
      <w:r>
        <w:rPr>
          <w:rFonts w:ascii="Times New Roman" w:hAnsi="Times New Roman" w:cs="Times New Roman" w:eastAsia="Times New Roman" w:hint="default"/>
          <w:spacing w:val="-1"/>
        </w:rPr>
        <w:t>K390</w:t>
      </w:r>
      <w:r>
        <w:rPr>
          <w:spacing w:val="-1"/>
        </w:rPr>
        <w:t>系列、电话</w:t>
      </w:r>
      <w:r>
        <w:rPr>
          <w:rFonts w:ascii="Times New Roman" w:hAnsi="Times New Roman" w:cs="Times New Roman" w:eastAsia="Times New Roman" w:hint="default"/>
          <w:spacing w:val="-1"/>
        </w:rPr>
        <w:t>POS</w:t>
      </w:r>
      <w:r>
        <w:rPr>
          <w:spacing w:val="-1"/>
        </w:rPr>
        <w:t>机</w:t>
      </w:r>
      <w:r>
        <w:rPr>
          <w:rFonts w:ascii="Times New Roman" w:hAnsi="Times New Roman" w:cs="Times New Roman" w:eastAsia="Times New Roman" w:hint="default"/>
          <w:spacing w:val="-1"/>
        </w:rPr>
        <w:t>K501/K501A</w:t>
      </w:r>
      <w:r>
        <w:rPr>
          <w:spacing w:val="-1"/>
        </w:rPr>
        <w:t>系列、密码键盘</w:t>
      </w:r>
      <w:r>
        <w:rPr>
          <w:rFonts w:ascii="Times New Roman" w:hAnsi="Times New Roman" w:cs="Times New Roman" w:eastAsia="Times New Roman" w:hint="default"/>
          <w:spacing w:val="-1"/>
        </w:rPr>
        <w:t>K3306</w:t>
      </w:r>
      <w:r>
        <w:rPr>
          <w:spacing w:val="-1"/>
        </w:rPr>
        <w:t>系</w:t>
      </w:r>
      <w:r>
        <w:rPr>
          <w:spacing w:val="-116"/>
        </w:rPr>
        <w:t> </w:t>
      </w:r>
      <w:r>
        <w:rPr/>
        <w:t>列产品的基础上，延续</w:t>
      </w:r>
      <w:r>
        <w:rPr>
          <w:rFonts w:ascii="Times New Roman" w:hAnsi="Times New Roman" w:cs="Times New Roman" w:eastAsia="Times New Roman" w:hint="default"/>
        </w:rPr>
        <w:t>“</w:t>
      </w:r>
      <w:r>
        <w:rPr/>
        <w:t>人性、安全、便捷、速度</w:t>
      </w:r>
      <w:r>
        <w:rPr>
          <w:rFonts w:ascii="Times New Roman" w:hAnsi="Times New Roman" w:cs="Times New Roman" w:eastAsia="Times New Roman" w:hint="default"/>
        </w:rPr>
        <w:t>”</w:t>
      </w:r>
      <w:r>
        <w:rPr/>
        <w:t>的研发理念，新研发推出了台式 热敏</w:t>
      </w:r>
      <w:r>
        <w:rPr>
          <w:rFonts w:ascii="Times New Roman" w:hAnsi="Times New Roman" w:cs="Times New Roman" w:eastAsia="Times New Roman" w:hint="default"/>
        </w:rPr>
        <w:t>POS</w:t>
      </w:r>
      <w:r>
        <w:rPr/>
        <w:t>机</w:t>
      </w:r>
      <w:r>
        <w:rPr>
          <w:rFonts w:ascii="Times New Roman" w:hAnsi="Times New Roman" w:cs="Times New Roman" w:eastAsia="Times New Roman" w:hint="default"/>
        </w:rPr>
        <w:t>K320</w:t>
      </w:r>
      <w:r>
        <w:rPr/>
        <w:t>系列、非接卡读卡器</w:t>
      </w:r>
      <w:r>
        <w:rPr>
          <w:rFonts w:ascii="Times New Roman" w:hAnsi="Times New Roman" w:cs="Times New Roman" w:eastAsia="Times New Roman" w:hint="default"/>
        </w:rPr>
        <w:t>K3102</w:t>
      </w:r>
      <w:r>
        <w:rPr/>
        <w:t>系列、带有非接卡读卡功能的密码键盘 </w:t>
      </w:r>
      <w:r>
        <w:rPr>
          <w:rFonts w:ascii="Times New Roman" w:hAnsi="Times New Roman" w:cs="Times New Roman" w:eastAsia="Times New Roman" w:hint="default"/>
          <w:spacing w:val="-3"/>
        </w:rPr>
        <w:t>G101</w:t>
      </w:r>
      <w:r>
        <w:rPr>
          <w:spacing w:val="-3"/>
        </w:rPr>
        <w:t>系列产品。随着电子信息技术的发展，公司研发的新产品紧跟国内电子支付技</w:t>
      </w:r>
      <w:r>
        <w:rPr>
          <w:spacing w:val="-84"/>
        </w:rPr>
        <w:t> </w:t>
      </w:r>
      <w:r>
        <w:rPr>
          <w:spacing w:val="-84"/>
        </w:rPr>
      </w:r>
      <w:r>
        <w:rPr>
          <w:spacing w:val="-1"/>
        </w:rPr>
        <w:t>术的发展应用，在金融</w:t>
      </w:r>
      <w:r>
        <w:rPr>
          <w:rFonts w:ascii="Times New Roman" w:hAnsi="Times New Roman" w:cs="Times New Roman" w:eastAsia="Times New Roman" w:hint="default"/>
          <w:spacing w:val="-1"/>
        </w:rPr>
        <w:t>POS</w:t>
      </w:r>
      <w:r>
        <w:rPr>
          <w:spacing w:val="-1"/>
        </w:rPr>
        <w:t>机上植入非接触式</w:t>
      </w:r>
      <w:r>
        <w:rPr>
          <w:rFonts w:ascii="Times New Roman" w:hAnsi="Times New Roman" w:cs="Times New Roman" w:eastAsia="Times New Roman" w:hint="default"/>
          <w:spacing w:val="-1"/>
        </w:rPr>
        <w:t>IC</w:t>
      </w:r>
      <w:r>
        <w:rPr>
          <w:spacing w:val="-1"/>
        </w:rPr>
        <w:t>卡读卡技术、兼容</w:t>
      </w:r>
      <w:r>
        <w:rPr>
          <w:rFonts w:ascii="Times New Roman" w:hAnsi="Times New Roman" w:cs="Times New Roman" w:eastAsia="Times New Roman" w:hint="default"/>
          <w:spacing w:val="-1"/>
        </w:rPr>
        <w:t>2.4G</w:t>
      </w:r>
      <w:r>
        <w:rPr>
          <w:spacing w:val="-1"/>
        </w:rPr>
        <w:t>和</w:t>
      </w:r>
      <w:r>
        <w:rPr>
          <w:rFonts w:ascii="Times New Roman" w:hAnsi="Times New Roman" w:cs="Times New Roman" w:eastAsia="Times New Roman" w:hint="default"/>
          <w:spacing w:val="-1"/>
        </w:rPr>
        <w:t>13.56M</w:t>
      </w:r>
      <w:r>
        <w:rPr>
          <w:spacing w:val="-1"/>
        </w:rPr>
        <w:t>手</w:t>
      </w:r>
      <w:r>
        <w:rPr>
          <w:spacing w:val="-90"/>
        </w:rPr>
        <w:t> </w:t>
      </w:r>
      <w:r>
        <w:rPr/>
        <w:t>机</w:t>
      </w:r>
      <w:r>
        <w:rPr>
          <w:rFonts w:ascii="Times New Roman" w:hAnsi="Times New Roman" w:cs="Times New Roman" w:eastAsia="Times New Roman" w:hint="default"/>
        </w:rPr>
        <w:t>SIM</w:t>
      </w:r>
      <w:r>
        <w:rPr/>
        <w:t>卡受理技术和指纹支付识别技术。此外，结合海外客户的需求，公司在现有 </w:t>
      </w:r>
      <w:r>
        <w:rPr>
          <w:spacing w:val="-1"/>
        </w:rPr>
        <w:t>无线移动支付受理产品</w:t>
      </w:r>
      <w:r>
        <w:rPr>
          <w:rFonts w:ascii="Times New Roman" w:hAnsi="Times New Roman" w:cs="Times New Roman" w:eastAsia="Times New Roman" w:hint="default"/>
          <w:spacing w:val="-1"/>
        </w:rPr>
        <w:t>K370</w:t>
      </w:r>
      <w:r>
        <w:rPr>
          <w:spacing w:val="-1"/>
        </w:rPr>
        <w:t>的产品方案基础上，进一步改良了无线移动</w:t>
      </w:r>
      <w:r>
        <w:rPr>
          <w:rFonts w:ascii="Times New Roman" w:hAnsi="Times New Roman" w:cs="Times New Roman" w:eastAsia="Times New Roman" w:hint="default"/>
          <w:spacing w:val="-1"/>
        </w:rPr>
        <w:t>POS</w:t>
      </w:r>
      <w:r>
        <w:rPr>
          <w:spacing w:val="-1"/>
        </w:rPr>
        <w:t>机的稳</w:t>
      </w:r>
      <w:r>
        <w:rPr/>
        <w:t> 定性能。</w:t>
      </w:r>
    </w:p>
    <w:p>
      <w:pPr>
        <w:pStyle w:val="BodyText"/>
        <w:spacing w:line="352" w:lineRule="auto" w:before="96"/>
        <w:ind w:right="202" w:firstLine="479"/>
        <w:jc w:val="both"/>
      </w:pPr>
      <w:r>
        <w:rPr/>
        <w:t>为配合公司</w:t>
      </w:r>
      <w:r>
        <w:rPr>
          <w:rFonts w:ascii="Times New Roman" w:hAnsi="Times New Roman" w:cs="Times New Roman" w:eastAsia="Times New Roman" w:hint="default"/>
        </w:rPr>
        <w:t>2009</w:t>
      </w:r>
      <w:r>
        <w:rPr/>
        <w:t>年提出的</w:t>
      </w:r>
      <w:r>
        <w:rPr>
          <w:rFonts w:ascii="Times New Roman" w:hAnsi="Times New Roman" w:cs="Times New Roman" w:eastAsia="Times New Roman" w:hint="default"/>
        </w:rPr>
        <w:t>“</w:t>
      </w:r>
      <w:r>
        <w:rPr/>
        <w:t>标准化、模块化研发</w:t>
      </w:r>
      <w:r>
        <w:rPr>
          <w:rFonts w:ascii="Times New Roman" w:hAnsi="Times New Roman" w:cs="Times New Roman" w:eastAsia="Times New Roman" w:hint="default"/>
        </w:rPr>
        <w:t>”</w:t>
      </w:r>
      <w:r>
        <w:rPr/>
        <w:t>的思路，经过</w:t>
      </w:r>
      <w:r>
        <w:rPr>
          <w:rFonts w:ascii="Times New Roman" w:hAnsi="Times New Roman" w:cs="Times New Roman" w:eastAsia="Times New Roman" w:hint="default"/>
        </w:rPr>
        <w:t>2010</w:t>
      </w:r>
      <w:r>
        <w:rPr/>
        <w:t>年的努力， </w:t>
      </w:r>
      <w:r>
        <w:rPr>
          <w:spacing w:val="-1"/>
        </w:rPr>
        <w:t>公司已经初步建立并完善了新的产品开发平台，通过该平台，公司可以根据客户需</w:t>
      </w:r>
      <w:r>
        <w:rPr>
          <w:spacing w:val="-108"/>
        </w:rPr>
        <w:t> </w:t>
      </w:r>
      <w:r>
        <w:rPr>
          <w:spacing w:val="-108"/>
        </w:rPr>
      </w:r>
      <w:r>
        <w:rPr>
          <w:spacing w:val="-1"/>
        </w:rPr>
        <w:t>求，集合各功能模块，稍加调试即可研发出符合不同客户需求的新产品。如果不同</w:t>
      </w:r>
      <w:r>
        <w:rPr>
          <w:spacing w:val="-108"/>
        </w:rPr>
        <w:t> </w:t>
      </w:r>
      <w:r>
        <w:rPr>
          <w:spacing w:val="-108"/>
        </w:rPr>
      </w:r>
      <w:r>
        <w:rPr/>
        <w:t>功能模块有新的技术出现，则只需要更新相应模块即可实现所有产品设计的提升， </w:t>
      </w:r>
      <w:r>
        <w:rPr>
          <w:spacing w:val="-1"/>
        </w:rPr>
        <w:t>而无需全部重新设计开发，从而有效缩短了公司新产品的研发周期。该开发平台采</w:t>
      </w:r>
      <w:r>
        <w:rPr>
          <w:spacing w:val="-109"/>
        </w:rPr>
        <w:t> </w:t>
      </w:r>
      <w:r>
        <w:rPr>
          <w:spacing w:val="-109"/>
        </w:rPr>
      </w:r>
      <w:r>
        <w:rPr>
          <w:spacing w:val="-6"/>
        </w:rPr>
        <w:t>用的存储器容量更高、硬件处理速度更快、安全性能要求更高，为公司下一步在</w:t>
      </w:r>
      <w:r>
        <w:rPr>
          <w:rFonts w:ascii="Times New Roman" w:hAnsi="Times New Roman" w:cs="Times New Roman" w:eastAsia="Times New Roman" w:hint="default"/>
          <w:spacing w:val="-6"/>
        </w:rPr>
        <w:t>POS</w:t>
      </w:r>
      <w:r>
        <w:rPr>
          <w:rFonts w:ascii="Times New Roman" w:hAnsi="Times New Roman" w:cs="Times New Roman" w:eastAsia="Times New Roman" w:hint="default"/>
          <w:spacing w:val="-57"/>
        </w:rPr>
        <w:t> </w:t>
      </w:r>
      <w:r>
        <w:rPr>
          <w:spacing w:val="-1"/>
        </w:rPr>
        <w:t>机上应用生物识别技术等新的支付安全确认技术提供了条件，同时也为以后的产品</w:t>
      </w:r>
      <w:r>
        <w:rPr>
          <w:spacing w:val="-108"/>
        </w:rPr>
        <w:t> </w:t>
      </w:r>
      <w:r>
        <w:rPr>
          <w:spacing w:val="-108"/>
        </w:rPr>
      </w:r>
      <w:r>
        <w:rPr/>
        <w:t>功能更加人性化打下了坚实的基础。</w:t>
      </w:r>
    </w:p>
    <w:p>
      <w:pPr>
        <w:pStyle w:val="BodyText"/>
        <w:spacing w:line="338" w:lineRule="auto" w:before="80"/>
        <w:ind w:right="157" w:firstLine="479"/>
        <w:jc w:val="left"/>
      </w:pPr>
      <w:r>
        <w:rPr>
          <w:rFonts w:ascii="Times New Roman" w:hAnsi="Times New Roman" w:cs="Times New Roman" w:eastAsia="Times New Roman" w:hint="default"/>
        </w:rPr>
        <w:t>2010</w:t>
      </w:r>
      <w:r>
        <w:rPr/>
        <w:t>年，公司主要储备研发的产品和技术有以下几个方面：防止非法移动</w:t>
      </w:r>
      <w:r>
        <w:rPr>
          <w:rFonts w:ascii="Times New Roman" w:hAnsi="Times New Roman" w:cs="Times New Roman" w:eastAsia="Times New Roman" w:hint="default"/>
        </w:rPr>
        <w:t>POS</w:t>
      </w:r>
      <w:r>
        <w:rPr>
          <w:rFonts w:ascii="Times New Roman" w:hAnsi="Times New Roman" w:cs="Times New Roman" w:eastAsia="Times New Roman" w:hint="default"/>
          <w:w w:val="99"/>
        </w:rPr>
        <w:t> </w:t>
      </w:r>
      <w:r>
        <w:rPr/>
        <w:t>终端技术、</w:t>
      </w:r>
      <w:r>
        <w:rPr>
          <w:rFonts w:ascii="Times New Roman" w:hAnsi="Times New Roman" w:cs="Times New Roman" w:eastAsia="Times New Roman" w:hint="default"/>
        </w:rPr>
        <w:t>PayPass/QPBOC</w:t>
      </w:r>
      <w:r>
        <w:rPr/>
        <w:t>非接触式卡受理技术、软件安全下载算法、软件签名算 法、集商业收款与金融</w:t>
      </w:r>
      <w:r>
        <w:rPr>
          <w:rFonts w:ascii="Times New Roman" w:hAnsi="Times New Roman" w:cs="Times New Roman" w:eastAsia="Times New Roman" w:hint="default"/>
        </w:rPr>
        <w:t>POS</w:t>
      </w:r>
      <w:r>
        <w:rPr/>
        <w:t>功能于一体</w:t>
      </w:r>
      <w:r>
        <w:rPr>
          <w:rFonts w:ascii="Times New Roman" w:hAnsi="Times New Roman" w:cs="Times New Roman" w:eastAsia="Times New Roman" w:hint="default"/>
        </w:rPr>
        <w:t>POS</w:t>
      </w:r>
      <w:r>
        <w:rPr/>
        <w:t>终端项目、面向行业应用的专用</w:t>
      </w:r>
      <w:r>
        <w:rPr>
          <w:rFonts w:ascii="Times New Roman" w:hAnsi="Times New Roman" w:cs="Times New Roman" w:eastAsia="Times New Roman" w:hint="default"/>
        </w:rPr>
        <w:t>POS</w:t>
      </w:r>
      <w:r>
        <w:rPr/>
        <w:t>项 目、小额支付技术整体解决方案项目、手机支付</w:t>
      </w:r>
      <w:r>
        <w:rPr>
          <w:rFonts w:ascii="Times New Roman" w:hAnsi="Times New Roman" w:cs="Times New Roman" w:eastAsia="Times New Roman" w:hint="default"/>
        </w:rPr>
        <w:t>2.4G</w:t>
      </w:r>
      <w:r>
        <w:rPr/>
        <w:t>兼容</w:t>
      </w:r>
      <w:r>
        <w:rPr>
          <w:rFonts w:ascii="Times New Roman" w:hAnsi="Times New Roman" w:cs="Times New Roman" w:eastAsia="Times New Roman" w:hint="default"/>
        </w:rPr>
        <w:t>13.56M</w:t>
      </w:r>
      <w:r>
        <w:rPr/>
        <w:t>卡受理终端项目。</w:t>
      </w:r>
    </w:p>
    <w:p>
      <w:pPr>
        <w:pStyle w:val="BodyText"/>
        <w:spacing w:line="352" w:lineRule="auto" w:before="67"/>
        <w:ind w:right="220" w:firstLine="479"/>
        <w:jc w:val="left"/>
      </w:pPr>
      <w:r>
        <w:rPr/>
        <w:t>除了上述产品和技术研发工作外，增值应用是公司研发工作的另一项重要内 </w:t>
      </w:r>
      <w:r>
        <w:rPr>
          <w:spacing w:val="-1"/>
        </w:rPr>
        <w:t>容，由于客户和终端商户的各类支付需求不尽相同，公司在给客户提供设备的基础</w:t>
      </w:r>
      <w:r>
        <w:rPr>
          <w:spacing w:val="-108"/>
        </w:rPr>
        <w:t> </w:t>
      </w:r>
      <w:r>
        <w:rPr>
          <w:spacing w:val="-108"/>
        </w:rPr>
      </w:r>
      <w:r>
        <w:rPr>
          <w:spacing w:val="-1"/>
        </w:rPr>
        <w:t>上，还为客户提供定制的增值应用开发服务，以提高客户和商户的使用满意度，巩</w:t>
      </w:r>
      <w:r>
        <w:rPr>
          <w:spacing w:val="-108"/>
        </w:rPr>
        <w:t> </w:t>
      </w:r>
      <w:r>
        <w:rPr>
          <w:spacing w:val="-108"/>
        </w:rPr>
      </w:r>
      <w:r>
        <w:rPr/>
        <w:t>固公司市场地位。</w:t>
      </w:r>
      <w:r>
        <w:rPr>
          <w:rFonts w:ascii="Times New Roman" w:hAnsi="Times New Roman" w:cs="Times New Roman" w:eastAsia="Times New Roman" w:hint="default"/>
        </w:rPr>
        <w:t>2010</w:t>
      </w:r>
      <w:r>
        <w:rPr/>
        <w:t>年，公司完成增值应用开发项目</w:t>
      </w:r>
      <w:r>
        <w:rPr>
          <w:rFonts w:ascii="Times New Roman" w:hAnsi="Times New Roman" w:cs="Times New Roman" w:eastAsia="Times New Roman" w:hint="default"/>
        </w:rPr>
        <w:t>260</w:t>
      </w:r>
      <w:r>
        <w:rPr/>
        <w:t>多个，对外公开发布各 类软件版本达</w:t>
      </w:r>
      <w:r>
        <w:rPr>
          <w:rFonts w:ascii="Times New Roman" w:hAnsi="Times New Roman" w:cs="Times New Roman" w:eastAsia="Times New Roman" w:hint="default"/>
        </w:rPr>
        <w:t>486</w:t>
      </w:r>
      <w:r>
        <w:rPr/>
        <w:t>个。</w:t>
      </w:r>
    </w:p>
    <w:p>
      <w:pPr>
        <w:spacing w:after="0" w:line="352" w:lineRule="auto"/>
        <w:jc w:val="left"/>
        <w:sectPr>
          <w:footerReference w:type="default" r:id="rId15"/>
          <w:pgSz w:w="11910" w:h="16840"/>
          <w:pgMar w:footer="1267" w:header="877" w:top="1060" w:bottom="1460" w:left="1560" w:right="1360"/>
          <w:pgNumType w:start="8"/>
        </w:sectPr>
      </w:pPr>
    </w:p>
    <w:p>
      <w:pPr>
        <w:spacing w:line="312" w:lineRule="auto" w:before="25"/>
        <w:ind w:left="621" w:right="219" w:hanging="480"/>
        <w:jc w:val="left"/>
        <w:rPr>
          <w:rFonts w:ascii="宋体" w:hAnsi="宋体" w:cs="宋体" w:eastAsia="宋体" w:hint="default"/>
          <w:sz w:val="24"/>
          <w:szCs w:val="24"/>
        </w:rPr>
      </w:pPr>
      <w:r>
        <w:rPr/>
        <w:pict>
          <v:group style="position:absolute;margin-left:83.664001pt;margin-top:2.185654pt;width:433.75pt;height:.1pt;mso-position-horizontal-relative:page;mso-position-vertical-relative:paragraph;z-index:-681880" coordorigin="1673,44" coordsize="8675,2">
            <v:shape style="position:absolute;left:1673;top:44;width:8675;height:2" coordorigin="1673,44" coordsize="8675,0" path="m1673,44l10348,44e" filled="false" stroked="true" strokeweight=".72pt" strokecolor="#000000">
              <v:path arrowok="t"/>
            </v:shape>
            <w10:wrap type="none"/>
          </v:group>
        </w:pic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）、产能建设</w:t>
      </w:r>
      <w:r>
        <w:rPr>
          <w:rFonts w:ascii="宋体" w:hAnsi="宋体" w:cs="宋体" w:eastAsia="宋体" w:hint="default"/>
          <w:b/>
          <w:bCs/>
          <w:w w:val="99"/>
          <w:sz w:val="24"/>
          <w:szCs w:val="24"/>
        </w:rPr>
        <w:t> </w:t>
      </w:r>
      <w:r>
        <w:rPr>
          <w:rFonts w:ascii="宋体" w:hAnsi="宋体" w:cs="宋体" w:eastAsia="宋体" w:hint="default"/>
          <w:spacing w:val="-1"/>
          <w:sz w:val="24"/>
          <w:szCs w:val="24"/>
        </w:rPr>
        <w:t>为了更加科学的安排生产工作，保障市场供应，公司制造中心下属的宝安工厂</w:t>
      </w:r>
    </w:p>
    <w:p>
      <w:pPr>
        <w:pStyle w:val="BodyText"/>
        <w:spacing w:line="343" w:lineRule="auto" w:before="82"/>
        <w:ind w:right="98"/>
        <w:jc w:val="left"/>
      </w:pPr>
      <w:r>
        <w:rPr/>
        <w:t>在</w:t>
      </w:r>
      <w:r>
        <w:rPr>
          <w:rFonts w:ascii="Times New Roman" w:hAnsi="Times New Roman" w:cs="Times New Roman" w:eastAsia="Times New Roman" w:hint="default"/>
        </w:rPr>
        <w:t>2009</w:t>
      </w:r>
      <w:r>
        <w:rPr/>
        <w:t>年引入了具有生产线管控、不良品管控和生产信息实时查询等多项功能的敏 </w:t>
      </w:r>
      <w:r>
        <w:rPr>
          <w:spacing w:val="-7"/>
          <w:w w:val="100"/>
        </w:rPr>
        <w:t>捷制造执行系统（简称</w:t>
      </w:r>
      <w:r>
        <w:rPr>
          <w:rFonts w:ascii="Times New Roman" w:hAnsi="Times New Roman" w:cs="Times New Roman" w:eastAsia="Times New Roman" w:hint="default"/>
          <w:spacing w:val="-7"/>
          <w:w w:val="100"/>
        </w:rPr>
        <w:t>“CMES”</w:t>
      </w:r>
      <w:r>
        <w:rPr>
          <w:spacing w:val="-7"/>
          <w:w w:val="100"/>
        </w:rPr>
        <w:t>系统）。</w:t>
      </w:r>
      <w:r>
        <w:rPr>
          <w:rFonts w:ascii="Times New Roman" w:hAnsi="Times New Roman" w:cs="Times New Roman" w:eastAsia="Times New Roman" w:hint="default"/>
          <w:spacing w:val="-7"/>
          <w:w w:val="100"/>
        </w:rPr>
        <w:t>2010</w:t>
      </w:r>
      <w:r>
        <w:rPr>
          <w:spacing w:val="-7"/>
          <w:w w:val="100"/>
        </w:rPr>
        <w:t>年，工厂全年生产产品数量达到</w:t>
      </w:r>
      <w:r>
        <w:rPr>
          <w:rFonts w:ascii="Times New Roman" w:hAnsi="Times New Roman" w:cs="Times New Roman" w:eastAsia="Times New Roman" w:hint="default"/>
          <w:spacing w:val="-7"/>
          <w:w w:val="100"/>
        </w:rPr>
        <w:t>24</w:t>
      </w:r>
      <w:r>
        <w:rPr>
          <w:spacing w:val="-7"/>
          <w:w w:val="100"/>
        </w:rPr>
        <w:t>万台，</w:t>
      </w:r>
      <w:r>
        <w:rPr>
          <w:spacing w:val="-111"/>
          <w:w w:val="100"/>
        </w:rPr>
        <w:t> </w:t>
      </w:r>
      <w:r>
        <w:rPr/>
        <w:t>相比</w:t>
      </w:r>
      <w:r>
        <w:rPr>
          <w:rFonts w:ascii="Times New Roman" w:hAnsi="Times New Roman" w:cs="Times New Roman" w:eastAsia="Times New Roman" w:hint="default"/>
        </w:rPr>
        <w:t>2009</w:t>
      </w:r>
      <w:r>
        <w:rPr/>
        <w:t>年增加</w:t>
      </w:r>
      <w:r>
        <w:rPr>
          <w:rFonts w:ascii="Times New Roman" w:hAnsi="Times New Roman" w:cs="Times New Roman" w:eastAsia="Times New Roman" w:hint="default"/>
        </w:rPr>
        <w:t>72%</w:t>
      </w:r>
      <w:r>
        <w:rPr/>
        <w:t>。由于现有生产和仓储场地的限制，工厂的产能经受较为严格 的考验，为了确保高峰期的顺利出货，工厂与劳务输出公司合作，通过临时输入劳 务的方法，短期内扩大产能，保证了产品的市场供应。</w:t>
      </w:r>
    </w:p>
    <w:p>
      <w:pPr>
        <w:pStyle w:val="Heading6"/>
        <w:spacing w:line="240" w:lineRule="auto" w:before="12"/>
        <w:ind w:right="219"/>
        <w:jc w:val="left"/>
        <w:rPr>
          <w:b w:val="0"/>
          <w:bCs w:val="0"/>
        </w:rPr>
      </w:pPr>
      <w:r>
        <w:rPr/>
        <w:t>（</w:t>
      </w:r>
      <w:r>
        <w:rPr>
          <w:rFonts w:ascii="Times New Roman" w:hAnsi="Times New Roman" w:cs="Times New Roman" w:eastAsia="Times New Roman" w:hint="default"/>
        </w:rPr>
        <w:t>4</w:t>
      </w:r>
      <w:r>
        <w:rPr/>
        <w:t>）、资本市场建设</w:t>
      </w:r>
      <w:r>
        <w:rPr>
          <w:b w:val="0"/>
          <w:bCs w:val="0"/>
        </w:rPr>
      </w:r>
    </w:p>
    <w:p>
      <w:pPr>
        <w:pStyle w:val="BodyText"/>
        <w:spacing w:line="343" w:lineRule="auto" w:before="98"/>
        <w:ind w:right="222" w:firstLine="479"/>
        <w:jc w:val="both"/>
      </w:pPr>
      <w:r>
        <w:rPr>
          <w:rFonts w:ascii="Times New Roman" w:hAnsi="Times New Roman" w:cs="Times New Roman" w:eastAsia="Times New Roman" w:hint="default"/>
          <w:spacing w:val="-1"/>
        </w:rPr>
        <w:t>2010</w:t>
      </w:r>
      <w:r>
        <w:rPr>
          <w:spacing w:val="-1"/>
        </w:rPr>
        <w:t>年，对于公司的资本市场建设来说，是具有里程碑意义的一年。经过公司</w:t>
      </w:r>
      <w:r>
        <w:rPr/>
        <w:t> 全体员工的努力，经中国证券监督管理委员会证监许可</w:t>
      </w:r>
      <w:r>
        <w:rPr>
          <w:rFonts w:ascii="Times New Roman" w:hAnsi="Times New Roman" w:cs="Times New Roman" w:eastAsia="Times New Roman" w:hint="default"/>
        </w:rPr>
        <w:t>[2010]1292</w:t>
      </w:r>
      <w:r>
        <w:rPr/>
        <w:t>号文核准，</w:t>
      </w:r>
      <w:r>
        <w:rPr>
          <w:rFonts w:ascii="Times New Roman" w:hAnsi="Times New Roman" w:cs="Times New Roman" w:eastAsia="Times New Roman" w:hint="default"/>
        </w:rPr>
        <w:t>2010 </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日，公司成功在深圳证券交易所创业板挂牌交易，成功向社会公众公开发</w:t>
      </w:r>
      <w:r>
        <w:rPr>
          <w:spacing w:val="-107"/>
        </w:rPr>
        <w:t> </w:t>
      </w:r>
      <w:r>
        <w:rPr>
          <w:spacing w:val="-107"/>
        </w:rPr>
      </w:r>
      <w:r>
        <w:rPr>
          <w:spacing w:val="-4"/>
        </w:rPr>
        <w:t>行人民币普通股（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1,600</w:t>
      </w:r>
      <w:r>
        <w:rPr>
          <w:spacing w:val="-4"/>
        </w:rPr>
        <w:t>万股，发行价格为</w:t>
      </w:r>
      <w:r>
        <w:rPr>
          <w:rFonts w:ascii="Times New Roman" w:hAnsi="Times New Roman" w:cs="Times New Roman" w:eastAsia="Times New Roman" w:hint="default"/>
          <w:spacing w:val="-4"/>
        </w:rPr>
        <w:t>43.33</w:t>
      </w:r>
      <w:r>
        <w:rPr>
          <w:spacing w:val="-4"/>
        </w:rPr>
        <w:t>元</w:t>
      </w:r>
      <w:r>
        <w:rPr>
          <w:rFonts w:ascii="Times New Roman" w:hAnsi="Times New Roman" w:cs="Times New Roman" w:eastAsia="Times New Roman" w:hint="default"/>
          <w:spacing w:val="-4"/>
        </w:rPr>
        <w:t>/</w:t>
      </w:r>
      <w:r>
        <w:rPr>
          <w:spacing w:val="-4"/>
        </w:rPr>
        <w:t>股。募集资金总额</w:t>
      </w:r>
      <w:r>
        <w:rPr>
          <w:rFonts w:ascii="Times New Roman" w:hAnsi="Times New Roman" w:cs="Times New Roman" w:eastAsia="Times New Roman" w:hint="default"/>
          <w:spacing w:val="-4"/>
        </w:rPr>
        <w:t>69,328.00</w:t>
      </w:r>
      <w:r>
        <w:rPr>
          <w:rFonts w:ascii="Times New Roman" w:hAnsi="Times New Roman" w:cs="Times New Roman" w:eastAsia="Times New Roman" w:hint="default"/>
          <w:spacing w:val="-14"/>
        </w:rPr>
        <w:t> </w:t>
      </w:r>
      <w:r>
        <w:rPr>
          <w:spacing w:val="-1"/>
        </w:rPr>
        <w:t>万元，扣除发行费用</w:t>
      </w:r>
      <w:r>
        <w:rPr>
          <w:rFonts w:ascii="Times New Roman" w:hAnsi="Times New Roman" w:cs="Times New Roman" w:eastAsia="Times New Roman" w:hint="default"/>
          <w:spacing w:val="-1"/>
        </w:rPr>
        <w:t>46,945,065.67</w:t>
      </w:r>
      <w:r>
        <w:rPr>
          <w:spacing w:val="-1"/>
        </w:rPr>
        <w:t>元后，实际募集资金净额为</w:t>
      </w:r>
      <w:r>
        <w:rPr>
          <w:rFonts w:ascii="Times New Roman" w:hAnsi="Times New Roman" w:cs="Times New Roman" w:eastAsia="Times New Roman" w:hint="default"/>
          <w:spacing w:val="-1"/>
        </w:rPr>
        <w:t>646,334,934.33</w:t>
      </w:r>
      <w:r>
        <w:rPr>
          <w:spacing w:val="-1"/>
        </w:rPr>
        <w:t>元。公</w:t>
      </w:r>
      <w:r>
        <w:rPr>
          <w:spacing w:val="-93"/>
        </w:rPr>
        <w:t> </w:t>
      </w:r>
      <w:r>
        <w:rPr>
          <w:spacing w:val="-93"/>
        </w:rPr>
      </w:r>
      <w:r>
        <w:rPr>
          <w:spacing w:val="-1"/>
        </w:rPr>
        <w:t>司的融资渠道正式打通，公司的知名度和美誉度有了显著提升。公司将根据相关法</w:t>
      </w:r>
      <w:r>
        <w:rPr>
          <w:spacing w:val="-108"/>
        </w:rPr>
        <w:t> </w:t>
      </w:r>
      <w:r>
        <w:rPr>
          <w:spacing w:val="-108"/>
        </w:rPr>
      </w:r>
      <w:r>
        <w:rPr>
          <w:spacing w:val="-1"/>
        </w:rPr>
        <w:t>律法规和自律性规范，进一步完善公司治理和内控体系，合法的、充分的利用资本</w:t>
      </w:r>
      <w:r>
        <w:rPr>
          <w:spacing w:val="-108"/>
        </w:rPr>
        <w:t> </w:t>
      </w:r>
      <w:r>
        <w:rPr>
          <w:spacing w:val="-108"/>
        </w:rPr>
      </w:r>
      <w:r>
        <w:rPr/>
        <w:t>平台，为公司实现发展战略目标提供有力保障。</w:t>
      </w:r>
    </w:p>
    <w:p>
      <w:pPr>
        <w:spacing w:line="312" w:lineRule="auto" w:before="12"/>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）、人力资源建设</w:t>
      </w:r>
      <w:r>
        <w:rPr>
          <w:rFonts w:ascii="宋体" w:hAnsi="宋体" w:cs="宋体" w:eastAsia="宋体" w:hint="default"/>
          <w:b/>
          <w:bCs/>
          <w:w w:val="99"/>
          <w:sz w:val="24"/>
          <w:szCs w:val="24"/>
        </w:rPr>
        <w:t> </w:t>
      </w:r>
      <w:r>
        <w:rPr>
          <w:rFonts w:ascii="宋体" w:hAnsi="宋体" w:cs="宋体" w:eastAsia="宋体" w:hint="default"/>
          <w:spacing w:val="-1"/>
          <w:sz w:val="24"/>
          <w:szCs w:val="24"/>
        </w:rPr>
        <w:t>公司作为提供创新性软件开发与技术服务为主的高科技企业，人才是最宝贵的</w:t>
      </w:r>
    </w:p>
    <w:p>
      <w:pPr>
        <w:pStyle w:val="BodyText"/>
        <w:spacing w:line="348" w:lineRule="auto" w:before="82"/>
        <w:ind w:right="100"/>
        <w:jc w:val="left"/>
      </w:pPr>
      <w:r>
        <w:rPr/>
        <w:t>资源之一，公司一直以来非常重视人才的引进、培养与使用。</w:t>
      </w:r>
      <w:r>
        <w:rPr>
          <w:rFonts w:ascii="Times New Roman" w:hAnsi="Times New Roman" w:cs="Times New Roman" w:eastAsia="Times New Roman" w:hint="default"/>
        </w:rPr>
        <w:t>2010</w:t>
      </w:r>
      <w:r>
        <w:rPr/>
        <w:t>年，公司继续坚 持</w:t>
      </w:r>
      <w:r>
        <w:rPr>
          <w:rFonts w:ascii="Times New Roman" w:hAnsi="Times New Roman" w:cs="Times New Roman" w:eastAsia="Times New Roman" w:hint="default"/>
        </w:rPr>
        <w:t>“</w:t>
      </w:r>
      <w:r>
        <w:rPr/>
        <w:t>高绩效、高贡献、高回报</w:t>
      </w:r>
      <w:r>
        <w:rPr>
          <w:rFonts w:ascii="Times New Roman" w:hAnsi="Times New Roman" w:cs="Times New Roman" w:eastAsia="Times New Roman" w:hint="default"/>
        </w:rPr>
        <w:t>”</w:t>
      </w:r>
      <w:r>
        <w:rPr/>
        <w:t>的人才发展观，进一步加强人力资源管理工作，充分 重视员工的职业发展、人文关怀，加强与员工的沟通、交流，丰富员工的文化体育 活动，对员工培训制度、绩效考核制度等进行修订与补充，做到常态化、制度化、 体系化、人性化。随着公司在创业板上市成功，公司对现有员工的向心力、外部人 </w:t>
      </w:r>
      <w:r>
        <w:rPr>
          <w:spacing w:val="-4"/>
        </w:rPr>
        <w:t>才的吸引力都有了显著提升。报告期内，公司人员规模从年初的</w:t>
      </w:r>
      <w:r>
        <w:rPr>
          <w:rFonts w:ascii="Times New Roman" w:hAnsi="Times New Roman" w:cs="Times New Roman" w:eastAsia="Times New Roman" w:hint="default"/>
          <w:spacing w:val="-4"/>
        </w:rPr>
        <w:t>389</w:t>
      </w:r>
      <w:r>
        <w:rPr>
          <w:spacing w:val="-4"/>
        </w:rPr>
        <w:t>人发展到</w:t>
      </w:r>
      <w:r>
        <w:rPr>
          <w:rFonts w:ascii="Times New Roman" w:hAnsi="Times New Roman" w:cs="Times New Roman" w:eastAsia="Times New Roman" w:hint="default"/>
          <w:spacing w:val="-4"/>
        </w:rPr>
        <w:t>531</w:t>
      </w:r>
      <w:r>
        <w:rPr>
          <w:spacing w:val="-4"/>
        </w:rPr>
        <w:t>人，</w:t>
      </w:r>
      <w:r>
        <w:rPr>
          <w:spacing w:val="-104"/>
        </w:rPr>
        <w:t> </w:t>
      </w:r>
      <w:r>
        <w:rPr/>
        <w:t>员工离职率继续保持低位。</w:t>
      </w:r>
    </w:p>
    <w:p>
      <w:pPr>
        <w:spacing w:line="312" w:lineRule="auto" w:before="5"/>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）、募集资金项目进展情况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公司计划募集资金使用项目共有三个，其他与主营业务相关的运营资金项目一</w:t>
      </w:r>
    </w:p>
    <w:p>
      <w:pPr>
        <w:pStyle w:val="BodyText"/>
        <w:spacing w:line="240" w:lineRule="auto" w:before="82"/>
        <w:ind w:right="219"/>
        <w:jc w:val="left"/>
      </w:pPr>
      <w:r>
        <w:rPr/>
        <w:t>个，具体情况如下：</w:t>
      </w:r>
    </w:p>
    <w:p>
      <w:pPr>
        <w:spacing w:line="240" w:lineRule="auto" w:before="12"/>
        <w:rPr>
          <w:rFonts w:ascii="宋体" w:hAnsi="宋体" w:cs="宋体" w:eastAsia="宋体" w:hint="default"/>
          <w:sz w:val="11"/>
          <w:szCs w:val="11"/>
        </w:rPr>
      </w:pPr>
    </w:p>
    <w:tbl>
      <w:tblPr>
        <w:tblW w:w="0" w:type="auto"/>
        <w:jc w:val="left"/>
        <w:tblInd w:w="295" w:type="dxa"/>
        <w:tblLayout w:type="fixed"/>
        <w:tblCellMar>
          <w:top w:w="0" w:type="dxa"/>
          <w:left w:w="0" w:type="dxa"/>
          <w:bottom w:w="0" w:type="dxa"/>
          <w:right w:w="0" w:type="dxa"/>
        </w:tblCellMar>
        <w:tblLook w:val="01E0"/>
      </w:tblPr>
      <w:tblGrid>
        <w:gridCol w:w="1080"/>
        <w:gridCol w:w="4501"/>
        <w:gridCol w:w="2701"/>
      </w:tblGrid>
      <w:tr>
        <w:trPr>
          <w:trHeight w:val="572" w:hRule="exact"/>
        </w:trPr>
        <w:tc>
          <w:tcPr>
            <w:tcW w:w="1080" w:type="dxa"/>
            <w:tcBorders>
              <w:top w:val="single" w:sz="12" w:space="0" w:color="000000"/>
              <w:left w:val="single" w:sz="12" w:space="0" w:color="000000"/>
              <w:bottom w:val="single" w:sz="6" w:space="0" w:color="000000"/>
              <w:right w:val="single" w:sz="6" w:space="0" w:color="000000"/>
            </w:tcBorders>
            <w:shd w:val="clear" w:color="auto" w:fill="8DB3E1"/>
          </w:tcPr>
          <w:p>
            <w:pPr>
              <w:pStyle w:val="TableParagraph"/>
              <w:spacing w:line="240" w:lineRule="auto" w:before="79"/>
              <w:ind w:right="5"/>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4501"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79"/>
              <w:ind w:left="2030" w:right="0"/>
              <w:jc w:val="left"/>
              <w:rPr>
                <w:rFonts w:ascii="宋体" w:hAnsi="宋体" w:cs="宋体" w:eastAsia="宋体" w:hint="default"/>
                <w:sz w:val="24"/>
                <w:szCs w:val="24"/>
              </w:rPr>
            </w:pPr>
            <w:r>
              <w:rPr>
                <w:rFonts w:ascii="宋体" w:hAnsi="宋体" w:cs="宋体" w:eastAsia="宋体" w:hint="default"/>
                <w:b/>
                <w:bCs/>
                <w:sz w:val="24"/>
                <w:szCs w:val="24"/>
              </w:rPr>
              <w:t>项目名称</w:t>
            </w:r>
            <w:r>
              <w:rPr>
                <w:rFonts w:ascii="宋体" w:hAnsi="宋体" w:cs="宋体" w:eastAsia="宋体" w:hint="default"/>
                <w:sz w:val="24"/>
                <w:szCs w:val="24"/>
              </w:rPr>
            </w:r>
          </w:p>
        </w:tc>
        <w:tc>
          <w:tcPr>
            <w:tcW w:w="2701" w:type="dxa"/>
            <w:tcBorders>
              <w:top w:val="single" w:sz="12" w:space="0" w:color="000000"/>
              <w:left w:val="single" w:sz="6" w:space="0" w:color="000000"/>
              <w:bottom w:val="single" w:sz="6" w:space="0" w:color="000000"/>
              <w:right w:val="single" w:sz="12" w:space="0" w:color="000000"/>
            </w:tcBorders>
            <w:shd w:val="clear" w:color="auto" w:fill="8DB3E1"/>
          </w:tcPr>
          <w:p>
            <w:pPr>
              <w:pStyle w:val="TableParagraph"/>
              <w:spacing w:line="240" w:lineRule="auto" w:before="79"/>
              <w:ind w:left="7" w:right="0"/>
              <w:jc w:val="center"/>
              <w:rPr>
                <w:rFonts w:ascii="Times New Roman" w:hAnsi="Times New Roman" w:cs="Times New Roman" w:eastAsia="Times New Roman" w:hint="default"/>
                <w:sz w:val="24"/>
                <w:szCs w:val="24"/>
              </w:rPr>
            </w:pPr>
            <w:r>
              <w:rPr>
                <w:rFonts w:ascii="宋体" w:hAnsi="宋体" w:cs="宋体" w:eastAsia="宋体" w:hint="default"/>
                <w:b/>
                <w:bCs/>
                <w:sz w:val="24"/>
                <w:szCs w:val="24"/>
              </w:rPr>
              <w:t>募集资金投资额</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万元</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571" w:hRule="exact"/>
        </w:trPr>
        <w:tc>
          <w:tcPr>
            <w:tcW w:w="10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3"/>
              <w:ind w:right="5"/>
              <w:jc w:val="center"/>
              <w:rPr>
                <w:rFonts w:ascii="Times New Roman" w:hAnsi="Times New Roman" w:cs="Times New Roman" w:eastAsia="Times New Roman" w:hint="default"/>
                <w:sz w:val="24"/>
                <w:szCs w:val="24"/>
              </w:rPr>
            </w:pPr>
            <w:r>
              <w:rPr>
                <w:rFonts w:ascii="Times New Roman"/>
                <w:sz w:val="24"/>
              </w:rPr>
              <w:t>1</w:t>
            </w:r>
          </w:p>
        </w:tc>
        <w:tc>
          <w:tcPr>
            <w:tcW w:w="45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left="802" w:right="0"/>
              <w:jc w:val="left"/>
              <w:rPr>
                <w:rFonts w:ascii="宋体" w:hAnsi="宋体" w:cs="宋体" w:eastAsia="宋体" w:hint="default"/>
                <w:sz w:val="24"/>
                <w:szCs w:val="24"/>
              </w:rPr>
            </w:pPr>
            <w:r>
              <w:rPr>
                <w:rFonts w:ascii="宋体" w:hAnsi="宋体" w:cs="宋体" w:eastAsia="宋体" w:hint="default"/>
                <w:sz w:val="24"/>
                <w:szCs w:val="24"/>
              </w:rPr>
              <w:t>电子支付技术产研基地项目</w:t>
            </w:r>
          </w:p>
        </w:tc>
        <w:tc>
          <w:tcPr>
            <w:tcW w:w="27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3"/>
              <w:ind w:left="35" w:right="0"/>
              <w:jc w:val="center"/>
              <w:rPr>
                <w:rFonts w:ascii="Times New Roman" w:hAnsi="Times New Roman" w:cs="Times New Roman" w:eastAsia="Times New Roman" w:hint="default"/>
                <w:sz w:val="24"/>
                <w:szCs w:val="24"/>
              </w:rPr>
            </w:pPr>
            <w:r>
              <w:rPr>
                <w:rFonts w:ascii="Times New Roman"/>
                <w:sz w:val="24"/>
              </w:rPr>
              <w:t>15,306</w:t>
            </w:r>
          </w:p>
        </w:tc>
      </w:tr>
    </w:tbl>
    <w:p>
      <w:pPr>
        <w:spacing w:after="0" w:line="240" w:lineRule="auto"/>
        <w:jc w:val="center"/>
        <w:rPr>
          <w:rFonts w:ascii="Times New Roman" w:hAnsi="Times New Roman" w:cs="Times New Roman" w:eastAsia="Times New Roman" w:hint="default"/>
          <w:sz w:val="24"/>
          <w:szCs w:val="24"/>
        </w:rPr>
        <w:sectPr>
          <w:pgSz w:w="11910" w:h="16840"/>
          <w:pgMar w:header="877" w:footer="1267" w:top="1060" w:bottom="1460" w:left="1560" w:right="1360"/>
        </w:sectPr>
      </w:pPr>
    </w:p>
    <w:p>
      <w:pPr>
        <w:spacing w:line="240" w:lineRule="auto" w:before="0"/>
        <w:rPr>
          <w:rFonts w:ascii="宋体" w:hAnsi="宋体" w:cs="宋体" w:eastAsia="宋体" w:hint="default"/>
          <w:sz w:val="5"/>
          <w:szCs w:val="5"/>
        </w:rPr>
      </w:pPr>
      <w:r>
        <w:rPr/>
        <w:pict>
          <v:group style="position:absolute;margin-left:83.304001pt;margin-top:55.199982pt;width:434.5pt;height:1.95pt;mso-position-horizontal-relative:page;mso-position-vertical-relative:page;z-index:-681856" coordorigin="1666,1104" coordsize="8690,39">
            <v:group style="position:absolute;left:1673;top:1111;width:8675;height:2" coordorigin="1673,1111" coordsize="8675,2">
              <v:shape style="position:absolute;left:1673;top:1111;width:8675;height:2" coordorigin="1673,1111" coordsize="8675,0" path="m1673,1111l10348,1111e" filled="false" stroked="true" strokeweight=".72pt" strokecolor="#000000">
                <v:path arrowok="t"/>
              </v:shape>
            </v:group>
            <v:group style="position:absolute;left:1856;top:1138;width:29;height:2" coordorigin="1856,1138" coordsize="29,2">
              <v:shape style="position:absolute;left:1856;top:1138;width:29;height:2" coordorigin="1856,1138" coordsize="29,0" path="m1856,1138l1884,1138e" filled="false" stroked="true" strokeweight=".48pt" strokecolor="#000000">
                <v:path arrowok="t"/>
              </v:shape>
            </v:group>
            <v:group style="position:absolute;left:1884;top:1138;width:1059;height:2" coordorigin="1884,1138" coordsize="1059,2">
              <v:shape style="position:absolute;left:1884;top:1138;width:1059;height:2" coordorigin="1884,1138" coordsize="1059,0" path="m1884,1138l2943,1138e" filled="false" stroked="true" strokeweight=".48pt" strokecolor="#000000">
                <v:path arrowok="t"/>
              </v:shape>
            </v:group>
            <w10:wrap type="none"/>
          </v:group>
        </w:pict>
      </w:r>
    </w:p>
    <w:tbl>
      <w:tblPr>
        <w:tblW w:w="0" w:type="auto"/>
        <w:jc w:val="left"/>
        <w:tblInd w:w="295" w:type="dxa"/>
        <w:tblLayout w:type="fixed"/>
        <w:tblCellMar>
          <w:top w:w="0" w:type="dxa"/>
          <w:left w:w="0" w:type="dxa"/>
          <w:bottom w:w="0" w:type="dxa"/>
          <w:right w:w="0" w:type="dxa"/>
        </w:tblCellMar>
        <w:tblLook w:val="01E0"/>
      </w:tblPr>
      <w:tblGrid>
        <w:gridCol w:w="1080"/>
        <w:gridCol w:w="4501"/>
        <w:gridCol w:w="2701"/>
      </w:tblGrid>
      <w:tr>
        <w:trPr>
          <w:trHeight w:val="572" w:hRule="exact"/>
        </w:trPr>
        <w:tc>
          <w:tcPr>
            <w:tcW w:w="1080"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145"/>
              <w:ind w:right="5"/>
              <w:jc w:val="center"/>
              <w:rPr>
                <w:rFonts w:ascii="Times New Roman" w:hAnsi="Times New Roman" w:cs="Times New Roman" w:eastAsia="Times New Roman" w:hint="default"/>
                <w:sz w:val="24"/>
                <w:szCs w:val="24"/>
              </w:rPr>
            </w:pPr>
            <w:r>
              <w:rPr>
                <w:rFonts w:ascii="Times New Roman"/>
                <w:sz w:val="24"/>
              </w:rPr>
              <w:t>2</w:t>
            </w:r>
          </w:p>
        </w:tc>
        <w:tc>
          <w:tcPr>
            <w:tcW w:w="45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电子支付终端设备运营项目</w:t>
            </w:r>
          </w:p>
        </w:tc>
        <w:tc>
          <w:tcPr>
            <w:tcW w:w="270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36"/>
              <w:ind w:left="35" w:right="0"/>
              <w:jc w:val="center"/>
              <w:rPr>
                <w:rFonts w:ascii="Times New Roman" w:hAnsi="Times New Roman" w:cs="Times New Roman" w:eastAsia="Times New Roman" w:hint="default"/>
                <w:sz w:val="24"/>
                <w:szCs w:val="24"/>
              </w:rPr>
            </w:pPr>
            <w:r>
              <w:rPr>
                <w:rFonts w:ascii="Times New Roman"/>
                <w:sz w:val="24"/>
              </w:rPr>
              <w:t>5,621</w:t>
            </w:r>
          </w:p>
        </w:tc>
      </w:tr>
      <w:tr>
        <w:trPr>
          <w:trHeight w:val="564" w:hRule="exact"/>
        </w:trPr>
        <w:tc>
          <w:tcPr>
            <w:tcW w:w="10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6"/>
              <w:ind w:right="5"/>
              <w:jc w:val="center"/>
              <w:rPr>
                <w:rFonts w:ascii="Times New Roman" w:hAnsi="Times New Roman" w:cs="Times New Roman" w:eastAsia="Times New Roman" w:hint="default"/>
                <w:sz w:val="24"/>
                <w:szCs w:val="24"/>
              </w:rPr>
            </w:pPr>
            <w:r>
              <w:rPr>
                <w:rFonts w:ascii="Times New Roman"/>
                <w:sz w:val="24"/>
              </w:rPr>
              <w:t>3</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运营销售服务网络建设项目</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6"/>
              <w:ind w:left="35" w:right="0"/>
              <w:jc w:val="center"/>
              <w:rPr>
                <w:rFonts w:ascii="Times New Roman" w:hAnsi="Times New Roman" w:cs="Times New Roman" w:eastAsia="Times New Roman" w:hint="default"/>
                <w:sz w:val="24"/>
                <w:szCs w:val="24"/>
              </w:rPr>
            </w:pPr>
            <w:r>
              <w:rPr>
                <w:rFonts w:ascii="Times New Roman"/>
                <w:sz w:val="24"/>
              </w:rPr>
              <w:t>2,690</w:t>
            </w:r>
          </w:p>
        </w:tc>
      </w:tr>
      <w:tr>
        <w:trPr>
          <w:trHeight w:val="562" w:hRule="exact"/>
        </w:trPr>
        <w:tc>
          <w:tcPr>
            <w:tcW w:w="10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3"/>
              <w:ind w:right="5"/>
              <w:jc w:val="center"/>
              <w:rPr>
                <w:rFonts w:ascii="Times New Roman" w:hAnsi="Times New Roman" w:cs="Times New Roman" w:eastAsia="Times New Roman" w:hint="default"/>
                <w:sz w:val="24"/>
                <w:szCs w:val="24"/>
              </w:rPr>
            </w:pPr>
            <w:r>
              <w:rPr>
                <w:rFonts w:ascii="Times New Roman"/>
                <w:sz w:val="24"/>
              </w:rPr>
              <w:t>4</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其他与主营业务相关的营运资金项目</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left="33" w:right="0"/>
              <w:jc w:val="center"/>
              <w:rPr>
                <w:rFonts w:ascii="Times New Roman" w:hAnsi="Times New Roman" w:cs="Times New Roman" w:eastAsia="Times New Roman" w:hint="default"/>
                <w:sz w:val="24"/>
                <w:szCs w:val="24"/>
              </w:rPr>
            </w:pPr>
            <w:r>
              <w:rPr>
                <w:rFonts w:ascii="Times New Roman"/>
                <w:sz w:val="24"/>
              </w:rPr>
              <w:t>41,016.49</w:t>
            </w:r>
          </w:p>
        </w:tc>
      </w:tr>
      <w:tr>
        <w:trPr>
          <w:trHeight w:val="574" w:hRule="exact"/>
        </w:trPr>
        <w:tc>
          <w:tcPr>
            <w:tcW w:w="5581"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2"/>
              <w:ind w:right="2"/>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0"/>
              <w:ind w:left="4" w:right="0"/>
              <w:jc w:val="center"/>
              <w:rPr>
                <w:rFonts w:ascii="Times New Roman" w:hAnsi="Times New Roman" w:cs="Times New Roman" w:eastAsia="Times New Roman" w:hint="default"/>
                <w:sz w:val="24"/>
                <w:szCs w:val="24"/>
              </w:rPr>
            </w:pPr>
            <w:r>
              <w:rPr>
                <w:rFonts w:ascii="Times New Roman"/>
                <w:b/>
                <w:sz w:val="24"/>
              </w:rPr>
              <w:t>64,633.49</w:t>
            </w:r>
            <w:r>
              <w:rPr>
                <w:rFonts w:ascii="Times New Roman"/>
                <w:sz w:val="24"/>
              </w:rPr>
            </w:r>
          </w:p>
        </w:tc>
      </w:tr>
    </w:tbl>
    <w:p>
      <w:pPr>
        <w:pStyle w:val="BodyText"/>
        <w:spacing w:line="240" w:lineRule="auto" w:before="79"/>
        <w:ind w:left="621" w:right="219"/>
        <w:jc w:val="left"/>
      </w:pPr>
      <w:r>
        <w:rPr/>
        <w:t>报告期内，公司积极推进募集资金项目实施，力争项目按照计划有序开展。</w:t>
      </w:r>
    </w:p>
    <w:p>
      <w:pPr>
        <w:pStyle w:val="BodyText"/>
        <w:spacing w:line="312" w:lineRule="auto" w:before="113"/>
        <w:ind w:left="621" w:right="318" w:hanging="480"/>
        <w:jc w:val="left"/>
      </w:pPr>
      <w:r>
        <w:rPr>
          <w:rFonts w:ascii="Times New Roman" w:hAnsi="Times New Roman" w:cs="Times New Roman" w:eastAsia="Times New Roman" w:hint="default"/>
        </w:rPr>
        <w:t>1</w:t>
      </w:r>
      <w:r>
        <w:rPr/>
        <w:t>）电子支付技术产研基地项目： 公司使用自有资金</w:t>
      </w:r>
      <w:r>
        <w:rPr>
          <w:rFonts w:ascii="Times New Roman" w:hAnsi="Times New Roman" w:cs="Times New Roman" w:eastAsia="Times New Roman" w:hint="default"/>
        </w:rPr>
        <w:t>1293</w:t>
      </w:r>
      <w:r>
        <w:rPr/>
        <w:t>万取得位于南京市栖霞区马群科技园的土地证号为</w:t>
      </w:r>
      <w:r>
        <w:rPr>
          <w:rFonts w:ascii="Times New Roman" w:hAnsi="Times New Roman" w:cs="Times New Roman" w:eastAsia="Times New Roman" w:hint="default"/>
        </w:rPr>
        <w:t>“</w:t>
      </w:r>
      <w:r>
        <w:rPr/>
        <w:t>宁</w:t>
      </w:r>
    </w:p>
    <w:p>
      <w:pPr>
        <w:pStyle w:val="BodyText"/>
        <w:spacing w:line="331" w:lineRule="auto" w:before="56"/>
        <w:ind w:right="219"/>
        <w:jc w:val="left"/>
      </w:pPr>
      <w:r>
        <w:rPr>
          <w:spacing w:val="-2"/>
        </w:rPr>
        <w:t>栖国用（</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15197</w:t>
      </w:r>
      <w:r>
        <w:rPr>
          <w:spacing w:val="-2"/>
        </w:rPr>
        <w:t>号</w:t>
      </w:r>
      <w:r>
        <w:rPr>
          <w:rFonts w:ascii="Times New Roman" w:hAnsi="Times New Roman" w:cs="Times New Roman" w:eastAsia="Times New Roman" w:hint="default"/>
          <w:spacing w:val="-2"/>
        </w:rPr>
        <w:t>”</w:t>
      </w:r>
      <w:r>
        <w:rPr>
          <w:spacing w:val="-2"/>
        </w:rPr>
        <w:t>的项目地块，土地使用权面积</w:t>
      </w:r>
      <w:r>
        <w:rPr>
          <w:rFonts w:ascii="Times New Roman" w:hAnsi="Times New Roman" w:cs="Times New Roman" w:eastAsia="Times New Roman" w:hint="default"/>
          <w:spacing w:val="-2"/>
        </w:rPr>
        <w:t>22983.1</w:t>
      </w:r>
      <w:r>
        <w:rPr>
          <w:spacing w:val="-2"/>
        </w:rPr>
        <w:t>㎡。目前项目正处于</w:t>
      </w:r>
      <w:r>
        <w:rPr>
          <w:spacing w:val="-100"/>
        </w:rPr>
        <w:t> </w:t>
      </w:r>
      <w:r>
        <w:rPr>
          <w:spacing w:val="-100"/>
        </w:rPr>
      </w:r>
      <w:r>
        <w:rPr/>
        <w:t>建设规划方案设计和备案阶段，项目进展与预计的时间相符。 </w:t>
      </w:r>
      <w:r>
        <w:rPr>
          <w:rFonts w:ascii="Times New Roman" w:hAnsi="Times New Roman" w:cs="Times New Roman" w:eastAsia="Times New Roman" w:hint="default"/>
        </w:rPr>
        <w:t>2</w:t>
      </w:r>
      <w:r>
        <w:rPr/>
        <w:t>）电子支付终端设备运营项目：</w:t>
      </w:r>
    </w:p>
    <w:p>
      <w:pPr>
        <w:pStyle w:val="BodyText"/>
        <w:spacing w:line="338" w:lineRule="auto"/>
        <w:ind w:right="93" w:firstLine="479"/>
        <w:jc w:val="left"/>
      </w:pPr>
      <w:r>
        <w:rPr>
          <w:spacing w:val="-4"/>
        </w:rPr>
        <w:t>根据公司的业务发展情况，公司对客户提供设备租赁和合作运营服务。</w:t>
      </w:r>
      <w:r>
        <w:rPr>
          <w:rFonts w:ascii="Times New Roman" w:hAnsi="Times New Roman" w:cs="Times New Roman" w:eastAsia="Times New Roman" w:hint="default"/>
          <w:spacing w:val="-4"/>
        </w:rPr>
        <w:t>2010</w:t>
      </w:r>
      <w:r>
        <w:rPr>
          <w:spacing w:val="-4"/>
        </w:rPr>
        <w:t>年，</w:t>
      </w:r>
      <w:r>
        <w:rPr/>
        <w:t> 公司以自有资金投入</w:t>
      </w:r>
      <w:r>
        <w:rPr>
          <w:rFonts w:ascii="Times New Roman" w:hAnsi="Times New Roman" w:cs="Times New Roman" w:eastAsia="Times New Roman" w:hint="default"/>
        </w:rPr>
        <w:t>320</w:t>
      </w:r>
      <w:r>
        <w:rPr/>
        <w:t>万元新增租赁设备</w:t>
      </w:r>
      <w:r>
        <w:rPr>
          <w:rFonts w:ascii="Times New Roman" w:hAnsi="Times New Roman" w:cs="Times New Roman" w:eastAsia="Times New Roman" w:hint="default"/>
        </w:rPr>
        <w:t>3730</w:t>
      </w:r>
      <w:r>
        <w:rPr/>
        <w:t>台。公司与广州羊城通有限公司合 </w:t>
      </w:r>
      <w:r>
        <w:rPr>
          <w:spacing w:val="-4"/>
        </w:rPr>
        <w:t>作的</w:t>
      </w:r>
      <w:r>
        <w:rPr>
          <w:rFonts w:ascii="Times New Roman" w:hAnsi="Times New Roman" w:cs="Times New Roman" w:eastAsia="Times New Roman" w:hint="default"/>
          <w:spacing w:val="-4"/>
        </w:rPr>
        <w:t>“</w:t>
      </w:r>
      <w:r>
        <w:rPr>
          <w:spacing w:val="-4"/>
        </w:rPr>
        <w:t>羊城通小额支付合作运营项目</w:t>
      </w:r>
      <w:r>
        <w:rPr>
          <w:rFonts w:ascii="Times New Roman" w:hAnsi="Times New Roman" w:cs="Times New Roman" w:eastAsia="Times New Roman" w:hint="default"/>
          <w:spacing w:val="-4"/>
        </w:rPr>
        <w:t>”</w:t>
      </w:r>
      <w:r>
        <w:rPr>
          <w:spacing w:val="-4"/>
        </w:rPr>
        <w:t>，已经完成产品和系统软件的开发、调试工作，</w:t>
      </w:r>
      <w:r>
        <w:rPr>
          <w:spacing w:val="-87"/>
        </w:rPr>
        <w:t> </w:t>
      </w:r>
      <w:r>
        <w:rPr>
          <w:spacing w:val="-87"/>
        </w:rPr>
      </w:r>
      <w:r>
        <w:rPr/>
        <w:t>项目正式进入市场推广阶段。</w:t>
      </w:r>
    </w:p>
    <w:p>
      <w:pPr>
        <w:pStyle w:val="BodyText"/>
        <w:spacing w:line="309" w:lineRule="auto" w:before="17"/>
        <w:ind w:left="621" w:right="185" w:hanging="480"/>
        <w:jc w:val="left"/>
      </w:pPr>
      <w:r>
        <w:rPr>
          <w:rFonts w:ascii="Times New Roman" w:hAnsi="Times New Roman" w:cs="Times New Roman" w:eastAsia="Times New Roman" w:hint="default"/>
        </w:rPr>
        <w:t>3</w:t>
      </w:r>
      <w:r>
        <w:rPr/>
        <w:t>）运营销售服务网络建设项目： 根据公司业务发展规划，公司加强了运营销售服务网络建设，根据项目规划，</w:t>
      </w:r>
    </w:p>
    <w:p>
      <w:pPr>
        <w:pStyle w:val="BodyText"/>
        <w:spacing w:line="345" w:lineRule="auto" w:before="84"/>
        <w:ind w:right="184"/>
        <w:jc w:val="left"/>
      </w:pPr>
      <w:r>
        <w:rPr/>
        <w:t>公司计划在一类办事处所在地购买办公场地，目前公司正在寻找适合的购买标的。 其他办事处扩大租赁办公场地的工作已经基本完成，</w:t>
      </w:r>
      <w:r>
        <w:rPr>
          <w:rFonts w:ascii="Times New Roman" w:hAnsi="Times New Roman" w:cs="Times New Roman" w:eastAsia="Times New Roman" w:hint="default"/>
        </w:rPr>
        <w:t>2010</w:t>
      </w:r>
      <w:r>
        <w:rPr/>
        <w:t>年新建办事处</w:t>
      </w:r>
      <w:r>
        <w:rPr>
          <w:rFonts w:ascii="Times New Roman" w:hAnsi="Times New Roman" w:cs="Times New Roman" w:eastAsia="Times New Roman" w:hint="default"/>
        </w:rPr>
        <w:t>4</w:t>
      </w:r>
      <w:r>
        <w:rPr/>
        <w:t>个，报告 期内，公司在全国共设立办事处</w:t>
      </w:r>
      <w:r>
        <w:rPr>
          <w:rFonts w:ascii="Times New Roman" w:hAnsi="Times New Roman" w:cs="Times New Roman" w:eastAsia="Times New Roman" w:hint="default"/>
        </w:rPr>
        <w:t>37</w:t>
      </w:r>
      <w:r>
        <w:rPr/>
        <w:t>个，覆盖全国</w:t>
      </w:r>
      <w:r>
        <w:rPr>
          <w:rFonts w:ascii="Times New Roman" w:hAnsi="Times New Roman" w:cs="Times New Roman" w:eastAsia="Times New Roman" w:hint="default"/>
        </w:rPr>
        <w:t>34</w:t>
      </w:r>
      <w:r>
        <w:rPr/>
        <w:t>个省级行政区。根据公司计划， 公司将视业务发展情况新增或撤并办事处，以提高运营销售服务网络的整体效益。</w:t>
      </w:r>
    </w:p>
    <w:p>
      <w:pPr>
        <w:pStyle w:val="BodyText"/>
        <w:spacing w:line="324" w:lineRule="auto" w:before="89"/>
        <w:ind w:right="100" w:firstLine="479"/>
        <w:jc w:val="left"/>
      </w:pPr>
      <w:r>
        <w:rPr>
          <w:spacing w:val="-7"/>
        </w:rPr>
        <w:t>运营销售服务网络的人员配置工作将在</w:t>
      </w:r>
      <w:r>
        <w:rPr>
          <w:rFonts w:ascii="Times New Roman" w:hAnsi="Times New Roman" w:cs="Times New Roman" w:eastAsia="Times New Roman" w:hint="default"/>
          <w:spacing w:val="-7"/>
        </w:rPr>
        <w:t>2011</w:t>
      </w:r>
      <w:r>
        <w:rPr>
          <w:spacing w:val="-7"/>
        </w:rPr>
        <w:t>年进一步开展，详见本节</w:t>
      </w:r>
      <w:r>
        <w:rPr>
          <w:rFonts w:ascii="Times New Roman" w:hAnsi="Times New Roman" w:cs="Times New Roman" w:eastAsia="Times New Roman" w:hint="default"/>
          <w:spacing w:val="-7"/>
        </w:rPr>
        <w:t>“</w:t>
      </w:r>
      <w:r>
        <w:rPr>
          <w:spacing w:val="-7"/>
        </w:rPr>
        <w:t>二、（五）</w:t>
      </w:r>
      <w:r>
        <w:rPr/>
        <w:t> 公司未来发展战略规划及</w:t>
      </w:r>
      <w:r>
        <w:rPr>
          <w:rFonts w:ascii="Times New Roman" w:hAnsi="Times New Roman" w:cs="Times New Roman" w:eastAsia="Times New Roman" w:hint="default"/>
        </w:rPr>
        <w:t>2011</w:t>
      </w:r>
      <w:r>
        <w:rPr/>
        <w:t>年经营计划、</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）人力资源发展计划</w:t>
      </w:r>
      <w:r>
        <w:rPr>
          <w:rFonts w:ascii="Times New Roman" w:hAnsi="Times New Roman" w:cs="Times New Roman" w:eastAsia="Times New Roman" w:hint="default"/>
        </w:rPr>
        <w:t>”</w:t>
      </w:r>
      <w:r>
        <w:rPr/>
        <w:t>。 </w:t>
      </w:r>
      <w:r>
        <w:rPr>
          <w:rFonts w:ascii="Times New Roman" w:hAnsi="Times New Roman" w:cs="Times New Roman" w:eastAsia="Times New Roman" w:hint="default"/>
        </w:rPr>
        <w:t>4</w:t>
      </w:r>
      <w:r>
        <w:rPr/>
        <w:t>）其他与主营业务相关的运营资金项目：</w:t>
      </w:r>
    </w:p>
    <w:p>
      <w:pPr>
        <w:pStyle w:val="BodyText"/>
        <w:spacing w:line="345" w:lineRule="auto" w:before="4"/>
        <w:ind w:right="211" w:firstLine="479"/>
        <w:jc w:val="left"/>
      </w:pPr>
      <w:r>
        <w:rPr>
          <w:spacing w:val="-1"/>
        </w:rPr>
        <w:t>截止本报告公告之日，公司已经从其他与主营业务相关的运营资金中使用人民</w:t>
      </w:r>
      <w:r>
        <w:rPr/>
        <w:t> 币</w:t>
      </w:r>
      <w:r>
        <w:rPr>
          <w:rFonts w:ascii="Times New Roman" w:hAnsi="Times New Roman" w:cs="Times New Roman" w:eastAsia="Times New Roman" w:hint="default"/>
        </w:rPr>
        <w:t>1</w:t>
      </w:r>
      <w:r>
        <w:rPr/>
        <w:t>亿元向公司的全资子公司深圳市新国都软件技术有限公司进行增资，用于电子 </w:t>
      </w:r>
      <w:r>
        <w:rPr>
          <w:spacing w:val="-1"/>
        </w:rPr>
        <w:t>支付服务运营项目的经营活动。子公司从事的电子支付服务运营项目主要是配合广</w:t>
      </w:r>
      <w:r>
        <w:rPr>
          <w:spacing w:val="-108"/>
        </w:rPr>
        <w:t> </w:t>
      </w:r>
      <w:r>
        <w:rPr>
          <w:spacing w:val="-108"/>
        </w:rPr>
      </w:r>
      <w:r>
        <w:rPr/>
        <w:t>州</w:t>
      </w:r>
      <w:r>
        <w:rPr>
          <w:rFonts w:ascii="Times New Roman" w:hAnsi="Times New Roman" w:cs="Times New Roman" w:eastAsia="Times New Roman" w:hint="default"/>
        </w:rPr>
        <w:t>“</w:t>
      </w:r>
      <w:r>
        <w:rPr/>
        <w:t>羊城通</w:t>
      </w:r>
      <w:r>
        <w:rPr>
          <w:rFonts w:ascii="Times New Roman" w:hAnsi="Times New Roman" w:cs="Times New Roman" w:eastAsia="Times New Roman" w:hint="default"/>
        </w:rPr>
        <w:t>”</w:t>
      </w:r>
      <w:r>
        <w:rPr/>
        <w:t>小额支付合作运营项目的开展和实施，根据相关非金融机构从事支付服 务的管理规范，公司拟申请的《支付服务许可证》主要用于</w:t>
      </w:r>
      <w:r>
        <w:rPr>
          <w:rFonts w:ascii="Times New Roman" w:hAnsi="Times New Roman" w:cs="Times New Roman" w:eastAsia="Times New Roman" w:hint="default"/>
        </w:rPr>
        <w:t>“</w:t>
      </w:r>
      <w:r>
        <w:rPr/>
        <w:t>羊城通</w:t>
      </w:r>
      <w:r>
        <w:rPr>
          <w:rFonts w:ascii="Times New Roman" w:hAnsi="Times New Roman" w:cs="Times New Roman" w:eastAsia="Times New Roman" w:hint="default"/>
        </w:rPr>
        <w:t>”</w:t>
      </w:r>
      <w:r>
        <w:rPr/>
        <w:t>公交卡小额支 付业务的开展，不涉及银行卡收单业务和第三方收单服务业务。</w:t>
      </w:r>
    </w:p>
    <w:p>
      <w:pPr>
        <w:spacing w:after="0" w:line="345" w:lineRule="auto"/>
        <w:jc w:val="left"/>
        <w:sectPr>
          <w:pgSz w:w="11910" w:h="16840"/>
          <w:pgMar w:header="877" w:footer="1267" w:top="1060" w:bottom="1460" w:left="1560" w:right="1360"/>
        </w:sectPr>
      </w:pPr>
    </w:p>
    <w:p>
      <w:pPr>
        <w:pStyle w:val="BodyText"/>
        <w:spacing w:line="357" w:lineRule="auto" w:before="104"/>
        <w:ind w:left="342" w:right="340" w:firstLine="479"/>
        <w:jc w:val="left"/>
      </w:pPr>
      <w:r>
        <w:rPr/>
        <w:t>剩余其他与主营业务相关的运营资金，公司将进一步加强有关项目的调研工 </w:t>
      </w:r>
      <w:r>
        <w:rPr>
          <w:spacing w:val="-1"/>
        </w:rPr>
        <w:t>作，并严格按照证监会和深交所的有关规定，合理规划资金使用方向，提高募集资</w:t>
      </w:r>
      <w:r>
        <w:rPr>
          <w:spacing w:val="-109"/>
        </w:rPr>
        <w:t> </w:t>
      </w:r>
      <w:r>
        <w:rPr>
          <w:spacing w:val="-109"/>
        </w:rPr>
      </w:r>
      <w:r>
        <w:rPr/>
        <w:t>金使用的整体效率和效益。</w:t>
      </w:r>
    </w:p>
    <w:p>
      <w:pPr>
        <w:spacing w:line="240" w:lineRule="auto" w:before="2"/>
        <w:rPr>
          <w:rFonts w:ascii="宋体" w:hAnsi="宋体" w:cs="宋体" w:eastAsia="宋体" w:hint="default"/>
          <w:sz w:val="25"/>
          <w:szCs w:val="25"/>
        </w:rPr>
      </w:pPr>
    </w:p>
    <w:p>
      <w:pPr>
        <w:pStyle w:val="Heading6"/>
        <w:spacing w:line="240" w:lineRule="auto"/>
        <w:ind w:left="342" w:right="340"/>
        <w:jc w:val="left"/>
        <w:rPr>
          <w:b w:val="0"/>
          <w:bCs w:val="0"/>
        </w:rPr>
      </w:pPr>
      <w:r>
        <w:rPr>
          <w:rFonts w:ascii="Times New Roman" w:hAnsi="Times New Roman" w:cs="Times New Roman" w:eastAsia="Times New Roman" w:hint="default"/>
        </w:rPr>
        <w:t>2</w:t>
      </w:r>
      <w:r>
        <w:rPr/>
        <w:t>、主要经营成果变动情况及原因分析</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342" w:right="425" w:firstLine="479"/>
        <w:jc w:val="left"/>
      </w:pPr>
      <w:r>
        <w:rPr>
          <w:rFonts w:ascii="Times New Roman" w:hAnsi="Times New Roman" w:cs="Times New Roman" w:eastAsia="Times New Roman" w:hint="default"/>
        </w:rPr>
        <w:t>2010</w:t>
      </w:r>
      <w:r>
        <w:rPr/>
        <w:t>年度，公司实现营业收入</w:t>
      </w:r>
      <w:r>
        <w:rPr>
          <w:rFonts w:ascii="Times New Roman" w:hAnsi="Times New Roman" w:cs="Times New Roman" w:eastAsia="Times New Roman" w:hint="default"/>
        </w:rPr>
        <w:t>20,852.70</w:t>
      </w:r>
      <w:r>
        <w:rPr/>
        <w:t>万元、净利润</w:t>
      </w:r>
      <w:r>
        <w:rPr>
          <w:rFonts w:ascii="Times New Roman" w:hAnsi="Times New Roman" w:cs="Times New Roman" w:eastAsia="Times New Roman" w:hint="default"/>
        </w:rPr>
        <w:t>5,789.44</w:t>
      </w:r>
      <w:r>
        <w:rPr/>
        <w:t>万元，分别比去 年同期增长</w:t>
      </w:r>
      <w:r>
        <w:rPr>
          <w:rFonts w:ascii="Times New Roman" w:hAnsi="Times New Roman" w:cs="Times New Roman" w:eastAsia="Times New Roman" w:hint="default"/>
        </w:rPr>
        <w:t>49.23%</w:t>
      </w:r>
      <w:r>
        <w:rPr/>
        <w:t>、</w:t>
      </w:r>
      <w:r>
        <w:rPr>
          <w:rFonts w:ascii="Times New Roman" w:hAnsi="Times New Roman" w:cs="Times New Roman" w:eastAsia="Times New Roman" w:hint="default"/>
        </w:rPr>
        <w:t>30.41%</w:t>
      </w:r>
      <w:r>
        <w:rPr/>
        <w:t>增长的主要原因是：</w:t>
      </w:r>
    </w:p>
    <w:p>
      <w:pPr>
        <w:pStyle w:val="BodyText"/>
        <w:spacing w:line="357" w:lineRule="auto" w:before="66"/>
        <w:ind w:left="342" w:right="343" w:firstLine="479"/>
        <w:jc w:val="both"/>
      </w:pPr>
      <w:r>
        <w:rPr>
          <w:spacing w:val="-1"/>
        </w:rPr>
        <w:t>电子支付行业为我国的朝阳行业，公司抓住行业发展机遇，在坚持为老客户优</w:t>
      </w:r>
      <w:r>
        <w:rPr/>
        <w:t> </w:t>
      </w:r>
      <w:r>
        <w:rPr>
          <w:spacing w:val="-1"/>
        </w:rPr>
        <w:t>化服务同时，加快拓展客户层面，深耕细作，从而在顺应行业经济发展方向的过程</w:t>
      </w:r>
      <w:r>
        <w:rPr>
          <w:spacing w:val="-108"/>
        </w:rPr>
        <w:t> </w:t>
      </w:r>
      <w:r>
        <w:rPr>
          <w:spacing w:val="-108"/>
        </w:rPr>
      </w:r>
      <w:r>
        <w:rPr>
          <w:spacing w:val="-1"/>
        </w:rPr>
        <w:t>中获取了更多的客户订单，实现了各区域市场的快速增长，特别是华北区和东北区</w:t>
      </w:r>
      <w:r>
        <w:rPr>
          <w:spacing w:val="-108"/>
        </w:rPr>
        <w:t> </w:t>
      </w:r>
      <w:r>
        <w:rPr>
          <w:spacing w:val="-108"/>
        </w:rPr>
      </w:r>
      <w:r>
        <w:rPr/>
        <w:t>增长迅猛，分别实现了</w:t>
      </w:r>
      <w:r>
        <w:rPr>
          <w:rFonts w:ascii="Times New Roman" w:hAnsi="Times New Roman" w:cs="Times New Roman" w:eastAsia="Times New Roman" w:hint="default"/>
        </w:rPr>
        <w:t>201%</w:t>
      </w:r>
      <w:r>
        <w:rPr/>
        <w:t>和</w:t>
      </w:r>
      <w:r>
        <w:rPr>
          <w:rFonts w:ascii="Times New Roman" w:hAnsi="Times New Roman" w:cs="Times New Roman" w:eastAsia="Times New Roman" w:hint="default"/>
        </w:rPr>
        <w:t>103%</w:t>
      </w:r>
      <w:r>
        <w:rPr/>
        <w:t>的增长率。</w:t>
      </w:r>
    </w:p>
    <w:p>
      <w:pPr>
        <w:spacing w:line="240" w:lineRule="auto" w:before="5"/>
        <w:rPr>
          <w:rFonts w:ascii="宋体" w:hAnsi="宋体" w:cs="宋体" w:eastAsia="宋体" w:hint="default"/>
          <w:sz w:val="23"/>
          <w:szCs w:val="23"/>
        </w:rPr>
      </w:pPr>
    </w:p>
    <w:p>
      <w:pPr>
        <w:pStyle w:val="Heading6"/>
        <w:spacing w:line="240" w:lineRule="auto"/>
        <w:ind w:left="342" w:right="340"/>
        <w:jc w:val="left"/>
        <w:rPr>
          <w:b w:val="0"/>
          <w:bCs w:val="0"/>
        </w:rPr>
      </w:pPr>
      <w:r>
        <w:rPr/>
        <w:t>（二）公司主营业务及其经营状况</w:t>
      </w:r>
      <w:r>
        <w:rPr>
          <w:b w:val="0"/>
          <w:bCs w:val="0"/>
        </w:rPr>
      </w:r>
    </w:p>
    <w:p>
      <w:pPr>
        <w:spacing w:line="770" w:lineRule="atLeast" w:before="40"/>
        <w:ind w:left="821" w:right="34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、公司主营业务</w:t>
      </w:r>
      <w:r>
        <w:rPr>
          <w:rFonts w:ascii="宋体" w:hAnsi="宋体" w:cs="宋体" w:eastAsia="宋体" w:hint="default"/>
          <w:b/>
          <w:bCs/>
          <w:w w:val="99"/>
          <w:sz w:val="24"/>
          <w:szCs w:val="24"/>
        </w:rPr>
        <w:t> </w:t>
      </w:r>
      <w:r>
        <w:rPr>
          <w:rFonts w:ascii="宋体" w:hAnsi="宋体" w:cs="宋体" w:eastAsia="宋体" w:hint="default"/>
          <w:sz w:val="24"/>
          <w:szCs w:val="24"/>
        </w:rPr>
        <w:t>公司自成立以来一直专注于电子支付技术领域的发展，以金融</w:t>
      </w:r>
      <w:r>
        <w:rPr>
          <w:rFonts w:ascii="Times New Roman" w:hAnsi="Times New Roman" w:cs="Times New Roman" w:eastAsia="Times New Roman" w:hint="default"/>
          <w:sz w:val="24"/>
          <w:szCs w:val="24"/>
        </w:rPr>
        <w:t>POS</w:t>
      </w:r>
      <w:r>
        <w:rPr>
          <w:rFonts w:ascii="宋体" w:hAnsi="宋体" w:cs="宋体" w:eastAsia="宋体" w:hint="default"/>
          <w:sz w:val="24"/>
          <w:szCs w:val="24"/>
        </w:rPr>
        <w:t>终端软硬件</w:t>
      </w:r>
    </w:p>
    <w:p>
      <w:pPr>
        <w:pStyle w:val="BodyText"/>
        <w:spacing w:line="350" w:lineRule="auto" w:before="135"/>
        <w:ind w:left="342" w:right="212"/>
        <w:jc w:val="left"/>
      </w:pPr>
      <w:r>
        <w:rPr>
          <w:spacing w:val="-5"/>
        </w:rPr>
        <w:t>的设计和研发为核心，从事金融</w:t>
      </w:r>
      <w:r>
        <w:rPr>
          <w:rFonts w:ascii="Times New Roman" w:hAnsi="Times New Roman" w:cs="Times New Roman" w:eastAsia="Times New Roman" w:hint="default"/>
          <w:spacing w:val="-5"/>
        </w:rPr>
        <w:t>POS</w:t>
      </w:r>
      <w:r>
        <w:rPr>
          <w:spacing w:val="-5"/>
        </w:rPr>
        <w:t>机的生产、研发、销售和租赁，同时以金融</w:t>
      </w:r>
      <w:r>
        <w:rPr>
          <w:rFonts w:ascii="Times New Roman" w:hAnsi="Times New Roman" w:cs="Times New Roman" w:eastAsia="Times New Roman" w:hint="default"/>
          <w:spacing w:val="-5"/>
        </w:rPr>
        <w:t>POS</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52"/>
        </w:rPr>
      </w:r>
      <w:r>
        <w:rPr/>
        <w:t>机为技术载体，向商业银行、中国银联、以通联支付为代表的社会第三方收单服务 机构提供电子支付技术服务，现已成为银联商务等国内主要收单机构及第三方收单 服务机构的重要供应商。公司的主导产品与服务关系到社会大众和金融机构的支付 </w:t>
      </w:r>
      <w:r>
        <w:rPr>
          <w:spacing w:val="-4"/>
        </w:rPr>
        <w:t>安全，公司依托研发优势和生产管控能力，不断提升产品质量，扩大增值应用服务，</w:t>
      </w:r>
      <w:r>
        <w:rPr>
          <w:spacing w:val="-117"/>
        </w:rPr>
        <w:t> </w:t>
      </w:r>
      <w:r>
        <w:rPr>
          <w:spacing w:val="-117"/>
        </w:rPr>
      </w:r>
      <w:r>
        <w:rPr/>
        <w:t>建设综合服务网络，积极拓展基于磁条卡、接触式或非接触式</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NFC</w:t>
      </w:r>
      <w:r>
        <w:rPr/>
        <w:t>手机</w:t>
      </w:r>
      <w:r>
        <w:rPr>
          <w:rFonts w:ascii="Times New Roman" w:hAnsi="Times New Roman" w:cs="Times New Roman" w:eastAsia="Times New Roman" w:hint="default"/>
        </w:rPr>
        <w:t>SIM</w:t>
      </w:r>
      <w:r>
        <w:rPr>
          <w:rFonts w:ascii="Times New Roman" w:hAnsi="Times New Roman" w:cs="Times New Roman" w:eastAsia="Times New Roman" w:hint="default"/>
          <w:w w:val="99"/>
        </w:rPr>
        <w:t> </w:t>
      </w:r>
      <w:r>
        <w:rPr/>
        <w:t>卡等卡载体的电子支付技术服务。</w:t>
      </w:r>
    </w:p>
    <w:p>
      <w:pPr>
        <w:spacing w:line="240" w:lineRule="auto" w:before="9"/>
        <w:rPr>
          <w:rFonts w:ascii="宋体" w:hAnsi="宋体" w:cs="宋体" w:eastAsia="宋体" w:hint="default"/>
          <w:sz w:val="25"/>
          <w:szCs w:val="25"/>
        </w:rPr>
      </w:pPr>
    </w:p>
    <w:p>
      <w:pPr>
        <w:pStyle w:val="Heading6"/>
        <w:spacing w:line="240" w:lineRule="auto"/>
        <w:ind w:left="342" w:right="340"/>
        <w:jc w:val="left"/>
        <w:rPr>
          <w:b w:val="0"/>
          <w:bCs w:val="0"/>
        </w:rPr>
      </w:pPr>
      <w:r>
        <w:rPr>
          <w:rFonts w:ascii="Times New Roman" w:hAnsi="Times New Roman" w:cs="Times New Roman" w:eastAsia="Times New Roman" w:hint="default"/>
        </w:rPr>
        <w:t>2</w:t>
      </w:r>
      <w:r>
        <w:rPr/>
        <w:t>、主营业务分产品和地区构成情况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342" w:right="340"/>
        <w:jc w:val="left"/>
      </w:pPr>
      <w:r>
        <w:rPr>
          <w:rFonts w:ascii="Times New Roman" w:hAnsi="Times New Roman" w:cs="Times New Roman" w:eastAsia="Times New Roman" w:hint="default"/>
        </w:rPr>
        <w:t>1</w:t>
      </w:r>
      <w:r>
        <w:rPr/>
        <w:t>）按行业和产品构成情况</w:t>
      </w:r>
    </w:p>
    <w:p>
      <w:pPr>
        <w:spacing w:before="202"/>
        <w:ind w:left="0" w:right="344"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r>
        <w:rPr>
          <w:rFonts w:ascii="宋体" w:hAnsi="宋体" w:cs="宋体" w:eastAsia="宋体" w:hint="default"/>
          <w:sz w:val="21"/>
          <w:szCs w:val="21"/>
        </w:rPr>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524"/>
        <w:gridCol w:w="1251"/>
        <w:gridCol w:w="1109"/>
        <w:gridCol w:w="1294"/>
        <w:gridCol w:w="1296"/>
        <w:gridCol w:w="1294"/>
        <w:gridCol w:w="1296"/>
      </w:tblGrid>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分产品或服务</w:t>
            </w:r>
            <w:r>
              <w:rPr>
                <w:rFonts w:ascii="宋体" w:hAnsi="宋体" w:cs="宋体" w:eastAsia="宋体" w:hint="default"/>
                <w:sz w:val="21"/>
                <w:szCs w:val="21"/>
              </w:rPr>
            </w:r>
          </w:p>
        </w:tc>
        <w:tc>
          <w:tcPr>
            <w:tcW w:w="125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毛利率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1" w:lineRule="auto" w:before="28"/>
              <w:ind w:left="115" w:right="113"/>
              <w:jc w:val="both"/>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b/>
                <w:bCs/>
                <w:w w:val="100"/>
                <w:sz w:val="21"/>
                <w:szCs w:val="21"/>
              </w:rPr>
              <w:t> </w:t>
            </w: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1" w:lineRule="auto" w:before="28"/>
              <w:ind w:left="112" w:right="113"/>
              <w:jc w:val="both"/>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b/>
                <w:bCs/>
                <w:w w:val="100"/>
                <w:sz w:val="21"/>
                <w:szCs w:val="21"/>
              </w:rPr>
              <w:t> </w:t>
            </w: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1" w:lineRule="auto" w:before="28"/>
              <w:ind w:left="115" w:right="113"/>
              <w:jc w:val="center"/>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b/>
                <w:bCs/>
                <w:w w:val="100"/>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877" w:footer="1267" w:top="1060" w:bottom="1460" w:left="1360" w:right="1240"/>
        </w:sectPr>
      </w:pP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24"/>
        <w:gridCol w:w="1251"/>
        <w:gridCol w:w="1109"/>
        <w:gridCol w:w="1294"/>
        <w:gridCol w:w="1296"/>
        <w:gridCol w:w="1294"/>
        <w:gridCol w:w="1296"/>
      </w:tblGrid>
      <w:tr>
        <w:trPr>
          <w:trHeight w:val="418" w:hRule="exact"/>
        </w:trPr>
        <w:tc>
          <w:tcPr>
            <w:tcW w:w="15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POS </w:t>
            </w:r>
            <w:r>
              <w:rPr>
                <w:rFonts w:ascii="宋体" w:hAnsi="宋体" w:cs="宋体" w:eastAsia="宋体" w:hint="default"/>
                <w:sz w:val="21"/>
                <w:szCs w:val="21"/>
              </w:rPr>
              <w:t>机销售</w:t>
            </w:r>
          </w:p>
        </w:tc>
        <w:tc>
          <w:tcPr>
            <w:tcW w:w="12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19,304.44</w:t>
            </w:r>
          </w:p>
        </w:tc>
        <w:tc>
          <w:tcPr>
            <w:tcW w:w="11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9,394.50</w:t>
            </w:r>
          </w:p>
        </w:tc>
        <w:tc>
          <w:tcPr>
            <w:tcW w:w="12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51.34%</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51.38%</w:t>
            </w:r>
          </w:p>
        </w:tc>
        <w:tc>
          <w:tcPr>
            <w:tcW w:w="12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70.29%</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7"/>
              <w:ind w:left="336" w:right="0"/>
              <w:jc w:val="left"/>
              <w:rPr>
                <w:rFonts w:ascii="Times New Roman" w:hAnsi="Times New Roman" w:cs="Times New Roman" w:eastAsia="Times New Roman" w:hint="default"/>
                <w:sz w:val="21"/>
                <w:szCs w:val="21"/>
              </w:rPr>
            </w:pPr>
            <w:r>
              <w:rPr>
                <w:rFonts w:ascii="Times New Roman"/>
                <w:sz w:val="21"/>
              </w:rPr>
              <w:t>-5.40%</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POS </w:t>
            </w:r>
            <w:r>
              <w:rPr>
                <w:rFonts w:ascii="宋体" w:hAnsi="宋体" w:cs="宋体" w:eastAsia="宋体" w:hint="default"/>
                <w:sz w:val="21"/>
                <w:szCs w:val="21"/>
              </w:rPr>
              <w:t>机出租</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964.57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9" w:right="0"/>
              <w:jc w:val="left"/>
              <w:rPr>
                <w:rFonts w:ascii="Times New Roman" w:hAnsi="Times New Roman" w:cs="Times New Roman" w:eastAsia="Times New Roman" w:hint="default"/>
                <w:sz w:val="21"/>
                <w:szCs w:val="21"/>
              </w:rPr>
            </w:pPr>
            <w:r>
              <w:rPr>
                <w:rFonts w:ascii="Times New Roman"/>
                <w:sz w:val="21"/>
              </w:rPr>
              <w:t>192.54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80.04%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5.87%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1.49%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2" w:right="0"/>
              <w:jc w:val="left"/>
              <w:rPr>
                <w:rFonts w:ascii="Times New Roman" w:hAnsi="Times New Roman" w:cs="Times New Roman" w:eastAsia="Times New Roman" w:hint="default"/>
                <w:sz w:val="21"/>
                <w:szCs w:val="21"/>
              </w:rPr>
            </w:pPr>
            <w:r>
              <w:rPr>
                <w:rFonts w:ascii="Times New Roman"/>
                <w:sz w:val="21"/>
              </w:rPr>
              <w:t>0.86%</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读卡器</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507.69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9" w:right="0"/>
              <w:jc w:val="left"/>
              <w:rPr>
                <w:rFonts w:ascii="Times New Roman" w:hAnsi="Times New Roman" w:cs="Times New Roman" w:eastAsia="Times New Roman" w:hint="default"/>
                <w:sz w:val="21"/>
                <w:szCs w:val="21"/>
              </w:rPr>
            </w:pPr>
            <w:r>
              <w:rPr>
                <w:rFonts w:ascii="Times New Roman"/>
                <w:sz w:val="21"/>
              </w:rPr>
              <w:t>191.61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62.26%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76.00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1" w:right="0"/>
              <w:jc w:val="left"/>
              <w:rPr>
                <w:rFonts w:ascii="Times New Roman" w:hAnsi="Times New Roman" w:cs="Times New Roman" w:eastAsia="Times New Roman" w:hint="default"/>
                <w:sz w:val="21"/>
                <w:szCs w:val="21"/>
              </w:rPr>
            </w:pPr>
            <w:r>
              <w:rPr>
                <w:rFonts w:ascii="Times New Roman"/>
                <w:sz w:val="21"/>
              </w:rPr>
              <w:t>20.95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72.43%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-4.38%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6" w:right="0"/>
              <w:jc w:val="left"/>
              <w:rPr>
                <w:rFonts w:ascii="Times New Roman" w:hAnsi="Times New Roman" w:cs="Times New Roman" w:eastAsia="Times New Roman" w:hint="default"/>
                <w:sz w:val="21"/>
                <w:szCs w:val="21"/>
              </w:rPr>
            </w:pPr>
            <w:r>
              <w:rPr>
                <w:rFonts w:ascii="Times New Roman"/>
                <w:sz w:val="21"/>
              </w:rPr>
              <w:t>-4.17%</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20,852.71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9,799.60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53.01%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51.73%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69.57%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6" w:right="0"/>
              <w:jc w:val="left"/>
              <w:rPr>
                <w:rFonts w:ascii="Times New Roman" w:hAnsi="Times New Roman" w:cs="Times New Roman" w:eastAsia="Times New Roman" w:hint="default"/>
                <w:sz w:val="21"/>
                <w:szCs w:val="21"/>
              </w:rPr>
            </w:pPr>
            <w:r>
              <w:rPr>
                <w:rFonts w:ascii="Times New Roman"/>
                <w:sz w:val="21"/>
              </w:rPr>
              <w:t>-5.32%</w:t>
            </w:r>
          </w:p>
        </w:tc>
      </w:tr>
    </w:tbl>
    <w:p>
      <w:pPr>
        <w:pStyle w:val="BodyText"/>
        <w:spacing w:line="338" w:lineRule="auto" w:before="79"/>
        <w:ind w:left="342" w:right="365" w:firstLine="479"/>
        <w:jc w:val="left"/>
      </w:pPr>
      <w:r>
        <w:rPr/>
        <w:t>报告期，公司营业收入主要来源于</w:t>
      </w:r>
      <w:r>
        <w:rPr>
          <w:spacing w:val="-61"/>
        </w:rPr>
        <w:t> </w:t>
      </w:r>
      <w:r>
        <w:rPr>
          <w:rFonts w:ascii="Times New Roman" w:hAnsi="Times New Roman" w:cs="Times New Roman" w:eastAsia="Times New Roman" w:hint="default"/>
        </w:rPr>
        <w:t>POS </w:t>
      </w:r>
      <w:r>
        <w:rPr/>
        <w:t>机销售收入，占全部收入的</w:t>
      </w:r>
      <w:r>
        <w:rPr>
          <w:spacing w:val="-61"/>
        </w:rPr>
        <w:t> </w:t>
      </w:r>
      <w:r>
        <w:rPr>
          <w:rFonts w:ascii="Times New Roman" w:hAnsi="Times New Roman" w:cs="Times New Roman" w:eastAsia="Times New Roman" w:hint="default"/>
        </w:rPr>
        <w:t>92.58%</w:t>
      </w:r>
      <w:r>
        <w:rPr/>
        <w:t>， 因此</w:t>
      </w:r>
      <w:r>
        <w:rPr>
          <w:spacing w:val="-66"/>
        </w:rPr>
        <w:t> </w:t>
      </w:r>
      <w:r>
        <w:rPr>
          <w:rFonts w:ascii="Times New Roman" w:hAnsi="Times New Roman" w:cs="Times New Roman" w:eastAsia="Times New Roman" w:hint="default"/>
        </w:rPr>
        <w:t>POS</w:t>
      </w:r>
      <w:r>
        <w:rPr>
          <w:rFonts w:ascii="Times New Roman" w:hAnsi="Times New Roman" w:cs="Times New Roman" w:eastAsia="Times New Roman" w:hint="default"/>
          <w:spacing w:val="-5"/>
        </w:rPr>
        <w:t> </w:t>
      </w:r>
      <w:r>
        <w:rPr/>
        <w:t>机销售的毛利率增减变动会直接影响公司报告期的综合毛利率。报告期 公司</w:t>
      </w:r>
      <w:r>
        <w:rPr>
          <w:spacing w:val="-60"/>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机毛利率较去年同期下降</w:t>
      </w:r>
      <w:r>
        <w:rPr>
          <w:spacing w:val="-59"/>
        </w:rPr>
        <w:t> </w:t>
      </w:r>
      <w:r>
        <w:rPr>
          <w:rFonts w:ascii="Times New Roman" w:hAnsi="Times New Roman" w:cs="Times New Roman" w:eastAsia="Times New Roman" w:hint="default"/>
          <w:spacing w:val="-5"/>
        </w:rPr>
        <w:t>5.4%</w:t>
      </w:r>
      <w:r>
        <w:rPr>
          <w:spacing w:val="-5"/>
        </w:rPr>
        <w:t>，系年初银联商务招标，公司下调部分中</w:t>
      </w:r>
      <w:r>
        <w:rPr>
          <w:spacing w:val="-117"/>
        </w:rPr>
        <w:t> </w:t>
      </w:r>
      <w:r>
        <w:rPr>
          <w:spacing w:val="-117"/>
        </w:rPr>
      </w:r>
      <w:r>
        <w:rPr>
          <w:spacing w:val="-9"/>
        </w:rPr>
        <w:t>标产品价格，导致</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6"/>
        </w:rPr>
        <w:t> </w:t>
      </w:r>
      <w:r>
        <w:rPr>
          <w:spacing w:val="-3"/>
        </w:rPr>
        <w:t>机销售毛利率下降。也是公司综合毛利率下降的主要原因。</w:t>
      </w:r>
    </w:p>
    <w:p>
      <w:pPr>
        <w:pStyle w:val="BodyText"/>
        <w:spacing w:line="338" w:lineRule="auto" w:before="65"/>
        <w:ind w:left="342" w:right="489" w:firstLine="599"/>
        <w:jc w:val="left"/>
      </w:pPr>
      <w:r>
        <w:rPr/>
        <w:t>报告期，</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机销售收入比去年同期增长</w:t>
      </w:r>
      <w:r>
        <w:rPr>
          <w:spacing w:val="-58"/>
        </w:rPr>
        <w:t> </w:t>
      </w:r>
      <w:r>
        <w:rPr>
          <w:rFonts w:ascii="Times New Roman" w:hAnsi="Times New Roman" w:cs="Times New Roman" w:eastAsia="Times New Roman" w:hint="default"/>
        </w:rPr>
        <w:t>51.38%</w:t>
      </w:r>
      <w:r>
        <w:rPr/>
        <w:t>，主要系公司</w:t>
      </w:r>
      <w:r>
        <w:rPr>
          <w:spacing w:val="-57"/>
        </w:rPr>
        <w:t> </w:t>
      </w:r>
      <w:r>
        <w:rPr>
          <w:rFonts w:ascii="Times New Roman" w:hAnsi="Times New Roman" w:cs="Times New Roman" w:eastAsia="Times New Roman" w:hint="default"/>
        </w:rPr>
        <w:t>K301F</w:t>
      </w:r>
      <w:r>
        <w:rPr>
          <w:rFonts w:ascii="Times New Roman" w:hAnsi="Times New Roman" w:cs="Times New Roman" w:eastAsia="Times New Roman" w:hint="default"/>
          <w:spacing w:val="1"/>
        </w:rPr>
        <w:t> </w:t>
      </w:r>
      <w:r>
        <w:rPr/>
        <w:t>系列 产品的销售收入较去年同期增长</w:t>
      </w:r>
      <w:r>
        <w:rPr>
          <w:spacing w:val="-61"/>
        </w:rPr>
        <w:t> </w:t>
      </w:r>
      <w:r>
        <w:rPr>
          <w:rFonts w:ascii="Times New Roman" w:hAnsi="Times New Roman" w:cs="Times New Roman" w:eastAsia="Times New Roman" w:hint="default"/>
        </w:rPr>
        <w:t>67.77%</w:t>
      </w:r>
      <w:r>
        <w:rPr/>
        <w:t>。</w:t>
      </w:r>
    </w:p>
    <w:p>
      <w:pPr>
        <w:pStyle w:val="BodyText"/>
        <w:spacing w:line="338" w:lineRule="auto" w:before="67"/>
        <w:ind w:left="342" w:right="490" w:firstLine="599"/>
        <w:jc w:val="left"/>
      </w:pPr>
      <w:r>
        <w:rPr/>
        <w:t>报告期，公司</w:t>
      </w:r>
      <w:r>
        <w:rPr>
          <w:spacing w:val="-46"/>
        </w:rPr>
        <w:t> </w:t>
      </w:r>
      <w:r>
        <w:rPr>
          <w:rFonts w:ascii="Times New Roman" w:hAnsi="Times New Roman" w:cs="Times New Roman" w:eastAsia="Times New Roman" w:hint="default"/>
        </w:rPr>
        <w:t>POS</w:t>
      </w:r>
      <w:r>
        <w:rPr>
          <w:rFonts w:ascii="Times New Roman" w:hAnsi="Times New Roman" w:cs="Times New Roman" w:eastAsia="Times New Roman" w:hint="default"/>
          <w:spacing w:val="14"/>
        </w:rPr>
        <w:t> </w:t>
      </w:r>
      <w:r>
        <w:rPr/>
        <w:t>机出租收入毛利率</w:t>
      </w:r>
      <w:r>
        <w:rPr>
          <w:spacing w:val="-47"/>
        </w:rPr>
        <w:t> </w:t>
      </w:r>
      <w:r>
        <w:rPr>
          <w:rFonts w:ascii="Times New Roman" w:hAnsi="Times New Roman" w:cs="Times New Roman" w:eastAsia="Times New Roman" w:hint="default"/>
        </w:rPr>
        <w:t>80.04%</w:t>
      </w:r>
      <w:r>
        <w:rPr/>
        <w:t>，较去年同期增长</w:t>
      </w:r>
      <w:r>
        <w:rPr>
          <w:spacing w:val="-46"/>
        </w:rPr>
        <w:t> </w:t>
      </w:r>
      <w:r>
        <w:rPr>
          <w:rFonts w:ascii="Times New Roman" w:hAnsi="Times New Roman" w:cs="Times New Roman" w:eastAsia="Times New Roman" w:hint="default"/>
        </w:rPr>
        <w:t>0.86%</w:t>
      </w:r>
      <w:r>
        <w:rPr/>
        <w:t>，继 续保持较高的毛利率，占公司总收入的</w:t>
      </w:r>
      <w:r>
        <w:rPr>
          <w:spacing w:val="-61"/>
        </w:rPr>
        <w:t> </w:t>
      </w:r>
      <w:r>
        <w:rPr>
          <w:rFonts w:ascii="Times New Roman" w:hAnsi="Times New Roman" w:cs="Times New Roman" w:eastAsia="Times New Roman" w:hint="default"/>
        </w:rPr>
        <w:t>4.63%</w:t>
      </w:r>
      <w:r>
        <w:rPr/>
        <w:t>；</w:t>
      </w:r>
    </w:p>
    <w:p>
      <w:pPr>
        <w:pStyle w:val="BodyText"/>
        <w:spacing w:line="364" w:lineRule="auto" w:before="67"/>
        <w:ind w:left="941" w:right="364"/>
        <w:jc w:val="left"/>
      </w:pPr>
      <w:r>
        <w:rPr>
          <w:spacing w:val="-8"/>
        </w:rPr>
        <w:t>报告期，公司新增读卡器销售收入，毛利率 </w:t>
      </w:r>
      <w:r>
        <w:rPr>
          <w:rFonts w:ascii="Times New Roman" w:hAnsi="Times New Roman" w:cs="Times New Roman" w:eastAsia="Times New Roman" w:hint="default"/>
          <w:spacing w:val="-6"/>
        </w:rPr>
        <w:t>62.26%</w:t>
      </w:r>
      <w:r>
        <w:rPr>
          <w:spacing w:val="-6"/>
        </w:rPr>
        <w:t>，占公司总收入的</w:t>
      </w:r>
      <w:r>
        <w:rPr>
          <w:spacing w:val="-95"/>
        </w:rPr>
        <w:t> </w:t>
      </w:r>
      <w:r>
        <w:rPr>
          <w:rFonts w:ascii="Times New Roman" w:hAnsi="Times New Roman" w:cs="Times New Roman" w:eastAsia="Times New Roman" w:hint="default"/>
        </w:rPr>
        <w:t>2.43%</w:t>
      </w:r>
      <w:r>
        <w:rPr/>
        <w:t>； 报告期，其他收入毛利率较去年同期下降</w:t>
      </w:r>
      <w:r>
        <w:rPr>
          <w:spacing w:val="-60"/>
        </w:rPr>
        <w:t> </w:t>
      </w:r>
      <w:r>
        <w:rPr>
          <w:rFonts w:ascii="Times New Roman" w:hAnsi="Times New Roman" w:cs="Times New Roman" w:eastAsia="Times New Roman" w:hint="default"/>
        </w:rPr>
        <w:t>4.17%</w:t>
      </w:r>
      <w:r>
        <w:rPr/>
        <w:t>，占公司总收入的</w:t>
      </w:r>
      <w:r>
        <w:rPr>
          <w:spacing w:val="-61"/>
        </w:rPr>
        <w:t> </w:t>
      </w:r>
      <w:r>
        <w:rPr>
          <w:rFonts w:ascii="Times New Roman" w:hAnsi="Times New Roman" w:cs="Times New Roman" w:eastAsia="Times New Roman" w:hint="default"/>
        </w:rPr>
        <w:t>0.36%</w:t>
      </w:r>
      <w:r>
        <w:rPr/>
        <w:t>。</w:t>
      </w:r>
    </w:p>
    <w:p>
      <w:pPr>
        <w:pStyle w:val="BodyText"/>
        <w:spacing w:line="240" w:lineRule="auto" w:before="38"/>
        <w:ind w:left="342" w:right="340"/>
        <w:jc w:val="left"/>
      </w:pPr>
      <w:r>
        <w:rPr>
          <w:rFonts w:ascii="Times New Roman" w:hAnsi="Times New Roman" w:cs="Times New Roman" w:eastAsia="Times New Roman" w:hint="default"/>
        </w:rPr>
        <w:t>2</w:t>
      </w:r>
      <w:r>
        <w:rPr/>
        <w:t>）主营业务分地区情况：</w:t>
      </w:r>
    </w:p>
    <w:p>
      <w:pPr>
        <w:spacing w:before="202"/>
        <w:ind w:left="0" w:right="700" w:firstLine="0"/>
        <w:jc w:val="right"/>
        <w:rPr>
          <w:rFonts w:ascii="宋体" w:hAnsi="宋体" w:cs="宋体" w:eastAsia="宋体" w:hint="default"/>
          <w:sz w:val="21"/>
          <w:szCs w:val="21"/>
        </w:rPr>
      </w:pPr>
      <w:r>
        <w:rPr>
          <w:rFonts w:ascii="宋体" w:hAnsi="宋体" w:cs="宋体" w:eastAsia="宋体" w:hint="default"/>
          <w:spacing w:val="-9"/>
          <w:sz w:val="21"/>
          <w:szCs w:val="21"/>
        </w:rPr>
        <w:t>单位：人民</w:t>
      </w:r>
    </w:p>
    <w:p>
      <w:pPr>
        <w:spacing w:line="240" w:lineRule="auto" w:before="10"/>
        <w:rPr>
          <w:rFonts w:ascii="宋体" w:hAnsi="宋体" w:cs="宋体" w:eastAsia="宋体" w:hint="default"/>
          <w:sz w:val="14"/>
          <w:szCs w:val="14"/>
        </w:rPr>
      </w:pPr>
    </w:p>
    <w:p>
      <w:pPr>
        <w:spacing w:before="0"/>
        <w:ind w:left="342" w:right="340" w:firstLine="0"/>
        <w:jc w:val="left"/>
        <w:rPr>
          <w:rFonts w:ascii="宋体" w:hAnsi="宋体" w:cs="宋体" w:eastAsia="宋体" w:hint="default"/>
          <w:sz w:val="21"/>
          <w:szCs w:val="21"/>
        </w:rPr>
      </w:pPr>
      <w:r>
        <w:rPr>
          <w:rFonts w:ascii="宋体" w:hAnsi="宋体" w:cs="宋体" w:eastAsia="宋体" w:hint="default"/>
          <w:sz w:val="21"/>
          <w:szCs w:val="21"/>
        </w:rPr>
        <w:t>币万元</w:t>
      </w:r>
    </w:p>
    <w:p>
      <w:pPr>
        <w:spacing w:line="240" w:lineRule="auto" w:before="11"/>
        <w:rPr>
          <w:rFonts w:ascii="宋体" w:hAnsi="宋体" w:cs="宋体" w:eastAsia="宋体" w:hint="default"/>
          <w:sz w:val="12"/>
          <w:szCs w:val="12"/>
        </w:rPr>
      </w:pPr>
    </w:p>
    <w:tbl>
      <w:tblPr>
        <w:tblW w:w="0" w:type="auto"/>
        <w:jc w:val="left"/>
        <w:tblInd w:w="385" w:type="dxa"/>
        <w:tblLayout w:type="fixed"/>
        <w:tblCellMar>
          <w:top w:w="0" w:type="dxa"/>
          <w:left w:w="0" w:type="dxa"/>
          <w:bottom w:w="0" w:type="dxa"/>
          <w:right w:w="0" w:type="dxa"/>
        </w:tblCellMar>
        <w:tblLook w:val="01E0"/>
      </w:tblPr>
      <w:tblGrid>
        <w:gridCol w:w="2840"/>
        <w:gridCol w:w="2842"/>
        <w:gridCol w:w="2840"/>
      </w:tblGrid>
      <w:tr>
        <w:trPr>
          <w:trHeight w:val="558" w:hRule="exact"/>
        </w:trPr>
        <w:tc>
          <w:tcPr>
            <w:tcW w:w="284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84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7"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华南区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8,244.09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21.19%</w:t>
            </w:r>
          </w:p>
        </w:tc>
      </w:tr>
      <w:tr>
        <w:trPr>
          <w:trHeight w:val="56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华东区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Times New Roman" w:hAnsi="Times New Roman" w:cs="Times New Roman" w:eastAsia="Times New Roman" w:hint="default"/>
                <w:sz w:val="21"/>
                <w:szCs w:val="21"/>
              </w:rPr>
            </w:pPr>
            <w:r>
              <w:rPr>
                <w:rFonts w:ascii="Times New Roman"/>
                <w:sz w:val="21"/>
              </w:rPr>
              <w:t>4,310.00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93.69%</w:t>
            </w:r>
          </w:p>
        </w:tc>
      </w:tr>
      <w:tr>
        <w:trPr>
          <w:trHeight w:val="557"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华北区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3,171.37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201.58%</w:t>
            </w:r>
          </w:p>
        </w:tc>
      </w:tr>
      <w:tr>
        <w:trPr>
          <w:trHeight w:val="559"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华中区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Times New Roman" w:hAnsi="Times New Roman" w:cs="Times New Roman" w:eastAsia="Times New Roman" w:hint="default"/>
                <w:sz w:val="21"/>
                <w:szCs w:val="21"/>
              </w:rPr>
            </w:pPr>
            <w:r>
              <w:rPr>
                <w:rFonts w:ascii="Times New Roman"/>
                <w:sz w:val="21"/>
              </w:rPr>
              <w:t>2,789.02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73.10%</w:t>
            </w:r>
          </w:p>
        </w:tc>
      </w:tr>
      <w:tr>
        <w:trPr>
          <w:trHeight w:val="557"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东北区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944.55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102.98%</w:t>
            </w:r>
          </w:p>
        </w:tc>
      </w:tr>
      <w:tr>
        <w:trPr>
          <w:trHeight w:val="559"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Times New Roman" w:hAnsi="Times New Roman" w:cs="Times New Roman" w:eastAsia="Times New Roman" w:hint="default"/>
                <w:sz w:val="21"/>
                <w:szCs w:val="21"/>
              </w:rPr>
            </w:pPr>
            <w:r>
              <w:rPr>
                <w:rFonts w:ascii="Times New Roman"/>
                <w:sz w:val="21"/>
              </w:rPr>
              <w:t>1,393.67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-12.18%</w:t>
            </w:r>
          </w:p>
        </w:tc>
      </w:tr>
      <w:tr>
        <w:trPr>
          <w:trHeight w:val="559"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20,852.71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51.73%</w:t>
            </w:r>
          </w:p>
        </w:tc>
      </w:tr>
    </w:tbl>
    <w:p>
      <w:pPr>
        <w:pStyle w:val="BodyText"/>
        <w:spacing w:line="355" w:lineRule="auto" w:before="79"/>
        <w:ind w:left="342" w:right="339" w:firstLine="479"/>
        <w:jc w:val="left"/>
      </w:pPr>
      <w:r>
        <w:rPr>
          <w:spacing w:val="-1"/>
        </w:rPr>
        <w:t>报告期内，公司各主要销售区域业绩稳步的增长，主要是公司加大了各地区的</w:t>
      </w:r>
      <w:r>
        <w:rPr/>
        <w:t> 销售工作力度所致。</w:t>
      </w:r>
    </w:p>
    <w:p>
      <w:pPr>
        <w:spacing w:after="0" w:line="355" w:lineRule="auto"/>
        <w:jc w:val="left"/>
        <w:sectPr>
          <w:pgSz w:w="11910" w:h="16840"/>
          <w:pgMar w:header="877" w:footer="1267" w:top="1060" w:bottom="1460" w:left="1360" w:right="12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496" w:lineRule="auto" w:before="59"/>
        <w:ind w:left="142" w:right="5733" w:firstLine="0"/>
        <w:jc w:val="left"/>
        <w:rPr>
          <w:rFonts w:ascii="宋体" w:hAnsi="宋体" w:cs="宋体" w:eastAsia="宋体" w:hint="default"/>
          <w:sz w:val="24"/>
          <w:szCs w:val="24"/>
        </w:rPr>
      </w:pPr>
      <w:r>
        <w:rPr/>
        <w:pict>
          <v:shape style="position:absolute;margin-left:89.064003pt;margin-top:57.065598pt;width:423.2pt;height:56.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9"/>
                    <w:gridCol w:w="2215"/>
                    <w:gridCol w:w="2216"/>
                    <w:gridCol w:w="2050"/>
                  </w:tblGrid>
                  <w:tr>
                    <w:trPr>
                      <w:trHeight w:val="557" w:hRule="exact"/>
                    </w:trPr>
                    <w:tc>
                      <w:tcPr>
                        <w:tcW w:w="1969"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221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left="70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sz w:val="24"/>
                            <w:szCs w:val="24"/>
                          </w:rPr>
                        </w:r>
                      </w:p>
                    </w:tc>
                    <w:tc>
                      <w:tcPr>
                        <w:tcW w:w="22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2"/>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2"/>
                          <w:jc w:val="center"/>
                          <w:rPr>
                            <w:rFonts w:ascii="宋体" w:hAnsi="宋体" w:cs="宋体" w:eastAsia="宋体" w:hint="default"/>
                            <w:sz w:val="24"/>
                            <w:szCs w:val="24"/>
                          </w:rPr>
                        </w:pPr>
                        <w:r>
                          <w:rPr>
                            <w:rFonts w:ascii="宋体" w:hAnsi="宋体" w:cs="宋体" w:eastAsia="宋体" w:hint="default"/>
                            <w:b/>
                            <w:bCs/>
                            <w:sz w:val="24"/>
                            <w:szCs w:val="24"/>
                          </w:rPr>
                          <w:t>同比增减</w:t>
                        </w:r>
                        <w:r>
                          <w:rPr>
                            <w:rFonts w:ascii="宋体" w:hAnsi="宋体" w:cs="宋体" w:eastAsia="宋体" w:hint="default"/>
                            <w:sz w:val="24"/>
                            <w:szCs w:val="24"/>
                          </w:rPr>
                        </w:r>
                      </w:p>
                    </w:tc>
                  </w:tr>
                  <w:tr>
                    <w:trPr>
                      <w:trHeight w:val="559"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6" w:right="0"/>
                          <w:jc w:val="left"/>
                          <w:rPr>
                            <w:rFonts w:ascii="宋体" w:hAnsi="宋体" w:cs="宋体" w:eastAsia="宋体" w:hint="default"/>
                            <w:sz w:val="24"/>
                            <w:szCs w:val="24"/>
                          </w:rPr>
                        </w:pPr>
                        <w:r>
                          <w:rPr>
                            <w:rFonts w:ascii="宋体" w:hAnsi="宋体" w:cs="宋体" w:eastAsia="宋体" w:hint="default"/>
                            <w:sz w:val="24"/>
                            <w:szCs w:val="24"/>
                          </w:rPr>
                          <w:t>综合毛利率</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729" w:right="0"/>
                          <w:jc w:val="left"/>
                          <w:rPr>
                            <w:rFonts w:ascii="Times New Roman" w:hAnsi="Times New Roman" w:cs="Times New Roman" w:eastAsia="Times New Roman" w:hint="default"/>
                            <w:sz w:val="24"/>
                            <w:szCs w:val="24"/>
                          </w:rPr>
                        </w:pPr>
                        <w:r>
                          <w:rPr>
                            <w:rFonts w:ascii="Times New Roman"/>
                            <w:sz w:val="24"/>
                          </w:rPr>
                          <w:t>53.01%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24"/>
                            <w:szCs w:val="24"/>
                          </w:rPr>
                        </w:pPr>
                        <w:r>
                          <w:rPr>
                            <w:rFonts w:ascii="Times New Roman"/>
                            <w:sz w:val="24"/>
                          </w:rPr>
                          <w:t>58.64%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
                          <w:jc w:val="center"/>
                          <w:rPr>
                            <w:rFonts w:ascii="Times New Roman" w:hAnsi="Times New Roman" w:cs="Times New Roman" w:eastAsia="Times New Roman" w:hint="default"/>
                            <w:sz w:val="24"/>
                            <w:szCs w:val="24"/>
                          </w:rPr>
                        </w:pPr>
                        <w:r>
                          <w:rPr>
                            <w:rFonts w:ascii="Times New Roman"/>
                            <w:sz w:val="24"/>
                          </w:rPr>
                          <w:t>-5.63%</w:t>
                        </w:r>
                      </w:p>
                    </w:tc>
                  </w:tr>
                </w:tbl>
                <w:p>
                  <w:pPr/>
                </w:p>
              </w:txbxContent>
            </v:textbox>
            <w10:wrap type="none"/>
          </v:shape>
        </w:pic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、报告期内公司毛利率情况</w:t>
      </w:r>
      <w:r>
        <w:rPr>
          <w:rFonts w:ascii="宋体" w:hAnsi="宋体" w:cs="宋体" w:eastAsia="宋体" w:hint="default"/>
          <w:b/>
          <w:bCs/>
          <w:w w:val="99"/>
          <w:sz w:val="24"/>
          <w:szCs w:val="24"/>
        </w:rPr>
        <w:t> </w:t>
      </w:r>
      <w:r>
        <w:rPr>
          <w:rFonts w:ascii="宋体" w:hAnsi="宋体" w:cs="宋体" w:eastAsia="宋体" w:hint="default"/>
          <w:sz w:val="24"/>
          <w:szCs w:val="24"/>
        </w:rPr>
        <w:t>公司综合毛利率情况如下：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38" w:lineRule="auto" w:before="26"/>
        <w:ind w:right="297" w:firstLine="479"/>
        <w:jc w:val="both"/>
      </w:pPr>
      <w:r>
        <w:rPr/>
        <w:t>报告期公司综合毛利率较去年同期下降</w:t>
      </w:r>
      <w:r>
        <w:rPr>
          <w:spacing w:val="36"/>
        </w:rPr>
        <w:t> </w:t>
      </w:r>
      <w:r>
        <w:rPr>
          <w:rFonts w:ascii="Times New Roman" w:hAnsi="Times New Roman" w:cs="Times New Roman" w:eastAsia="Times New Roman" w:hint="default"/>
        </w:rPr>
        <w:t>5.63%</w:t>
      </w:r>
      <w:r>
        <w:rPr/>
        <w:t>，主要是因为公司营业收入主 要来源于</w:t>
      </w:r>
      <w:r>
        <w:rPr>
          <w:spacing w:val="-62"/>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机销售收入，占全部收入的</w:t>
      </w:r>
      <w:r>
        <w:rPr>
          <w:spacing w:val="-61"/>
        </w:rPr>
        <w:t> </w:t>
      </w:r>
      <w:r>
        <w:rPr>
          <w:rFonts w:ascii="Times New Roman" w:hAnsi="Times New Roman" w:cs="Times New Roman" w:eastAsia="Times New Roman" w:hint="default"/>
        </w:rPr>
        <w:t>92.58%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r>
        <w:rPr>
          <w:spacing w:val="-61"/>
        </w:rPr>
        <w:t> </w:t>
      </w:r>
      <w:r>
        <w:rPr>
          <w:rFonts w:ascii="Times New Roman" w:hAnsi="Times New Roman" w:cs="Times New Roman" w:eastAsia="Times New Roman" w:hint="default"/>
        </w:rPr>
        <w:t>POS </w:t>
      </w:r>
      <w:r>
        <w:rPr/>
        <w:t>机的毛利率为 </w:t>
      </w:r>
      <w:r>
        <w:rPr>
          <w:rFonts w:ascii="Times New Roman" w:hAnsi="Times New Roman" w:cs="Times New Roman" w:eastAsia="Times New Roman" w:hint="default"/>
        </w:rPr>
        <w:t>51.34%</w:t>
      </w:r>
      <w:r>
        <w:rPr/>
        <w:t>，较</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年下降</w:t>
      </w:r>
      <w:r>
        <w:rPr>
          <w:spacing w:val="-61"/>
        </w:rPr>
        <w:t> </w:t>
      </w:r>
      <w:r>
        <w:rPr>
          <w:rFonts w:ascii="Times New Roman" w:hAnsi="Times New Roman" w:cs="Times New Roman" w:eastAsia="Times New Roman" w:hint="default"/>
        </w:rPr>
        <w:t>5.4%</w:t>
      </w:r>
      <w:r>
        <w:rPr/>
        <w:t>，导致公司综合毛利率下降</w:t>
      </w:r>
      <w:r>
        <w:rPr>
          <w:spacing w:val="-61"/>
        </w:rPr>
        <w:t> </w:t>
      </w:r>
      <w:r>
        <w:rPr>
          <w:rFonts w:ascii="Times New Roman" w:hAnsi="Times New Roman" w:cs="Times New Roman" w:eastAsia="Times New Roman" w:hint="default"/>
        </w:rPr>
        <w:t>5.63%</w:t>
      </w:r>
      <w:r>
        <w:rPr/>
        <w:t>。</w:t>
      </w:r>
    </w:p>
    <w:p>
      <w:pPr>
        <w:spacing w:line="240" w:lineRule="auto" w:before="6"/>
        <w:rPr>
          <w:rFonts w:ascii="宋体" w:hAnsi="宋体" w:cs="宋体" w:eastAsia="宋体" w:hint="default"/>
          <w:sz w:val="24"/>
          <w:szCs w:val="24"/>
        </w:rPr>
      </w:pPr>
    </w:p>
    <w:p>
      <w:pPr>
        <w:pStyle w:val="Heading6"/>
        <w:spacing w:line="240" w:lineRule="auto"/>
        <w:ind w:right="1334"/>
        <w:jc w:val="left"/>
        <w:rPr>
          <w:b w:val="0"/>
          <w:bCs w:val="0"/>
        </w:rPr>
      </w:pPr>
      <w:r>
        <w:rPr>
          <w:rFonts w:ascii="Times New Roman" w:hAnsi="Times New Roman" w:cs="Times New Roman" w:eastAsia="Times New Roman" w:hint="default"/>
        </w:rPr>
        <w:t>4</w:t>
      </w:r>
      <w:r>
        <w:rPr/>
        <w:t>、公司主要客户和供应商情况</w:t>
      </w:r>
      <w:r>
        <w:rPr>
          <w:b w:val="0"/>
          <w:bCs w:val="0"/>
        </w:rPr>
      </w:r>
    </w:p>
    <w:p>
      <w:pPr>
        <w:spacing w:line="240" w:lineRule="auto" w:before="3"/>
        <w:rPr>
          <w:rFonts w:ascii="宋体" w:hAnsi="宋体" w:cs="宋体" w:eastAsia="宋体" w:hint="default"/>
          <w:b/>
          <w:bCs/>
          <w:sz w:val="27"/>
          <w:szCs w:val="27"/>
        </w:rPr>
      </w:pPr>
    </w:p>
    <w:p>
      <w:pPr>
        <w:pStyle w:val="BodyText"/>
        <w:spacing w:line="309" w:lineRule="auto"/>
        <w:ind w:left="621" w:right="3567" w:hanging="480"/>
        <w:jc w:val="left"/>
      </w:pPr>
      <w:r>
        <w:rPr/>
        <w:t>（</w:t>
      </w:r>
      <w:r>
        <w:rPr>
          <w:rFonts w:ascii="Times New Roman" w:hAnsi="Times New Roman" w:cs="Times New Roman" w:eastAsia="Times New Roman" w:hint="default"/>
        </w:rPr>
        <w:t>1</w:t>
      </w:r>
      <w:r>
        <w:rPr/>
        <w:t>）报告期内单一销售比例超过</w:t>
      </w:r>
      <w:r>
        <w:rPr>
          <w:spacing w:val="-62"/>
        </w:rPr>
        <w:t> </w:t>
      </w:r>
      <w:r>
        <w:rPr>
          <w:rFonts w:ascii="Times New Roman" w:hAnsi="Times New Roman" w:cs="Times New Roman" w:eastAsia="Times New Roman" w:hint="default"/>
        </w:rPr>
        <w:t>30%</w:t>
      </w:r>
      <w:r>
        <w:rPr/>
        <w:t>的客户情况 公司主要客户情况：</w:t>
      </w:r>
    </w:p>
    <w:p>
      <w:pPr>
        <w:spacing w:before="150"/>
        <w:ind w:left="0" w:right="461" w:firstLine="0"/>
        <w:jc w:val="right"/>
        <w:rPr>
          <w:rFonts w:ascii="宋体" w:hAnsi="宋体" w:cs="宋体" w:eastAsia="宋体" w:hint="default"/>
          <w:sz w:val="21"/>
          <w:szCs w:val="21"/>
        </w:rPr>
      </w:pPr>
      <w:r>
        <w:rPr>
          <w:rFonts w:ascii="宋体" w:hAnsi="宋体" w:cs="宋体" w:eastAsia="宋体" w:hint="default"/>
          <w:sz w:val="21"/>
          <w:szCs w:val="21"/>
        </w:rPr>
        <w:t>单位：</w:t>
      </w:r>
    </w:p>
    <w:p>
      <w:pPr>
        <w:spacing w:line="240" w:lineRule="auto" w:before="10"/>
        <w:rPr>
          <w:rFonts w:ascii="宋体" w:hAnsi="宋体" w:cs="宋体" w:eastAsia="宋体" w:hint="default"/>
          <w:sz w:val="14"/>
          <w:szCs w:val="14"/>
        </w:rPr>
      </w:pPr>
    </w:p>
    <w:p>
      <w:pPr>
        <w:spacing w:before="0"/>
        <w:ind w:left="142" w:right="1334" w:firstLine="0"/>
        <w:jc w:val="left"/>
        <w:rPr>
          <w:rFonts w:ascii="宋体" w:hAnsi="宋体" w:cs="宋体" w:eastAsia="宋体" w:hint="default"/>
          <w:sz w:val="21"/>
          <w:szCs w:val="21"/>
        </w:rPr>
      </w:pPr>
      <w:r>
        <w:rPr>
          <w:rFonts w:ascii="宋体" w:hAnsi="宋体" w:cs="宋体" w:eastAsia="宋体" w:hint="default"/>
          <w:sz w:val="21"/>
          <w:szCs w:val="21"/>
        </w:rPr>
        <w:t>人民币万元</w:t>
      </w:r>
    </w:p>
    <w:p>
      <w:pPr>
        <w:spacing w:line="240" w:lineRule="auto" w:before="13"/>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3644"/>
        <w:gridCol w:w="1748"/>
        <w:gridCol w:w="1418"/>
        <w:gridCol w:w="1712"/>
      </w:tblGrid>
      <w:tr>
        <w:trPr>
          <w:trHeight w:val="557" w:hRule="exact"/>
        </w:trPr>
        <w:tc>
          <w:tcPr>
            <w:tcW w:w="3644"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71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427"/>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559"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前五名客户合计销售金额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14,647.96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11,031.86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22"/>
              <w:jc w:val="right"/>
              <w:rPr>
                <w:rFonts w:ascii="Times New Roman" w:hAnsi="Times New Roman" w:cs="Times New Roman" w:eastAsia="Times New Roman" w:hint="default"/>
                <w:sz w:val="21"/>
                <w:szCs w:val="21"/>
              </w:rPr>
            </w:pPr>
            <w:r>
              <w:rPr>
                <w:rFonts w:ascii="Times New Roman"/>
                <w:sz w:val="21"/>
              </w:rPr>
              <w:t>32.78%</w:t>
            </w:r>
          </w:p>
        </w:tc>
      </w:tr>
      <w:tr>
        <w:trPr>
          <w:trHeight w:val="557"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占年度销售总金额的比例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70.24%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78.95%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44"/>
              <w:jc w:val="right"/>
              <w:rPr>
                <w:rFonts w:ascii="Times New Roman" w:hAnsi="Times New Roman" w:cs="Times New Roman" w:eastAsia="Times New Roman" w:hint="default"/>
                <w:sz w:val="21"/>
                <w:szCs w:val="21"/>
              </w:rPr>
            </w:pPr>
            <w:r>
              <w:rPr>
                <w:rFonts w:ascii="Times New Roman"/>
                <w:spacing w:val="-1"/>
                <w:sz w:val="21"/>
              </w:rPr>
              <w:t>-8.71%</w:t>
            </w:r>
          </w:p>
        </w:tc>
      </w:tr>
      <w:tr>
        <w:trPr>
          <w:trHeight w:val="559"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前五名客户应收账款的余额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5,848.18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2,575.19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70"/>
              <w:jc w:val="right"/>
              <w:rPr>
                <w:rFonts w:ascii="Times New Roman" w:hAnsi="Times New Roman" w:cs="Times New Roman" w:eastAsia="Times New Roman" w:hint="default"/>
                <w:sz w:val="21"/>
                <w:szCs w:val="21"/>
              </w:rPr>
            </w:pPr>
            <w:r>
              <w:rPr>
                <w:rFonts w:ascii="Times New Roman"/>
                <w:sz w:val="21"/>
              </w:rPr>
              <w:t>127.10%</w:t>
            </w:r>
          </w:p>
        </w:tc>
      </w:tr>
      <w:tr>
        <w:trPr>
          <w:trHeight w:val="934"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占公司应收账款总余额的比例（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80.51%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21" w:right="176"/>
        <w:jc w:val="left"/>
      </w:pPr>
      <w:r>
        <w:rPr/>
        <w:t>中国银联体系、商业银行和社会第三方收单服务机构销售占比情况</w:t>
      </w:r>
    </w:p>
    <w:p>
      <w:pPr>
        <w:spacing w:before="66"/>
        <w:ind w:left="0" w:right="298"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2"/>
        <w:rPr>
          <w:rFonts w:ascii="宋体" w:hAnsi="宋体" w:cs="宋体" w:eastAsia="宋体" w:hint="default"/>
          <w:sz w:val="6"/>
          <w:szCs w:val="6"/>
        </w:rPr>
      </w:pPr>
    </w:p>
    <w:tbl>
      <w:tblPr>
        <w:tblW w:w="0" w:type="auto"/>
        <w:jc w:val="left"/>
        <w:tblInd w:w="166" w:type="dxa"/>
        <w:tblLayout w:type="fixed"/>
        <w:tblCellMar>
          <w:top w:w="0" w:type="dxa"/>
          <w:left w:w="0" w:type="dxa"/>
          <w:bottom w:w="0" w:type="dxa"/>
          <w:right w:w="0" w:type="dxa"/>
        </w:tblCellMar>
        <w:tblLook w:val="01E0"/>
      </w:tblPr>
      <w:tblGrid>
        <w:gridCol w:w="1582"/>
        <w:gridCol w:w="1875"/>
        <w:gridCol w:w="1755"/>
        <w:gridCol w:w="1757"/>
        <w:gridCol w:w="1592"/>
      </w:tblGrid>
      <w:tr>
        <w:trPr>
          <w:trHeight w:val="1025" w:hRule="exact"/>
        </w:trPr>
        <w:tc>
          <w:tcPr>
            <w:tcW w:w="158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87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销售金额</w:t>
            </w:r>
            <w:r>
              <w:rPr>
                <w:rFonts w:ascii="宋体" w:hAnsi="宋体" w:cs="宋体" w:eastAsia="宋体" w:hint="default"/>
                <w:sz w:val="21"/>
                <w:szCs w:val="21"/>
              </w:rPr>
            </w:r>
          </w:p>
        </w:tc>
        <w:tc>
          <w:tcPr>
            <w:tcW w:w="175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同比增减幅度</w:t>
            </w:r>
            <w:r>
              <w:rPr>
                <w:rFonts w:ascii="宋体" w:hAnsi="宋体" w:cs="宋体" w:eastAsia="宋体"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5" w:lineRule="auto" w:before="105"/>
              <w:ind w:left="451" w:right="132" w:hanging="317"/>
              <w:jc w:val="left"/>
              <w:rPr>
                <w:rFonts w:ascii="宋体" w:hAnsi="宋体" w:cs="宋体" w:eastAsia="宋体" w:hint="default"/>
                <w:sz w:val="21"/>
                <w:szCs w:val="21"/>
              </w:rPr>
            </w:pPr>
            <w:r>
              <w:rPr>
                <w:rFonts w:ascii="宋体" w:hAnsi="宋体" w:cs="宋体" w:eastAsia="宋体" w:hint="default"/>
                <w:b/>
                <w:bCs/>
                <w:sz w:val="21"/>
                <w:szCs w:val="21"/>
              </w:rPr>
              <w:t>占年度销售总金</w:t>
            </w:r>
            <w:r>
              <w:rPr>
                <w:rFonts w:ascii="宋体" w:hAnsi="宋体" w:cs="宋体" w:eastAsia="宋体" w:hint="default"/>
                <w:b/>
                <w:bCs/>
                <w:spacing w:val="-104"/>
                <w:sz w:val="21"/>
                <w:szCs w:val="21"/>
              </w:rPr>
              <w:t> </w:t>
            </w:r>
            <w:r>
              <w:rPr>
                <w:rFonts w:ascii="宋体" w:hAnsi="宋体" w:cs="宋体" w:eastAsia="宋体" w:hint="default"/>
                <w:b/>
                <w:bCs/>
                <w:sz w:val="21"/>
                <w:szCs w:val="21"/>
              </w:rPr>
              <w:t>额的比例</w:t>
            </w:r>
            <w:r>
              <w:rPr>
                <w:rFonts w:ascii="宋体" w:hAnsi="宋体" w:cs="宋体" w:eastAsia="宋体" w:hint="default"/>
                <w:sz w:val="21"/>
                <w:szCs w:val="21"/>
              </w:rPr>
            </w:r>
          </w:p>
        </w:tc>
        <w:tc>
          <w:tcPr>
            <w:tcW w:w="15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同比增减幅度</w:t>
            </w:r>
            <w:r>
              <w:rPr>
                <w:rFonts w:ascii="宋体" w:hAnsi="宋体" w:cs="宋体" w:eastAsia="宋体" w:hint="default"/>
                <w:sz w:val="21"/>
                <w:szCs w:val="21"/>
              </w:rPr>
            </w:r>
          </w:p>
        </w:tc>
      </w:tr>
      <w:tr>
        <w:trPr>
          <w:trHeight w:val="55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中国银联体系</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85,004,373.16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22.05%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40.76%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-9.92%</w:t>
            </w:r>
          </w:p>
        </w:tc>
      </w:tr>
      <w:tr>
        <w:trPr>
          <w:trHeight w:val="55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商业银行</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41,185,089.37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72.38%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22.63%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5.25%</w:t>
            </w:r>
          </w:p>
        </w:tc>
      </w:tr>
      <w:tr>
        <w:trPr>
          <w:trHeight w:val="91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社会第三方收</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34,481,915.28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23.77%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16.54%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-3.73%</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7" w:top="1060" w:bottom="1460" w:left="1560" w:right="1440"/>
        </w:sectPr>
      </w:pPr>
    </w:p>
    <w:p>
      <w:pPr>
        <w:spacing w:line="240" w:lineRule="auto" w:before="11"/>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582"/>
        <w:gridCol w:w="1875"/>
        <w:gridCol w:w="1755"/>
        <w:gridCol w:w="1757"/>
        <w:gridCol w:w="1592"/>
      </w:tblGrid>
      <w:tr>
        <w:trPr>
          <w:trHeight w:val="932" w:hRule="exact"/>
        </w:trPr>
        <w:tc>
          <w:tcPr>
            <w:tcW w:w="15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6"/>
              <w:ind w:left="259" w:right="0"/>
              <w:jc w:val="left"/>
              <w:rPr>
                <w:rFonts w:ascii="宋体" w:hAnsi="宋体" w:cs="宋体" w:eastAsia="宋体" w:hint="default"/>
                <w:sz w:val="21"/>
                <w:szCs w:val="21"/>
              </w:rPr>
            </w:pPr>
            <w:r>
              <w:rPr>
                <w:rFonts w:ascii="宋体" w:hAnsi="宋体" w:cs="宋体" w:eastAsia="宋体" w:hint="default"/>
                <w:sz w:val="21"/>
                <w:szCs w:val="21"/>
              </w:rPr>
              <w:t>单服务机构</w:t>
            </w:r>
          </w:p>
        </w:tc>
        <w:tc>
          <w:tcPr>
            <w:tcW w:w="1875" w:type="dxa"/>
            <w:tcBorders>
              <w:top w:val="single" w:sz="15" w:space="0" w:color="000000"/>
              <w:left w:val="single" w:sz="4" w:space="0" w:color="000000"/>
              <w:bottom w:val="single" w:sz="4" w:space="0" w:color="000000"/>
              <w:right w:val="single" w:sz="4" w:space="0" w:color="000000"/>
            </w:tcBorders>
          </w:tcPr>
          <w:p>
            <w:pPr/>
          </w:p>
        </w:tc>
        <w:tc>
          <w:tcPr>
            <w:tcW w:w="1755" w:type="dxa"/>
            <w:tcBorders>
              <w:top w:val="single" w:sz="15" w:space="0" w:color="000000"/>
              <w:left w:val="single" w:sz="4" w:space="0" w:color="000000"/>
              <w:bottom w:val="single" w:sz="4" w:space="0" w:color="000000"/>
              <w:right w:val="single" w:sz="4" w:space="0" w:color="000000"/>
            </w:tcBorders>
          </w:tcPr>
          <w:p>
            <w:pPr/>
          </w:p>
        </w:tc>
        <w:tc>
          <w:tcPr>
            <w:tcW w:w="1757" w:type="dxa"/>
            <w:tcBorders>
              <w:top w:val="single" w:sz="15" w:space="0" w:color="000000"/>
              <w:left w:val="single" w:sz="4" w:space="0" w:color="000000"/>
              <w:bottom w:val="single" w:sz="4" w:space="0" w:color="000000"/>
              <w:right w:val="single" w:sz="4" w:space="0" w:color="000000"/>
            </w:tcBorders>
          </w:tcPr>
          <w:p>
            <w:pPr/>
          </w:p>
        </w:tc>
        <w:tc>
          <w:tcPr>
            <w:tcW w:w="1592" w:type="dxa"/>
            <w:tcBorders>
              <w:top w:val="single" w:sz="15"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spacing w:line="386" w:lineRule="auto" w:before="36"/>
        <w:ind w:left="102" w:right="100" w:firstLine="0"/>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中国银联体系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是指银联商务、广州好易联、深圳银联商务三个采购主体，由于该三个客</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户均为中国银联下属控股公司，因此合并计算。</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338" w:lineRule="auto"/>
        <w:ind w:left="102" w:right="105" w:firstLine="479"/>
        <w:jc w:val="left"/>
      </w:pPr>
      <w:r>
        <w:rPr/>
        <w:t>报告期内，公司单一销售比例超过</w:t>
      </w:r>
      <w:r>
        <w:rPr>
          <w:rFonts w:ascii="Times New Roman" w:hAnsi="Times New Roman" w:cs="Times New Roman" w:eastAsia="Times New Roman" w:hint="default"/>
        </w:rPr>
        <w:t>30%</w:t>
      </w:r>
      <w:r>
        <w:rPr/>
        <w:t>的客户为中国银联，来自中国银联的营 业收入为</w:t>
      </w:r>
      <w:r>
        <w:rPr>
          <w:rFonts w:ascii="Times New Roman" w:hAnsi="Times New Roman" w:cs="Times New Roman" w:eastAsia="Times New Roman" w:hint="default"/>
        </w:rPr>
        <w:t>8,500.44</w:t>
      </w:r>
      <w:r>
        <w:rPr/>
        <w:t>万元，占营业收入的</w:t>
      </w:r>
      <w:r>
        <w:rPr>
          <w:rFonts w:ascii="Times New Roman" w:hAnsi="Times New Roman" w:cs="Times New Roman" w:eastAsia="Times New Roman" w:hint="default"/>
        </w:rPr>
        <w:t>40.76%</w:t>
      </w:r>
      <w:r>
        <w:rPr/>
        <w:t>。</w:t>
      </w:r>
    </w:p>
    <w:p>
      <w:pPr>
        <w:pStyle w:val="BodyText"/>
        <w:spacing w:line="357" w:lineRule="auto" w:before="68"/>
        <w:ind w:left="102" w:right="99" w:firstLine="479"/>
        <w:jc w:val="left"/>
      </w:pPr>
      <w:r>
        <w:rPr>
          <w:spacing w:val="-1"/>
        </w:rPr>
        <w:t>报告期，公司加大了商业银行、社会第三方收单服务机构的市场推广力度，共</w:t>
      </w:r>
      <w:r>
        <w:rPr/>
        <w:t> 实现营业收入</w:t>
      </w:r>
      <w:r>
        <w:rPr>
          <w:rFonts w:ascii="Times New Roman" w:hAnsi="Times New Roman" w:cs="Times New Roman" w:eastAsia="Times New Roman" w:hint="default"/>
        </w:rPr>
        <w:t>7,566.70</w:t>
      </w:r>
      <w:r>
        <w:rPr/>
        <w:t>万元，比去年增长</w:t>
      </w:r>
      <w:r>
        <w:rPr>
          <w:rFonts w:ascii="Times New Roman" w:hAnsi="Times New Roman" w:cs="Times New Roman" w:eastAsia="Times New Roman" w:hint="default"/>
        </w:rPr>
        <w:t>46.21%</w:t>
      </w:r>
      <w:r>
        <w:rPr/>
        <w:t>，占营业收入的</w:t>
      </w:r>
      <w:r>
        <w:rPr>
          <w:rFonts w:ascii="Times New Roman" w:hAnsi="Times New Roman" w:cs="Times New Roman" w:eastAsia="Times New Roman" w:hint="default"/>
        </w:rPr>
        <w:t>39.17%</w:t>
      </w: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267" w:top="1060" w:bottom="1460" w:left="1600" w:right="1480"/>
        </w:sectPr>
      </w:pPr>
    </w:p>
    <w:p>
      <w:pPr>
        <w:pStyle w:val="BodyText"/>
        <w:spacing w:line="240" w:lineRule="auto" w:before="26"/>
        <w:ind w:left="102" w:right="-19"/>
        <w:jc w:val="left"/>
      </w:pPr>
      <w:r>
        <w:rPr/>
        <w:t>（</w:t>
      </w:r>
      <w:r>
        <w:rPr>
          <w:rFonts w:ascii="Times New Roman" w:hAnsi="Times New Roman" w:cs="Times New Roman" w:eastAsia="Times New Roman" w:hint="default"/>
        </w:rPr>
        <w:t>2</w:t>
      </w:r>
      <w:r>
        <w:rPr/>
        <w:t>）报告期内单一采购比例超过</w:t>
      </w:r>
      <w:r>
        <w:rPr>
          <w:spacing w:val="-62"/>
        </w:rPr>
        <w:t> </w:t>
      </w:r>
      <w:r>
        <w:rPr>
          <w:rFonts w:ascii="Times New Roman" w:hAnsi="Times New Roman" w:cs="Times New Roman" w:eastAsia="Times New Roman" w:hint="default"/>
        </w:rPr>
        <w:t>30%</w:t>
      </w:r>
      <w:r>
        <w:rPr/>
        <w:t>的供应商情况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spacing w:before="0"/>
        <w:ind w:left="102"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40"/>
          <w:pgMar w:top="1060" w:bottom="1460" w:left="1600" w:right="1480"/>
          <w:cols w:num="2" w:equalWidth="0">
            <w:col w:w="5522" w:space="1415"/>
            <w:col w:w="1893"/>
          </w:cols>
        </w:sectPr>
      </w:pPr>
    </w:p>
    <w:p>
      <w:pPr>
        <w:spacing w:line="240" w:lineRule="auto" w:before="10"/>
        <w:rPr>
          <w:rFonts w:ascii="宋体" w:hAnsi="宋体" w:cs="宋体" w:eastAsia="宋体" w:hint="default"/>
          <w:sz w:val="12"/>
          <w:szCs w:val="12"/>
        </w:rPr>
      </w:pPr>
    </w:p>
    <w:tbl>
      <w:tblPr>
        <w:tblW w:w="0" w:type="auto"/>
        <w:jc w:val="left"/>
        <w:tblInd w:w="157" w:type="dxa"/>
        <w:tblLayout w:type="fixed"/>
        <w:tblCellMar>
          <w:top w:w="0" w:type="dxa"/>
          <w:left w:w="0" w:type="dxa"/>
          <w:bottom w:w="0" w:type="dxa"/>
          <w:right w:w="0" w:type="dxa"/>
        </w:tblCellMar>
        <w:tblLook w:val="01E0"/>
      </w:tblPr>
      <w:tblGrid>
        <w:gridCol w:w="3485"/>
        <w:gridCol w:w="1700"/>
        <w:gridCol w:w="1522"/>
        <w:gridCol w:w="1791"/>
      </w:tblGrid>
      <w:tr>
        <w:trPr>
          <w:trHeight w:val="480" w:hRule="exact"/>
        </w:trPr>
        <w:tc>
          <w:tcPr>
            <w:tcW w:w="3485"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9"/>
              <w:ind w:left="5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15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9"/>
              <w:ind w:left="4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516"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前五名供应商合计采购售金额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01" w:right="0"/>
              <w:jc w:val="left"/>
              <w:rPr>
                <w:rFonts w:ascii="Times New Roman" w:hAnsi="Times New Roman" w:cs="Times New Roman" w:eastAsia="Times New Roman" w:hint="default"/>
                <w:sz w:val="21"/>
                <w:szCs w:val="21"/>
              </w:rPr>
            </w:pPr>
            <w:r>
              <w:rPr>
                <w:rFonts w:ascii="Times New Roman"/>
                <w:sz w:val="21"/>
              </w:rPr>
              <w:t>4632.13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12" w:right="0"/>
              <w:jc w:val="left"/>
              <w:rPr>
                <w:rFonts w:ascii="Times New Roman" w:hAnsi="Times New Roman" w:cs="Times New Roman" w:eastAsia="Times New Roman" w:hint="default"/>
                <w:sz w:val="21"/>
                <w:szCs w:val="21"/>
              </w:rPr>
            </w:pPr>
            <w:r>
              <w:rPr>
                <w:rFonts w:ascii="Times New Roman"/>
                <w:sz w:val="21"/>
              </w:rPr>
              <w:t>2983.25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21"/>
                <w:szCs w:val="21"/>
              </w:rPr>
            </w:pPr>
            <w:r>
              <w:rPr>
                <w:rFonts w:ascii="Times New Roman"/>
                <w:sz w:val="21"/>
              </w:rPr>
              <w:t>55.27%</w:t>
            </w:r>
          </w:p>
        </w:tc>
      </w:tr>
      <w:tr>
        <w:trPr>
          <w:trHeight w:val="48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占年度采购总金额的比例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18" w:right="0"/>
              <w:jc w:val="left"/>
              <w:rPr>
                <w:rFonts w:ascii="Times New Roman" w:hAnsi="Times New Roman" w:cs="Times New Roman" w:eastAsia="Times New Roman" w:hint="default"/>
                <w:sz w:val="21"/>
                <w:szCs w:val="21"/>
              </w:rPr>
            </w:pPr>
            <w:r>
              <w:rPr>
                <w:rFonts w:ascii="Times New Roman"/>
                <w:sz w:val="21"/>
              </w:rPr>
              <w:t>35.73%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31" w:right="0"/>
              <w:jc w:val="left"/>
              <w:rPr>
                <w:rFonts w:ascii="Times New Roman" w:hAnsi="Times New Roman" w:cs="Times New Roman" w:eastAsia="Times New Roman" w:hint="default"/>
                <w:sz w:val="21"/>
                <w:szCs w:val="21"/>
              </w:rPr>
            </w:pPr>
            <w:r>
              <w:rPr>
                <w:rFonts w:ascii="Times New Roman"/>
                <w:sz w:val="21"/>
              </w:rPr>
              <w:t>44.82%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-9.09%</w:t>
            </w:r>
          </w:p>
        </w:tc>
      </w:tr>
      <w:tr>
        <w:trPr>
          <w:trHeight w:val="48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前五名供应商合计应付账款的余额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01" w:right="0"/>
              <w:jc w:val="left"/>
              <w:rPr>
                <w:rFonts w:ascii="Times New Roman" w:hAnsi="Times New Roman" w:cs="Times New Roman" w:eastAsia="Times New Roman" w:hint="default"/>
                <w:sz w:val="21"/>
                <w:szCs w:val="21"/>
              </w:rPr>
            </w:pPr>
            <w:r>
              <w:rPr>
                <w:rFonts w:ascii="Times New Roman"/>
                <w:sz w:val="21"/>
              </w:rPr>
              <w:t>1345.29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65" w:right="0"/>
              <w:jc w:val="left"/>
              <w:rPr>
                <w:rFonts w:ascii="Times New Roman" w:hAnsi="Times New Roman" w:cs="Times New Roman" w:eastAsia="Times New Roman" w:hint="default"/>
                <w:sz w:val="21"/>
                <w:szCs w:val="21"/>
              </w:rPr>
            </w:pPr>
            <w:r>
              <w:rPr>
                <w:rFonts w:ascii="Times New Roman"/>
                <w:sz w:val="21"/>
              </w:rPr>
              <w:t>401.39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235.16%</w:t>
            </w:r>
          </w:p>
        </w:tc>
      </w:tr>
      <w:tr>
        <w:trPr>
          <w:trHeight w:val="648"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占公司应付账款总余额的比例（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48.42%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46.24%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2.18%</w:t>
            </w:r>
          </w:p>
        </w:tc>
      </w:tr>
    </w:tbl>
    <w:p>
      <w:pPr>
        <w:pStyle w:val="BodyText"/>
        <w:spacing w:line="357" w:lineRule="auto" w:before="39"/>
        <w:ind w:left="102" w:right="99" w:firstLine="479"/>
        <w:jc w:val="left"/>
      </w:pPr>
      <w:r>
        <w:rPr>
          <w:spacing w:val="-1"/>
        </w:rPr>
        <w:t>公司不存在依赖单一供应商的情况，公司未出现向单一供应商采购金额超过总</w:t>
      </w:r>
      <w:r>
        <w:rPr/>
        <w:t> 采购金额的</w:t>
      </w:r>
      <w:r>
        <w:rPr>
          <w:rFonts w:ascii="Times New Roman" w:hAnsi="Times New Roman" w:cs="Times New Roman" w:eastAsia="Times New Roman" w:hint="default"/>
        </w:rPr>
        <w:t>30%</w:t>
      </w:r>
      <w:r>
        <w:rPr/>
        <w:t>以上的情况。</w:t>
      </w:r>
    </w:p>
    <w:p>
      <w:pPr>
        <w:pStyle w:val="BodyText"/>
        <w:spacing w:line="240" w:lineRule="auto" w:before="5"/>
        <w:ind w:left="102" w:right="100"/>
        <w:jc w:val="left"/>
        <w:rPr>
          <w:rFonts w:ascii="Times New Roman" w:hAnsi="Times New Roman" w:cs="Times New Roman" w:eastAsia="Times New Roman" w:hint="default"/>
        </w:rPr>
      </w:pPr>
      <w:r>
        <w:rPr>
          <w:spacing w:val="-6"/>
        </w:rPr>
        <w:t>（</w:t>
      </w:r>
      <w:r>
        <w:rPr>
          <w:rFonts w:ascii="Times New Roman" w:hAnsi="Times New Roman" w:cs="Times New Roman" w:eastAsia="Times New Roman" w:hint="default"/>
          <w:spacing w:val="-6"/>
        </w:rPr>
        <w:t>3</w:t>
      </w:r>
      <w:r>
        <w:rPr>
          <w:spacing w:val="-6"/>
        </w:rPr>
        <w:t>）公司董事、监事、高级管理人员、核心技术人员及主要关联方或持有公司</w:t>
      </w:r>
      <w:r>
        <w:rPr>
          <w:spacing w:val="-51"/>
        </w:rPr>
        <w:t> </w:t>
      </w:r>
      <w:r>
        <w:rPr>
          <w:rFonts w:ascii="Times New Roman" w:hAnsi="Times New Roman" w:cs="Times New Roman" w:eastAsia="Times New Roman" w:hint="default"/>
        </w:rPr>
        <w:t>5%</w:t>
      </w:r>
    </w:p>
    <w:p>
      <w:pPr>
        <w:pStyle w:val="BodyText"/>
        <w:spacing w:line="240" w:lineRule="auto" w:before="136"/>
        <w:ind w:left="102" w:right="100"/>
        <w:jc w:val="left"/>
      </w:pPr>
      <w:r>
        <w:rPr/>
        <w:t>以上股份的股东在公司前五名供应商、销售客户中未占有任何权益。</w:t>
      </w:r>
    </w:p>
    <w:p>
      <w:pPr>
        <w:spacing w:line="240" w:lineRule="auto" w:before="2"/>
        <w:rPr>
          <w:rFonts w:ascii="宋体" w:hAnsi="宋体" w:cs="宋体" w:eastAsia="宋体" w:hint="default"/>
          <w:sz w:val="34"/>
          <w:szCs w:val="34"/>
        </w:rPr>
      </w:pPr>
    </w:p>
    <w:p>
      <w:pPr>
        <w:pStyle w:val="Heading6"/>
        <w:spacing w:line="240" w:lineRule="auto"/>
        <w:ind w:left="102" w:right="100"/>
        <w:jc w:val="left"/>
        <w:rPr>
          <w:b w:val="0"/>
          <w:bCs w:val="0"/>
        </w:rPr>
      </w:pPr>
      <w:r>
        <w:rPr>
          <w:rFonts w:ascii="Times New Roman" w:hAnsi="Times New Roman" w:cs="Times New Roman" w:eastAsia="Times New Roman" w:hint="default"/>
        </w:rPr>
        <w:t>5</w:t>
      </w:r>
      <w:r>
        <w:rPr/>
        <w:t>、非经常性损益情况</w:t>
      </w:r>
      <w:r>
        <w:rPr>
          <w:b w:val="0"/>
          <w:bCs w:val="0"/>
        </w:rPr>
      </w:r>
    </w:p>
    <w:p>
      <w:pPr>
        <w:spacing w:line="240" w:lineRule="auto" w:before="6"/>
        <w:rPr>
          <w:rFonts w:ascii="宋体" w:hAnsi="宋体" w:cs="宋体" w:eastAsia="宋体" w:hint="default"/>
          <w:b/>
          <w:bCs/>
          <w:sz w:val="26"/>
          <w:szCs w:val="26"/>
        </w:rPr>
      </w:pPr>
    </w:p>
    <w:p>
      <w:pPr>
        <w:spacing w:before="36"/>
        <w:ind w:left="0" w:right="234" w:firstLine="0"/>
        <w:jc w:val="right"/>
        <w:rPr>
          <w:rFonts w:ascii="宋体" w:hAnsi="宋体" w:cs="宋体" w:eastAsia="宋体" w:hint="default"/>
          <w:sz w:val="21"/>
          <w:szCs w:val="21"/>
        </w:rPr>
      </w:pPr>
      <w:r>
        <w:rPr>
          <w:rFonts w:ascii="宋体" w:hAnsi="宋体" w:cs="宋体" w:eastAsia="宋体" w:hint="default"/>
          <w:spacing w:val="13"/>
          <w:sz w:val="21"/>
          <w:szCs w:val="21"/>
        </w:rPr>
        <w:t>单位：</w:t>
      </w:r>
      <w:r>
        <w:rPr>
          <w:rFonts w:ascii="宋体" w:hAnsi="宋体" w:cs="宋体" w:eastAsia="宋体" w:hint="default"/>
          <w:spacing w:val="-84"/>
          <w:sz w:val="21"/>
          <w:szCs w:val="21"/>
        </w:rPr>
        <w:t> </w:t>
      </w:r>
      <w:r>
        <w:rPr>
          <w:rFonts w:ascii="宋体" w:hAnsi="宋体" w:cs="宋体" w:eastAsia="宋体" w:hint="default"/>
          <w:sz w:val="21"/>
          <w:szCs w:val="21"/>
        </w:rPr>
      </w:r>
    </w:p>
    <w:p>
      <w:pPr>
        <w:spacing w:before="37"/>
        <w:ind w:left="102" w:right="100" w:firstLine="0"/>
        <w:jc w:val="left"/>
        <w:rPr>
          <w:rFonts w:ascii="宋体" w:hAnsi="宋体" w:cs="宋体" w:eastAsia="宋体" w:hint="default"/>
          <w:sz w:val="21"/>
          <w:szCs w:val="21"/>
        </w:rPr>
      </w:pPr>
      <w:r>
        <w:rPr>
          <w:rFonts w:ascii="宋体" w:hAnsi="宋体" w:cs="宋体" w:eastAsia="宋体" w:hint="default"/>
          <w:sz w:val="21"/>
          <w:szCs w:val="21"/>
        </w:rPr>
        <w:t>人民币万元</w:t>
      </w:r>
    </w:p>
    <w:p>
      <w:pPr>
        <w:spacing w:line="240" w:lineRule="auto" w:before="11"/>
        <w:rPr>
          <w:rFonts w:ascii="宋体" w:hAnsi="宋体" w:cs="宋体" w:eastAsia="宋体" w:hint="default"/>
          <w:sz w:val="6"/>
          <w:szCs w:val="6"/>
        </w:rPr>
      </w:pPr>
    </w:p>
    <w:tbl>
      <w:tblPr>
        <w:tblW w:w="0" w:type="auto"/>
        <w:jc w:val="left"/>
        <w:tblInd w:w="296" w:type="dxa"/>
        <w:tblLayout w:type="fixed"/>
        <w:tblCellMar>
          <w:top w:w="0" w:type="dxa"/>
          <w:left w:w="0" w:type="dxa"/>
          <w:bottom w:w="0" w:type="dxa"/>
          <w:right w:w="0" w:type="dxa"/>
        </w:tblCellMar>
        <w:tblLook w:val="01E0"/>
      </w:tblPr>
      <w:tblGrid>
        <w:gridCol w:w="4556"/>
        <w:gridCol w:w="1908"/>
        <w:gridCol w:w="1757"/>
      </w:tblGrid>
      <w:tr>
        <w:trPr>
          <w:trHeight w:val="402" w:hRule="exact"/>
        </w:trPr>
        <w:tc>
          <w:tcPr>
            <w:tcW w:w="455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29"/>
              <w:ind w:left="1427"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90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29"/>
              <w:ind w:left="134" w:right="0"/>
              <w:jc w:val="left"/>
              <w:rPr>
                <w:rFonts w:ascii="宋体" w:hAnsi="宋体" w:cs="宋体" w:eastAsia="宋体" w:hint="default"/>
                <w:sz w:val="21"/>
                <w:szCs w:val="21"/>
              </w:rPr>
            </w:pPr>
            <w:r>
              <w:rPr>
                <w:rFonts w:ascii="宋体" w:hAnsi="宋体" w:cs="宋体" w:eastAsia="宋体" w:hint="default"/>
                <w:b/>
                <w:bCs/>
                <w:sz w:val="21"/>
                <w:szCs w:val="21"/>
              </w:rPr>
              <w:t>附注（如适用）</w:t>
            </w:r>
            <w:r>
              <w:rPr>
                <w:rFonts w:ascii="宋体" w:hAnsi="宋体" w:cs="宋体" w:eastAsia="宋体" w:hint="default"/>
                <w:sz w:val="21"/>
                <w:szCs w:val="21"/>
              </w:rPr>
            </w:r>
          </w:p>
        </w:tc>
      </w:tr>
      <w:tr>
        <w:trPr>
          <w:trHeight w:val="920"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31"/>
              <w:ind w:left="100" w:right="10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返还、减免</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2,563,124.40</w:t>
            </w:r>
          </w:p>
        </w:tc>
        <w:tc>
          <w:tcPr>
            <w:tcW w:w="17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460" w:left="1600" w:right="1480"/>
        </w:sectPr>
      </w:pPr>
    </w:p>
    <w:p>
      <w:pPr>
        <w:spacing w:line="240" w:lineRule="auto" w:before="11"/>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228"/>
        <w:gridCol w:w="4556"/>
        <w:gridCol w:w="1908"/>
        <w:gridCol w:w="1757"/>
        <w:gridCol w:w="225"/>
      </w:tblGrid>
      <w:tr>
        <w:trPr>
          <w:trHeight w:val="1481" w:hRule="exact"/>
        </w:trPr>
        <w:tc>
          <w:tcPr>
            <w:tcW w:w="228" w:type="dxa"/>
            <w:vMerge w:val="restart"/>
            <w:tcBorders>
              <w:top w:val="single" w:sz="6" w:space="0" w:color="000000"/>
              <w:left w:val="nil" w:sz="6" w:space="0" w:color="auto"/>
              <w:right w:val="single" w:sz="4" w:space="0" w:color="000000"/>
            </w:tcBorders>
          </w:tcPr>
          <w:p>
            <w:pPr/>
          </w:p>
        </w:tc>
        <w:tc>
          <w:tcPr>
            <w:tcW w:w="4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计入当期损益的政府补助，但与公司正常经营业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务密切相关，符合国家政策规定、按照一定标准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定额或定量持续享受的政府补助除外</w:t>
            </w:r>
          </w:p>
        </w:tc>
        <w:tc>
          <w:tcPr>
            <w:tcW w:w="19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2,841,700.00</w:t>
            </w:r>
          </w:p>
        </w:tc>
        <w:tc>
          <w:tcPr>
            <w:tcW w:w="1757" w:type="dxa"/>
            <w:tcBorders>
              <w:top w:val="single" w:sz="15" w:space="0" w:color="000000"/>
              <w:left w:val="single" w:sz="4" w:space="0" w:color="000000"/>
              <w:bottom w:val="single" w:sz="4" w:space="0" w:color="000000"/>
              <w:right w:val="single" w:sz="4" w:space="0" w:color="000000"/>
            </w:tcBorders>
          </w:tcPr>
          <w:p>
            <w:pPr/>
          </w:p>
        </w:tc>
        <w:tc>
          <w:tcPr>
            <w:tcW w:w="225" w:type="dxa"/>
            <w:vMerge w:val="restart"/>
            <w:tcBorders>
              <w:top w:val="single" w:sz="6" w:space="0" w:color="000000"/>
              <w:left w:val="single" w:sz="4" w:space="0" w:color="000000"/>
              <w:right w:val="nil" w:sz="6" w:space="0" w:color="auto"/>
            </w:tcBorders>
          </w:tcPr>
          <w:p>
            <w:pPr/>
          </w:p>
        </w:tc>
      </w:tr>
      <w:tr>
        <w:trPr>
          <w:trHeight w:val="631" w:hRule="exact"/>
        </w:trPr>
        <w:tc>
          <w:tcPr>
            <w:tcW w:w="22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15,826.46</w:t>
            </w:r>
          </w:p>
        </w:tc>
        <w:tc>
          <w:tcPr>
            <w:tcW w:w="1757" w:type="dxa"/>
            <w:tcBorders>
              <w:top w:val="single" w:sz="4" w:space="0" w:color="000000"/>
              <w:left w:val="single" w:sz="4" w:space="0" w:color="000000"/>
              <w:bottom w:val="single" w:sz="4" w:space="0" w:color="000000"/>
              <w:right w:val="single" w:sz="4" w:space="0" w:color="000000"/>
            </w:tcBorders>
          </w:tcPr>
          <w:p>
            <w:pPr/>
          </w:p>
        </w:tc>
        <w:tc>
          <w:tcPr>
            <w:tcW w:w="225" w:type="dxa"/>
            <w:vMerge/>
            <w:tcBorders>
              <w:left w:val="single" w:sz="4" w:space="0" w:color="000000"/>
              <w:right w:val="nil" w:sz="6" w:space="0" w:color="auto"/>
            </w:tcBorders>
          </w:tcPr>
          <w:p>
            <w:pPr/>
          </w:p>
        </w:tc>
      </w:tr>
      <w:tr>
        <w:trPr>
          <w:trHeight w:val="401" w:hRule="exact"/>
        </w:trPr>
        <w:tc>
          <w:tcPr>
            <w:tcW w:w="22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-14,514.67</w:t>
            </w:r>
          </w:p>
        </w:tc>
        <w:tc>
          <w:tcPr>
            <w:tcW w:w="1757" w:type="dxa"/>
            <w:tcBorders>
              <w:top w:val="single" w:sz="4" w:space="0" w:color="000000"/>
              <w:left w:val="single" w:sz="4" w:space="0" w:color="000000"/>
              <w:bottom w:val="single" w:sz="4" w:space="0" w:color="000000"/>
              <w:right w:val="single" w:sz="4" w:space="0" w:color="000000"/>
            </w:tcBorders>
          </w:tcPr>
          <w:p>
            <w:pPr/>
          </w:p>
        </w:tc>
        <w:tc>
          <w:tcPr>
            <w:tcW w:w="225" w:type="dxa"/>
            <w:vMerge/>
            <w:tcBorders>
              <w:left w:val="single" w:sz="4" w:space="0" w:color="000000"/>
              <w:right w:val="nil" w:sz="6" w:space="0" w:color="auto"/>
            </w:tcBorders>
          </w:tcPr>
          <w:p>
            <w:pPr/>
          </w:p>
        </w:tc>
      </w:tr>
      <w:tr>
        <w:trPr>
          <w:trHeight w:val="403" w:hRule="exact"/>
        </w:trPr>
        <w:tc>
          <w:tcPr>
            <w:tcW w:w="22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-312,722.50</w:t>
            </w:r>
          </w:p>
        </w:tc>
        <w:tc>
          <w:tcPr>
            <w:tcW w:w="1757" w:type="dxa"/>
            <w:tcBorders>
              <w:top w:val="single" w:sz="4" w:space="0" w:color="000000"/>
              <w:left w:val="single" w:sz="4" w:space="0" w:color="000000"/>
              <w:bottom w:val="single" w:sz="4" w:space="0" w:color="000000"/>
              <w:right w:val="single" w:sz="4" w:space="0" w:color="000000"/>
            </w:tcBorders>
          </w:tcPr>
          <w:p>
            <w:pPr/>
          </w:p>
        </w:tc>
        <w:tc>
          <w:tcPr>
            <w:tcW w:w="225" w:type="dxa"/>
            <w:vMerge/>
            <w:tcBorders>
              <w:left w:val="single" w:sz="4" w:space="0" w:color="000000"/>
              <w:right w:val="nil" w:sz="6" w:space="0" w:color="auto"/>
            </w:tcBorders>
          </w:tcPr>
          <w:p>
            <w:pPr/>
          </w:p>
        </w:tc>
      </w:tr>
      <w:tr>
        <w:trPr>
          <w:trHeight w:val="401" w:hRule="exact"/>
        </w:trPr>
        <w:tc>
          <w:tcPr>
            <w:tcW w:w="228" w:type="dxa"/>
            <w:vMerge/>
            <w:tcBorders>
              <w:left w:val="nil" w:sz="6" w:space="0" w:color="auto"/>
              <w:bottom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5,093,413.69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w:t>
            </w:r>
          </w:p>
        </w:tc>
        <w:tc>
          <w:tcPr>
            <w:tcW w:w="225" w:type="dxa"/>
            <w:vMerge/>
            <w:tcBorders>
              <w:left w:val="single" w:sz="4" w:space="0" w:color="000000"/>
              <w:bottom w:val="nil" w:sz="6" w:space="0" w:color="auto"/>
              <w:right w:val="nil" w:sz="6" w:space="0" w:color="auto"/>
            </w:tcBorders>
          </w:tcPr>
          <w:p>
            <w:pPr/>
          </w:p>
        </w:tc>
      </w:tr>
    </w:tbl>
    <w:p>
      <w:pPr>
        <w:pStyle w:val="BodyText"/>
        <w:spacing w:line="338" w:lineRule="auto" w:before="77"/>
        <w:ind w:left="282" w:right="285" w:firstLine="599"/>
        <w:jc w:val="left"/>
      </w:pPr>
      <w:r>
        <w:rPr/>
        <w:t>报告期内，公司不存在单项非经常性损益绝对值超过公司净利润绝对值</w:t>
      </w:r>
      <w:r>
        <w:rPr>
          <w:rFonts w:ascii="Times New Roman" w:hAnsi="Times New Roman" w:cs="Times New Roman" w:eastAsia="Times New Roman" w:hint="default"/>
        </w:rPr>
        <w:t>5%</w:t>
      </w:r>
      <w:r>
        <w:rPr/>
        <w:t>的 情形，也不存在非经常性损益绝对值达到公司净利润绝对值</w:t>
      </w:r>
      <w:r>
        <w:rPr>
          <w:rFonts w:ascii="Times New Roman" w:hAnsi="Times New Roman" w:cs="Times New Roman" w:eastAsia="Times New Roman" w:hint="default"/>
        </w:rPr>
        <w:t>10%</w:t>
      </w:r>
      <w:r>
        <w:rPr/>
        <w:t>以上的情形。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6"/>
        <w:spacing w:line="240" w:lineRule="auto" w:before="205"/>
        <w:ind w:left="282" w:right="285"/>
        <w:jc w:val="left"/>
        <w:rPr>
          <w:b w:val="0"/>
          <w:bCs w:val="0"/>
        </w:rPr>
      </w:pPr>
      <w:r>
        <w:rPr/>
        <w:t>（三）报告期公司资产构成分析</w:t>
      </w:r>
      <w:r>
        <w:rPr>
          <w:b w:val="0"/>
          <w:bCs w:val="0"/>
        </w:rPr>
      </w:r>
    </w:p>
    <w:p>
      <w:pPr>
        <w:spacing w:line="750" w:lineRule="atLeast" w:before="62"/>
        <w:ind w:left="282" w:right="288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、公司资产构成变动情况分析</w:t>
      </w:r>
      <w:r>
        <w:rPr>
          <w:rFonts w:ascii="宋体" w:hAnsi="宋体" w:cs="宋体" w:eastAsia="宋体" w:hint="default"/>
          <w:b/>
          <w:bCs/>
          <w:w w:val="99"/>
          <w:sz w:val="24"/>
          <w:szCs w:val="24"/>
        </w:rPr>
        <w:t> </w:t>
      </w:r>
      <w:r>
        <w:rPr>
          <w:rFonts w:ascii="宋体" w:hAnsi="宋体" w:cs="宋体" w:eastAsia="宋体" w:hint="default"/>
          <w:sz w:val="24"/>
          <w:szCs w:val="24"/>
        </w:rPr>
        <w:t>报告期内本公司各类资产金额及其占总资产的比例如下：</w:t>
      </w:r>
    </w:p>
    <w:p>
      <w:pPr>
        <w:pStyle w:val="BodyText"/>
        <w:spacing w:line="240" w:lineRule="auto" w:before="192"/>
        <w:ind w:left="0" w:right="284"/>
        <w:jc w:val="right"/>
      </w:pPr>
      <w:r>
        <w:rPr/>
        <w:t>单位：元</w:t>
      </w:r>
    </w:p>
    <w:p>
      <w:pPr>
        <w:spacing w:line="240" w:lineRule="auto" w:before="12"/>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810"/>
        <w:gridCol w:w="1529"/>
        <w:gridCol w:w="1455"/>
        <w:gridCol w:w="1529"/>
        <w:gridCol w:w="1496"/>
        <w:gridCol w:w="1128"/>
      </w:tblGrid>
      <w:tr>
        <w:trPr>
          <w:trHeight w:val="558" w:hRule="exact"/>
        </w:trPr>
        <w:tc>
          <w:tcPr>
            <w:tcW w:w="1810" w:type="dxa"/>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2984"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3025"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128" w:type="dxa"/>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1026" w:hRule="exact"/>
        </w:trPr>
        <w:tc>
          <w:tcPr>
            <w:tcW w:w="1810" w:type="dxa"/>
            <w:vMerge/>
            <w:tcBorders>
              <w:left w:val="single" w:sz="4" w:space="0" w:color="000000"/>
              <w:bottom w:val="single" w:sz="4" w:space="0" w:color="000000"/>
              <w:right w:val="single" w:sz="4" w:space="0" w:color="000000"/>
            </w:tcBorders>
            <w:shd w:val="clear" w:color="auto" w:fill="8DB3E1"/>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5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5" w:lineRule="auto" w:before="106"/>
              <w:ind w:left="616" w:right="192" w:hanging="423"/>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占总资产比重</w:t>
            </w:r>
            <w:r>
              <w:rPr>
                <w:rFonts w:ascii="宋体" w:hAnsi="宋体" w:cs="宋体" w:eastAsia="宋体" w:hint="default"/>
                <w:sz w:val="21"/>
                <w:szCs w:val="21"/>
              </w:rPr>
            </w:r>
          </w:p>
        </w:tc>
        <w:tc>
          <w:tcPr>
            <w:tcW w:w="1128" w:type="dxa"/>
            <w:vMerge/>
            <w:tcBorders>
              <w:left w:val="single" w:sz="4" w:space="0" w:color="000000"/>
              <w:bottom w:val="single" w:sz="4" w:space="0" w:color="000000"/>
              <w:right w:val="single" w:sz="4" w:space="0" w:color="000000"/>
            </w:tcBorders>
            <w:shd w:val="clear" w:color="auto" w:fill="8DB3E1"/>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734,292,536.26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78.66%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92,553,052.47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48.53%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693.37%</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70,525,269.50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7.56%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30,229,882.91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18.85%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133.30%</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3,335,666.92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0.36%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2,702,521.41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1.42%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23.43%</w:t>
            </w:r>
          </w:p>
        </w:tc>
      </w:tr>
      <w:tr>
        <w:trPr>
          <w:trHeight w:val="480"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3,842,824.23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1,025,912.65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0.54%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274.58%</w:t>
            </w:r>
          </w:p>
        </w:tc>
      </w:tr>
      <w:tr>
        <w:trPr>
          <w:trHeight w:val="463"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62,291,485.25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6.67%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38,010,158.95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19.93%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63.88%</w:t>
            </w:r>
          </w:p>
        </w:tc>
      </w:tr>
      <w:tr>
        <w:trPr>
          <w:trHeight w:val="492"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pacing w:val="-1"/>
                <w:sz w:val="21"/>
              </w:rPr>
              <w:t>906,294,502.43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21"/>
                <w:szCs w:val="21"/>
              </w:rPr>
            </w:pPr>
            <w:r>
              <w:rPr>
                <w:rFonts w:ascii="Times New Roman"/>
                <w:sz w:val="21"/>
              </w:rPr>
              <w:t>97.09%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167,740,630.89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87.96%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440.30%</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9,222,218.25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0.99%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6,604,212.44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3.46%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39.64%</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5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7"/>
              <w:ind w:left="10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Times New Roman" w:hAnsi="Times New Roman" w:cs="Times New Roman" w:eastAsia="Times New Roman" w:hint="default"/>
                <w:sz w:val="21"/>
                <w:szCs w:val="21"/>
              </w:rPr>
            </w:pPr>
            <w:r>
              <w:rPr>
                <w:rFonts w:ascii="Times New Roman"/>
                <w:spacing w:val="-1"/>
                <w:sz w:val="21"/>
              </w:rPr>
              <w:t>1,309,139.02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Times New Roman" w:hAnsi="Times New Roman" w:cs="Times New Roman" w:eastAsia="Times New Roman" w:hint="default"/>
                <w:sz w:val="21"/>
                <w:szCs w:val="21"/>
              </w:rPr>
            </w:pPr>
            <w:r>
              <w:rPr>
                <w:rFonts w:ascii="Times New Roman"/>
                <w:sz w:val="21"/>
              </w:rPr>
              <w:t>0.14%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1,262,702.81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0.66%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21"/>
                <w:szCs w:val="21"/>
              </w:rPr>
            </w:pPr>
            <w:r>
              <w:rPr>
                <w:rFonts w:ascii="Times New Roman"/>
                <w:sz w:val="21"/>
              </w:rPr>
              <w:t>3.68%</w:t>
            </w:r>
          </w:p>
        </w:tc>
      </w:tr>
      <w:tr>
        <w:trPr>
          <w:trHeight w:val="466"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1,192,658.45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330,159.27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0.17%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261.24%</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7" w:top="1060" w:bottom="1460" w:left="1420" w:right="1300"/>
        </w:sectPr>
      </w:pP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10"/>
        <w:gridCol w:w="1529"/>
        <w:gridCol w:w="1455"/>
        <w:gridCol w:w="1529"/>
        <w:gridCol w:w="1496"/>
        <w:gridCol w:w="1128"/>
      </w:tblGrid>
      <w:tr>
        <w:trPr>
          <w:trHeight w:val="509" w:hRule="exact"/>
        </w:trPr>
        <w:tc>
          <w:tcPr>
            <w:tcW w:w="1810" w:type="dxa"/>
            <w:tcBorders>
              <w:top w:val="single" w:sz="15"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27,175,286.21</w:t>
            </w:r>
          </w:p>
        </w:tc>
        <w:tc>
          <w:tcPr>
            <w:tcW w:w="14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sz w:val="21"/>
              </w:rPr>
              <w:t>2.91%</w:t>
            </w:r>
          </w:p>
        </w:tc>
        <w:tc>
          <w:tcPr>
            <w:tcW w:w="15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22,970,087.92</w:t>
            </w:r>
          </w:p>
        </w:tc>
        <w:tc>
          <w:tcPr>
            <w:tcW w:w="14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12.04%</w:t>
            </w:r>
          </w:p>
        </w:tc>
        <w:tc>
          <w:tcPr>
            <w:tcW w:w="1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3"/>
              <w:ind w:left="232" w:right="0"/>
              <w:jc w:val="left"/>
              <w:rPr>
                <w:rFonts w:ascii="Times New Roman" w:hAnsi="Times New Roman" w:cs="Times New Roman" w:eastAsia="Times New Roman" w:hint="default"/>
                <w:sz w:val="21"/>
                <w:szCs w:val="21"/>
              </w:rPr>
            </w:pPr>
            <w:r>
              <w:rPr>
                <w:rFonts w:ascii="Times New Roman"/>
                <w:sz w:val="21"/>
              </w:rPr>
              <w:t>18.31%</w:t>
            </w:r>
          </w:p>
        </w:tc>
      </w:tr>
      <w:tr>
        <w:trPr>
          <w:trHeight w:val="494" w:hRule="exact"/>
        </w:trPr>
        <w:tc>
          <w:tcPr>
            <w:tcW w:w="18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pacing w:val="-1"/>
                <w:sz w:val="21"/>
              </w:rPr>
              <w:t>933,469,788.64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190,710,718.81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100%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9" w:right="0"/>
              <w:jc w:val="left"/>
              <w:rPr>
                <w:rFonts w:ascii="Times New Roman" w:hAnsi="Times New Roman" w:cs="Times New Roman" w:eastAsia="Times New Roman" w:hint="default"/>
                <w:sz w:val="21"/>
                <w:szCs w:val="21"/>
              </w:rPr>
            </w:pPr>
            <w:r>
              <w:rPr>
                <w:rFonts w:ascii="Times New Roman"/>
                <w:sz w:val="21"/>
              </w:rPr>
              <w:t>389.47%</w:t>
            </w:r>
          </w:p>
        </w:tc>
      </w:tr>
    </w:tbl>
    <w:p>
      <w:pPr>
        <w:pStyle w:val="BodyText"/>
        <w:spacing w:line="338" w:lineRule="auto" w:before="79"/>
        <w:ind w:left="282" w:right="283" w:firstLine="479"/>
        <w:jc w:val="both"/>
      </w:pPr>
      <w:r>
        <w:rPr/>
        <w:t>报告期末，公司货币资金同比增长</w:t>
      </w:r>
      <w:r>
        <w:rPr>
          <w:rFonts w:ascii="Times New Roman" w:hAnsi="Times New Roman" w:cs="Times New Roman" w:eastAsia="Times New Roman" w:hint="default"/>
        </w:rPr>
        <w:t>693.37%</w:t>
      </w:r>
      <w:r>
        <w:rPr/>
        <w:t>，主要是因为报告期内公司公开发 </w:t>
      </w:r>
      <w:r>
        <w:rPr>
          <w:spacing w:val="-1"/>
        </w:rPr>
        <w:t>行</w:t>
      </w:r>
      <w:r>
        <w:rPr>
          <w:rFonts w:ascii="Times New Roman" w:hAnsi="Times New Roman" w:cs="Times New Roman" w:eastAsia="Times New Roman" w:hint="default"/>
          <w:spacing w:val="-1"/>
        </w:rPr>
        <w:t>1600</w:t>
      </w:r>
      <w:r>
        <w:rPr>
          <w:spacing w:val="-1"/>
        </w:rPr>
        <w:t>万股</w:t>
      </w:r>
      <w:r>
        <w:rPr>
          <w:rFonts w:ascii="Times New Roman" w:hAnsi="Times New Roman" w:cs="Times New Roman" w:eastAsia="Times New Roman" w:hint="default"/>
          <w:spacing w:val="-1"/>
        </w:rPr>
        <w:t>A</w:t>
      </w:r>
      <w:r>
        <w:rPr>
          <w:spacing w:val="-1"/>
        </w:rPr>
        <w:t>股，收到募集资金净额为</w:t>
      </w:r>
      <w:r>
        <w:rPr>
          <w:rFonts w:ascii="Times New Roman" w:hAnsi="Times New Roman" w:cs="Times New Roman" w:eastAsia="Times New Roman" w:hint="default"/>
          <w:spacing w:val="-1"/>
        </w:rPr>
        <w:t>646,334,934.33</w:t>
      </w:r>
      <w:r>
        <w:rPr>
          <w:spacing w:val="-1"/>
        </w:rPr>
        <w:t>元，以及销售收入和盈利增加</w:t>
      </w:r>
      <w:r>
        <w:rPr>
          <w:spacing w:val="-92"/>
        </w:rPr>
        <w:t> </w:t>
      </w:r>
      <w:r>
        <w:rPr>
          <w:spacing w:val="-92"/>
        </w:rPr>
      </w:r>
      <w:r>
        <w:rPr/>
        <w:t>所致。</w:t>
      </w:r>
    </w:p>
    <w:p>
      <w:pPr>
        <w:pStyle w:val="BodyText"/>
        <w:spacing w:line="348" w:lineRule="auto" w:before="94"/>
        <w:ind w:left="282" w:right="286" w:firstLine="479"/>
        <w:jc w:val="both"/>
      </w:pPr>
      <w:r>
        <w:rPr/>
        <w:t>报告期末，公司应收账款净额同比增加</w:t>
      </w:r>
      <w:r>
        <w:rPr>
          <w:rFonts w:ascii="Times New Roman" w:hAnsi="Times New Roman" w:cs="Times New Roman" w:eastAsia="Times New Roman" w:hint="default"/>
        </w:rPr>
        <w:t>133.30%</w:t>
      </w:r>
      <w:r>
        <w:rPr/>
        <w:t>，主要是原因为：本期销售规 </w:t>
      </w:r>
      <w:r>
        <w:rPr>
          <w:spacing w:val="-1"/>
        </w:rPr>
        <w:t>模扩大；本公司的销售大部分集中在下半年，同时对主要客户合同约定销售回款有</w:t>
      </w:r>
      <w:r>
        <w:rPr>
          <w:spacing w:val="-108"/>
        </w:rPr>
        <w:t> </w:t>
      </w:r>
      <w:r>
        <w:rPr>
          <w:spacing w:val="-108"/>
        </w:rPr>
      </w:r>
      <w:r>
        <w:rPr>
          <w:rFonts w:ascii="Times New Roman" w:hAnsi="Times New Roman" w:cs="Times New Roman" w:eastAsia="Times New Roman" w:hint="default"/>
        </w:rPr>
        <w:t>3-6</w:t>
      </w:r>
      <w:r>
        <w:rPr/>
        <w:t>月的账期，使得应收账款期末余额增加。</w:t>
      </w:r>
    </w:p>
    <w:p>
      <w:pPr>
        <w:pStyle w:val="BodyText"/>
        <w:spacing w:line="345" w:lineRule="auto" w:before="57"/>
        <w:ind w:left="282" w:right="279" w:firstLine="479"/>
        <w:jc w:val="left"/>
      </w:pPr>
      <w:r>
        <w:rPr/>
        <w:t>公司其他应收款同比增长</w:t>
      </w:r>
      <w:r>
        <w:rPr>
          <w:rFonts w:ascii="Times New Roman" w:hAnsi="Times New Roman" w:cs="Times New Roman" w:eastAsia="Times New Roman" w:hint="default"/>
        </w:rPr>
        <w:t>274.58%</w:t>
      </w:r>
      <w:r>
        <w:rPr/>
        <w:t>，主要是因为公司加大销售力度，增加派出 </w:t>
      </w:r>
      <w:r>
        <w:rPr>
          <w:spacing w:val="-2"/>
        </w:rPr>
        <w:t>机构和业务人员，增加了相关业务备用金；公司存货同比增长</w:t>
      </w:r>
      <w:r>
        <w:rPr>
          <w:rFonts w:ascii="Times New Roman" w:hAnsi="Times New Roman" w:cs="Times New Roman" w:eastAsia="Times New Roman" w:hint="default"/>
          <w:spacing w:val="-2"/>
        </w:rPr>
        <w:t>63.88%</w:t>
      </w:r>
      <w:r>
        <w:rPr>
          <w:spacing w:val="-2"/>
        </w:rPr>
        <w:t>，主要是因为</w:t>
      </w:r>
      <w:r>
        <w:rPr>
          <w:spacing w:val="-88"/>
        </w:rPr>
        <w:t> </w:t>
      </w:r>
      <w:r>
        <w:rPr>
          <w:spacing w:val="-88"/>
        </w:rPr>
      </w:r>
      <w:r>
        <w:rPr/>
        <w:t>公司销售市场的扩大而储备的原材料和产成品；公司递延所得税资产同比增长 </w:t>
      </w:r>
      <w:r>
        <w:rPr>
          <w:rFonts w:ascii="Times New Roman" w:hAnsi="Times New Roman" w:cs="Times New Roman" w:eastAsia="Times New Roman" w:hint="default"/>
        </w:rPr>
        <w:t>261.24%</w:t>
      </w:r>
      <w:r>
        <w:rPr/>
        <w:t>，主要是因为公司收到的政府补贴递延收益所致。</w:t>
      </w:r>
    </w:p>
    <w:p>
      <w:pPr>
        <w:spacing w:line="240" w:lineRule="auto" w:before="11"/>
        <w:rPr>
          <w:rFonts w:ascii="宋体" w:hAnsi="宋体" w:cs="宋体" w:eastAsia="宋体" w:hint="default"/>
          <w:sz w:val="23"/>
          <w:szCs w:val="23"/>
        </w:rPr>
      </w:pPr>
    </w:p>
    <w:p>
      <w:pPr>
        <w:pStyle w:val="Heading6"/>
        <w:spacing w:line="240" w:lineRule="auto"/>
        <w:ind w:left="282" w:right="285"/>
        <w:jc w:val="left"/>
        <w:rPr>
          <w:b w:val="0"/>
          <w:bCs w:val="0"/>
        </w:rPr>
      </w:pPr>
      <w:r>
        <w:rPr>
          <w:rFonts w:ascii="Times New Roman" w:hAnsi="Times New Roman" w:cs="Times New Roman" w:eastAsia="Times New Roman" w:hint="default"/>
        </w:rPr>
        <w:t>2</w:t>
      </w:r>
      <w:r>
        <w:rPr/>
        <w:t>、公司偿债能力分析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546" w:type="dxa"/>
        <w:tblLayout w:type="fixed"/>
        <w:tblCellMar>
          <w:top w:w="0" w:type="dxa"/>
          <w:left w:w="0" w:type="dxa"/>
          <w:bottom w:w="0" w:type="dxa"/>
          <w:right w:w="0" w:type="dxa"/>
        </w:tblCellMar>
        <w:tblLook w:val="01E0"/>
      </w:tblPr>
      <w:tblGrid>
        <w:gridCol w:w="2410"/>
        <w:gridCol w:w="1844"/>
        <w:gridCol w:w="1982"/>
        <w:gridCol w:w="1844"/>
      </w:tblGrid>
      <w:tr>
        <w:trPr>
          <w:trHeight w:val="560" w:hRule="exact"/>
        </w:trPr>
        <w:tc>
          <w:tcPr>
            <w:tcW w:w="24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600"/>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2010</w:t>
            </w:r>
            <w:r>
              <w:rPr>
                <w:rFonts w:ascii="宋体" w:hAnsi="宋体" w:cs="宋体" w:eastAsia="宋体" w:hint="default"/>
                <w:b/>
                <w:bCs/>
                <w:spacing w:val="-1"/>
                <w:sz w:val="21"/>
                <w:szCs w:val="21"/>
              </w:rPr>
              <w:t>年</w:t>
            </w:r>
            <w:r>
              <w:rPr>
                <w:rFonts w:ascii="宋体" w:hAnsi="宋体" w:cs="宋体" w:eastAsia="宋体" w:hint="default"/>
                <w:spacing w:val="-1"/>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492"/>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55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15.84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8.19</w:t>
            </w:r>
          </w:p>
        </w:tc>
      </w:tr>
      <w:tr>
        <w:trPr>
          <w:trHeight w:val="55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14.75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8.84</w:t>
            </w:r>
          </w:p>
        </w:tc>
      </w:tr>
      <w:tr>
        <w:trPr>
          <w:trHeight w:val="55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pacing w:val="-9"/>
                <w:sz w:val="21"/>
                <w:szCs w:val="21"/>
              </w:rPr>
              <w:t>资产负债率（</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）母公司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88"/>
              <w:jc w:val="right"/>
              <w:rPr>
                <w:rFonts w:ascii="Times New Roman" w:hAnsi="Times New Roman" w:cs="Times New Roman" w:eastAsia="Times New Roman" w:hint="default"/>
                <w:sz w:val="21"/>
                <w:szCs w:val="21"/>
              </w:rPr>
            </w:pPr>
            <w:r>
              <w:rPr>
                <w:rFonts w:ascii="Times New Roman"/>
                <w:sz w:val="21"/>
              </w:rPr>
              <w:t>12.33%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27.31%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56"/>
              <w:jc w:val="right"/>
              <w:rPr>
                <w:rFonts w:ascii="Times New Roman" w:hAnsi="Times New Roman" w:cs="Times New Roman" w:eastAsia="Times New Roman" w:hint="default"/>
                <w:sz w:val="21"/>
                <w:szCs w:val="21"/>
              </w:rPr>
            </w:pPr>
            <w:r>
              <w:rPr>
                <w:rFonts w:ascii="Times New Roman"/>
                <w:spacing w:val="-1"/>
                <w:sz w:val="21"/>
              </w:rPr>
              <w:t>-14.98%</w:t>
            </w:r>
          </w:p>
        </w:tc>
      </w:tr>
      <w:tr>
        <w:trPr>
          <w:trHeight w:val="55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）合并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640"/>
              <w:jc w:val="right"/>
              <w:rPr>
                <w:rFonts w:ascii="Times New Roman" w:hAnsi="Times New Roman" w:cs="Times New Roman" w:eastAsia="Times New Roman" w:hint="default"/>
                <w:sz w:val="21"/>
                <w:szCs w:val="21"/>
              </w:rPr>
            </w:pPr>
            <w:r>
              <w:rPr>
                <w:rFonts w:ascii="Times New Roman"/>
                <w:sz w:val="21"/>
              </w:rPr>
              <w:t>6.58%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12.03%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-5.45%</w:t>
            </w:r>
          </w:p>
        </w:tc>
      </w:tr>
    </w:tbl>
    <w:p>
      <w:pPr>
        <w:pStyle w:val="BodyText"/>
        <w:spacing w:line="336" w:lineRule="auto" w:before="79"/>
        <w:ind w:left="282" w:right="312" w:firstLine="479"/>
        <w:jc w:val="left"/>
      </w:pPr>
      <w:r>
        <w:rPr/>
        <w:t>报告期内，公司流动比率和速动比率大幅提高，主要系公司首次发行</w:t>
      </w:r>
      <w:r>
        <w:rPr>
          <w:rFonts w:ascii="Times New Roman" w:hAnsi="Times New Roman" w:cs="Times New Roman" w:eastAsia="Times New Roman" w:hint="default"/>
        </w:rPr>
        <w:t>A</w:t>
      </w:r>
      <w:r>
        <w:rPr/>
        <w:t>股股票 后，资金充足导致，公司资金充足，短期偿债风险小。</w:t>
      </w:r>
    </w:p>
    <w:p>
      <w:pPr>
        <w:pStyle w:val="BodyText"/>
        <w:spacing w:line="357" w:lineRule="auto" w:before="98"/>
        <w:ind w:left="282" w:right="279" w:firstLine="479"/>
        <w:jc w:val="left"/>
      </w:pPr>
      <w:r>
        <w:rPr>
          <w:spacing w:val="-1"/>
        </w:rPr>
        <w:t>报告期末，公司资产负债率大幅降低，主要系公司发行新股募集资金后，净资</w:t>
      </w:r>
      <w:r>
        <w:rPr/>
        <w:t> 产大幅增加，导致资产负债率下降，长期偿债风险低。</w:t>
      </w:r>
    </w:p>
    <w:p>
      <w:pPr>
        <w:spacing w:line="240" w:lineRule="auto" w:before="2"/>
        <w:rPr>
          <w:rFonts w:ascii="宋体" w:hAnsi="宋体" w:cs="宋体" w:eastAsia="宋体" w:hint="default"/>
          <w:sz w:val="25"/>
          <w:szCs w:val="25"/>
        </w:rPr>
      </w:pPr>
    </w:p>
    <w:p>
      <w:pPr>
        <w:pStyle w:val="Heading6"/>
        <w:spacing w:line="240" w:lineRule="auto"/>
        <w:ind w:left="282" w:right="285"/>
        <w:jc w:val="left"/>
        <w:rPr>
          <w:b w:val="0"/>
          <w:bCs w:val="0"/>
        </w:rPr>
      </w:pPr>
      <w:r>
        <w:rPr>
          <w:rFonts w:ascii="Times New Roman" w:hAnsi="Times New Roman" w:cs="Times New Roman" w:eastAsia="Times New Roman" w:hint="default"/>
        </w:rPr>
        <w:t>3</w:t>
      </w:r>
      <w:r>
        <w:rPr/>
        <w:t>、公司资产营运能力分析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546" w:type="dxa"/>
        <w:tblLayout w:type="fixed"/>
        <w:tblCellMar>
          <w:top w:w="0" w:type="dxa"/>
          <w:left w:w="0" w:type="dxa"/>
          <w:bottom w:w="0" w:type="dxa"/>
          <w:right w:w="0" w:type="dxa"/>
        </w:tblCellMar>
        <w:tblLook w:val="01E0"/>
      </w:tblPr>
      <w:tblGrid>
        <w:gridCol w:w="2127"/>
        <w:gridCol w:w="1985"/>
        <w:gridCol w:w="2124"/>
        <w:gridCol w:w="1844"/>
      </w:tblGrid>
      <w:tr>
        <w:trPr>
          <w:trHeight w:val="559" w:hRule="exact"/>
        </w:trPr>
        <w:tc>
          <w:tcPr>
            <w:tcW w:w="212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212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4.14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-0.81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7" w:top="1060" w:bottom="1460" w:left="1420" w:right="1300"/>
        </w:sectPr>
      </w:pPr>
    </w:p>
    <w:p>
      <w:pPr>
        <w:spacing w:line="240" w:lineRule="auto" w:before="11"/>
        <w:rPr>
          <w:rFonts w:ascii="宋体" w:hAnsi="宋体" w:cs="宋体" w:eastAsia="宋体" w:hint="default"/>
          <w:b/>
          <w:bCs/>
          <w:sz w:val="2"/>
          <w:szCs w:val="2"/>
        </w:rPr>
      </w:pPr>
    </w:p>
    <w:tbl>
      <w:tblPr>
        <w:tblW w:w="0" w:type="auto"/>
        <w:jc w:val="left"/>
        <w:tblInd w:w="193" w:type="dxa"/>
        <w:tblLayout w:type="fixed"/>
        <w:tblCellMar>
          <w:top w:w="0" w:type="dxa"/>
          <w:left w:w="0" w:type="dxa"/>
          <w:bottom w:w="0" w:type="dxa"/>
          <w:right w:w="0" w:type="dxa"/>
        </w:tblCellMar>
        <w:tblLook w:val="01E0"/>
      </w:tblPr>
      <w:tblGrid>
        <w:gridCol w:w="298"/>
        <w:gridCol w:w="2127"/>
        <w:gridCol w:w="1985"/>
        <w:gridCol w:w="2124"/>
        <w:gridCol w:w="1844"/>
        <w:gridCol w:w="297"/>
      </w:tblGrid>
      <w:tr>
        <w:trPr>
          <w:trHeight w:val="574" w:hRule="exact"/>
        </w:trPr>
        <w:tc>
          <w:tcPr>
            <w:tcW w:w="298" w:type="dxa"/>
            <w:vMerge w:val="restart"/>
            <w:tcBorders>
              <w:top w:val="single" w:sz="6" w:space="0" w:color="000000"/>
              <w:left w:val="nil" w:sz="6" w:space="0" w:color="auto"/>
              <w:right w:val="single" w:sz="4" w:space="0" w:color="000000"/>
            </w:tcBorders>
          </w:tcPr>
          <w:p>
            <w:pPr/>
          </w:p>
        </w:tc>
        <w:tc>
          <w:tcPr>
            <w:tcW w:w="2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1.95</w:t>
            </w:r>
          </w:p>
        </w:tc>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1.78</w:t>
            </w:r>
          </w:p>
        </w:tc>
        <w:tc>
          <w:tcPr>
            <w:tcW w:w="18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left="732" w:right="0"/>
              <w:jc w:val="left"/>
              <w:rPr>
                <w:rFonts w:ascii="Times New Roman" w:hAnsi="Times New Roman" w:cs="Times New Roman" w:eastAsia="Times New Roman" w:hint="default"/>
                <w:sz w:val="21"/>
                <w:szCs w:val="21"/>
              </w:rPr>
            </w:pPr>
            <w:r>
              <w:rPr>
                <w:rFonts w:ascii="Times New Roman"/>
                <w:sz w:val="21"/>
              </w:rPr>
              <w:t>0.17</w:t>
            </w:r>
          </w:p>
        </w:tc>
        <w:tc>
          <w:tcPr>
            <w:tcW w:w="297" w:type="dxa"/>
            <w:vMerge w:val="restart"/>
            <w:tcBorders>
              <w:top w:val="single" w:sz="6" w:space="0" w:color="000000"/>
              <w:left w:val="single" w:sz="4" w:space="0" w:color="000000"/>
              <w:right w:val="nil" w:sz="6" w:space="0" w:color="auto"/>
            </w:tcBorders>
          </w:tcPr>
          <w:p>
            <w:pPr/>
          </w:p>
        </w:tc>
      </w:tr>
      <w:tr>
        <w:trPr>
          <w:trHeight w:val="557" w:hRule="exact"/>
        </w:trPr>
        <w:tc>
          <w:tcPr>
            <w:tcW w:w="298" w:type="dxa"/>
            <w:vMerge/>
            <w:tcBorders>
              <w:left w:val="nil" w:sz="6" w:space="0" w:color="auto"/>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0.39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0.88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98" w:right="0"/>
              <w:jc w:val="left"/>
              <w:rPr>
                <w:rFonts w:ascii="Times New Roman" w:hAnsi="Times New Roman" w:cs="Times New Roman" w:eastAsia="Times New Roman" w:hint="default"/>
                <w:sz w:val="21"/>
                <w:szCs w:val="21"/>
              </w:rPr>
            </w:pPr>
            <w:r>
              <w:rPr>
                <w:rFonts w:ascii="Times New Roman"/>
                <w:sz w:val="21"/>
              </w:rPr>
              <w:t>-0.49</w:t>
            </w:r>
          </w:p>
        </w:tc>
        <w:tc>
          <w:tcPr>
            <w:tcW w:w="297" w:type="dxa"/>
            <w:vMerge/>
            <w:tcBorders>
              <w:left w:val="single" w:sz="4" w:space="0" w:color="000000"/>
              <w:right w:val="nil" w:sz="6" w:space="0" w:color="auto"/>
            </w:tcBorders>
          </w:tcPr>
          <w:p>
            <w:pPr/>
          </w:p>
        </w:tc>
      </w:tr>
      <w:tr>
        <w:trPr>
          <w:trHeight w:val="559" w:hRule="exact"/>
        </w:trPr>
        <w:tc>
          <w:tcPr>
            <w:tcW w:w="298" w:type="dxa"/>
            <w:vMerge/>
            <w:tcBorders>
              <w:left w:val="nil" w:sz="6" w:space="0" w:color="auto"/>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非流动资产周转率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8.32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8.85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98" w:right="0"/>
              <w:jc w:val="left"/>
              <w:rPr>
                <w:rFonts w:ascii="Times New Roman" w:hAnsi="Times New Roman" w:cs="Times New Roman" w:eastAsia="Times New Roman" w:hint="default"/>
                <w:sz w:val="21"/>
                <w:szCs w:val="21"/>
              </w:rPr>
            </w:pPr>
            <w:r>
              <w:rPr>
                <w:rFonts w:ascii="Times New Roman"/>
                <w:sz w:val="21"/>
              </w:rPr>
              <w:t>-0.53</w:t>
            </w:r>
          </w:p>
        </w:tc>
        <w:tc>
          <w:tcPr>
            <w:tcW w:w="297" w:type="dxa"/>
            <w:vMerge/>
            <w:tcBorders>
              <w:left w:val="single" w:sz="4" w:space="0" w:color="000000"/>
              <w:right w:val="nil" w:sz="6" w:space="0" w:color="auto"/>
            </w:tcBorders>
          </w:tcPr>
          <w:p>
            <w:pPr/>
          </w:p>
        </w:tc>
      </w:tr>
      <w:tr>
        <w:trPr>
          <w:trHeight w:val="559" w:hRule="exact"/>
        </w:trPr>
        <w:tc>
          <w:tcPr>
            <w:tcW w:w="298" w:type="dxa"/>
            <w:vMerge/>
            <w:tcBorders>
              <w:left w:val="nil" w:sz="6" w:space="0" w:color="auto"/>
              <w:bottom w:val="nil" w:sz="6" w:space="0" w:color="auto"/>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0.37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0.80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98" w:right="0"/>
              <w:jc w:val="left"/>
              <w:rPr>
                <w:rFonts w:ascii="Times New Roman" w:hAnsi="Times New Roman" w:cs="Times New Roman" w:eastAsia="Times New Roman" w:hint="default"/>
                <w:sz w:val="21"/>
                <w:szCs w:val="21"/>
              </w:rPr>
            </w:pPr>
            <w:r>
              <w:rPr>
                <w:rFonts w:ascii="Times New Roman"/>
                <w:sz w:val="21"/>
              </w:rPr>
              <w:t>-0.43</w:t>
            </w:r>
          </w:p>
        </w:tc>
        <w:tc>
          <w:tcPr>
            <w:tcW w:w="297" w:type="dxa"/>
            <w:vMerge/>
            <w:tcBorders>
              <w:left w:val="single" w:sz="4" w:space="0" w:color="000000"/>
              <w:bottom w:val="nil" w:sz="6" w:space="0" w:color="auto"/>
              <w:right w:val="nil" w:sz="6" w:space="0" w:color="auto"/>
            </w:tcBorders>
          </w:tcPr>
          <w:p>
            <w:pPr/>
          </w:p>
        </w:tc>
      </w:tr>
    </w:tbl>
    <w:p>
      <w:pPr>
        <w:spacing w:line="240" w:lineRule="auto" w:before="2"/>
        <w:rPr>
          <w:rFonts w:ascii="宋体" w:hAnsi="宋体" w:cs="宋体" w:eastAsia="宋体" w:hint="default"/>
          <w:b/>
          <w:bCs/>
          <w:sz w:val="23"/>
          <w:szCs w:val="23"/>
        </w:rPr>
      </w:pPr>
    </w:p>
    <w:p>
      <w:pPr>
        <w:spacing w:before="26"/>
        <w:ind w:left="222" w:right="30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、报告期内费用情况分析</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0" w:right="37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2"/>
        <w:rPr>
          <w:rFonts w:ascii="宋体" w:hAnsi="宋体" w:cs="宋体" w:eastAsia="宋体" w:hint="default"/>
          <w:sz w:val="12"/>
          <w:szCs w:val="12"/>
        </w:rPr>
      </w:pPr>
    </w:p>
    <w:tbl>
      <w:tblPr>
        <w:tblW w:w="0" w:type="auto"/>
        <w:jc w:val="left"/>
        <w:tblInd w:w="644" w:type="dxa"/>
        <w:tblLayout w:type="fixed"/>
        <w:tblCellMar>
          <w:top w:w="0" w:type="dxa"/>
          <w:left w:w="0" w:type="dxa"/>
          <w:bottom w:w="0" w:type="dxa"/>
          <w:right w:w="0" w:type="dxa"/>
        </w:tblCellMar>
        <w:tblLook w:val="01E0"/>
      </w:tblPr>
      <w:tblGrid>
        <w:gridCol w:w="2139"/>
        <w:gridCol w:w="1971"/>
        <w:gridCol w:w="2009"/>
        <w:gridCol w:w="1678"/>
      </w:tblGrid>
      <w:tr>
        <w:trPr>
          <w:trHeight w:val="323" w:hRule="exact"/>
        </w:trPr>
        <w:tc>
          <w:tcPr>
            <w:tcW w:w="213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b/>
                <w:bCs/>
                <w:sz w:val="21"/>
                <w:szCs w:val="21"/>
              </w:rPr>
              <w:t>费用名称</w:t>
            </w:r>
            <w:r>
              <w:rPr>
                <w:rFonts w:ascii="宋体" w:hAnsi="宋体" w:cs="宋体" w:eastAsia="宋体" w:hint="default"/>
                <w:sz w:val="21"/>
                <w:szCs w:val="21"/>
              </w:rPr>
            </w:r>
          </w:p>
        </w:tc>
        <w:tc>
          <w:tcPr>
            <w:tcW w:w="197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9" w:lineRule="exact"/>
              <w:ind w:left="63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9" w:lineRule="exact"/>
              <w:ind w:left="65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64" w:lineRule="exact"/>
              <w:ind w:right="410"/>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30,528,646.44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21,888,958.65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9" w:right="0"/>
              <w:jc w:val="left"/>
              <w:rPr>
                <w:rFonts w:ascii="Times New Roman" w:hAnsi="Times New Roman" w:cs="Times New Roman" w:eastAsia="Times New Roman" w:hint="default"/>
                <w:sz w:val="21"/>
                <w:szCs w:val="21"/>
              </w:rPr>
            </w:pPr>
            <w:r>
              <w:rPr>
                <w:rFonts w:ascii="Times New Roman"/>
                <w:sz w:val="21"/>
              </w:rPr>
              <w:t>39.47%</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31,296,596.55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24,875,754.35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9" w:right="0"/>
              <w:jc w:val="left"/>
              <w:rPr>
                <w:rFonts w:ascii="Times New Roman" w:hAnsi="Times New Roman" w:cs="Times New Roman" w:eastAsia="Times New Roman" w:hint="default"/>
                <w:sz w:val="21"/>
                <w:szCs w:val="21"/>
              </w:rPr>
            </w:pPr>
            <w:r>
              <w:rPr>
                <w:rFonts w:ascii="Times New Roman"/>
                <w:sz w:val="21"/>
              </w:rPr>
              <w:t>25.81%</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-3,135,496.74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-373,747.35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3"/>
              <w:jc w:val="right"/>
              <w:rPr>
                <w:rFonts w:ascii="Times New Roman" w:hAnsi="Times New Roman" w:cs="Times New Roman" w:eastAsia="Times New Roman" w:hint="default"/>
                <w:sz w:val="21"/>
                <w:szCs w:val="21"/>
              </w:rPr>
            </w:pPr>
            <w:r>
              <w:rPr>
                <w:rFonts w:ascii="Times New Roman"/>
                <w:sz w:val="21"/>
              </w:rPr>
              <w:t>738.93%</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1,711,951.84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2,079,440.67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2"/>
              <w:jc w:val="right"/>
              <w:rPr>
                <w:rFonts w:ascii="Times New Roman" w:hAnsi="Times New Roman" w:cs="Times New Roman" w:eastAsia="Times New Roman" w:hint="default"/>
                <w:sz w:val="21"/>
                <w:szCs w:val="21"/>
              </w:rPr>
            </w:pPr>
            <w:r>
              <w:rPr>
                <w:rFonts w:ascii="Times New Roman"/>
                <w:spacing w:val="-1"/>
                <w:sz w:val="21"/>
              </w:rPr>
              <w:t>-17.67%</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占营业收入比例</w:t>
            </w:r>
            <w:r>
              <w:rPr>
                <w:rFonts w:ascii="宋体" w:hAnsi="宋体" w:cs="宋体" w:eastAsia="宋体" w:hint="default"/>
                <w:sz w:val="21"/>
                <w:szCs w:val="21"/>
              </w:rPr>
            </w:r>
          </w:p>
        </w:tc>
        <w:tc>
          <w:tcPr>
            <w:tcW w:w="197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8" w:lineRule="exact"/>
              <w:ind w:left="63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8" w:lineRule="exact"/>
              <w:ind w:left="65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324"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52" w:right="0"/>
              <w:jc w:val="left"/>
              <w:rPr>
                <w:rFonts w:ascii="Times New Roman" w:hAnsi="Times New Roman" w:cs="Times New Roman" w:eastAsia="Times New Roman" w:hint="default"/>
                <w:sz w:val="21"/>
                <w:szCs w:val="21"/>
              </w:rPr>
            </w:pPr>
            <w:r>
              <w:rPr>
                <w:rFonts w:ascii="Times New Roman"/>
                <w:sz w:val="21"/>
              </w:rPr>
              <w:t>14.64%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74" w:right="0"/>
              <w:jc w:val="left"/>
              <w:rPr>
                <w:rFonts w:ascii="Times New Roman" w:hAnsi="Times New Roman" w:cs="Times New Roman" w:eastAsia="Times New Roman" w:hint="default"/>
                <w:sz w:val="21"/>
                <w:szCs w:val="21"/>
              </w:rPr>
            </w:pPr>
            <w:r>
              <w:rPr>
                <w:rFonts w:ascii="Times New Roman"/>
                <w:sz w:val="21"/>
              </w:rPr>
              <w:t>15.66%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8" w:right="0"/>
              <w:jc w:val="left"/>
              <w:rPr>
                <w:rFonts w:ascii="Times New Roman" w:hAnsi="Times New Roman" w:cs="Times New Roman" w:eastAsia="Times New Roman" w:hint="default"/>
                <w:sz w:val="21"/>
                <w:szCs w:val="21"/>
              </w:rPr>
            </w:pPr>
            <w:r>
              <w:rPr>
                <w:rFonts w:ascii="Times New Roman"/>
                <w:sz w:val="21"/>
              </w:rPr>
              <w:t>-1.02%</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52" w:right="0"/>
              <w:jc w:val="left"/>
              <w:rPr>
                <w:rFonts w:ascii="Times New Roman" w:hAnsi="Times New Roman" w:cs="Times New Roman" w:eastAsia="Times New Roman" w:hint="default"/>
                <w:sz w:val="21"/>
                <w:szCs w:val="21"/>
              </w:rPr>
            </w:pPr>
            <w:r>
              <w:rPr>
                <w:rFonts w:ascii="Times New Roman"/>
                <w:sz w:val="21"/>
              </w:rPr>
              <w:t>15.01%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4" w:right="0"/>
              <w:jc w:val="left"/>
              <w:rPr>
                <w:rFonts w:ascii="Times New Roman" w:hAnsi="Times New Roman" w:cs="Times New Roman" w:eastAsia="Times New Roman" w:hint="default"/>
                <w:sz w:val="21"/>
                <w:szCs w:val="21"/>
              </w:rPr>
            </w:pPr>
            <w:r>
              <w:rPr>
                <w:rFonts w:ascii="Times New Roman"/>
                <w:sz w:val="21"/>
              </w:rPr>
              <w:t>17.80%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Times New Roman" w:hAnsi="Times New Roman" w:cs="Times New Roman" w:eastAsia="Times New Roman" w:hint="default"/>
                <w:sz w:val="21"/>
                <w:szCs w:val="21"/>
              </w:rPr>
            </w:pPr>
            <w:r>
              <w:rPr>
                <w:rFonts w:ascii="Times New Roman"/>
                <w:sz w:val="21"/>
              </w:rPr>
              <w:t>-2.79%</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2" w:right="0"/>
              <w:jc w:val="left"/>
              <w:rPr>
                <w:rFonts w:ascii="Times New Roman" w:hAnsi="Times New Roman" w:cs="Times New Roman" w:eastAsia="Times New Roman" w:hint="default"/>
                <w:sz w:val="21"/>
                <w:szCs w:val="21"/>
              </w:rPr>
            </w:pPr>
            <w:r>
              <w:rPr>
                <w:rFonts w:ascii="Times New Roman"/>
                <w:sz w:val="21"/>
              </w:rPr>
              <w:t>-1.50%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3" w:right="0"/>
              <w:jc w:val="left"/>
              <w:rPr>
                <w:rFonts w:ascii="Times New Roman" w:hAnsi="Times New Roman" w:cs="Times New Roman" w:eastAsia="Times New Roman" w:hint="default"/>
                <w:sz w:val="21"/>
                <w:szCs w:val="21"/>
              </w:rPr>
            </w:pPr>
            <w:r>
              <w:rPr>
                <w:rFonts w:ascii="Times New Roman"/>
                <w:sz w:val="21"/>
              </w:rPr>
              <w:t>-0.27%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Times New Roman" w:hAnsi="Times New Roman" w:cs="Times New Roman" w:eastAsia="Times New Roman" w:hint="default"/>
                <w:sz w:val="21"/>
                <w:szCs w:val="21"/>
              </w:rPr>
            </w:pPr>
            <w:r>
              <w:rPr>
                <w:rFonts w:ascii="Times New Roman"/>
                <w:sz w:val="21"/>
              </w:rPr>
              <w:t>-1.24%</w:t>
            </w:r>
          </w:p>
        </w:tc>
      </w:tr>
      <w:tr>
        <w:trPr>
          <w:trHeight w:val="32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0.82%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Times New Roman" w:hAnsi="Times New Roman" w:cs="Times New Roman" w:eastAsia="Times New Roman" w:hint="default"/>
                <w:sz w:val="21"/>
                <w:szCs w:val="21"/>
              </w:rPr>
            </w:pPr>
            <w:r>
              <w:rPr>
                <w:rFonts w:ascii="Times New Roman"/>
                <w:sz w:val="21"/>
              </w:rPr>
              <w:t>-0.67%</w:t>
            </w:r>
          </w:p>
        </w:tc>
      </w:tr>
    </w:tbl>
    <w:p>
      <w:pPr>
        <w:pStyle w:val="BodyText"/>
        <w:spacing w:line="338" w:lineRule="auto" w:before="79"/>
        <w:ind w:left="222" w:right="379" w:firstLine="599"/>
        <w:jc w:val="both"/>
      </w:pPr>
      <w:r>
        <w:rPr/>
        <w:t>报告期公司销售费用同比增长 </w:t>
      </w:r>
      <w:r>
        <w:rPr>
          <w:rFonts w:ascii="Times New Roman" w:hAnsi="Times New Roman" w:cs="Times New Roman" w:eastAsia="Times New Roman" w:hint="default"/>
        </w:rPr>
        <w:t>39.47</w:t>
      </w:r>
      <w:r>
        <w:rPr/>
        <w:t>％，是公司销售规模增长，公司加大销 </w:t>
      </w:r>
      <w:r>
        <w:rPr>
          <w:spacing w:val="-8"/>
        </w:rPr>
        <w:t>售费用投入所致，；管理费用同比增长</w:t>
      </w:r>
      <w:r>
        <w:rPr>
          <w:spacing w:val="14"/>
        </w:rPr>
        <w:t> </w:t>
      </w:r>
      <w:r>
        <w:rPr>
          <w:rFonts w:ascii="Times New Roman" w:hAnsi="Times New Roman" w:cs="Times New Roman" w:eastAsia="Times New Roman" w:hint="default"/>
        </w:rPr>
        <w:t>25.81</w:t>
      </w:r>
      <w:r>
        <w:rPr/>
        <w:t>％，是公司加大研发的投入及新增上 市路演费用所致；财务费用同比大幅下降</w:t>
      </w:r>
      <w:r>
        <w:rPr>
          <w:spacing w:val="35"/>
        </w:rPr>
        <w:t> </w:t>
      </w:r>
      <w:r>
        <w:rPr>
          <w:rFonts w:ascii="Times New Roman" w:hAnsi="Times New Roman" w:cs="Times New Roman" w:eastAsia="Times New Roman" w:hint="default"/>
        </w:rPr>
        <w:t>738.93%</w:t>
      </w:r>
      <w:r>
        <w:rPr/>
        <w:t>，是募集资金计提利息收入所</w:t>
      </w:r>
      <w:r>
        <w:rPr>
          <w:spacing w:val="-118"/>
        </w:rPr>
        <w:t> </w:t>
      </w:r>
      <w:r>
        <w:rPr>
          <w:spacing w:val="-118"/>
        </w:rPr>
      </w:r>
      <w:r>
        <w:rPr>
          <w:spacing w:val="-3"/>
        </w:rPr>
        <w:t>得，所得税费用同比下降</w:t>
      </w:r>
      <w:r>
        <w:rPr>
          <w:spacing w:val="-83"/>
        </w:rPr>
        <w:t> </w:t>
      </w:r>
      <w:r>
        <w:rPr>
          <w:rFonts w:ascii="Times New Roman" w:hAnsi="Times New Roman" w:cs="Times New Roman" w:eastAsia="Times New Roman" w:hint="default"/>
        </w:rPr>
        <w:t>17.67</w:t>
      </w:r>
      <w:r>
        <w:rPr/>
        <w:t>％，是公司获得的政府补贴较多产生的递延收益调 整所得税费用所致。</w:t>
      </w:r>
    </w:p>
    <w:p>
      <w:pPr>
        <w:spacing w:line="762" w:lineRule="exact" w:before="26"/>
        <w:ind w:left="701" w:right="305" w:hanging="480"/>
        <w:jc w:val="left"/>
        <w:rPr>
          <w:rFonts w:ascii="宋体" w:hAnsi="宋体" w:cs="宋体" w:eastAsia="宋体" w:hint="default"/>
          <w:sz w:val="24"/>
          <w:szCs w:val="24"/>
        </w:rPr>
      </w:pPr>
      <w:r>
        <w:rPr>
          <w:rFonts w:ascii="宋体" w:hAnsi="宋体" w:cs="宋体" w:eastAsia="宋体" w:hint="default"/>
          <w:b/>
          <w:bCs/>
          <w:sz w:val="24"/>
          <w:szCs w:val="24"/>
        </w:rPr>
        <w:t>（四）主要无形资产情况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报告期内，公司账面无形资产未发生重大变化，账面余额为</w:t>
      </w:r>
      <w:r>
        <w:rPr>
          <w:rFonts w:ascii="Times New Roman" w:hAnsi="Times New Roman" w:cs="Times New Roman" w:eastAsia="Times New Roman" w:hint="default"/>
          <w:sz w:val="24"/>
          <w:szCs w:val="24"/>
        </w:rPr>
        <w:t>1,279.31</w:t>
      </w:r>
      <w:r>
        <w:rPr>
          <w:rFonts w:ascii="宋体" w:hAnsi="宋体" w:cs="宋体" w:eastAsia="宋体" w:hint="default"/>
          <w:sz w:val="24"/>
          <w:szCs w:val="24"/>
        </w:rPr>
        <w:t>万元，主</w:t>
      </w:r>
    </w:p>
    <w:p>
      <w:pPr>
        <w:pStyle w:val="BodyText"/>
        <w:spacing w:line="357" w:lineRule="auto" w:before="35"/>
        <w:ind w:left="222" w:right="220"/>
        <w:jc w:val="left"/>
      </w:pPr>
      <w:r>
        <w:rPr>
          <w:spacing w:val="-1"/>
        </w:rPr>
        <w:t>要为公司拥有的位于南京市的土地使用权。公司拥有的著作权、专利、商标均未作</w:t>
      </w:r>
      <w:r>
        <w:rPr>
          <w:spacing w:val="-108"/>
        </w:rPr>
        <w:t> </w:t>
      </w:r>
      <w:r>
        <w:rPr>
          <w:spacing w:val="-108"/>
        </w:rPr>
      </w:r>
      <w:r>
        <w:rPr/>
        <w:t>为无形资产入账，公司无形资产具体情况如下：</w:t>
      </w:r>
    </w:p>
    <w:p>
      <w:pPr>
        <w:spacing w:line="240" w:lineRule="auto" w:before="2"/>
        <w:rPr>
          <w:rFonts w:ascii="宋体" w:hAnsi="宋体" w:cs="宋体" w:eastAsia="宋体" w:hint="default"/>
          <w:sz w:val="25"/>
          <w:szCs w:val="25"/>
        </w:rPr>
      </w:pPr>
    </w:p>
    <w:p>
      <w:pPr>
        <w:pStyle w:val="Heading6"/>
        <w:spacing w:line="240" w:lineRule="auto"/>
        <w:ind w:left="222" w:right="305"/>
        <w:jc w:val="left"/>
        <w:rPr>
          <w:b w:val="0"/>
          <w:bCs w:val="0"/>
        </w:rPr>
      </w:pPr>
      <w:r>
        <w:rPr>
          <w:rFonts w:ascii="Times New Roman" w:hAnsi="Times New Roman" w:cs="Times New Roman" w:eastAsia="Times New Roman" w:hint="default"/>
        </w:rPr>
        <w:t>1</w:t>
      </w:r>
      <w:r>
        <w:rPr/>
        <w:t>、土地使用权</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1231"/>
        <w:gridCol w:w="1563"/>
        <w:gridCol w:w="890"/>
        <w:gridCol w:w="1236"/>
        <w:gridCol w:w="1558"/>
        <w:gridCol w:w="1316"/>
        <w:gridCol w:w="1020"/>
      </w:tblGrid>
      <w:tr>
        <w:trPr>
          <w:trHeight w:val="1028" w:hRule="exact"/>
        </w:trPr>
        <w:tc>
          <w:tcPr>
            <w:tcW w:w="123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b/>
                <w:bCs/>
                <w:sz w:val="21"/>
                <w:szCs w:val="21"/>
              </w:rPr>
              <w:t>所有权人</w:t>
            </w:r>
            <w:r>
              <w:rPr>
                <w:rFonts w:ascii="宋体" w:hAnsi="宋体" w:cs="宋体" w:eastAsia="宋体" w:hint="default"/>
                <w:sz w:val="21"/>
                <w:szCs w:val="21"/>
              </w:rPr>
            </w:r>
          </w:p>
        </w:tc>
        <w:tc>
          <w:tcPr>
            <w:tcW w:w="156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b/>
                <w:bCs/>
                <w:sz w:val="21"/>
                <w:szCs w:val="21"/>
              </w:rPr>
              <w:t>使用权证号</w:t>
            </w:r>
            <w:r>
              <w:rPr>
                <w:rFonts w:ascii="宋体" w:hAnsi="宋体" w:cs="宋体" w:eastAsia="宋体" w:hint="default"/>
                <w:sz w:val="21"/>
                <w:szCs w:val="21"/>
              </w:rPr>
            </w:r>
          </w:p>
        </w:tc>
        <w:tc>
          <w:tcPr>
            <w:tcW w:w="89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227" w:right="122" w:hanging="106"/>
              <w:jc w:val="left"/>
              <w:rPr>
                <w:rFonts w:ascii="宋体" w:hAnsi="宋体" w:cs="宋体" w:eastAsia="宋体" w:hint="default"/>
                <w:sz w:val="21"/>
                <w:szCs w:val="21"/>
              </w:rPr>
            </w:pPr>
            <w:r>
              <w:rPr>
                <w:rFonts w:ascii="宋体" w:hAnsi="宋体" w:cs="宋体" w:eastAsia="宋体" w:hint="default"/>
                <w:b/>
                <w:bCs/>
                <w:sz w:val="21"/>
                <w:szCs w:val="21"/>
              </w:rPr>
              <w:t>使用权</w:t>
            </w:r>
            <w:r>
              <w:rPr>
                <w:rFonts w:ascii="宋体" w:hAnsi="宋体" w:cs="宋体" w:eastAsia="宋体" w:hint="default"/>
                <w:b/>
                <w:bCs/>
                <w:w w:val="100"/>
                <w:sz w:val="21"/>
                <w:szCs w:val="21"/>
              </w:rPr>
              <w:t> </w:t>
            </w:r>
            <w:r>
              <w:rPr>
                <w:rFonts w:ascii="宋体" w:hAnsi="宋体" w:cs="宋体" w:eastAsia="宋体" w:hint="default"/>
                <w:b/>
                <w:bCs/>
                <w:sz w:val="21"/>
                <w:szCs w:val="21"/>
              </w:rPr>
              <w:t>来源</w:t>
            </w:r>
            <w:r>
              <w:rPr>
                <w:rFonts w:ascii="宋体" w:hAnsi="宋体" w:cs="宋体" w:eastAsia="宋体" w:hint="default"/>
                <w:sz w:val="21"/>
                <w:szCs w:val="21"/>
              </w:rPr>
            </w:r>
          </w:p>
        </w:tc>
        <w:tc>
          <w:tcPr>
            <w:tcW w:w="123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292" w:right="190" w:hanging="104"/>
              <w:jc w:val="left"/>
              <w:rPr>
                <w:rFonts w:ascii="宋体" w:hAnsi="宋体" w:cs="宋体" w:eastAsia="宋体" w:hint="default"/>
                <w:sz w:val="21"/>
                <w:szCs w:val="21"/>
              </w:rPr>
            </w:pPr>
            <w:r>
              <w:rPr>
                <w:rFonts w:ascii="宋体" w:hAnsi="宋体" w:cs="宋体" w:eastAsia="宋体" w:hint="default"/>
                <w:b/>
                <w:bCs/>
                <w:sz w:val="21"/>
                <w:szCs w:val="21"/>
              </w:rPr>
              <w:t>使用权终</w:t>
            </w:r>
            <w:r>
              <w:rPr>
                <w:rFonts w:ascii="宋体" w:hAnsi="宋体" w:cs="宋体" w:eastAsia="宋体" w:hint="default"/>
                <w:b/>
                <w:bCs/>
                <w:w w:val="100"/>
                <w:sz w:val="21"/>
                <w:szCs w:val="21"/>
              </w:rPr>
              <w:t> </w:t>
            </w:r>
            <w:r>
              <w:rPr>
                <w:rFonts w:ascii="宋体" w:hAnsi="宋体" w:cs="宋体" w:eastAsia="宋体" w:hint="default"/>
                <w:b/>
                <w:bCs/>
                <w:sz w:val="21"/>
                <w:szCs w:val="21"/>
              </w:rPr>
              <w:t>止日期</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b/>
                <w:bCs/>
                <w:sz w:val="21"/>
                <w:szCs w:val="21"/>
              </w:rPr>
              <w:t>土地位置</w:t>
            </w:r>
            <w:r>
              <w:rPr>
                <w:rFonts w:ascii="宋体" w:hAnsi="宋体" w:cs="宋体" w:eastAsia="宋体" w:hint="default"/>
                <w:sz w:val="21"/>
                <w:szCs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b/>
                <w:bCs/>
                <w:sz w:val="21"/>
                <w:szCs w:val="21"/>
              </w:rPr>
              <w:t>土地面积</w:t>
            </w:r>
            <w:r>
              <w:rPr>
                <w:rFonts w:ascii="宋体" w:hAnsi="宋体" w:cs="宋体" w:eastAsia="宋体" w:hint="default"/>
                <w:sz w:val="21"/>
                <w:szCs w:val="21"/>
              </w:rPr>
            </w:r>
          </w:p>
        </w:tc>
        <w:tc>
          <w:tcPr>
            <w:tcW w:w="102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398" w:right="187" w:hanging="212"/>
              <w:jc w:val="left"/>
              <w:rPr>
                <w:rFonts w:ascii="宋体" w:hAnsi="宋体" w:cs="宋体" w:eastAsia="宋体" w:hint="default"/>
                <w:sz w:val="21"/>
                <w:szCs w:val="21"/>
              </w:rPr>
            </w:pPr>
            <w:r>
              <w:rPr>
                <w:rFonts w:ascii="宋体" w:hAnsi="宋体" w:cs="宋体" w:eastAsia="宋体" w:hint="default"/>
                <w:b/>
                <w:bCs/>
                <w:sz w:val="21"/>
                <w:szCs w:val="21"/>
              </w:rPr>
              <w:t>他项权</w:t>
            </w:r>
            <w:r>
              <w:rPr>
                <w:rFonts w:ascii="宋体" w:hAnsi="宋体" w:cs="宋体" w:eastAsia="宋体" w:hint="default"/>
                <w:b/>
                <w:bCs/>
                <w:w w:val="100"/>
                <w:sz w:val="21"/>
                <w:szCs w:val="21"/>
              </w:rPr>
              <w:t> </w:t>
            </w:r>
            <w:r>
              <w:rPr>
                <w:rFonts w:ascii="宋体" w:hAnsi="宋体" w:cs="宋体" w:eastAsia="宋体" w:hint="default"/>
                <w:b/>
                <w:bCs/>
                <w:sz w:val="21"/>
                <w:szCs w:val="21"/>
              </w:rPr>
              <w:t>利</w:t>
            </w:r>
            <w:r>
              <w:rPr>
                <w:rFonts w:ascii="宋体" w:hAnsi="宋体" w:cs="宋体" w:eastAsia="宋体" w:hint="default"/>
                <w:sz w:val="21"/>
                <w:szCs w:val="21"/>
              </w:rPr>
            </w:r>
          </w:p>
        </w:tc>
      </w:tr>
    </w:tbl>
    <w:p>
      <w:pPr>
        <w:spacing w:after="0" w:line="408" w:lineRule="auto"/>
        <w:jc w:val="left"/>
        <w:rPr>
          <w:rFonts w:ascii="宋体" w:hAnsi="宋体" w:cs="宋体" w:eastAsia="宋体" w:hint="default"/>
          <w:sz w:val="21"/>
          <w:szCs w:val="21"/>
        </w:rPr>
        <w:sectPr>
          <w:pgSz w:w="11910" w:h="16840"/>
          <w:pgMar w:header="877" w:footer="1267" w:top="1060" w:bottom="1460" w:left="1480" w:right="1360"/>
        </w:sectPr>
      </w:pPr>
    </w:p>
    <w:p>
      <w:pPr>
        <w:spacing w:line="240" w:lineRule="auto" w:before="11"/>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1231"/>
        <w:gridCol w:w="1563"/>
        <w:gridCol w:w="890"/>
        <w:gridCol w:w="1236"/>
        <w:gridCol w:w="1558"/>
        <w:gridCol w:w="1316"/>
        <w:gridCol w:w="1020"/>
      </w:tblGrid>
      <w:tr>
        <w:trPr>
          <w:trHeight w:val="1510" w:hRule="exact"/>
        </w:trPr>
        <w:tc>
          <w:tcPr>
            <w:tcW w:w="12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南京新国都</w:t>
            </w:r>
          </w:p>
        </w:tc>
        <w:tc>
          <w:tcPr>
            <w:tcW w:w="15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right="3"/>
              <w:jc w:val="center"/>
              <w:rPr>
                <w:rFonts w:ascii="宋体" w:hAnsi="宋体" w:cs="宋体" w:eastAsia="宋体" w:hint="default"/>
                <w:sz w:val="21"/>
                <w:szCs w:val="21"/>
              </w:rPr>
            </w:pPr>
            <w:r>
              <w:rPr>
                <w:rFonts w:ascii="宋体" w:hAnsi="宋体" w:cs="宋体" w:eastAsia="宋体" w:hint="default"/>
                <w:sz w:val="21"/>
                <w:szCs w:val="21"/>
              </w:rPr>
              <w:t>宁栖国用</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15197</w:t>
            </w:r>
          </w:p>
          <w:p>
            <w:pPr>
              <w:pStyle w:val="TableParagraph"/>
              <w:spacing w:line="240" w:lineRule="auto" w:before="177"/>
              <w:ind w:right="5"/>
              <w:jc w:val="center"/>
              <w:rPr>
                <w:rFonts w:ascii="宋体" w:hAnsi="宋体" w:cs="宋体" w:eastAsia="宋体" w:hint="default"/>
                <w:sz w:val="21"/>
                <w:szCs w:val="21"/>
              </w:rPr>
            </w:pPr>
            <w:r>
              <w:rPr>
                <w:rFonts w:ascii="宋体" w:hAnsi="宋体" w:cs="宋体" w:eastAsia="宋体" w:hint="default"/>
                <w:w w:val="100"/>
                <w:sz w:val="21"/>
                <w:szCs w:val="21"/>
              </w:rPr>
              <w:t>号</w:t>
            </w:r>
          </w:p>
        </w:tc>
        <w:tc>
          <w:tcPr>
            <w:tcW w:w="8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受让</w:t>
            </w:r>
          </w:p>
        </w:tc>
        <w:tc>
          <w:tcPr>
            <w:tcW w:w="12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2059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p>
          <w:p>
            <w:pPr>
              <w:pStyle w:val="TableParagraph"/>
              <w:spacing w:line="240" w:lineRule="auto" w:before="177"/>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408" w:lineRule="auto"/>
              <w:ind w:left="247" w:right="139" w:hanging="104"/>
              <w:jc w:val="left"/>
              <w:rPr>
                <w:rFonts w:ascii="宋体" w:hAnsi="宋体" w:cs="宋体" w:eastAsia="宋体" w:hint="default"/>
                <w:sz w:val="21"/>
                <w:szCs w:val="21"/>
              </w:rPr>
            </w:pPr>
            <w:r>
              <w:rPr>
                <w:rFonts w:ascii="宋体" w:hAnsi="宋体" w:cs="宋体" w:eastAsia="宋体" w:hint="default"/>
                <w:sz w:val="21"/>
                <w:szCs w:val="21"/>
              </w:rPr>
              <w:t>南京市栖霞区</w:t>
            </w:r>
            <w:r>
              <w:rPr>
                <w:rFonts w:ascii="宋体" w:hAnsi="宋体" w:cs="宋体" w:eastAsia="宋体" w:hint="default"/>
                <w:w w:val="100"/>
                <w:sz w:val="21"/>
                <w:szCs w:val="21"/>
              </w:rPr>
              <w:t> </w:t>
            </w:r>
            <w:r>
              <w:rPr>
                <w:rFonts w:ascii="宋体" w:hAnsi="宋体" w:cs="宋体" w:eastAsia="宋体" w:hint="default"/>
                <w:sz w:val="21"/>
                <w:szCs w:val="21"/>
              </w:rPr>
              <w:t>马群科技园</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22983.1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w:t>
            </w:r>
          </w:p>
        </w:tc>
        <w:tc>
          <w:tcPr>
            <w:tcW w:w="10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26"/>
        <w:ind w:left="242" w:right="24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、软件著作权和软件产品</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240" w:lineRule="auto"/>
        <w:ind w:left="721" w:right="240"/>
        <w:jc w:val="left"/>
      </w:pPr>
      <w:r>
        <w:rPr/>
        <w:t>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日，公司及其下属全资子公司已获得</w:t>
      </w:r>
      <w:r>
        <w:rPr>
          <w:spacing w:val="-60"/>
        </w:rPr>
        <w:t> </w:t>
      </w:r>
      <w:r>
        <w:rPr>
          <w:rFonts w:ascii="Times New Roman" w:hAnsi="Times New Roman" w:cs="Times New Roman" w:eastAsia="Times New Roman" w:hint="default"/>
        </w:rPr>
        <w:t>44 </w:t>
      </w:r>
      <w:r>
        <w:rPr/>
        <w:t>个软件著作权</w:t>
      </w:r>
    </w:p>
    <w:p>
      <w:pPr>
        <w:pStyle w:val="BodyText"/>
        <w:spacing w:line="240" w:lineRule="auto" w:before="136"/>
        <w:ind w:left="242" w:right="240"/>
        <w:jc w:val="left"/>
      </w:pPr>
      <w:r>
        <w:rPr/>
        <w:t>和</w:t>
      </w:r>
      <w:r>
        <w:rPr>
          <w:spacing w:val="-61"/>
        </w:rPr>
        <w:t> </w:t>
      </w:r>
      <w:r>
        <w:rPr>
          <w:rFonts w:ascii="Times New Roman" w:hAnsi="Times New Roman" w:cs="Times New Roman" w:eastAsia="Times New Roman" w:hint="default"/>
        </w:rPr>
        <w:t>39 </w:t>
      </w:r>
      <w:r>
        <w:rPr/>
        <w:t>个软件产品证书，具体情况如下：</w:t>
      </w:r>
    </w:p>
    <w:p>
      <w:pPr>
        <w:spacing w:line="240" w:lineRule="auto" w:before="7"/>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025" w:hRule="exact"/>
        </w:trPr>
        <w:tc>
          <w:tcPr>
            <w:tcW w:w="41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5" w:lineRule="auto" w:before="105"/>
              <w:ind w:left="93" w:right="9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b/>
                <w:bCs/>
                <w:sz w:val="21"/>
                <w:szCs w:val="21"/>
              </w:rPr>
              <w:t>软件产品名称</w:t>
            </w:r>
            <w:r>
              <w:rPr>
                <w:rFonts w:ascii="宋体" w:hAnsi="宋体" w:cs="宋体" w:eastAsia="宋体"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发证机关</w:t>
            </w:r>
            <w:r>
              <w:rPr>
                <w:rFonts w:ascii="宋体" w:hAnsi="宋体" w:cs="宋体" w:eastAsia="宋体" w:hint="default"/>
                <w:sz w:val="21"/>
                <w:szCs w:val="21"/>
              </w:rPr>
            </w:r>
          </w:p>
        </w:tc>
        <w:tc>
          <w:tcPr>
            <w:tcW w:w="83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5" w:lineRule="auto" w:before="105"/>
              <w:ind w:left="202" w:right="203"/>
              <w:jc w:val="left"/>
              <w:rPr>
                <w:rFonts w:ascii="宋体" w:hAnsi="宋体" w:cs="宋体" w:eastAsia="宋体" w:hint="default"/>
                <w:sz w:val="21"/>
                <w:szCs w:val="21"/>
              </w:rPr>
            </w:pPr>
            <w:r>
              <w:rPr>
                <w:rFonts w:ascii="宋体" w:hAnsi="宋体" w:cs="宋体" w:eastAsia="宋体" w:hint="default"/>
                <w:b/>
                <w:bCs/>
                <w:sz w:val="21"/>
                <w:szCs w:val="21"/>
              </w:rPr>
              <w:t>有效</w:t>
            </w:r>
            <w:r>
              <w:rPr>
                <w:rFonts w:ascii="宋体" w:hAnsi="宋体" w:cs="宋体" w:eastAsia="宋体" w:hint="default"/>
                <w:b/>
                <w:bCs/>
                <w:w w:val="100"/>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b/>
                <w:bCs/>
                <w:sz w:val="21"/>
                <w:szCs w:val="21"/>
              </w:rPr>
              <w:t>权利人</w:t>
            </w:r>
            <w:r>
              <w:rPr>
                <w:rFonts w:ascii="宋体" w:hAnsi="宋体" w:cs="宋体" w:eastAsia="宋体" w:hint="default"/>
                <w:sz w:val="21"/>
                <w:szCs w:val="21"/>
              </w:rPr>
            </w:r>
          </w:p>
        </w:tc>
      </w:tr>
      <w:tr>
        <w:trPr>
          <w:trHeight w:val="102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475" w:right="146" w:hanging="329"/>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专用</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DGY-2007-1230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02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105"/>
              <w:ind w:left="422" w:right="146" w:hanging="276"/>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基础</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V3.01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DGY-2008-1238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02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422" w:right="146" w:hanging="276"/>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通用</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V3.50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DGY-2008-0939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02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263" w:right="178" w:hanging="82"/>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新国都个人网络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DGY-2009-0099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746" w:right="115" w:hanging="632"/>
              <w:jc w:val="left"/>
              <w:rPr>
                <w:rFonts w:ascii="宋体" w:hAnsi="宋体" w:cs="宋体" w:eastAsia="宋体" w:hint="default"/>
                <w:sz w:val="21"/>
                <w:szCs w:val="21"/>
              </w:rPr>
            </w:pPr>
            <w:r>
              <w:rPr>
                <w:rFonts w:ascii="宋体" w:hAnsi="宋体" w:cs="宋体" w:eastAsia="宋体" w:hint="default"/>
                <w:sz w:val="21"/>
                <w:szCs w:val="21"/>
              </w:rPr>
              <w:t>深圳科技和信息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02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422" w:right="146" w:hanging="276"/>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综合</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V3.60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DGY-2008-1239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84" w:lineRule="auto"/>
              <w:ind w:left="201" w:right="171" w:hanging="3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K350“</w:t>
            </w:r>
            <w:r>
              <w:rPr>
                <w:rFonts w:ascii="宋体" w:hAnsi="宋体" w:cs="宋体" w:eastAsia="宋体" w:hint="default"/>
                <w:spacing w:val="-2"/>
                <w:sz w:val="21"/>
                <w:szCs w:val="21"/>
              </w:rPr>
              <w:t>广东</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银联</w:t>
            </w:r>
            <w:r>
              <w:rPr>
                <w:rFonts w:ascii="宋体" w:hAnsi="宋体" w:cs="宋体" w:eastAsia="宋体" w:hint="default"/>
                <w:spacing w:val="-89"/>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K350 </w:t>
            </w:r>
            <w:r>
              <w:rPr>
                <w:rFonts w:ascii="宋体" w:hAnsi="宋体" w:cs="宋体" w:eastAsia="宋体" w:hint="default"/>
                <w:sz w:val="21"/>
                <w:szCs w:val="21"/>
              </w:rPr>
              <w:t>总银联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w:t>
            </w:r>
          </w:p>
          <w:p>
            <w:pPr>
              <w:pStyle w:val="TableParagraph"/>
              <w:spacing w:line="240" w:lineRule="auto" w:before="177"/>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bl>
    <w:p>
      <w:pPr>
        <w:spacing w:after="0" w:line="240" w:lineRule="auto"/>
        <w:jc w:val="righ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8.</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K360 </w:t>
            </w:r>
            <w:r>
              <w:rPr>
                <w:rFonts w:ascii="宋体" w:hAnsi="宋体" w:cs="宋体" w:eastAsia="宋体" w:hint="default"/>
                <w:sz w:val="21"/>
                <w:szCs w:val="21"/>
              </w:rPr>
              <w:t>总银联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w:t>
            </w:r>
          </w:p>
          <w:p>
            <w:pPr>
              <w:pStyle w:val="TableParagraph"/>
              <w:spacing w:line="240" w:lineRule="auto" w:before="175"/>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V1.01</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K370 </w:t>
            </w:r>
            <w:r>
              <w:rPr>
                <w:rFonts w:ascii="宋体" w:hAnsi="宋体" w:cs="宋体" w:eastAsia="宋体" w:hint="default"/>
                <w:sz w:val="21"/>
                <w:szCs w:val="21"/>
              </w:rPr>
              <w:t>总银联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w:t>
            </w:r>
          </w:p>
          <w:p>
            <w:pPr>
              <w:pStyle w:val="TableParagraph"/>
              <w:spacing w:line="240" w:lineRule="auto" w:before="177"/>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107273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384" w:lineRule="auto"/>
              <w:ind w:left="103" w:right="99" w:firstLine="5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K301FZ“</w:t>
            </w:r>
            <w:r>
              <w:rPr>
                <w:rFonts w:ascii="宋体" w:hAnsi="宋体" w:cs="宋体" w:eastAsia="宋体" w:hint="default"/>
                <w:sz w:val="21"/>
                <w:szCs w:val="21"/>
              </w:rPr>
              <w:t>广东</w:t>
            </w:r>
            <w:r>
              <w:rPr>
                <w:rFonts w:ascii="Times New Roman" w:hAnsi="Times New Roman" w:cs="Times New Roman" w:eastAsia="Times New Roman" w:hint="default"/>
                <w:sz w:val="21"/>
                <w:szCs w:val="21"/>
              </w:rPr>
              <w:t>”</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软件</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V2.04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11.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新国都物流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POS</w:t>
            </w:r>
          </w:p>
          <w:p>
            <w:pPr>
              <w:pStyle w:val="TableParagraph"/>
              <w:spacing w:line="240" w:lineRule="auto" w:before="177"/>
              <w:ind w:left="2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12.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总银联</w:t>
            </w:r>
          </w:p>
          <w:p>
            <w:pPr>
              <w:pStyle w:val="TableParagraph"/>
              <w:spacing w:line="240" w:lineRule="auto" w:before="175"/>
              <w:ind w:left="2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POS </w:t>
            </w: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13.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386" w:lineRule="auto"/>
              <w:ind w:left="422" w:right="183" w:hanging="23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K3305 </w:t>
            </w:r>
            <w:r>
              <w:rPr>
                <w:rFonts w:ascii="宋体" w:hAnsi="宋体" w:cs="宋体" w:eastAsia="宋体" w:hint="default"/>
                <w:sz w:val="21"/>
                <w:szCs w:val="21"/>
              </w:rPr>
              <w:t>密码键盘</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V1.38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107268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14.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K320  </w:t>
            </w:r>
            <w:r>
              <w:rPr>
                <w:rFonts w:ascii="宋体" w:hAnsi="宋体" w:cs="宋体" w:eastAsia="宋体" w:hint="default"/>
                <w:sz w:val="21"/>
                <w:szCs w:val="21"/>
              </w:rPr>
              <w:t>通用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POS</w:t>
            </w:r>
          </w:p>
          <w:p>
            <w:pPr>
              <w:pStyle w:val="TableParagraph"/>
              <w:spacing w:line="240" w:lineRule="auto" w:before="175"/>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0166767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bl>
    <w:p>
      <w:pPr>
        <w:spacing w:after="0" w:line="240" w:lineRule="auto"/>
        <w:jc w:val="righ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15.</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405" w:lineRule="auto"/>
              <w:ind w:left="395" w:right="178" w:hanging="214"/>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新国都终端管理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V3.5.0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0167725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K501A </w:t>
            </w:r>
            <w:r>
              <w:rPr>
                <w:rFonts w:ascii="宋体" w:hAnsi="宋体" w:cs="宋体" w:eastAsia="宋体" w:hint="default"/>
                <w:sz w:val="21"/>
                <w:szCs w:val="21"/>
              </w:rPr>
              <w:t>电话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w:t>
            </w:r>
          </w:p>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通用软件</w:t>
            </w: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V090810.100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0167726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17.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405" w:lineRule="auto"/>
              <w:ind w:left="105" w:right="104" w:firstLine="76"/>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新国都个人网络</w:t>
            </w:r>
            <w:r>
              <w:rPr>
                <w:rFonts w:ascii="宋体" w:hAnsi="宋体" w:cs="宋体" w:eastAsia="宋体" w:hint="default"/>
                <w:w w:val="100"/>
                <w:sz w:val="21"/>
                <w:szCs w:val="21"/>
              </w:rPr>
              <w:t> </w:t>
            </w:r>
            <w:r>
              <w:rPr>
                <w:rFonts w:ascii="宋体" w:hAnsi="宋体" w:cs="宋体" w:eastAsia="宋体" w:hint="default"/>
                <w:sz w:val="21"/>
                <w:szCs w:val="21"/>
              </w:rPr>
              <w:t>支付软件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V1.1.0.0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0168753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386" w:lineRule="auto"/>
              <w:ind w:left="422" w:right="144" w:hanging="276"/>
              <w:jc w:val="left"/>
              <w:rPr>
                <w:rFonts w:ascii="Times New Roman" w:hAnsi="Times New Roman" w:cs="Times New Roman" w:eastAsia="Times New Roman" w:hint="default"/>
                <w:sz w:val="21"/>
                <w:szCs w:val="21"/>
              </w:rPr>
            </w:pPr>
            <w:r>
              <w:rPr>
                <w:rFonts w:ascii="宋体" w:hAnsi="宋体" w:cs="宋体" w:eastAsia="宋体" w:hint="default"/>
                <w:sz w:val="21"/>
                <w:szCs w:val="21"/>
              </w:rPr>
              <w:t>电话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交易系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V1.0.0.2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0168754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19.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K390  </w:t>
            </w:r>
            <w:r>
              <w:rPr>
                <w:rFonts w:ascii="宋体" w:hAnsi="宋体" w:cs="宋体" w:eastAsia="宋体" w:hint="default"/>
                <w:sz w:val="21"/>
                <w:szCs w:val="21"/>
              </w:rPr>
              <w:t>通用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POS</w:t>
            </w:r>
          </w:p>
          <w:p>
            <w:pPr>
              <w:pStyle w:val="TableParagraph"/>
              <w:spacing w:line="240" w:lineRule="auto" w:before="175"/>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软件 </w:t>
            </w:r>
            <w:r>
              <w:rPr>
                <w:rFonts w:ascii="Times New Roman" w:hAnsi="Times New Roman" w:cs="Times New Roman" w:eastAsia="Times New Roman" w:hint="default"/>
                <w:sz w:val="21"/>
                <w:szCs w:val="21"/>
              </w:rPr>
              <w:t>V090820101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0177104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20.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466" w:lineRule="exact"/>
              <w:ind w:left="146" w:right="146"/>
              <w:jc w:val="center"/>
              <w:rPr>
                <w:rFonts w:ascii="Times New Roman" w:hAnsi="Times New Roman" w:cs="Times New Roman" w:eastAsia="Times New Roman" w:hint="default"/>
                <w:sz w:val="21"/>
                <w:szCs w:val="21"/>
              </w:rPr>
            </w:pPr>
            <w:r>
              <w:rPr>
                <w:rFonts w:ascii="宋体" w:hAnsi="宋体" w:cs="宋体" w:eastAsia="宋体" w:hint="default"/>
                <w:sz w:val="21"/>
                <w:szCs w:val="21"/>
              </w:rPr>
              <w:t>羊城通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交易</w:t>
            </w:r>
            <w:r>
              <w:rPr>
                <w:rFonts w:ascii="宋体" w:hAnsi="宋体" w:cs="宋体" w:eastAsia="宋体" w:hint="default"/>
                <w:w w:val="100"/>
                <w:sz w:val="21"/>
                <w:szCs w:val="21"/>
              </w:rPr>
              <w:t> </w:t>
            </w:r>
            <w:r>
              <w:rPr>
                <w:rFonts w:ascii="宋体" w:hAnsi="宋体" w:cs="宋体" w:eastAsia="宋体" w:hint="default"/>
                <w:sz w:val="21"/>
                <w:szCs w:val="21"/>
              </w:rPr>
              <w:t>平台软件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V1.0.0.250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0177102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5"/>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21.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386" w:lineRule="auto"/>
              <w:ind w:left="103" w:right="99"/>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PC</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人网上支付系统</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0190938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4"/>
              <w:jc w:val="right"/>
              <w:rPr>
                <w:rFonts w:ascii="宋体" w:hAnsi="宋体" w:cs="宋体" w:eastAsia="宋体" w:hint="default"/>
                <w:sz w:val="21"/>
                <w:szCs w:val="21"/>
              </w:rPr>
            </w:pPr>
            <w:r>
              <w:rPr>
                <w:rFonts w:ascii="宋体" w:hAnsi="宋体" w:cs="宋体" w:eastAsia="宋体" w:hint="default"/>
                <w:sz w:val="21"/>
                <w:szCs w:val="21"/>
              </w:rPr>
              <w:t>新国都</w:t>
            </w:r>
          </w:p>
        </w:tc>
      </w:tr>
    </w:tbl>
    <w:p>
      <w:pPr>
        <w:spacing w:after="0" w:line="240" w:lineRule="auto"/>
        <w:jc w:val="righ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22.</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384" w:lineRule="auto"/>
              <w:ind w:left="103" w:right="99" w:firstLine="48"/>
              <w:jc w:val="left"/>
              <w:rPr>
                <w:rFonts w:ascii="Times New Roman" w:hAnsi="Times New Roman" w:cs="Times New Roman" w:eastAsia="Times New Roman" w:hint="default"/>
                <w:sz w:val="21"/>
                <w:szCs w:val="21"/>
              </w:rPr>
            </w:pPr>
            <w:r>
              <w:rPr>
                <w:rFonts w:ascii="宋体" w:hAnsi="宋体" w:cs="宋体" w:eastAsia="宋体" w:hint="default"/>
                <w:sz w:val="21"/>
                <w:szCs w:val="21"/>
              </w:rPr>
              <w:t>符合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PCI2.x</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的金</w:t>
            </w:r>
            <w:r>
              <w:rPr>
                <w:rFonts w:ascii="宋体" w:hAnsi="宋体" w:cs="宋体" w:eastAsia="宋体" w:hint="default"/>
                <w:spacing w:val="-3"/>
                <w:w w:val="100"/>
                <w:sz w:val="21"/>
                <w:szCs w:val="21"/>
              </w:rPr>
              <w:t> </w:t>
            </w:r>
            <w:r>
              <w:rPr>
                <w:rFonts w:ascii="宋体" w:hAnsi="宋体" w:cs="宋体" w:eastAsia="宋体" w:hint="default"/>
                <w:sz w:val="21"/>
                <w:szCs w:val="21"/>
              </w:rPr>
              <w:t>融 </w:t>
            </w:r>
            <w:r>
              <w:rPr>
                <w:rFonts w:ascii="Times New Roman" w:hAnsi="Times New Roman" w:cs="Times New Roman" w:eastAsia="Times New Roman" w:hint="default"/>
                <w:sz w:val="21"/>
                <w:szCs w:val="21"/>
              </w:rPr>
              <w:t>POS </w:t>
            </w:r>
            <w:r>
              <w:rPr>
                <w:rFonts w:ascii="宋体" w:hAnsi="宋体" w:cs="宋体" w:eastAsia="宋体" w:hint="default"/>
                <w:sz w:val="21"/>
                <w:szCs w:val="21"/>
              </w:rPr>
              <w:t>软件</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V1.0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0190936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26" w:right="0"/>
              <w:jc w:val="left"/>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46" w:right="0"/>
              <w:jc w:val="left"/>
              <w:rPr>
                <w:rFonts w:ascii="宋体" w:hAnsi="宋体" w:cs="宋体" w:eastAsia="宋体" w:hint="default"/>
                <w:sz w:val="21"/>
                <w:szCs w:val="21"/>
              </w:rPr>
            </w:pPr>
            <w:r>
              <w:rPr>
                <w:rFonts w:ascii="宋体" w:hAnsi="宋体" w:cs="宋体" w:eastAsia="宋体" w:hint="default"/>
                <w:sz w:val="21"/>
                <w:szCs w:val="21"/>
              </w:rPr>
              <w:t>新国都</w:t>
            </w:r>
          </w:p>
        </w:tc>
      </w:tr>
      <w:tr>
        <w:trPr>
          <w:trHeight w:val="102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1"/>
                <w:szCs w:val="21"/>
              </w:rPr>
            </w:pPr>
            <w:r>
              <w:rPr>
                <w:rFonts w:ascii="Times New Roman"/>
                <w:sz w:val="21"/>
              </w:rPr>
              <w:t>23.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63" w:right="178" w:hanging="82"/>
              <w:jc w:val="left"/>
              <w:rPr>
                <w:rFonts w:ascii="Times New Roman" w:hAnsi="Times New Roman" w:cs="Times New Roman" w:eastAsia="Times New Roman" w:hint="default"/>
                <w:sz w:val="21"/>
                <w:szCs w:val="21"/>
              </w:rPr>
            </w:pPr>
            <w:r>
              <w:rPr>
                <w:rFonts w:ascii="宋体" w:hAnsi="宋体" w:cs="宋体" w:eastAsia="宋体" w:hint="default"/>
                <w:sz w:val="21"/>
                <w:szCs w:val="21"/>
              </w:rPr>
              <w:t>新国都移动终端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应用软件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DGY-2008-0172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6"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24.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107"/>
              <w:ind w:left="127" w:right="125"/>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SZM11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电子</w:t>
            </w:r>
            <w:r>
              <w:rPr>
                <w:rFonts w:ascii="宋体" w:hAnsi="宋体" w:cs="宋体" w:eastAsia="宋体" w:hint="default"/>
                <w:w w:val="100"/>
                <w:sz w:val="21"/>
                <w:szCs w:val="21"/>
              </w:rPr>
              <w:t> </w:t>
            </w:r>
            <w:r>
              <w:rPr>
                <w:rFonts w:ascii="宋体" w:hAnsi="宋体" w:cs="宋体" w:eastAsia="宋体" w:hint="default"/>
                <w:sz w:val="21"/>
                <w:szCs w:val="21"/>
              </w:rPr>
              <w:t>支付密码软件</w:t>
            </w:r>
          </w:p>
          <w:p>
            <w:pPr>
              <w:pStyle w:val="TableParagraph"/>
              <w:spacing w:line="240" w:lineRule="auto" w:before="114"/>
              <w:ind w:left="1" w:right="0"/>
              <w:jc w:val="center"/>
              <w:rPr>
                <w:rFonts w:ascii="Times New Roman" w:hAnsi="Times New Roman" w:cs="Times New Roman" w:eastAsia="Times New Roman" w:hint="default"/>
                <w:sz w:val="21"/>
                <w:szCs w:val="21"/>
              </w:rPr>
            </w:pPr>
            <w:r>
              <w:rPr>
                <w:rFonts w:ascii="Times New Roman"/>
                <w:sz w:val="21"/>
              </w:rPr>
              <w:t>V4.0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178"/>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DGY-2008-0173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10"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10"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02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1"/>
                <w:szCs w:val="21"/>
              </w:rPr>
            </w:pPr>
            <w:r>
              <w:rPr>
                <w:rFonts w:ascii="Times New Roman"/>
                <w:sz w:val="21"/>
              </w:rPr>
              <w:t>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63" w:right="178" w:hanging="82"/>
              <w:jc w:val="left"/>
              <w:rPr>
                <w:rFonts w:ascii="Times New Roman" w:hAnsi="Times New Roman" w:cs="Times New Roman" w:eastAsia="Times New Roman" w:hint="default"/>
                <w:sz w:val="21"/>
                <w:szCs w:val="21"/>
              </w:rPr>
            </w:pPr>
            <w:r>
              <w:rPr>
                <w:rFonts w:ascii="宋体" w:hAnsi="宋体" w:cs="宋体" w:eastAsia="宋体" w:hint="default"/>
                <w:sz w:val="21"/>
                <w:szCs w:val="21"/>
              </w:rPr>
              <w:t>爱用信用卡安全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消费软件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DGY-2009-0519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6"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26.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103"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DGY-2010-0594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27.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3"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28.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29.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DGY-2010-0593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30.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02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24" w:right="0"/>
              <w:jc w:val="left"/>
              <w:rPr>
                <w:rFonts w:ascii="Times New Roman" w:hAnsi="Times New Roman" w:cs="Times New Roman" w:eastAsia="Times New Roman" w:hint="default"/>
                <w:sz w:val="21"/>
                <w:szCs w:val="21"/>
              </w:rPr>
            </w:pPr>
            <w:r>
              <w:rPr>
                <w:rFonts w:ascii="Times New Roman"/>
                <w:sz w:val="21"/>
              </w:rPr>
              <w:t>31.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p>
          <w:p>
            <w:pPr>
              <w:pStyle w:val="TableParagraph"/>
              <w:spacing w:line="240" w:lineRule="auto" w:before="17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基础软件</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DGY-2010-0591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8"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771" w:hRule="exact"/>
        </w:trPr>
        <w:tc>
          <w:tcPr>
            <w:tcW w:w="410"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15" w:space="0" w:color="000000"/>
              <w:left w:val="single" w:sz="4" w:space="0" w:color="000000"/>
              <w:bottom w:val="single" w:sz="4" w:space="0" w:color="000000"/>
              <w:right w:val="single" w:sz="4" w:space="0" w:color="000000"/>
            </w:tcBorders>
          </w:tcPr>
          <w:p>
            <w:pPr/>
          </w:p>
        </w:tc>
        <w:tc>
          <w:tcPr>
            <w:tcW w:w="1983" w:type="dxa"/>
            <w:tcBorders>
              <w:top w:val="single" w:sz="15" w:space="0" w:color="000000"/>
              <w:left w:val="single" w:sz="4" w:space="0" w:color="000000"/>
              <w:bottom w:val="single" w:sz="4" w:space="0" w:color="000000"/>
              <w:right w:val="single" w:sz="4" w:space="0" w:color="000000"/>
            </w:tcBorders>
          </w:tcPr>
          <w:p>
            <w:pPr/>
          </w:p>
        </w:tc>
        <w:tc>
          <w:tcPr>
            <w:tcW w:w="1716" w:type="dxa"/>
            <w:tcBorders>
              <w:top w:val="single" w:sz="15" w:space="0" w:color="000000"/>
              <w:left w:val="single" w:sz="4" w:space="0" w:color="000000"/>
              <w:bottom w:val="single" w:sz="4" w:space="0" w:color="000000"/>
              <w:right w:val="single" w:sz="4" w:space="0" w:color="000000"/>
            </w:tcBorders>
          </w:tcPr>
          <w:p>
            <w:pP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6"/>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
        </w:tc>
      </w:tr>
      <w:tr>
        <w:trPr>
          <w:trHeight w:val="149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32.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4" w:right="0"/>
              <w:jc w:val="left"/>
              <w:rPr>
                <w:rFonts w:ascii="Times New Roman" w:hAnsi="Times New Roman" w:cs="Times New Roman" w:eastAsia="Times New Roman" w:hint="default"/>
                <w:sz w:val="21"/>
                <w:szCs w:val="21"/>
              </w:rPr>
            </w:pPr>
            <w:r>
              <w:rPr>
                <w:rFonts w:ascii="Times New Roman"/>
                <w:sz w:val="21"/>
              </w:rPr>
              <w:t>33.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34.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4" w:right="0"/>
              <w:jc w:val="left"/>
              <w:rPr>
                <w:rFonts w:ascii="Times New Roman" w:hAnsi="Times New Roman" w:cs="Times New Roman" w:eastAsia="Times New Roman" w:hint="default"/>
                <w:sz w:val="21"/>
                <w:szCs w:val="21"/>
              </w:rPr>
            </w:pPr>
            <w:r>
              <w:rPr>
                <w:rFonts w:ascii="Times New Roman"/>
                <w:sz w:val="21"/>
              </w:rPr>
              <w:t>35.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6"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36.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K390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4" w:right="0"/>
              <w:jc w:val="left"/>
              <w:rPr>
                <w:rFonts w:ascii="Times New Roman" w:hAnsi="Times New Roman" w:cs="Times New Roman" w:eastAsia="Times New Roman" w:hint="default"/>
                <w:sz w:val="21"/>
                <w:szCs w:val="21"/>
              </w:rPr>
            </w:pPr>
            <w:r>
              <w:rPr>
                <w:rFonts w:ascii="Times New Roman"/>
                <w:sz w:val="21"/>
              </w:rPr>
              <w:t>37.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 </w:t>
            </w:r>
            <w:r>
              <w:rPr>
                <w:rFonts w:ascii="宋体" w:hAnsi="宋体" w:cs="宋体" w:eastAsia="宋体" w:hint="default"/>
                <w:sz w:val="21"/>
                <w:szCs w:val="21"/>
              </w:rPr>
              <w:t>电话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6"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38.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 </w:t>
            </w:r>
            <w:r>
              <w:rPr>
                <w:rFonts w:ascii="宋体" w:hAnsi="宋体" w:cs="宋体" w:eastAsia="宋体" w:hint="default"/>
                <w:sz w:val="21"/>
                <w:szCs w:val="21"/>
              </w:rPr>
              <w:t>电话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4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4" w:right="0"/>
              <w:jc w:val="left"/>
              <w:rPr>
                <w:rFonts w:ascii="Times New Roman" w:hAnsi="Times New Roman" w:cs="Times New Roman" w:eastAsia="Times New Roman" w:hint="default"/>
                <w:sz w:val="21"/>
                <w:szCs w:val="21"/>
              </w:rPr>
            </w:pPr>
            <w:r>
              <w:rPr>
                <w:rFonts w:ascii="Times New Roman"/>
                <w:sz w:val="21"/>
              </w:rPr>
              <w:t>39.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36" w:right="13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02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24" w:right="0"/>
              <w:jc w:val="left"/>
              <w:rPr>
                <w:rFonts w:ascii="Times New Roman" w:hAnsi="Times New Roman" w:cs="Times New Roman" w:eastAsia="Times New Roman" w:hint="default"/>
                <w:sz w:val="21"/>
                <w:szCs w:val="21"/>
              </w:rPr>
            </w:pPr>
            <w:r>
              <w:rPr>
                <w:rFonts w:ascii="Times New Roman"/>
                <w:sz w:val="21"/>
              </w:rPr>
              <w:t>40.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126"/>
              <w:ind w:left="146" w:right="134" w:hanging="10"/>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8"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771" w:hRule="exact"/>
        </w:trPr>
        <w:tc>
          <w:tcPr>
            <w:tcW w:w="410"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15" w:space="0" w:color="000000"/>
              <w:left w:val="single" w:sz="4" w:space="0" w:color="000000"/>
              <w:bottom w:val="single" w:sz="4" w:space="0" w:color="000000"/>
              <w:right w:val="single" w:sz="4" w:space="0" w:color="000000"/>
            </w:tcBorders>
          </w:tcPr>
          <w:p>
            <w:pPr/>
          </w:p>
        </w:tc>
        <w:tc>
          <w:tcPr>
            <w:tcW w:w="1983" w:type="dxa"/>
            <w:tcBorders>
              <w:top w:val="single" w:sz="15" w:space="0" w:color="000000"/>
              <w:left w:val="single" w:sz="4" w:space="0" w:color="000000"/>
              <w:bottom w:val="single" w:sz="4" w:space="0" w:color="000000"/>
              <w:right w:val="single" w:sz="4" w:space="0" w:color="000000"/>
            </w:tcBorders>
          </w:tcPr>
          <w:p>
            <w:pPr/>
          </w:p>
        </w:tc>
        <w:tc>
          <w:tcPr>
            <w:tcW w:w="1716" w:type="dxa"/>
            <w:tcBorders>
              <w:top w:val="single" w:sz="15" w:space="0" w:color="000000"/>
              <w:left w:val="single" w:sz="4" w:space="0" w:color="000000"/>
              <w:bottom w:val="single" w:sz="4" w:space="0" w:color="000000"/>
              <w:right w:val="single" w:sz="4" w:space="0" w:color="000000"/>
            </w:tcBorders>
          </w:tcPr>
          <w:p>
            <w:pP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6"/>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
        </w:tc>
      </w:tr>
      <w:tr>
        <w:trPr>
          <w:trHeight w:val="149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新国都金融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POS</w:t>
            </w:r>
          </w:p>
          <w:p>
            <w:pPr>
              <w:pStyle w:val="TableParagraph"/>
              <w:spacing w:line="240" w:lineRule="auto" w:before="177"/>
              <w:ind w:left="1" w:right="0"/>
              <w:jc w:val="center"/>
              <w:rPr>
                <w:rFonts w:ascii="宋体" w:hAnsi="宋体" w:cs="宋体" w:eastAsia="宋体" w:hint="default"/>
                <w:sz w:val="21"/>
                <w:szCs w:val="21"/>
              </w:rPr>
            </w:pPr>
            <w:r>
              <w:rPr>
                <w:rFonts w:ascii="宋体" w:hAnsi="宋体" w:cs="宋体" w:eastAsia="宋体" w:hint="default"/>
                <w:sz w:val="21"/>
                <w:szCs w:val="21"/>
              </w:rPr>
              <w:t>通用应用软件</w:t>
            </w: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DGY-2010-0580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 </w:t>
            </w:r>
            <w:r>
              <w:rPr>
                <w:rFonts w:ascii="宋体" w:hAnsi="宋体" w:cs="宋体" w:eastAsia="宋体" w:hint="default"/>
                <w:sz w:val="21"/>
                <w:szCs w:val="21"/>
              </w:rPr>
              <w:t>电话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8"/>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36" w:right="13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邮储专用版软件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5"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5"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标准程序银</w:t>
            </w:r>
            <w:r>
              <w:rPr>
                <w:rFonts w:ascii="宋体" w:hAnsi="宋体" w:cs="宋体" w:eastAsia="宋体" w:hint="default"/>
                <w:w w:val="100"/>
                <w:sz w:val="21"/>
                <w:szCs w:val="21"/>
              </w:rPr>
              <w:t> </w:t>
            </w:r>
            <w:r>
              <w:rPr>
                <w:rFonts w:ascii="宋体" w:hAnsi="宋体" w:cs="宋体" w:eastAsia="宋体" w:hint="default"/>
                <w:sz w:val="21"/>
                <w:szCs w:val="21"/>
              </w:rPr>
              <w:t>商专用版软件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8"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48.</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DGY-2010-0779</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49.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标准程序银</w:t>
            </w:r>
            <w:r>
              <w:rPr>
                <w:rFonts w:ascii="宋体" w:hAnsi="宋体" w:cs="宋体" w:eastAsia="宋体" w:hint="default"/>
                <w:w w:val="100"/>
                <w:sz w:val="21"/>
                <w:szCs w:val="21"/>
              </w:rPr>
              <w:t> </w:t>
            </w:r>
            <w:r>
              <w:rPr>
                <w:rFonts w:ascii="宋体" w:hAnsi="宋体" w:cs="宋体" w:eastAsia="宋体" w:hint="default"/>
                <w:sz w:val="21"/>
                <w:szCs w:val="21"/>
              </w:rPr>
              <w:t>商专用版软件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52.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标准程序银</w:t>
            </w:r>
            <w:r>
              <w:rPr>
                <w:rFonts w:ascii="宋体" w:hAnsi="宋体" w:cs="宋体" w:eastAsia="宋体" w:hint="default"/>
                <w:w w:val="100"/>
                <w:sz w:val="21"/>
                <w:szCs w:val="21"/>
              </w:rPr>
              <w:t> </w:t>
            </w:r>
            <w:r>
              <w:rPr>
                <w:rFonts w:ascii="宋体" w:hAnsi="宋体" w:cs="宋体" w:eastAsia="宋体" w:hint="default"/>
                <w:sz w:val="21"/>
                <w:szCs w:val="21"/>
              </w:rPr>
              <w:t>商专用版软件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54.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3"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邮储专用版软件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5"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55.</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386" w:lineRule="auto" w:before="107"/>
              <w:ind w:left="103"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银商专用版软件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DGY-2010-0786</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56.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3"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通联专用版软件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DGY-2010-0787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640" w:right="115" w:hanging="526"/>
              <w:jc w:val="left"/>
              <w:rPr>
                <w:rFonts w:ascii="宋体" w:hAnsi="宋体" w:cs="宋体" w:eastAsia="宋体" w:hint="default"/>
                <w:sz w:val="21"/>
                <w:szCs w:val="21"/>
              </w:rPr>
            </w:pPr>
            <w:r>
              <w:rPr>
                <w:rFonts w:ascii="宋体" w:hAnsi="宋体" w:cs="宋体" w:eastAsia="宋体" w:hint="default"/>
                <w:sz w:val="21"/>
                <w:szCs w:val="21"/>
              </w:rPr>
              <w:t>深圳市科技和信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17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57.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29" w:lineRule="auto"/>
              <w:ind w:left="182" w:right="178"/>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银行卡身份证安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全管理系统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0190940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07"/>
              <w:ind w:left="175" w:right="175" w:firstLine="26"/>
              <w:jc w:val="both"/>
              <w:rPr>
                <w:rFonts w:ascii="宋体" w:hAnsi="宋体" w:cs="宋体" w:eastAsia="宋体" w:hint="default"/>
                <w:sz w:val="21"/>
                <w:szCs w:val="21"/>
              </w:rPr>
            </w:pPr>
            <w:r>
              <w:rPr>
                <w:rFonts w:ascii="宋体" w:hAnsi="宋体" w:cs="宋体" w:eastAsia="宋体" w:hint="default"/>
                <w:sz w:val="21"/>
                <w:szCs w:val="21"/>
              </w:rPr>
              <w:t>首次</w:t>
            </w:r>
            <w:r>
              <w:rPr>
                <w:rFonts w:ascii="宋体" w:hAnsi="宋体" w:cs="宋体" w:eastAsia="宋体" w:hint="default"/>
                <w:w w:val="100"/>
                <w:sz w:val="21"/>
                <w:szCs w:val="21"/>
              </w:rPr>
              <w:t> </w:t>
            </w:r>
            <w:r>
              <w:rPr>
                <w:rFonts w:ascii="宋体" w:hAnsi="宋体" w:cs="宋体" w:eastAsia="宋体" w:hint="default"/>
                <w:sz w:val="21"/>
                <w:szCs w:val="21"/>
              </w:rPr>
              <w:t>发表</w:t>
            </w:r>
            <w:r>
              <w:rPr>
                <w:rFonts w:ascii="宋体" w:hAnsi="宋体" w:cs="宋体" w:eastAsia="宋体" w:hint="default"/>
                <w:spacing w:val="-103"/>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58.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386" w:lineRule="auto"/>
              <w:ind w:left="263" w:right="104" w:hanging="159"/>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K390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0238424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59.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 </w:t>
            </w:r>
            <w:r>
              <w:rPr>
                <w:rFonts w:ascii="宋体" w:hAnsi="宋体" w:cs="宋体" w:eastAsia="宋体" w:hint="default"/>
                <w:sz w:val="21"/>
                <w:szCs w:val="21"/>
              </w:rPr>
              <w:t>电话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0238426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0228013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61.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07"/>
              <w:ind w:left="146" w:right="134" w:hanging="10"/>
              <w:jc w:val="both"/>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邮储专用版软件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0227601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5"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62.</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393" w:lineRule="auto" w:before="107"/>
              <w:ind w:left="103"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银商专用版软件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0227394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63.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标准程序银</w:t>
            </w:r>
            <w:r>
              <w:rPr>
                <w:rFonts w:ascii="宋体" w:hAnsi="宋体" w:cs="宋体" w:eastAsia="宋体" w:hint="default"/>
                <w:w w:val="100"/>
                <w:sz w:val="21"/>
                <w:szCs w:val="21"/>
              </w:rPr>
              <w:t> </w:t>
            </w:r>
            <w:r>
              <w:rPr>
                <w:rFonts w:ascii="宋体" w:hAnsi="宋体" w:cs="宋体" w:eastAsia="宋体" w:hint="default"/>
                <w:sz w:val="21"/>
                <w:szCs w:val="21"/>
              </w:rPr>
              <w:t>商专用版软件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0227393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8"/>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64.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标准程序银</w:t>
            </w:r>
            <w:r>
              <w:rPr>
                <w:rFonts w:ascii="宋体" w:hAnsi="宋体" w:cs="宋体" w:eastAsia="宋体" w:hint="default"/>
                <w:w w:val="100"/>
                <w:sz w:val="21"/>
                <w:szCs w:val="21"/>
              </w:rPr>
              <w:t> </w:t>
            </w:r>
            <w:r>
              <w:rPr>
                <w:rFonts w:ascii="宋体" w:hAnsi="宋体" w:cs="宋体" w:eastAsia="宋体" w:hint="default"/>
                <w:sz w:val="21"/>
                <w:szCs w:val="21"/>
              </w:rPr>
              <w:t>商专用版软件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0227391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65.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标准程序银</w:t>
            </w:r>
            <w:r>
              <w:rPr>
                <w:rFonts w:ascii="宋体" w:hAnsi="宋体" w:cs="宋体" w:eastAsia="宋体" w:hint="default"/>
                <w:w w:val="100"/>
                <w:sz w:val="21"/>
                <w:szCs w:val="21"/>
              </w:rPr>
              <w:t> </w:t>
            </w:r>
            <w:r>
              <w:rPr>
                <w:rFonts w:ascii="宋体" w:hAnsi="宋体" w:cs="宋体" w:eastAsia="宋体" w:hint="default"/>
                <w:sz w:val="21"/>
                <w:szCs w:val="21"/>
              </w:rPr>
              <w:t>商专用版软件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登记证书</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0227387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2050</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66.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3"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2058</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67.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3"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w:t>
            </w:r>
            <w:r>
              <w:rPr>
                <w:rFonts w:ascii="宋体" w:hAnsi="宋体" w:cs="宋体" w:eastAsia="宋体" w:hint="default"/>
                <w:w w:val="100"/>
                <w:sz w:val="21"/>
                <w:szCs w:val="21"/>
              </w:rPr>
              <w:t> </w:t>
            </w:r>
            <w:r>
              <w:rPr>
                <w:rFonts w:ascii="宋体" w:hAnsi="宋体" w:cs="宋体" w:eastAsia="宋体" w:hint="default"/>
                <w:sz w:val="21"/>
                <w:szCs w:val="21"/>
              </w:rPr>
              <w:t>通联专用版软件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0260084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68.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5"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69.</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70.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8"/>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71.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K350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2058</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73.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74.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标准程序通</w:t>
            </w:r>
            <w:r>
              <w:rPr>
                <w:rFonts w:ascii="宋体" w:hAnsi="宋体" w:cs="宋体" w:eastAsia="宋体" w:hint="default"/>
                <w:w w:val="100"/>
                <w:sz w:val="21"/>
                <w:szCs w:val="21"/>
              </w:rPr>
              <w:t> </w:t>
            </w:r>
            <w:r>
              <w:rPr>
                <w:rFonts w:ascii="宋体" w:hAnsi="宋体" w:cs="宋体" w:eastAsia="宋体" w:hint="default"/>
                <w:sz w:val="21"/>
                <w:szCs w:val="21"/>
              </w:rPr>
              <w:t>联专用版软件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5"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76.</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 </w:t>
            </w:r>
            <w:r>
              <w:rPr>
                <w:rFonts w:ascii="宋体" w:hAnsi="宋体" w:cs="宋体" w:eastAsia="宋体" w:hint="default"/>
                <w:sz w:val="21"/>
                <w:szCs w:val="21"/>
              </w:rPr>
              <w:t>电话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77.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36" w:right="13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基础软件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8"/>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78.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新国都金融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POS</w:t>
            </w:r>
          </w:p>
          <w:p>
            <w:pPr>
              <w:pStyle w:val="TableParagraph"/>
              <w:spacing w:line="240" w:lineRule="auto" w:before="177"/>
              <w:ind w:left="1" w:right="0"/>
              <w:jc w:val="center"/>
              <w:rPr>
                <w:rFonts w:ascii="宋体" w:hAnsi="宋体" w:cs="宋体" w:eastAsia="宋体" w:hint="default"/>
                <w:sz w:val="21"/>
                <w:szCs w:val="21"/>
              </w:rPr>
            </w:pPr>
            <w:r>
              <w:rPr>
                <w:rFonts w:ascii="宋体" w:hAnsi="宋体" w:cs="宋体" w:eastAsia="宋体" w:hint="default"/>
                <w:sz w:val="21"/>
                <w:szCs w:val="21"/>
              </w:rPr>
              <w:t>通用应用软件</w:t>
            </w: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0260082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79.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K501 </w:t>
            </w:r>
            <w:r>
              <w:rPr>
                <w:rFonts w:ascii="宋体" w:hAnsi="宋体" w:cs="宋体" w:eastAsia="宋体" w:hint="default"/>
                <w:sz w:val="21"/>
                <w:szCs w:val="21"/>
              </w:rPr>
              <w:t>电话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0262975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80.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105" w:right="104"/>
              <w:jc w:val="center"/>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K360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标准程序邮</w:t>
            </w:r>
            <w:r>
              <w:rPr>
                <w:rFonts w:ascii="宋体" w:hAnsi="宋体" w:cs="宋体" w:eastAsia="宋体" w:hint="default"/>
                <w:w w:val="100"/>
                <w:sz w:val="21"/>
                <w:szCs w:val="21"/>
              </w:rPr>
              <w:t> </w:t>
            </w:r>
            <w:r>
              <w:rPr>
                <w:rFonts w:ascii="宋体" w:hAnsi="宋体" w:cs="宋体" w:eastAsia="宋体" w:hint="default"/>
                <w:sz w:val="21"/>
                <w:szCs w:val="21"/>
              </w:rPr>
              <w:t>储专用版软件</w:t>
            </w:r>
          </w:p>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12</w:t>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0262971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1"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 w:right="0"/>
              <w:jc w:val="left"/>
              <w:rPr>
                <w:rFonts w:ascii="Times New Roman" w:hAnsi="Times New Roman" w:cs="Times New Roman" w:eastAsia="Times New Roman" w:hint="default"/>
                <w:sz w:val="21"/>
                <w:szCs w:val="21"/>
              </w:rPr>
            </w:pPr>
            <w:r>
              <w:rPr>
                <w:rFonts w:ascii="Times New Roman"/>
                <w:sz w:val="21"/>
              </w:rPr>
              <w:t>81.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3"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K301FZ</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7"/>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0262978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9"/>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408"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r>
        <w:trPr>
          <w:trHeight w:val="196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K370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0262980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5"/>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after="0" w:line="405" w:lineRule="auto"/>
        <w:jc w:val="left"/>
        <w:rPr>
          <w:rFonts w:ascii="宋体" w:hAnsi="宋体" w:cs="宋体" w:eastAsia="宋体" w:hint="default"/>
          <w:sz w:val="21"/>
          <w:szCs w:val="21"/>
        </w:rPr>
        <w:sectPr>
          <w:pgSz w:w="11910" w:h="16840"/>
          <w:pgMar w:header="877" w:footer="1267" w:top="1060" w:bottom="1460" w:left="1460" w:right="1340"/>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0"/>
        <w:gridCol w:w="1846"/>
        <w:gridCol w:w="1123"/>
        <w:gridCol w:w="1983"/>
        <w:gridCol w:w="1716"/>
        <w:gridCol w:w="838"/>
        <w:gridCol w:w="936"/>
      </w:tblGrid>
      <w:tr>
        <w:trPr>
          <w:trHeight w:val="1978" w:hRule="exact"/>
        </w:trPr>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4" w:right="0"/>
              <w:jc w:val="left"/>
              <w:rPr>
                <w:rFonts w:ascii="Times New Roman" w:hAnsi="Times New Roman" w:cs="Times New Roman" w:eastAsia="Times New Roman" w:hint="default"/>
                <w:sz w:val="21"/>
                <w:szCs w:val="21"/>
              </w:rPr>
            </w:pPr>
            <w:r>
              <w:rPr>
                <w:rFonts w:ascii="Times New Roman"/>
                <w:sz w:val="21"/>
              </w:rPr>
              <w:t>83.</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405" w:lineRule="auto"/>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新国都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K320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1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175"/>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60"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0262970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26" w:right="0"/>
              <w:jc w:val="left"/>
              <w:rPr>
                <w:rFonts w:ascii="宋体" w:hAnsi="宋体" w:cs="宋体" w:eastAsia="宋体" w:hint="default"/>
                <w:sz w:val="21"/>
                <w:szCs w:val="21"/>
              </w:rPr>
            </w:pPr>
            <w:r>
              <w:rPr>
                <w:rFonts w:ascii="宋体" w:hAnsi="宋体" w:cs="宋体" w:eastAsia="宋体" w:hint="default"/>
                <w:sz w:val="21"/>
                <w:szCs w:val="21"/>
              </w:rPr>
              <w:t>国家版权局</w:t>
            </w:r>
          </w:p>
        </w:tc>
        <w:tc>
          <w:tcPr>
            <w:tcW w:w="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2059</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05" w:lineRule="auto" w:before="116"/>
              <w:ind w:left="252" w:right="144" w:hanging="106"/>
              <w:jc w:val="left"/>
              <w:rPr>
                <w:rFonts w:ascii="宋体" w:hAnsi="宋体" w:cs="宋体" w:eastAsia="宋体" w:hint="default"/>
                <w:sz w:val="21"/>
                <w:szCs w:val="21"/>
              </w:rPr>
            </w:pPr>
            <w:r>
              <w:rPr>
                <w:rFonts w:ascii="宋体" w:hAnsi="宋体" w:cs="宋体" w:eastAsia="宋体" w:hint="default"/>
                <w:sz w:val="21"/>
                <w:szCs w:val="21"/>
              </w:rPr>
              <w:t>新国都</w:t>
            </w:r>
            <w:r>
              <w:rPr>
                <w:rFonts w:ascii="宋体" w:hAnsi="宋体" w:cs="宋体" w:eastAsia="宋体" w:hint="default"/>
                <w:spacing w:val="-102"/>
                <w:sz w:val="21"/>
                <w:szCs w:val="21"/>
              </w:rPr>
              <w:t> </w:t>
            </w:r>
            <w:r>
              <w:rPr>
                <w:rFonts w:ascii="宋体" w:hAnsi="宋体" w:cs="宋体" w:eastAsia="宋体" w:hint="default"/>
                <w:sz w:val="21"/>
                <w:szCs w:val="21"/>
              </w:rPr>
              <w:t>软件</w:t>
            </w:r>
          </w:p>
        </w:tc>
      </w:tr>
    </w:tbl>
    <w:p>
      <w:pPr>
        <w:spacing w:line="240" w:lineRule="auto" w:before="7"/>
        <w:rPr>
          <w:rFonts w:ascii="Times New Roman" w:hAnsi="Times New Roman" w:cs="Times New Roman" w:eastAsia="Times New Roman" w:hint="default"/>
          <w:sz w:val="26"/>
          <w:szCs w:val="26"/>
        </w:rPr>
      </w:pPr>
    </w:p>
    <w:p>
      <w:pPr>
        <w:pStyle w:val="Heading6"/>
        <w:spacing w:line="240" w:lineRule="auto" w:before="26"/>
        <w:ind w:left="242" w:right="240"/>
        <w:jc w:val="left"/>
        <w:rPr>
          <w:b w:val="0"/>
          <w:bCs w:val="0"/>
        </w:rPr>
      </w:pPr>
      <w:r>
        <w:rPr>
          <w:rFonts w:ascii="Times New Roman" w:hAnsi="Times New Roman" w:cs="Times New Roman" w:eastAsia="Times New Roman" w:hint="default"/>
        </w:rPr>
        <w:t>3</w:t>
      </w:r>
      <w:r>
        <w:rPr/>
        <w:t>、专利</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721" w:right="240"/>
        <w:jc w:val="left"/>
      </w:pPr>
      <w:r>
        <w:rPr/>
        <w:t>截至报告期末，新国都已获得</w:t>
      </w:r>
      <w:r>
        <w:rPr>
          <w:spacing w:val="-60"/>
        </w:rPr>
        <w:t> </w:t>
      </w:r>
      <w:r>
        <w:rPr>
          <w:rFonts w:ascii="Times New Roman" w:hAnsi="Times New Roman" w:cs="Times New Roman" w:eastAsia="Times New Roman" w:hint="default"/>
        </w:rPr>
        <w:t>13 </w:t>
      </w:r>
      <w:r>
        <w:rPr/>
        <w:t>项专利，其中</w:t>
      </w:r>
      <w:r>
        <w:rPr>
          <w:spacing w:val="-60"/>
        </w:rPr>
        <w:t> </w:t>
      </w:r>
      <w:r>
        <w:rPr>
          <w:rFonts w:ascii="Times New Roman" w:hAnsi="Times New Roman" w:cs="Times New Roman" w:eastAsia="Times New Roman" w:hint="default"/>
        </w:rPr>
        <w:t>2 </w:t>
      </w:r>
      <w:r>
        <w:rPr/>
        <w:t>项为发明专利，</w:t>
      </w:r>
      <w:r>
        <w:rPr>
          <w:rFonts w:ascii="Times New Roman" w:hAnsi="Times New Roman" w:cs="Times New Roman" w:eastAsia="Times New Roman" w:hint="default"/>
        </w:rPr>
        <w:t>7 </w:t>
      </w:r>
      <w:r>
        <w:rPr/>
        <w:t>项为实用</w:t>
      </w:r>
    </w:p>
    <w:p>
      <w:pPr>
        <w:pStyle w:val="BodyText"/>
        <w:spacing w:line="240" w:lineRule="auto" w:before="136"/>
        <w:ind w:left="242" w:right="240"/>
        <w:jc w:val="left"/>
      </w:pPr>
      <w:r>
        <w:rPr/>
        <w:t>新型专利，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项为外观专利，具体情况如下：</w:t>
      </w:r>
    </w:p>
    <w:p>
      <w:pPr>
        <w:spacing w:line="240" w:lineRule="auto" w:before="7"/>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27"/>
        <w:gridCol w:w="2353"/>
        <w:gridCol w:w="1135"/>
        <w:gridCol w:w="1983"/>
        <w:gridCol w:w="1277"/>
        <w:gridCol w:w="1133"/>
        <w:gridCol w:w="540"/>
      </w:tblGrid>
      <w:tr>
        <w:trPr>
          <w:trHeight w:val="1037" w:hRule="exact"/>
        </w:trPr>
        <w:tc>
          <w:tcPr>
            <w:tcW w:w="427"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408" w:lineRule="auto" w:before="105"/>
              <w:ind w:left="96" w:right="9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353"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44"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5"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983"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生效日期</w:t>
            </w:r>
            <w:r>
              <w:rPr>
                <w:rFonts w:ascii="宋体" w:hAnsi="宋体" w:cs="宋体" w:eastAsia="宋体" w:hint="default"/>
                <w:sz w:val="21"/>
                <w:szCs w:val="21"/>
              </w:rPr>
            </w:r>
          </w:p>
        </w:tc>
        <w:tc>
          <w:tcPr>
            <w:tcW w:w="1133"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失效日期</w:t>
            </w:r>
            <w:r>
              <w:rPr>
                <w:rFonts w:ascii="宋体" w:hAnsi="宋体" w:cs="宋体" w:eastAsia="宋体" w:hint="default"/>
                <w:sz w:val="21"/>
                <w:szCs w:val="21"/>
              </w:rPr>
            </w:r>
          </w:p>
        </w:tc>
        <w:tc>
          <w:tcPr>
            <w:tcW w:w="540" w:type="dxa"/>
            <w:tcBorders>
              <w:top w:val="single" w:sz="8" w:space="0" w:color="000000"/>
              <w:left w:val="single" w:sz="8" w:space="0" w:color="000000"/>
              <w:bottom w:val="single" w:sz="8" w:space="0" w:color="000000"/>
              <w:right w:val="single" w:sz="8"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71"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16" w:right="0"/>
              <w:jc w:val="left"/>
              <w:rPr>
                <w:rFonts w:ascii="Times New Roman" w:hAnsi="Times New Roman" w:cs="Times New Roman" w:eastAsia="Times New Roman" w:hint="default"/>
                <w:sz w:val="21"/>
                <w:szCs w:val="21"/>
              </w:rPr>
            </w:pPr>
            <w:r>
              <w:rPr>
                <w:rFonts w:ascii="Times New Roman"/>
                <w:sz w:val="21"/>
              </w:rPr>
              <w:t>1.</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324" w:right="0"/>
              <w:jc w:val="left"/>
              <w:rPr>
                <w:rFonts w:ascii="宋体" w:hAnsi="宋体" w:cs="宋体" w:eastAsia="宋体" w:hint="default"/>
                <w:sz w:val="21"/>
                <w:szCs w:val="21"/>
              </w:rPr>
            </w:pPr>
            <w:r>
              <w:rPr>
                <w:rFonts w:ascii="宋体" w:hAnsi="宋体" w:cs="宋体" w:eastAsia="宋体" w:hint="default"/>
                <w:sz w:val="21"/>
                <w:szCs w:val="21"/>
              </w:rPr>
              <w:t>磁卡数据写入电路</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ZL200410026808.3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sz w:val="21"/>
              </w:rPr>
              <w:t>2007.2.14</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2024.4.6</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1034"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2.</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05"/>
              <w:ind w:left="638" w:right="113" w:hanging="524"/>
              <w:jc w:val="left"/>
              <w:rPr>
                <w:rFonts w:ascii="宋体" w:hAnsi="宋体" w:cs="宋体" w:eastAsia="宋体" w:hint="default"/>
                <w:sz w:val="21"/>
                <w:szCs w:val="21"/>
              </w:rPr>
            </w:pPr>
            <w:r>
              <w:rPr>
                <w:rFonts w:ascii="宋体" w:hAnsi="宋体" w:cs="宋体" w:eastAsia="宋体" w:hint="default"/>
                <w:sz w:val="21"/>
                <w:szCs w:val="21"/>
              </w:rPr>
              <w:t>信息存储电路防盗取装</w:t>
            </w:r>
            <w:r>
              <w:rPr>
                <w:rFonts w:ascii="宋体" w:hAnsi="宋体" w:cs="宋体" w:eastAsia="宋体" w:hint="default"/>
                <w:w w:val="100"/>
                <w:sz w:val="21"/>
                <w:szCs w:val="21"/>
              </w:rPr>
              <w:t> </w:t>
            </w:r>
            <w:r>
              <w:rPr>
                <w:rFonts w:ascii="宋体" w:hAnsi="宋体" w:cs="宋体" w:eastAsia="宋体" w:hint="default"/>
                <w:sz w:val="21"/>
                <w:szCs w:val="21"/>
              </w:rPr>
              <w:t>置及其方法</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ZL200910106692.7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2029.12.31</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3.</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405" w:lineRule="auto" w:before="108"/>
              <w:ind w:left="1058" w:right="113" w:hanging="944"/>
              <w:jc w:val="left"/>
              <w:rPr>
                <w:rFonts w:ascii="宋体" w:hAnsi="宋体" w:cs="宋体" w:eastAsia="宋体" w:hint="default"/>
                <w:sz w:val="21"/>
                <w:szCs w:val="21"/>
              </w:rPr>
            </w:pPr>
            <w:r>
              <w:rPr>
                <w:rFonts w:ascii="宋体" w:hAnsi="宋体" w:cs="宋体" w:eastAsia="宋体" w:hint="default"/>
                <w:sz w:val="21"/>
                <w:szCs w:val="21"/>
              </w:rPr>
              <w:t>银行卡安全保护使用系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ZL200420008130.1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2005.9.28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2014.3.5</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4.</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05"/>
              <w:ind w:left="744" w:right="113" w:hanging="629"/>
              <w:jc w:val="left"/>
              <w:rPr>
                <w:rFonts w:ascii="宋体" w:hAnsi="宋体" w:cs="宋体" w:eastAsia="宋体" w:hint="default"/>
                <w:sz w:val="21"/>
                <w:szCs w:val="21"/>
              </w:rPr>
            </w:pPr>
            <w:r>
              <w:rPr>
                <w:rFonts w:ascii="宋体" w:hAnsi="宋体" w:cs="宋体" w:eastAsia="宋体" w:hint="default"/>
                <w:sz w:val="21"/>
                <w:szCs w:val="21"/>
              </w:rPr>
              <w:t>一种磁条卡的安全读取</w:t>
            </w:r>
            <w:r>
              <w:rPr>
                <w:rFonts w:ascii="宋体" w:hAnsi="宋体" w:cs="宋体" w:eastAsia="宋体" w:hint="default"/>
                <w:w w:val="100"/>
                <w:sz w:val="21"/>
                <w:szCs w:val="21"/>
              </w:rPr>
              <w:t> </w:t>
            </w:r>
            <w:r>
              <w:rPr>
                <w:rFonts w:ascii="宋体" w:hAnsi="宋体" w:cs="宋体" w:eastAsia="宋体" w:hint="default"/>
                <w:sz w:val="21"/>
                <w:szCs w:val="21"/>
              </w:rPr>
              <w:t>装置实用</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ZL200920133468.2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2010.4.21</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2019.6.30</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1034"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5.</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05"/>
              <w:ind w:left="499" w:right="113" w:hanging="384"/>
              <w:jc w:val="left"/>
              <w:rPr>
                <w:rFonts w:ascii="宋体" w:hAnsi="宋体" w:cs="宋体" w:eastAsia="宋体" w:hint="default"/>
                <w:sz w:val="21"/>
                <w:szCs w:val="21"/>
              </w:rPr>
            </w:pPr>
            <w:r>
              <w:rPr>
                <w:rFonts w:ascii="宋体" w:hAnsi="宋体" w:cs="宋体" w:eastAsia="宋体" w:hint="default"/>
                <w:sz w:val="21"/>
                <w:szCs w:val="21"/>
              </w:rPr>
              <w:t>密码键盘和听筒一体化</w:t>
            </w:r>
            <w:r>
              <w:rPr>
                <w:rFonts w:ascii="宋体" w:hAnsi="宋体" w:cs="宋体" w:eastAsia="宋体" w:hint="default"/>
                <w:w w:val="100"/>
                <w:sz w:val="21"/>
                <w:szCs w:val="21"/>
              </w:rPr>
              <w:t> </w:t>
            </w:r>
            <w:r>
              <w:rPr>
                <w:rFonts w:ascii="宋体" w:hAnsi="宋体" w:cs="宋体" w:eastAsia="宋体" w:hint="default"/>
                <w:sz w:val="21"/>
                <w:szCs w:val="21"/>
              </w:rPr>
              <w:t>的电话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机</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ZL200920133447.0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2010.5.12</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2019.6.29</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6.</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405" w:lineRule="auto" w:before="108"/>
              <w:ind w:left="429" w:right="113" w:hanging="315"/>
              <w:jc w:val="left"/>
              <w:rPr>
                <w:rFonts w:ascii="宋体" w:hAnsi="宋体" w:cs="宋体" w:eastAsia="宋体" w:hint="default"/>
                <w:sz w:val="21"/>
                <w:szCs w:val="21"/>
              </w:rPr>
            </w:pPr>
            <w:r>
              <w:rPr>
                <w:rFonts w:ascii="宋体" w:hAnsi="宋体" w:cs="宋体" w:eastAsia="宋体" w:hint="default"/>
                <w:sz w:val="21"/>
                <w:szCs w:val="21"/>
              </w:rPr>
              <w:t>一种用于保护数据电路</w:t>
            </w:r>
            <w:r>
              <w:rPr>
                <w:rFonts w:ascii="宋体" w:hAnsi="宋体" w:cs="宋体" w:eastAsia="宋体" w:hint="default"/>
                <w:w w:val="100"/>
                <w:sz w:val="21"/>
                <w:szCs w:val="21"/>
              </w:rPr>
              <w:t> </w:t>
            </w:r>
            <w:r>
              <w:rPr>
                <w:rFonts w:ascii="宋体" w:hAnsi="宋体" w:cs="宋体" w:eastAsia="宋体" w:hint="default"/>
                <w:sz w:val="21"/>
                <w:szCs w:val="21"/>
              </w:rPr>
              <w:t>的螺钉防护装置</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ZL201020140079.5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2010.12.8.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2020.03.22</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7.</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408" w:lineRule="auto" w:before="105"/>
              <w:ind w:left="604" w:right="113" w:hanging="490"/>
              <w:jc w:val="left"/>
              <w:rPr>
                <w:rFonts w:ascii="宋体" w:hAnsi="宋体" w:cs="宋体" w:eastAsia="宋体" w:hint="default"/>
                <w:sz w:val="21"/>
                <w:szCs w:val="21"/>
              </w:rPr>
            </w:pPr>
            <w:r>
              <w:rPr>
                <w:rFonts w:ascii="宋体" w:hAnsi="宋体" w:cs="宋体" w:eastAsia="宋体" w:hint="default"/>
                <w:sz w:val="21"/>
                <w:szCs w:val="21"/>
              </w:rPr>
              <w:t>带有安全保护电路的机</w:t>
            </w:r>
            <w:r>
              <w:rPr>
                <w:rFonts w:ascii="宋体" w:hAnsi="宋体" w:cs="宋体" w:eastAsia="宋体" w:hint="default"/>
                <w:w w:val="100"/>
                <w:sz w:val="21"/>
                <w:szCs w:val="21"/>
              </w:rPr>
              <w:t> </w:t>
            </w:r>
            <w:r>
              <w:rPr>
                <w:rFonts w:ascii="宋体" w:hAnsi="宋体" w:cs="宋体" w:eastAsia="宋体" w:hint="default"/>
                <w:sz w:val="21"/>
                <w:szCs w:val="21"/>
              </w:rPr>
              <w:t>壳和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机</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ZL201020169630.9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2010.12.8 </w:t>
            </w:r>
            <w:r>
              <w:rPr>
                <w:rFonts w:ascii="宋体" w:hAnsi="宋体" w:cs="宋体" w:eastAsia="宋体" w:hint="default"/>
                <w:sz w:val="21"/>
                <w:szCs w:val="21"/>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2020.04.15</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569"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16" w:right="0"/>
              <w:jc w:val="left"/>
              <w:rPr>
                <w:rFonts w:ascii="Times New Roman" w:hAnsi="Times New Roman" w:cs="Times New Roman" w:eastAsia="Times New Roman" w:hint="default"/>
                <w:sz w:val="21"/>
                <w:szCs w:val="21"/>
              </w:rPr>
            </w:pPr>
            <w:r>
              <w:rPr>
                <w:rFonts w:ascii="Times New Roman"/>
                <w:sz w:val="21"/>
              </w:rPr>
              <w:t>8.</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429" w:right="0"/>
              <w:jc w:val="left"/>
              <w:rPr>
                <w:rFonts w:ascii="宋体" w:hAnsi="宋体" w:cs="宋体" w:eastAsia="宋体" w:hint="default"/>
                <w:sz w:val="21"/>
                <w:szCs w:val="21"/>
              </w:rPr>
            </w:pPr>
            <w:r>
              <w:rPr>
                <w:rFonts w:ascii="宋体" w:hAnsi="宋体" w:cs="宋体" w:eastAsia="宋体" w:hint="default"/>
                <w:sz w:val="21"/>
                <w:szCs w:val="21"/>
              </w:rPr>
              <w:t>电路保护盒结构</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ZL201020140075.7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2010.12.8 </w:t>
            </w:r>
            <w:r>
              <w:rPr>
                <w:rFonts w:ascii="宋体" w:hAnsi="宋体" w:cs="宋体" w:eastAsia="宋体" w:hint="default"/>
                <w:sz w:val="21"/>
                <w:szCs w:val="21"/>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2020.03.22</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571"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6" w:right="0"/>
              <w:jc w:val="left"/>
              <w:rPr>
                <w:rFonts w:ascii="Times New Roman" w:hAnsi="Times New Roman" w:cs="Times New Roman" w:eastAsia="Times New Roman" w:hint="default"/>
                <w:sz w:val="21"/>
                <w:szCs w:val="21"/>
              </w:rPr>
            </w:pPr>
            <w:r>
              <w:rPr>
                <w:rFonts w:ascii="Times New Roman"/>
                <w:sz w:val="21"/>
              </w:rPr>
              <w:t>9.</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113"/>
              <w:jc w:val="right"/>
              <w:rPr>
                <w:rFonts w:ascii="宋体" w:hAnsi="宋体" w:cs="宋体" w:eastAsia="宋体" w:hint="default"/>
                <w:sz w:val="21"/>
                <w:szCs w:val="21"/>
              </w:rPr>
            </w:pPr>
            <w:r>
              <w:rPr>
                <w:rFonts w:ascii="宋体" w:hAnsi="宋体" w:cs="宋体" w:eastAsia="宋体" w:hint="default"/>
                <w:spacing w:val="-2"/>
                <w:sz w:val="21"/>
                <w:szCs w:val="21"/>
              </w:rPr>
              <w:t>一种机壳防拆保护结构</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ZL201020153237.0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2010.12.8 </w:t>
            </w:r>
            <w:r>
              <w:rPr>
                <w:rFonts w:ascii="宋体" w:hAnsi="宋体" w:cs="宋体" w:eastAsia="宋体" w:hint="default"/>
                <w:sz w:val="21"/>
                <w:szCs w:val="21"/>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2020.04.02</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572"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6" w:right="0"/>
              <w:jc w:val="left"/>
              <w:rPr>
                <w:rFonts w:ascii="Times New Roman" w:hAnsi="Times New Roman" w:cs="Times New Roman" w:eastAsia="Times New Roman" w:hint="default"/>
                <w:sz w:val="21"/>
                <w:szCs w:val="21"/>
              </w:rPr>
            </w:pPr>
            <w:r>
              <w:rPr>
                <w:rFonts w:ascii="Times New Roman"/>
                <w:sz w:val="21"/>
              </w:rPr>
              <w:t>10.</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55"/>
              <w:jc w:val="righ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终端（</w:t>
            </w:r>
            <w:r>
              <w:rPr>
                <w:rFonts w:ascii="Times New Roman" w:hAnsi="Times New Roman" w:cs="Times New Roman" w:eastAsia="Times New Roman" w:hint="default"/>
                <w:sz w:val="21"/>
                <w:szCs w:val="21"/>
              </w:rPr>
              <w:t>K360</w:t>
            </w:r>
            <w:r>
              <w:rPr>
                <w:rFonts w:ascii="宋体" w:hAnsi="宋体" w:cs="宋体" w:eastAsia="宋体" w:hint="default"/>
                <w:sz w:val="21"/>
                <w:szCs w:val="21"/>
              </w:rPr>
              <w:t>）</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外观专利</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ZL200830105404.2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sz w:val="21"/>
              </w:rPr>
              <w:t>2009.9.16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2018.7.24</w:t>
            </w:r>
          </w:p>
        </w:tc>
        <w:tc>
          <w:tcPr>
            <w:tcW w:w="540" w:type="dxa"/>
            <w:tcBorders>
              <w:top w:val="single" w:sz="8" w:space="0" w:color="000000"/>
              <w:left w:val="single" w:sz="8" w:space="0" w:color="000000"/>
              <w:bottom w:val="single" w:sz="8" w:space="0" w:color="000000"/>
              <w:right w:val="single" w:sz="8" w:space="0" w:color="000000"/>
            </w:tcBorders>
          </w:tcPr>
          <w:p>
            <w:pPr/>
          </w:p>
        </w:tc>
      </w:tr>
      <w:tr>
        <w:trPr>
          <w:trHeight w:val="574"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6" w:right="0"/>
              <w:jc w:val="left"/>
              <w:rPr>
                <w:rFonts w:ascii="Times New Roman" w:hAnsi="Times New Roman" w:cs="Times New Roman" w:eastAsia="Times New Roman" w:hint="default"/>
                <w:sz w:val="21"/>
                <w:szCs w:val="21"/>
              </w:rPr>
            </w:pPr>
            <w:r>
              <w:rPr>
                <w:rFonts w:ascii="Times New Roman"/>
                <w:sz w:val="21"/>
              </w:rPr>
              <w:t>11.</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55"/>
              <w:jc w:val="righ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终端（</w:t>
            </w:r>
            <w:r>
              <w:rPr>
                <w:rFonts w:ascii="Times New Roman" w:hAnsi="Times New Roman" w:cs="Times New Roman" w:eastAsia="Times New Roman" w:hint="default"/>
                <w:sz w:val="21"/>
                <w:szCs w:val="21"/>
              </w:rPr>
              <w:t>K370</w:t>
            </w:r>
            <w:r>
              <w:rPr>
                <w:rFonts w:ascii="宋体" w:hAnsi="宋体" w:cs="宋体" w:eastAsia="宋体" w:hint="default"/>
                <w:sz w:val="21"/>
                <w:szCs w:val="21"/>
              </w:rPr>
              <w:t>）</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外观专利</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ZL200830105403.8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sz w:val="21"/>
              </w:rPr>
              <w:t>2009.8.19</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2018.7.24</w:t>
            </w:r>
          </w:p>
        </w:tc>
        <w:tc>
          <w:tcPr>
            <w:tcW w:w="54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77" w:footer="1267" w:top="1060" w:bottom="1460" w:left="1460" w:right="1340"/>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7"/>
        <w:gridCol w:w="2353"/>
        <w:gridCol w:w="1135"/>
        <w:gridCol w:w="1983"/>
        <w:gridCol w:w="1277"/>
        <w:gridCol w:w="1133"/>
        <w:gridCol w:w="540"/>
      </w:tblGrid>
      <w:tr>
        <w:trPr>
          <w:trHeight w:val="586" w:hRule="exact"/>
        </w:trPr>
        <w:tc>
          <w:tcPr>
            <w:tcW w:w="427" w:type="dxa"/>
            <w:tcBorders>
              <w:top w:val="single" w:sz="19" w:space="0" w:color="000000"/>
              <w:left w:val="single" w:sz="8" w:space="0" w:color="000000"/>
              <w:bottom w:val="single" w:sz="8" w:space="0" w:color="000000"/>
              <w:right w:val="single" w:sz="8" w:space="0" w:color="000000"/>
            </w:tcBorders>
          </w:tcPr>
          <w:p>
            <w:pPr>
              <w:pStyle w:val="TableParagraph"/>
              <w:spacing w:line="240" w:lineRule="auto" w:before="154"/>
              <w:ind w:left="16" w:right="0"/>
              <w:jc w:val="left"/>
              <w:rPr>
                <w:rFonts w:ascii="Times New Roman" w:hAnsi="Times New Roman" w:cs="Times New Roman" w:eastAsia="Times New Roman" w:hint="default"/>
                <w:sz w:val="21"/>
                <w:szCs w:val="21"/>
              </w:rPr>
            </w:pPr>
            <w:r>
              <w:rPr>
                <w:rFonts w:ascii="Times New Roman"/>
                <w:sz w:val="21"/>
              </w:rPr>
              <w:t>12.</w:t>
            </w:r>
          </w:p>
        </w:tc>
        <w:tc>
          <w:tcPr>
            <w:tcW w:w="2353" w:type="dxa"/>
            <w:tcBorders>
              <w:top w:val="single" w:sz="19" w:space="0" w:color="000000"/>
              <w:left w:val="single" w:sz="8" w:space="0" w:color="000000"/>
              <w:bottom w:val="single" w:sz="8" w:space="0" w:color="000000"/>
              <w:right w:val="single" w:sz="8"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终端（</w:t>
            </w:r>
            <w:r>
              <w:rPr>
                <w:rFonts w:ascii="Times New Roman" w:hAnsi="Times New Roman" w:cs="Times New Roman" w:eastAsia="Times New Roman" w:hint="default"/>
                <w:sz w:val="21"/>
                <w:szCs w:val="21"/>
              </w:rPr>
              <w:t>K390</w:t>
            </w:r>
            <w:r>
              <w:rPr>
                <w:rFonts w:ascii="宋体" w:hAnsi="宋体" w:cs="宋体" w:eastAsia="宋体" w:hint="default"/>
                <w:sz w:val="21"/>
                <w:szCs w:val="21"/>
              </w:rPr>
              <w:t>）</w:t>
            </w:r>
          </w:p>
        </w:tc>
        <w:tc>
          <w:tcPr>
            <w:tcW w:w="1135" w:type="dxa"/>
            <w:tcBorders>
              <w:top w:val="single" w:sz="19" w:space="0" w:color="000000"/>
              <w:left w:val="single" w:sz="8" w:space="0" w:color="000000"/>
              <w:bottom w:val="single" w:sz="8" w:space="0" w:color="000000"/>
              <w:right w:val="single" w:sz="8" w:space="0" w:color="000000"/>
            </w:tcBorders>
          </w:tcPr>
          <w:p>
            <w:pPr>
              <w:pStyle w:val="TableParagraph"/>
              <w:spacing w:line="240" w:lineRule="auto" w:before="107"/>
              <w:ind w:left="134"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983" w:type="dxa"/>
            <w:tcBorders>
              <w:top w:val="single" w:sz="19"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ZL200830105402.3</w:t>
            </w:r>
          </w:p>
        </w:tc>
        <w:tc>
          <w:tcPr>
            <w:tcW w:w="1277" w:type="dxa"/>
            <w:tcBorders>
              <w:top w:val="single" w:sz="19" w:space="0" w:color="000000"/>
              <w:left w:val="single" w:sz="8" w:space="0" w:color="000000"/>
              <w:bottom w:val="single" w:sz="8" w:space="0" w:color="000000"/>
              <w:right w:val="single" w:sz="8" w:space="0" w:color="000000"/>
            </w:tcBorders>
          </w:tcPr>
          <w:p>
            <w:pPr>
              <w:pStyle w:val="TableParagraph"/>
              <w:spacing w:line="240" w:lineRule="auto" w:before="154"/>
              <w:ind w:left="208" w:right="0"/>
              <w:jc w:val="left"/>
              <w:rPr>
                <w:rFonts w:ascii="Times New Roman" w:hAnsi="Times New Roman" w:cs="Times New Roman" w:eastAsia="Times New Roman" w:hint="default"/>
                <w:sz w:val="21"/>
                <w:szCs w:val="21"/>
              </w:rPr>
            </w:pPr>
            <w:r>
              <w:rPr>
                <w:rFonts w:ascii="Times New Roman"/>
                <w:sz w:val="21"/>
              </w:rPr>
              <w:t>2009.8.19</w:t>
            </w:r>
          </w:p>
        </w:tc>
        <w:tc>
          <w:tcPr>
            <w:tcW w:w="1133" w:type="dxa"/>
            <w:tcBorders>
              <w:top w:val="single" w:sz="19" w:space="0" w:color="000000"/>
              <w:left w:val="single" w:sz="8" w:space="0" w:color="000000"/>
              <w:bottom w:val="single" w:sz="8" w:space="0" w:color="000000"/>
              <w:right w:val="single" w:sz="8" w:space="0" w:color="000000"/>
            </w:tcBorders>
          </w:tcPr>
          <w:p>
            <w:pPr>
              <w:pStyle w:val="TableParagraph"/>
              <w:spacing w:line="240" w:lineRule="auto" w:before="154"/>
              <w:ind w:left="134" w:right="0"/>
              <w:jc w:val="left"/>
              <w:rPr>
                <w:rFonts w:ascii="Times New Roman" w:hAnsi="Times New Roman" w:cs="Times New Roman" w:eastAsia="Times New Roman" w:hint="default"/>
                <w:sz w:val="21"/>
                <w:szCs w:val="21"/>
              </w:rPr>
            </w:pPr>
            <w:r>
              <w:rPr>
                <w:rFonts w:ascii="Times New Roman"/>
                <w:sz w:val="21"/>
              </w:rPr>
              <w:t>2018.7.24</w:t>
            </w:r>
          </w:p>
        </w:tc>
        <w:tc>
          <w:tcPr>
            <w:tcW w:w="540" w:type="dxa"/>
            <w:tcBorders>
              <w:top w:val="single" w:sz="19" w:space="0" w:color="000000"/>
              <w:left w:val="single" w:sz="8" w:space="0" w:color="000000"/>
              <w:bottom w:val="single" w:sz="8" w:space="0" w:color="000000"/>
              <w:right w:val="single" w:sz="8" w:space="0" w:color="000000"/>
            </w:tcBorders>
          </w:tcPr>
          <w:p>
            <w:pPr/>
          </w:p>
        </w:tc>
      </w:tr>
      <w:tr>
        <w:trPr>
          <w:trHeight w:val="574"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6" w:right="0"/>
              <w:jc w:val="left"/>
              <w:rPr>
                <w:rFonts w:ascii="Times New Roman" w:hAnsi="Times New Roman" w:cs="Times New Roman" w:eastAsia="Times New Roman" w:hint="default"/>
                <w:sz w:val="21"/>
                <w:szCs w:val="21"/>
              </w:rPr>
            </w:pPr>
            <w:r>
              <w:rPr>
                <w:rFonts w:ascii="Times New Roman"/>
                <w:sz w:val="21"/>
              </w:rPr>
              <w:t>13.</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终端（</w:t>
            </w:r>
            <w:r>
              <w:rPr>
                <w:rFonts w:ascii="Times New Roman" w:hAnsi="Times New Roman" w:cs="Times New Roman" w:eastAsia="Times New Roman" w:hint="default"/>
                <w:sz w:val="21"/>
                <w:szCs w:val="21"/>
              </w:rPr>
              <w:t>K320</w:t>
            </w:r>
            <w:r>
              <w:rPr>
                <w:rFonts w:ascii="宋体" w:hAnsi="宋体" w:cs="宋体" w:eastAsia="宋体" w:hint="default"/>
                <w:sz w:val="21"/>
                <w:szCs w:val="21"/>
              </w:rPr>
              <w:t>）</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134"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ZL200930164921.1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56" w:right="0"/>
              <w:jc w:val="left"/>
              <w:rPr>
                <w:rFonts w:ascii="Times New Roman" w:hAnsi="Times New Roman" w:cs="Times New Roman" w:eastAsia="Times New Roman" w:hint="default"/>
                <w:sz w:val="21"/>
                <w:szCs w:val="21"/>
              </w:rPr>
            </w:pPr>
            <w:r>
              <w:rPr>
                <w:rFonts w:ascii="Times New Roman"/>
                <w:sz w:val="21"/>
              </w:rPr>
              <w:t>2009.04.10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87" w:right="0"/>
              <w:jc w:val="left"/>
              <w:rPr>
                <w:rFonts w:ascii="Times New Roman" w:hAnsi="Times New Roman" w:cs="Times New Roman" w:eastAsia="Times New Roman" w:hint="default"/>
                <w:sz w:val="21"/>
                <w:szCs w:val="21"/>
              </w:rPr>
            </w:pPr>
            <w:r>
              <w:rPr>
                <w:rFonts w:ascii="Times New Roman"/>
                <w:sz w:val="21"/>
              </w:rPr>
              <w:t>2018.4.9</w:t>
            </w:r>
          </w:p>
        </w:tc>
        <w:tc>
          <w:tcPr>
            <w:tcW w:w="54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5"/>
        <w:rPr>
          <w:rFonts w:ascii="宋体" w:hAnsi="宋体" w:cs="宋体" w:eastAsia="宋体" w:hint="default"/>
          <w:sz w:val="23"/>
          <w:szCs w:val="23"/>
        </w:rPr>
      </w:pPr>
    </w:p>
    <w:p>
      <w:pPr>
        <w:pStyle w:val="Heading6"/>
        <w:spacing w:line="240" w:lineRule="auto" w:before="26"/>
        <w:ind w:left="242" w:right="240"/>
        <w:jc w:val="left"/>
        <w:rPr>
          <w:b w:val="0"/>
          <w:bCs w:val="0"/>
        </w:rPr>
      </w:pPr>
      <w:r>
        <w:rPr>
          <w:rFonts w:ascii="Times New Roman" w:hAnsi="Times New Roman" w:cs="Times New Roman" w:eastAsia="Times New Roman" w:hint="default"/>
        </w:rPr>
        <w:t>4</w:t>
      </w:r>
      <w:r>
        <w:rPr/>
        <w:t>、商标</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721" w:right="240"/>
        <w:jc w:val="left"/>
      </w:pPr>
      <w:r>
        <w:rPr/>
        <w:t>截至报告期末，公司拥有的商标情况如下：</w:t>
      </w:r>
    </w:p>
    <w:p>
      <w:pPr>
        <w:pStyle w:val="BodyText"/>
        <w:spacing w:line="240" w:lineRule="auto" w:before="192"/>
        <w:ind w:left="721" w:right="240"/>
        <w:jc w:val="left"/>
      </w:pPr>
      <w:r>
        <w:rPr/>
        <w:t>（</w:t>
      </w:r>
      <w:r>
        <w:rPr>
          <w:rFonts w:ascii="Times New Roman" w:hAnsi="Times New Roman" w:cs="Times New Roman" w:eastAsia="Times New Roman" w:hint="default"/>
        </w:rPr>
        <w:t>1</w:t>
      </w:r>
      <w:r>
        <w:rPr/>
        <w:t>）已注册商标</w:t>
      </w:r>
    </w:p>
    <w:p>
      <w:pPr>
        <w:spacing w:line="240" w:lineRule="auto" w:before="8"/>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524"/>
        <w:gridCol w:w="961"/>
        <w:gridCol w:w="1390"/>
        <w:gridCol w:w="992"/>
        <w:gridCol w:w="3754"/>
      </w:tblGrid>
      <w:tr>
        <w:trPr>
          <w:trHeight w:val="571" w:hRule="exact"/>
        </w:trPr>
        <w:tc>
          <w:tcPr>
            <w:tcW w:w="1524" w:type="dxa"/>
            <w:tcBorders>
              <w:top w:val="single" w:sz="12" w:space="0" w:color="000000"/>
              <w:left w:val="single" w:sz="12" w:space="0" w:color="000000"/>
              <w:bottom w:val="single" w:sz="6" w:space="0" w:color="000000"/>
              <w:right w:val="single" w:sz="6" w:space="0" w:color="000000"/>
            </w:tcBorders>
            <w:shd w:val="clear" w:color="auto" w:fill="8DB3E1"/>
          </w:tcPr>
          <w:p>
            <w:pPr>
              <w:pStyle w:val="TableParagraph"/>
              <w:spacing w:line="240" w:lineRule="auto" w:before="106"/>
              <w:ind w:left="323"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961"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06"/>
              <w:ind w:right="3"/>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390"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06"/>
              <w:ind w:left="158" w:right="0"/>
              <w:jc w:val="left"/>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992"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3754" w:type="dxa"/>
            <w:tcBorders>
              <w:top w:val="single" w:sz="12" w:space="0" w:color="000000"/>
              <w:left w:val="single" w:sz="6" w:space="0" w:color="000000"/>
              <w:bottom w:val="single" w:sz="6" w:space="0" w:color="000000"/>
              <w:right w:val="single" w:sz="12" w:space="0" w:color="000000"/>
            </w:tcBorders>
            <w:shd w:val="clear" w:color="auto" w:fill="8DB3E1"/>
          </w:tcPr>
          <w:p>
            <w:pPr>
              <w:pStyle w:val="TableParagraph"/>
              <w:spacing w:line="240" w:lineRule="auto" w:before="106"/>
              <w:ind w:left="1233" w:right="0"/>
              <w:jc w:val="left"/>
              <w:rPr>
                <w:rFonts w:ascii="宋体" w:hAnsi="宋体" w:cs="宋体" w:eastAsia="宋体" w:hint="default"/>
                <w:sz w:val="21"/>
                <w:szCs w:val="21"/>
              </w:rPr>
            </w:pPr>
            <w:r>
              <w:rPr>
                <w:rFonts w:ascii="宋体" w:hAnsi="宋体" w:cs="宋体" w:eastAsia="宋体" w:hint="default"/>
                <w:b/>
                <w:bCs/>
                <w:sz w:val="21"/>
                <w:szCs w:val="21"/>
              </w:rPr>
              <w:t>核定使用商品</w:t>
            </w:r>
            <w:r>
              <w:rPr>
                <w:rFonts w:ascii="宋体" w:hAnsi="宋体" w:cs="宋体" w:eastAsia="宋体" w:hint="default"/>
                <w:sz w:val="21"/>
                <w:szCs w:val="21"/>
              </w:rPr>
            </w:r>
          </w:p>
        </w:tc>
      </w:tr>
      <w:tr>
        <w:trPr>
          <w:trHeight w:val="1975" w:hRule="exact"/>
        </w:trPr>
        <w:tc>
          <w:tcPr>
            <w:tcW w:w="15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1170" w:lineRule="exact"/>
              <w:ind w:left="90" w:right="0"/>
              <w:jc w:val="left"/>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818386" cy="7429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818386" cy="742950"/>
                          </a:xfrm>
                          <a:prstGeom prst="rect">
                            <a:avLst/>
                          </a:prstGeom>
                        </pic:spPr>
                      </pic:pic>
                    </a:graphicData>
                  </a:graphic>
                </wp:inline>
              </w:drawing>
            </w:r>
            <w:r>
              <w:rPr>
                <w:rFonts w:ascii="宋体" w:hAnsi="宋体" w:cs="宋体" w:eastAsia="宋体" w:hint="default"/>
                <w:position w:val="-22"/>
                <w:sz w:val="20"/>
                <w:szCs w:val="20"/>
              </w:rPr>
            </w:r>
          </w:p>
          <w:p>
            <w:pPr>
              <w:pStyle w:val="TableParagraph"/>
              <w:spacing w:line="240" w:lineRule="auto"/>
              <w:ind w:right="0"/>
              <w:jc w:val="left"/>
              <w:rPr>
                <w:rFonts w:ascii="宋体" w:hAnsi="宋体" w:cs="宋体" w:eastAsia="宋体" w:hint="default"/>
                <w:sz w:val="20"/>
                <w:szCs w:val="20"/>
              </w:rPr>
            </w:pPr>
          </w:p>
        </w:tc>
        <w:tc>
          <w:tcPr>
            <w:tcW w:w="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4353456</w:t>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2007.5.28 </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2017.5.27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新国都</w:t>
            </w:r>
          </w:p>
        </w:tc>
        <w:tc>
          <w:tcPr>
            <w:tcW w:w="3754" w:type="dxa"/>
            <w:tcBorders>
              <w:top w:val="single" w:sz="6" w:space="0" w:color="000000"/>
              <w:left w:val="single" w:sz="6" w:space="0" w:color="000000"/>
              <w:bottom w:val="single" w:sz="12" w:space="0" w:color="000000"/>
              <w:right w:val="single" w:sz="12" w:space="0" w:color="000000"/>
            </w:tcBorders>
          </w:tcPr>
          <w:p>
            <w:pPr>
              <w:pStyle w:val="TableParagraph"/>
              <w:spacing w:line="400" w:lineRule="auto" w:before="105"/>
              <w:ind w:left="98" w:right="89"/>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类：计数器；数量显示器；钱点数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和分检机；现金收入记录机；现金收讫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机；支票记录计；电子支付密码器；销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售点终端机；移动终端机。</w:t>
            </w:r>
          </w:p>
        </w:tc>
      </w:tr>
    </w:tbl>
    <w:p>
      <w:pPr>
        <w:pStyle w:val="BodyText"/>
        <w:spacing w:line="240" w:lineRule="auto" w:before="79"/>
        <w:ind w:left="721" w:right="240"/>
        <w:jc w:val="left"/>
      </w:pPr>
      <w:r>
        <w:rPr/>
        <w:t>（</w:t>
      </w:r>
      <w:r>
        <w:rPr>
          <w:rFonts w:ascii="Times New Roman" w:hAnsi="Times New Roman" w:cs="Times New Roman" w:eastAsia="Times New Roman" w:hint="default"/>
        </w:rPr>
        <w:t>2</w:t>
      </w:r>
      <w:r>
        <w:rPr/>
        <w:t>）已申请并获公示的商标</w:t>
      </w:r>
    </w:p>
    <w:p>
      <w:pPr>
        <w:spacing w:line="240" w:lineRule="auto" w:before="6"/>
        <w:rPr>
          <w:rFonts w:ascii="宋体" w:hAnsi="宋体" w:cs="宋体" w:eastAsia="宋体" w:hint="default"/>
          <w:sz w:val="11"/>
          <w:szCs w:val="11"/>
        </w:rPr>
      </w:pPr>
    </w:p>
    <w:tbl>
      <w:tblPr>
        <w:tblW w:w="0" w:type="auto"/>
        <w:jc w:val="left"/>
        <w:tblInd w:w="261" w:type="dxa"/>
        <w:tblLayout w:type="fixed"/>
        <w:tblCellMar>
          <w:top w:w="0" w:type="dxa"/>
          <w:left w:w="0" w:type="dxa"/>
          <w:bottom w:w="0" w:type="dxa"/>
          <w:right w:w="0" w:type="dxa"/>
        </w:tblCellMar>
        <w:tblLook w:val="01E0"/>
      </w:tblPr>
      <w:tblGrid>
        <w:gridCol w:w="2012"/>
        <w:gridCol w:w="1217"/>
        <w:gridCol w:w="2045"/>
        <w:gridCol w:w="1464"/>
        <w:gridCol w:w="1813"/>
      </w:tblGrid>
      <w:tr>
        <w:trPr>
          <w:trHeight w:val="495" w:hRule="exact"/>
        </w:trPr>
        <w:tc>
          <w:tcPr>
            <w:tcW w:w="2012" w:type="dxa"/>
            <w:tcBorders>
              <w:top w:val="single" w:sz="12" w:space="0" w:color="000000"/>
              <w:left w:val="single" w:sz="12" w:space="0" w:color="000000"/>
              <w:bottom w:val="single" w:sz="4" w:space="0" w:color="000000"/>
              <w:right w:val="single" w:sz="4" w:space="0" w:color="000000"/>
            </w:tcBorders>
            <w:shd w:val="clear" w:color="auto" w:fill="8DB3E1"/>
          </w:tcPr>
          <w:p>
            <w:pPr>
              <w:pStyle w:val="TableParagraph"/>
              <w:spacing w:line="267"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1217" w:type="dxa"/>
            <w:tcBorders>
              <w:top w:val="single" w:sz="12" w:space="0" w:color="000000"/>
              <w:left w:val="single" w:sz="4" w:space="0" w:color="000000"/>
              <w:bottom w:val="single" w:sz="4" w:space="0" w:color="000000"/>
              <w:right w:val="single" w:sz="4" w:space="0" w:color="000000"/>
            </w:tcBorders>
            <w:shd w:val="clear" w:color="auto" w:fill="8DB3E1"/>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45" w:type="dxa"/>
            <w:tcBorders>
              <w:top w:val="single" w:sz="12" w:space="0" w:color="000000"/>
              <w:left w:val="single" w:sz="4" w:space="0" w:color="000000"/>
              <w:bottom w:val="single" w:sz="4" w:space="0" w:color="000000"/>
              <w:right w:val="single" w:sz="4" w:space="0" w:color="000000"/>
            </w:tcBorders>
            <w:shd w:val="clear" w:color="auto" w:fill="8DB3E1"/>
          </w:tcPr>
          <w:p>
            <w:pPr>
              <w:pStyle w:val="TableParagraph"/>
              <w:spacing w:line="267" w:lineRule="exact"/>
              <w:ind w:left="698" w:right="0"/>
              <w:jc w:val="left"/>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464" w:type="dxa"/>
            <w:tcBorders>
              <w:top w:val="single" w:sz="12" w:space="0" w:color="000000"/>
              <w:left w:val="single" w:sz="4" w:space="0" w:color="000000"/>
              <w:bottom w:val="single" w:sz="4" w:space="0" w:color="000000"/>
              <w:right w:val="single" w:sz="4" w:space="0" w:color="000000"/>
            </w:tcBorders>
            <w:shd w:val="clear" w:color="auto" w:fill="8DB3E1"/>
          </w:tcPr>
          <w:p>
            <w:pPr>
              <w:pStyle w:val="TableParagraph"/>
              <w:spacing w:line="267"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813" w:type="dxa"/>
            <w:tcBorders>
              <w:top w:val="single" w:sz="12" w:space="0" w:color="000000"/>
              <w:left w:val="single" w:sz="4" w:space="0" w:color="000000"/>
              <w:bottom w:val="single" w:sz="4" w:space="0" w:color="000000"/>
              <w:right w:val="single" w:sz="12" w:space="0" w:color="000000"/>
            </w:tcBorders>
            <w:shd w:val="clear" w:color="auto" w:fill="8DB3E1"/>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受理发文日期</w:t>
            </w:r>
            <w:r>
              <w:rPr>
                <w:rFonts w:ascii="宋体" w:hAnsi="宋体" w:cs="宋体" w:eastAsia="宋体" w:hint="default"/>
                <w:sz w:val="21"/>
                <w:szCs w:val="21"/>
              </w:rPr>
            </w:r>
          </w:p>
        </w:tc>
      </w:tr>
      <w:tr>
        <w:trPr>
          <w:trHeight w:val="81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597" w:lineRule="exact"/>
              <w:ind w:left="106"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116600" cy="3794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1116600" cy="379475"/>
                          </a:xfrm>
                          <a:prstGeom prst="rect">
                            <a:avLst/>
                          </a:prstGeom>
                        </pic:spPr>
                      </pic:pic>
                    </a:graphicData>
                  </a:graphic>
                </wp:inline>
              </w:drawing>
            </w:r>
            <w:r>
              <w:rPr>
                <w:rFonts w:ascii="宋体" w:hAnsi="宋体" w:cs="宋体" w:eastAsia="宋体" w:hint="default"/>
                <w:position w:val="-11"/>
                <w:sz w:val="20"/>
                <w:szCs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7211057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2009.2.23</w:t>
            </w:r>
          </w:p>
        </w:tc>
        <w:tc>
          <w:tcPr>
            <w:tcW w:w="18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2009.3.12</w:t>
            </w:r>
          </w:p>
        </w:tc>
      </w:tr>
      <w:tr>
        <w:trPr>
          <w:trHeight w:val="672" w:hRule="exact"/>
        </w:trPr>
        <w:tc>
          <w:tcPr>
            <w:tcW w:w="20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
                <w:szCs w:val="2"/>
              </w:rPr>
            </w:pPr>
          </w:p>
          <w:p>
            <w:pPr>
              <w:pStyle w:val="TableParagraph"/>
              <w:spacing w:line="455" w:lineRule="exact"/>
              <w:ind w:left="10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130013" cy="28936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1130013" cy="289369"/>
                          </a:xfrm>
                          <a:prstGeom prst="rect">
                            <a:avLst/>
                          </a:prstGeom>
                        </pic:spPr>
                      </pic:pic>
                    </a:graphicData>
                  </a:graphic>
                </wp:inline>
              </w:drawing>
            </w:r>
            <w:r>
              <w:rPr>
                <w:rFonts w:ascii="宋体" w:hAnsi="宋体" w:cs="宋体" w:eastAsia="宋体" w:hint="default"/>
                <w:position w:val="-8"/>
                <w:sz w:val="20"/>
                <w:szCs w:val="20"/>
              </w:rPr>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right="5"/>
              <w:jc w:val="center"/>
              <w:rPr>
                <w:rFonts w:ascii="Times New Roman" w:hAnsi="Times New Roman" w:cs="Times New Roman" w:eastAsia="Times New Roman" w:hint="default"/>
                <w:sz w:val="21"/>
                <w:szCs w:val="21"/>
              </w:rPr>
            </w:pPr>
            <w:r>
              <w:rPr>
                <w:rFonts w:ascii="Times New Roman"/>
                <w:sz w:val="21"/>
              </w:rPr>
              <w:t>42</w:t>
            </w:r>
          </w:p>
        </w:tc>
        <w:tc>
          <w:tcPr>
            <w:tcW w:w="2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left="652" w:right="0"/>
              <w:jc w:val="left"/>
              <w:rPr>
                <w:rFonts w:ascii="Times New Roman" w:hAnsi="Times New Roman" w:cs="Times New Roman" w:eastAsia="Times New Roman" w:hint="default"/>
                <w:sz w:val="21"/>
                <w:szCs w:val="21"/>
              </w:rPr>
            </w:pPr>
            <w:r>
              <w:rPr>
                <w:rFonts w:ascii="Times New Roman"/>
                <w:sz w:val="21"/>
              </w:rPr>
              <w:t>7211058</w:t>
            </w:r>
          </w:p>
        </w:tc>
        <w:tc>
          <w:tcPr>
            <w:tcW w:w="1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left="304" w:right="0"/>
              <w:jc w:val="left"/>
              <w:rPr>
                <w:rFonts w:ascii="Times New Roman" w:hAnsi="Times New Roman" w:cs="Times New Roman" w:eastAsia="Times New Roman" w:hint="default"/>
                <w:sz w:val="21"/>
                <w:szCs w:val="21"/>
              </w:rPr>
            </w:pPr>
            <w:r>
              <w:rPr>
                <w:rFonts w:ascii="Times New Roman"/>
                <w:sz w:val="21"/>
              </w:rPr>
              <w:t>2009.2.23</w:t>
            </w:r>
          </w:p>
        </w:tc>
        <w:tc>
          <w:tcPr>
            <w:tcW w:w="18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0"/>
              <w:ind w:left="10" w:right="0"/>
              <w:jc w:val="center"/>
              <w:rPr>
                <w:rFonts w:ascii="Times New Roman" w:hAnsi="Times New Roman" w:cs="Times New Roman" w:eastAsia="Times New Roman" w:hint="default"/>
                <w:sz w:val="21"/>
                <w:szCs w:val="21"/>
              </w:rPr>
            </w:pPr>
            <w:r>
              <w:rPr>
                <w:rFonts w:ascii="Times New Roman"/>
                <w:sz w:val="21"/>
              </w:rPr>
              <w:t>2009.3.12</w:t>
            </w:r>
          </w:p>
        </w:tc>
      </w:tr>
    </w:tbl>
    <w:p>
      <w:pPr>
        <w:spacing w:line="240" w:lineRule="auto" w:before="10"/>
        <w:rPr>
          <w:rFonts w:ascii="宋体" w:hAnsi="宋体" w:cs="宋体" w:eastAsia="宋体" w:hint="default"/>
          <w:sz w:val="23"/>
          <w:szCs w:val="23"/>
        </w:rPr>
      </w:pPr>
    </w:p>
    <w:p>
      <w:pPr>
        <w:pStyle w:val="Heading6"/>
        <w:spacing w:line="240" w:lineRule="auto" w:before="26"/>
        <w:ind w:left="242" w:right="0"/>
        <w:jc w:val="both"/>
        <w:rPr>
          <w:b w:val="0"/>
          <w:bCs w:val="0"/>
        </w:rPr>
      </w:pPr>
      <w:r>
        <w:rPr/>
        <w:t>（五）公司核心竞争力</w:t>
      </w:r>
      <w:r>
        <w:rPr>
          <w:b w:val="0"/>
          <w:bCs w:val="0"/>
        </w:rPr>
      </w:r>
    </w:p>
    <w:p>
      <w:pPr>
        <w:spacing w:line="240" w:lineRule="auto" w:before="4"/>
        <w:rPr>
          <w:rFonts w:ascii="宋体" w:hAnsi="宋体" w:cs="宋体" w:eastAsia="宋体" w:hint="default"/>
          <w:b/>
          <w:bCs/>
          <w:sz w:val="34"/>
          <w:szCs w:val="34"/>
        </w:rPr>
      </w:pPr>
    </w:p>
    <w:p>
      <w:pPr>
        <w:pStyle w:val="BodyText"/>
        <w:spacing w:line="357" w:lineRule="auto"/>
        <w:ind w:left="242" w:right="243" w:firstLine="479"/>
        <w:jc w:val="both"/>
      </w:pPr>
      <w:r>
        <w:rPr>
          <w:spacing w:val="-1"/>
        </w:rPr>
        <w:t>公司和核心竞争力主要体现在管理团队稳定、进取，技术研发方案先进、产品</w:t>
      </w:r>
      <w:r>
        <w:rPr/>
        <w:t> </w:t>
      </w:r>
      <w:r>
        <w:rPr>
          <w:spacing w:val="-1"/>
        </w:rPr>
        <w:t>认证齐全、产品质量控制和成本控制体系完备、产品结构齐全、市场地位稳固、综</w:t>
      </w:r>
      <w:r>
        <w:rPr>
          <w:spacing w:val="-107"/>
        </w:rPr>
        <w:t> </w:t>
      </w:r>
      <w:r>
        <w:rPr>
          <w:spacing w:val="-107"/>
        </w:rPr>
      </w:r>
      <w:r>
        <w:rPr/>
        <w:t>合服务全面等方面：</w:t>
      </w:r>
    </w:p>
    <w:p>
      <w:pPr>
        <w:spacing w:line="338" w:lineRule="auto" w:before="74"/>
        <w:ind w:left="721" w:right="240"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）管理团队优势</w:t>
      </w:r>
      <w:r>
        <w:rPr>
          <w:rFonts w:ascii="宋体" w:hAnsi="宋体" w:cs="宋体" w:eastAsia="宋体" w:hint="default"/>
          <w:b/>
          <w:bCs/>
          <w:w w:val="99"/>
          <w:sz w:val="24"/>
          <w:szCs w:val="24"/>
        </w:rPr>
        <w:t> </w:t>
      </w:r>
      <w:r>
        <w:rPr>
          <w:rFonts w:ascii="宋体" w:hAnsi="宋体" w:cs="宋体" w:eastAsia="宋体" w:hint="default"/>
          <w:sz w:val="24"/>
          <w:szCs w:val="24"/>
        </w:rPr>
        <w:t>公司创业人员主要为无线电通讯技术人员，多年专注于电子信息行业的研发</w:t>
      </w:r>
    </w:p>
    <w:p>
      <w:pPr>
        <w:pStyle w:val="BodyText"/>
        <w:spacing w:line="350" w:lineRule="auto" w:before="55"/>
        <w:ind w:left="242" w:right="401"/>
        <w:jc w:val="both"/>
      </w:pPr>
      <w:r>
        <w:rPr/>
        <w:t>领域，对于</w:t>
      </w:r>
      <w:r>
        <w:rPr>
          <w:spacing w:val="-7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终端生产和支付技术服务的技术发展趋势有深刻理解，较好地保 证了公司技术路线选择、产品和业务方向选择等战略决策的正确制定与执行。此</w:t>
      </w:r>
      <w:r>
        <w:rPr>
          <w:spacing w:val="-67"/>
        </w:rPr>
        <w:t> </w:t>
      </w:r>
      <w:r>
        <w:rPr>
          <w:spacing w:val="-67"/>
        </w:rPr>
      </w:r>
      <w:r>
        <w:rPr/>
        <w:t>外，公司管理团队经历了较长的磨合期，有助于公司战略和具体研发、生产、市</w:t>
      </w:r>
      <w:r>
        <w:rPr>
          <w:spacing w:val="-67"/>
        </w:rPr>
        <w:t> </w:t>
      </w:r>
      <w:r>
        <w:rPr>
          <w:spacing w:val="-67"/>
        </w:rPr>
      </w:r>
      <w:r>
        <w:rPr/>
        <w:t>场营销等经营策略的有效落实。</w:t>
      </w:r>
    </w:p>
    <w:p>
      <w:pPr>
        <w:spacing w:after="0" w:line="350" w:lineRule="auto"/>
        <w:jc w:val="both"/>
        <w:sectPr>
          <w:pgSz w:w="11910" w:h="16840"/>
          <w:pgMar w:header="877" w:footer="1267" w:top="1060" w:bottom="1460" w:left="1460" w:right="13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367" w:lineRule="auto" w:before="47"/>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）技术研发优势</w:t>
      </w:r>
      <w:r>
        <w:rPr>
          <w:rFonts w:ascii="宋体" w:hAnsi="宋体" w:cs="宋体" w:eastAsia="宋体" w:hint="default"/>
          <w:b/>
          <w:bCs/>
          <w:w w:val="99"/>
          <w:sz w:val="24"/>
          <w:szCs w:val="24"/>
        </w:rPr>
        <w:t> </w:t>
      </w:r>
      <w:r>
        <w:rPr>
          <w:rFonts w:ascii="宋体" w:hAnsi="宋体" w:cs="宋体" w:eastAsia="宋体" w:hint="default"/>
          <w:sz w:val="24"/>
          <w:szCs w:val="24"/>
        </w:rPr>
        <w:t>在技术路线选择方面，公司始终重视并探索</w:t>
      </w:r>
      <w:r>
        <w:rPr>
          <w:rFonts w:ascii="Times New Roman" w:hAnsi="Times New Roman" w:cs="Times New Roman" w:eastAsia="Times New Roman" w:hint="default"/>
          <w:sz w:val="24"/>
          <w:szCs w:val="24"/>
        </w:rPr>
        <w:t>POS</w:t>
      </w:r>
      <w:r>
        <w:rPr>
          <w:rFonts w:ascii="宋体" w:hAnsi="宋体" w:cs="宋体" w:eastAsia="宋体" w:hint="default"/>
          <w:sz w:val="24"/>
          <w:szCs w:val="24"/>
        </w:rPr>
        <w:t>终端中软、硬件在功能和成本</w:t>
      </w:r>
    </w:p>
    <w:p>
      <w:pPr>
        <w:pStyle w:val="BodyText"/>
        <w:spacing w:line="348" w:lineRule="auto"/>
        <w:ind w:right="224"/>
        <w:jc w:val="both"/>
      </w:pPr>
      <w:r>
        <w:rPr>
          <w:spacing w:val="-3"/>
        </w:rPr>
        <w:t>上的最优化匹配。公司在行业内较早选择</w:t>
      </w:r>
      <w:r>
        <w:rPr>
          <w:rFonts w:ascii="Times New Roman" w:hAnsi="Times New Roman" w:cs="Times New Roman" w:eastAsia="Times New Roman" w:hint="default"/>
          <w:spacing w:val="-3"/>
        </w:rPr>
        <w:t>Linux</w:t>
      </w:r>
      <w:r>
        <w:rPr>
          <w:spacing w:val="-3"/>
        </w:rPr>
        <w:t>操作系统，取代常见的简单工业操作</w:t>
      </w:r>
      <w:r>
        <w:rPr/>
        <w:t> </w:t>
      </w:r>
      <w:r>
        <w:rPr>
          <w:spacing w:val="-1"/>
        </w:rPr>
        <w:t>系统，从而在底层设备驱动、增值应用软件的开发等方面掌握较多的灵活性，并为</w:t>
      </w:r>
      <w:r>
        <w:rPr>
          <w:spacing w:val="-108"/>
        </w:rPr>
        <w:t> </w:t>
      </w:r>
      <w:r>
        <w:rPr>
          <w:spacing w:val="-108"/>
        </w:rPr>
      </w:r>
      <w:r>
        <w:rPr>
          <w:spacing w:val="-1"/>
        </w:rPr>
        <w:t>以软件技术简化或取代硬件设备从而控制生产成本奠定了基础。同时，公司凭借产</w:t>
      </w:r>
      <w:r>
        <w:rPr>
          <w:spacing w:val="-108"/>
        </w:rPr>
        <w:t> </w:t>
      </w:r>
      <w:r>
        <w:rPr>
          <w:spacing w:val="-108"/>
        </w:rPr>
      </w:r>
      <w:r>
        <w:rPr>
          <w:spacing w:val="-4"/>
        </w:rPr>
        <w:t>品软、硬件设计能力保证了</w:t>
      </w:r>
      <w:r>
        <w:rPr>
          <w:rFonts w:ascii="Times New Roman" w:hAnsi="Times New Roman" w:cs="Times New Roman" w:eastAsia="Times New Roman" w:hint="default"/>
          <w:spacing w:val="-4"/>
        </w:rPr>
        <w:t>Linux</w:t>
      </w:r>
      <w:r>
        <w:rPr>
          <w:spacing w:val="-4"/>
        </w:rPr>
        <w:t>操作系统、复杂增值应用等软件的有效运转，能更</w:t>
      </w:r>
      <w:r>
        <w:rPr>
          <w:spacing w:val="-82"/>
        </w:rPr>
        <w:t> </w:t>
      </w:r>
      <w:r>
        <w:rPr>
          <w:spacing w:val="-82"/>
        </w:rPr>
      </w:r>
      <w:r>
        <w:rPr/>
        <w:t>好地满足收单机构等下游客户日益丰富的应用需求。</w:t>
      </w:r>
    </w:p>
    <w:p>
      <w:pPr>
        <w:pStyle w:val="BodyText"/>
        <w:spacing w:line="357" w:lineRule="auto" w:before="87"/>
        <w:ind w:right="100" w:firstLine="479"/>
        <w:jc w:val="left"/>
      </w:pPr>
      <w:r>
        <w:rPr>
          <w:spacing w:val="-5"/>
        </w:rPr>
        <w:t>在研发体系构架层面，公司推行研发平台化开发策略，对产品和技术层层解构，</w:t>
      </w:r>
      <w:r>
        <w:rPr/>
        <w:t> 按照功能将产品的软硬件固定为若干模块，模块之间实行统一接口，提高了研发效 率，提高应用程序的通用性，有利于后续个性化的增值应用的持续开发。</w:t>
      </w:r>
    </w:p>
    <w:p>
      <w:pPr>
        <w:pStyle w:val="Heading6"/>
        <w:spacing w:line="240" w:lineRule="auto" w:before="74"/>
        <w:ind w:right="0"/>
        <w:jc w:val="both"/>
        <w:rPr>
          <w:b w:val="0"/>
          <w:bCs w:val="0"/>
        </w:rPr>
      </w:pPr>
      <w:r>
        <w:rPr/>
        <w:t>（</w:t>
      </w:r>
      <w:r>
        <w:rPr>
          <w:rFonts w:ascii="Times New Roman" w:hAnsi="Times New Roman" w:cs="Times New Roman" w:eastAsia="Times New Roman" w:hint="default"/>
        </w:rPr>
        <w:t>3</w:t>
      </w:r>
      <w:r>
        <w:rPr/>
        <w:t>）产品认证优势</w:t>
      </w:r>
      <w:r>
        <w:rPr>
          <w:b w:val="0"/>
          <w:bCs w:val="0"/>
        </w:rPr>
      </w:r>
    </w:p>
    <w:p>
      <w:pPr>
        <w:pStyle w:val="BodyText"/>
        <w:spacing w:line="345" w:lineRule="auto" w:before="135"/>
        <w:ind w:right="380" w:firstLine="479"/>
        <w:jc w:val="both"/>
      </w:pPr>
      <w:r>
        <w:rPr>
          <w:rFonts w:ascii="Times New Roman" w:hAnsi="Times New Roman" w:cs="Times New Roman" w:eastAsia="Times New Roman" w:hint="default"/>
        </w:rPr>
        <w:t>POS</w:t>
      </w:r>
      <w:r>
        <w:rPr>
          <w:rFonts w:ascii="Times New Roman" w:hAnsi="Times New Roman" w:cs="Times New Roman" w:eastAsia="Times New Roman" w:hint="default"/>
          <w:spacing w:val="39"/>
        </w:rPr>
        <w:t> </w:t>
      </w:r>
      <w:r>
        <w:rPr/>
        <w:t>终端与社会公众和金融机构的支付安全密切相关，我国主管部门、国内 外银行卡组织等均已建立、发展出一系列产品和技术认证，</w:t>
      </w:r>
      <w:r>
        <w:rPr>
          <w:rFonts w:ascii="Times New Roman" w:hAnsi="Times New Roman" w:cs="Times New Roman" w:eastAsia="Times New Roman" w:hint="default"/>
        </w:rPr>
        <w:t>PCI</w:t>
      </w:r>
      <w:r>
        <w:rPr>
          <w:rFonts w:ascii="Times New Roman" w:hAnsi="Times New Roman" w:cs="Times New Roman" w:eastAsia="Times New Roman" w:hint="default"/>
          <w:spacing w:val="38"/>
        </w:rPr>
        <w:t> </w:t>
      </w:r>
      <w:r>
        <w:rPr/>
        <w:t>认证等还对生产</w:t>
      </w:r>
      <w:r>
        <w:rPr>
          <w:spacing w:val="-116"/>
        </w:rPr>
        <w:t> </w:t>
      </w:r>
      <w:r>
        <w:rPr>
          <w:spacing w:val="-116"/>
        </w:rPr>
      </w:r>
      <w:r>
        <w:rPr/>
        <w:t>商的采购、生产、售后服务等主要经营管理活动提出了规范和标准。这些认证构</w:t>
      </w:r>
      <w:r>
        <w:rPr>
          <w:spacing w:val="-67"/>
        </w:rPr>
        <w:t> </w:t>
      </w:r>
      <w:r>
        <w:rPr>
          <w:spacing w:val="-67"/>
        </w:rPr>
      </w:r>
      <w:r>
        <w:rPr/>
        <w:t>成了行业重要的进入壁垒。</w:t>
      </w:r>
    </w:p>
    <w:p>
      <w:pPr>
        <w:pStyle w:val="BodyText"/>
        <w:spacing w:line="352" w:lineRule="auto" w:before="48"/>
        <w:ind w:right="382" w:firstLine="479"/>
        <w:jc w:val="both"/>
      </w:pPr>
      <w:r>
        <w:rPr/>
        <w:t>目前，公司主要产品均已通过国内外主要监管机构和银行卡组织的测试和认 证，如 </w:t>
      </w:r>
      <w:r>
        <w:rPr>
          <w:rFonts w:ascii="Times New Roman" w:hAnsi="Times New Roman" w:cs="Times New Roman" w:eastAsia="Times New Roman" w:hint="default"/>
        </w:rPr>
        <w:t>PBOC </w:t>
      </w:r>
      <w:r>
        <w:rPr/>
        <w:t>认证、</w:t>
      </w:r>
      <w:r>
        <w:rPr>
          <w:rFonts w:ascii="Times New Roman" w:hAnsi="Times New Roman" w:cs="Times New Roman" w:eastAsia="Times New Roman" w:hint="default"/>
        </w:rPr>
        <w:t>PCI</w:t>
      </w:r>
      <w:r>
        <w:rPr>
          <w:rFonts w:ascii="Times New Roman" w:hAnsi="Times New Roman" w:cs="Times New Roman" w:eastAsia="Times New Roman" w:hint="default"/>
          <w:spacing w:val="14"/>
        </w:rPr>
        <w:t> </w:t>
      </w:r>
      <w:r>
        <w:rPr/>
        <w:t>认证等。同时，公司已针对各项认证规则和要求形成一 系列标准化文件，并将其与公司平台化研发系统相结合，作为产品研发各环节的</w:t>
      </w:r>
      <w:r>
        <w:rPr>
          <w:spacing w:val="-67"/>
        </w:rPr>
        <w:t> </w:t>
      </w:r>
      <w:r>
        <w:rPr>
          <w:spacing w:val="-67"/>
        </w:rPr>
      </w:r>
      <w:r>
        <w:rPr/>
        <w:t>执行标准和开发目标，能够迅速、有效地适应认证标准的变化，维持公司的认证</w:t>
      </w:r>
      <w:r>
        <w:rPr>
          <w:spacing w:val="-67"/>
        </w:rPr>
        <w:t> </w:t>
      </w:r>
      <w:r>
        <w:rPr>
          <w:spacing w:val="-67"/>
        </w:rPr>
      </w:r>
      <w:r>
        <w:rPr/>
        <w:t>优势。</w:t>
      </w:r>
    </w:p>
    <w:p>
      <w:pPr>
        <w:pStyle w:val="Heading6"/>
        <w:spacing w:line="240" w:lineRule="auto" w:before="41"/>
        <w:ind w:right="0"/>
        <w:jc w:val="both"/>
        <w:rPr>
          <w:b w:val="0"/>
          <w:bCs w:val="0"/>
        </w:rPr>
      </w:pPr>
      <w:r>
        <w:rPr/>
        <w:t>（</w:t>
      </w:r>
      <w:r>
        <w:rPr>
          <w:rFonts w:ascii="Times New Roman" w:hAnsi="Times New Roman" w:cs="Times New Roman" w:eastAsia="Times New Roman" w:hint="default"/>
        </w:rPr>
        <w:t>4</w:t>
      </w:r>
      <w:r>
        <w:rPr/>
        <w:t>）质控体系优势</w:t>
      </w:r>
      <w:r>
        <w:rPr>
          <w:b w:val="0"/>
          <w:bCs w:val="0"/>
        </w:rPr>
      </w:r>
    </w:p>
    <w:p>
      <w:pPr>
        <w:pStyle w:val="BodyText"/>
        <w:spacing w:line="345" w:lineRule="auto" w:before="136"/>
        <w:ind w:right="378" w:firstLine="479"/>
        <w:jc w:val="both"/>
      </w:pPr>
      <w:r>
        <w:rPr/>
        <w:t>公司较早通过 </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2000</w:t>
      </w:r>
      <w:r>
        <w:rPr>
          <w:rFonts w:ascii="Times New Roman" w:hAnsi="Times New Roman" w:cs="Times New Roman" w:eastAsia="Times New Roman" w:hint="default"/>
          <w:spacing w:val="-30"/>
        </w:rPr>
        <w:t> </w:t>
      </w:r>
      <w:r>
        <w:rPr/>
        <w:t>质量管理体系认证，并顺利通过后续年度监督</w:t>
      </w:r>
      <w:r>
        <w:rPr>
          <w:w w:val="99"/>
        </w:rPr>
        <w:t> </w:t>
      </w:r>
      <w:r>
        <w:rPr/>
        <w:t>审查和复审。在 </w:t>
      </w:r>
      <w:r>
        <w:rPr>
          <w:rFonts w:ascii="Times New Roman" w:hAnsi="Times New Roman" w:cs="Times New Roman" w:eastAsia="Times New Roman" w:hint="default"/>
        </w:rPr>
        <w:t>ISO</w:t>
      </w:r>
      <w:r>
        <w:rPr>
          <w:rFonts w:ascii="Times New Roman" w:hAnsi="Times New Roman" w:cs="Times New Roman" w:eastAsia="Times New Roman" w:hint="default"/>
          <w:spacing w:val="-28"/>
        </w:rPr>
        <w:t> </w:t>
      </w:r>
      <w:r>
        <w:rPr/>
        <w:t>质量管理体系的基础上，结合自身生产经营特点，公司制定 了系统的质量控制标准，从制度上保证了质控体系的运行效率。鉴于</w:t>
      </w:r>
      <w:r>
        <w:rPr>
          <w:spacing w:val="-69"/>
        </w:rPr>
        <w:t>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终端质 量直接关系到金融安全，公司摒弃了传统的结果控制理念，引入以节点控制为核</w:t>
      </w:r>
      <w:r>
        <w:rPr>
          <w:spacing w:val="-67"/>
        </w:rPr>
        <w:t> </w:t>
      </w:r>
      <w:r>
        <w:rPr>
          <w:spacing w:val="-67"/>
        </w:rPr>
      </w:r>
      <w:r>
        <w:rPr/>
        <w:t>心的全员过程控制流程，通过涵盖研发、采购、生产、客户服务等业务环节的全</w:t>
      </w:r>
      <w:r>
        <w:rPr>
          <w:spacing w:val="-67"/>
        </w:rPr>
        <w:t> </w:t>
      </w:r>
      <w:r>
        <w:rPr>
          <w:spacing w:val="-67"/>
        </w:rPr>
      </w:r>
      <w:r>
        <w:rPr/>
        <w:t>流程节点检测，有效的保证了公司产品质量的管控水平，使产品返修率持续保持</w:t>
      </w:r>
      <w:r>
        <w:rPr>
          <w:spacing w:val="-67"/>
        </w:rPr>
        <w:t> </w:t>
      </w:r>
      <w:r>
        <w:rPr>
          <w:spacing w:val="-67"/>
        </w:rPr>
      </w:r>
      <w:r>
        <w:rPr/>
        <w:t>低位。目前，公司产品的开箱合格率</w:t>
      </w:r>
      <w:r>
        <w:rPr>
          <w:spacing w:val="-80"/>
        </w:rPr>
        <w:t> </w:t>
      </w:r>
      <w:r>
        <w:rPr>
          <w:rFonts w:ascii="Times New Roman" w:hAnsi="Times New Roman" w:cs="Times New Roman" w:eastAsia="Times New Roman" w:hint="default"/>
        </w:rPr>
        <w:t>99.9%</w:t>
      </w:r>
      <w:r>
        <w:rPr/>
        <w:t>，年返修率已维持在</w:t>
      </w:r>
      <w:r>
        <w:rPr>
          <w:spacing w:val="-80"/>
        </w:rPr>
        <w:t> </w:t>
      </w:r>
      <w:r>
        <w:rPr>
          <w:rFonts w:ascii="Times New Roman" w:hAnsi="Times New Roman" w:cs="Times New Roman" w:eastAsia="Times New Roman" w:hint="default"/>
        </w:rPr>
        <w:t>1%</w:t>
      </w:r>
      <w:r>
        <w:rPr/>
        <w:t>以下，达到行 业内产品质量控制的先进水平。</w:t>
      </w:r>
    </w:p>
    <w:p>
      <w:pPr>
        <w:spacing w:after="0" w:line="345" w:lineRule="auto"/>
        <w:jc w:val="both"/>
        <w:sectPr>
          <w:pgSz w:w="11910" w:h="16840"/>
          <w:pgMar w:header="877" w:footer="1267" w:top="1060" w:bottom="1460" w:left="1560" w:right="1360"/>
        </w:sectPr>
      </w:pPr>
    </w:p>
    <w:p>
      <w:pPr>
        <w:spacing w:line="338" w:lineRule="auto" w:before="104"/>
        <w:ind w:left="621" w:right="176"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）产品结构齐全及产品储备优势</w:t>
      </w:r>
      <w:r>
        <w:rPr>
          <w:rFonts w:ascii="宋体" w:hAnsi="宋体" w:cs="宋体" w:eastAsia="宋体" w:hint="default"/>
          <w:b/>
          <w:bCs/>
          <w:w w:val="99"/>
          <w:sz w:val="24"/>
          <w:szCs w:val="24"/>
        </w:rPr>
        <w:t> </w:t>
      </w:r>
      <w:r>
        <w:rPr>
          <w:rFonts w:ascii="宋体" w:hAnsi="宋体" w:cs="宋体" w:eastAsia="宋体" w:hint="default"/>
          <w:sz w:val="24"/>
          <w:szCs w:val="24"/>
        </w:rPr>
        <w:t>目前，公司已研发具备生产一体热敏、一体针打、分体针打、手持无线等全</w:t>
      </w:r>
    </w:p>
    <w:p>
      <w:pPr>
        <w:pStyle w:val="BodyText"/>
        <w:spacing w:line="345" w:lineRule="auto" w:before="55"/>
        <w:ind w:right="299"/>
        <w:jc w:val="both"/>
      </w:pPr>
      <w:r>
        <w:rPr/>
        <w:t>系列</w:t>
      </w:r>
      <w:r>
        <w:rPr>
          <w:spacing w:val="-7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终端及密码键盘等配件。根据对客户和商户需求的分析，公司还将继续 推出具备不同使用体验的新产品开发方案，进一步丰富产品储备。丰富的产品类</w:t>
      </w:r>
      <w:r>
        <w:rPr>
          <w:spacing w:val="-67"/>
        </w:rPr>
        <w:t> </w:t>
      </w:r>
      <w:r>
        <w:rPr>
          <w:spacing w:val="-67"/>
        </w:rPr>
      </w:r>
      <w:r>
        <w:rPr/>
        <w:t>型配合自主研发的多种内置增值软件，使公司在</w:t>
      </w:r>
      <w:r>
        <w:rPr>
          <w:spacing w:val="-70"/>
        </w:rPr>
        <w:t>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终端客户的招标选型过程具 备较强的灵活性和针对性。</w:t>
      </w:r>
    </w:p>
    <w:p>
      <w:pPr>
        <w:pStyle w:val="BodyText"/>
        <w:spacing w:line="348" w:lineRule="auto" w:before="48"/>
        <w:ind w:right="176" w:firstLine="479"/>
        <w:jc w:val="left"/>
      </w:pPr>
      <w:r>
        <w:rPr/>
        <w:t>此外，公司研发的非接触式</w:t>
      </w:r>
      <w:r>
        <w:rPr>
          <w:spacing w:val="-42"/>
        </w:rPr>
        <w:t> </w:t>
      </w:r>
      <w:r>
        <w:rPr>
          <w:rFonts w:ascii="Times New Roman" w:hAnsi="Times New Roman" w:cs="Times New Roman" w:eastAsia="Times New Roman" w:hint="default"/>
        </w:rPr>
        <w:t>POS</w:t>
      </w:r>
      <w:r>
        <w:rPr>
          <w:rFonts w:ascii="Times New Roman" w:hAnsi="Times New Roman" w:cs="Times New Roman" w:eastAsia="Times New Roman" w:hint="default"/>
          <w:spacing w:val="18"/>
        </w:rPr>
        <w:t> </w:t>
      </w:r>
      <w:r>
        <w:rPr/>
        <w:t>终端、基于</w:t>
      </w:r>
      <w:r>
        <w:rPr>
          <w:spacing w:val="-44"/>
        </w:rPr>
        <w:t> </w:t>
      </w:r>
      <w:r>
        <w:rPr>
          <w:rFonts w:ascii="Times New Roman" w:hAnsi="Times New Roman" w:cs="Times New Roman" w:eastAsia="Times New Roman" w:hint="default"/>
        </w:rPr>
        <w:t>2.4G</w:t>
      </w:r>
      <w:r>
        <w:rPr/>
        <w:t>、</w:t>
      </w:r>
      <w:r>
        <w:rPr>
          <w:rFonts w:ascii="Times New Roman" w:hAnsi="Times New Roman" w:cs="Times New Roman" w:eastAsia="Times New Roman" w:hint="default"/>
        </w:rPr>
        <w:t>13.56M</w:t>
      </w:r>
      <w:r>
        <w:rPr>
          <w:rFonts w:ascii="Times New Roman" w:hAnsi="Times New Roman" w:cs="Times New Roman" w:eastAsia="Times New Roman" w:hint="default"/>
          <w:spacing w:val="18"/>
        </w:rPr>
        <w:t> </w:t>
      </w:r>
      <w:r>
        <w:rPr/>
        <w:t>移动卡的电子支 </w:t>
      </w:r>
      <w:r>
        <w:rPr>
          <w:spacing w:val="-2"/>
        </w:rPr>
        <w:t>付受理终端已到达批量生产条件。公司在业务合作过程中完成了针对烟草、电力、</w:t>
      </w:r>
      <w:r>
        <w:rPr>
          <w:spacing w:val="-106"/>
        </w:rPr>
        <w:t> </w:t>
      </w:r>
      <w:r>
        <w:rPr>
          <w:spacing w:val="-106"/>
        </w:rPr>
      </w:r>
      <w:r>
        <w:rPr/>
        <w:t>移动通信、物流等特定行业</w:t>
      </w:r>
      <w:r>
        <w:rPr>
          <w:spacing w:val="-65"/>
        </w:rPr>
        <w:t> </w:t>
      </w:r>
      <w:r>
        <w:rPr>
          <w:rFonts w:ascii="Times New Roman" w:hAnsi="Times New Roman" w:cs="Times New Roman" w:eastAsia="Times New Roman" w:hint="default"/>
        </w:rPr>
        <w:t>POS</w:t>
      </w:r>
      <w:r>
        <w:rPr>
          <w:rFonts w:ascii="Times New Roman" w:hAnsi="Times New Roman" w:cs="Times New Roman" w:eastAsia="Times New Roman" w:hint="default"/>
          <w:spacing w:val="-5"/>
        </w:rPr>
        <w:t> </w:t>
      </w:r>
      <w:r>
        <w:rPr/>
        <w:t>终端产品和相应的支付系统软件的研发，产品结 构将进一步优化，为电子支付行业可能出现的新客户、新市场的需求做好了相应</w:t>
      </w:r>
      <w:r>
        <w:rPr>
          <w:spacing w:val="-67"/>
        </w:rPr>
        <w:t> </w:t>
      </w:r>
      <w:r>
        <w:rPr>
          <w:spacing w:val="-67"/>
        </w:rPr>
      </w:r>
      <w:r>
        <w:rPr/>
        <w:t>准备。</w:t>
      </w:r>
    </w:p>
    <w:p>
      <w:pPr>
        <w:spacing w:line="367" w:lineRule="auto" w:before="46"/>
        <w:ind w:left="621" w:right="139" w:hanging="48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）市场在位优势</w:t>
      </w:r>
      <w:r>
        <w:rPr>
          <w:rFonts w:ascii="宋体" w:hAnsi="宋体" w:cs="宋体" w:eastAsia="宋体" w:hint="default"/>
          <w:b/>
          <w:bCs/>
          <w:w w:val="99"/>
          <w:sz w:val="24"/>
          <w:szCs w:val="24"/>
        </w:rPr>
        <w:t> </w:t>
      </w:r>
      <w:r>
        <w:rPr>
          <w:rFonts w:ascii="宋体" w:hAnsi="宋体" w:cs="宋体" w:eastAsia="宋体" w:hint="default"/>
          <w:sz w:val="24"/>
          <w:szCs w:val="24"/>
        </w:rPr>
        <w:t>电子支付受理终端市场下游客户市场集中度较高，且我国主要收单机构对</w:t>
      </w:r>
      <w:r>
        <w:rPr>
          <w:rFonts w:ascii="Times New Roman" w:hAnsi="Times New Roman" w:cs="Times New Roman" w:eastAsia="Times New Roman" w:hint="default"/>
          <w:sz w:val="24"/>
          <w:szCs w:val="24"/>
        </w:rPr>
        <w:t>POS</w:t>
      </w:r>
    </w:p>
    <w:p>
      <w:pPr>
        <w:pStyle w:val="BodyText"/>
        <w:spacing w:line="357" w:lineRule="auto"/>
        <w:ind w:right="143"/>
        <w:jc w:val="both"/>
      </w:pPr>
      <w:r>
        <w:rPr>
          <w:spacing w:val="-1"/>
        </w:rPr>
        <w:t>终端的选型采购有严格的标准和要求，采购模式主要通过公开招标完成，对于供应</w:t>
      </w:r>
      <w:r>
        <w:rPr>
          <w:spacing w:val="-108"/>
        </w:rPr>
        <w:t> </w:t>
      </w:r>
      <w:r>
        <w:rPr>
          <w:spacing w:val="-108"/>
        </w:rPr>
      </w:r>
      <w:r>
        <w:rPr>
          <w:spacing w:val="-1"/>
        </w:rPr>
        <w:t>商的历史业绩和技术实力有明确要求。经过多年的市场培育和拓展，公司主要产品</w:t>
      </w:r>
      <w:r>
        <w:rPr>
          <w:spacing w:val="-108"/>
        </w:rPr>
        <w:t> </w:t>
      </w:r>
      <w:r>
        <w:rPr>
          <w:spacing w:val="-108"/>
        </w:rPr>
      </w:r>
      <w:r>
        <w:rPr>
          <w:spacing w:val="-1"/>
        </w:rPr>
        <w:t>已经进入中国银联体系、主要商业银行及国内主要社会第三方收单服务机构的采购</w:t>
      </w:r>
      <w:r>
        <w:rPr>
          <w:spacing w:val="-108"/>
        </w:rPr>
        <w:t> </w:t>
      </w:r>
      <w:r>
        <w:rPr>
          <w:spacing w:val="-108"/>
        </w:rPr>
      </w:r>
      <w:r>
        <w:rPr>
          <w:spacing w:val="-1"/>
        </w:rPr>
        <w:t>名单，积累了丰富的客户资源，公司品牌在业内也具有较高的知名度和美誉度，与</w:t>
      </w:r>
      <w:r>
        <w:rPr>
          <w:spacing w:val="-108"/>
        </w:rPr>
        <w:t> </w:t>
      </w:r>
      <w:r>
        <w:rPr>
          <w:spacing w:val="-108"/>
        </w:rPr>
      </w:r>
      <w:r>
        <w:rPr/>
        <w:t>下游客户建立稳定的业务关系，市场在位优势进一步巩固。</w:t>
      </w:r>
    </w:p>
    <w:p>
      <w:pPr>
        <w:spacing w:line="367" w:lineRule="auto" w:before="77"/>
        <w:ind w:left="621" w:right="139"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）制造成本优势</w:t>
      </w:r>
      <w:r>
        <w:rPr>
          <w:rFonts w:ascii="宋体" w:hAnsi="宋体" w:cs="宋体" w:eastAsia="宋体" w:hint="default"/>
          <w:b/>
          <w:bCs/>
          <w:w w:val="99"/>
          <w:sz w:val="24"/>
          <w:szCs w:val="24"/>
        </w:rPr>
        <w:t> </w:t>
      </w:r>
      <w:r>
        <w:rPr>
          <w:rFonts w:ascii="宋体" w:hAnsi="宋体" w:cs="宋体" w:eastAsia="宋体" w:hint="default"/>
          <w:spacing w:val="-1"/>
          <w:sz w:val="24"/>
          <w:szCs w:val="24"/>
        </w:rPr>
        <w:t>公司独特的技术路线选择和研发优势有效降低了产品制造成本。公司模块化研</w:t>
      </w:r>
    </w:p>
    <w:p>
      <w:pPr>
        <w:pStyle w:val="BodyText"/>
        <w:spacing w:line="350" w:lineRule="auto" w:before="24"/>
        <w:ind w:right="143"/>
        <w:jc w:val="both"/>
      </w:pPr>
      <w:r>
        <w:rPr>
          <w:spacing w:val="-1"/>
        </w:rPr>
        <w:t>发架构保证了产品设计方案能够根据市场情况及时调整，通过对产品设计方案灵活</w:t>
      </w:r>
      <w:r>
        <w:rPr>
          <w:spacing w:val="-108"/>
        </w:rPr>
        <w:t> </w:t>
      </w:r>
      <w:r>
        <w:rPr>
          <w:spacing w:val="-108"/>
        </w:rPr>
      </w:r>
      <w:r>
        <w:rPr>
          <w:spacing w:val="-1"/>
        </w:rPr>
        <w:t>升级或更新，能够有效提高产品性能、控制采购成本。同时，公司还积极探索新技</w:t>
      </w:r>
      <w:r>
        <w:rPr>
          <w:spacing w:val="-107"/>
        </w:rPr>
        <w:t> </w:t>
      </w:r>
      <w:r>
        <w:rPr>
          <w:spacing w:val="-107"/>
        </w:rPr>
      </w:r>
      <w:r>
        <w:rPr/>
        <w:t>术的研究和应用，在维持或提升</w:t>
      </w:r>
      <w:r>
        <w:rPr>
          <w:rFonts w:ascii="Times New Roman" w:hAnsi="Times New Roman" w:cs="Times New Roman" w:eastAsia="Times New Roman" w:hint="default"/>
        </w:rPr>
        <w:t>POS</w:t>
      </w:r>
      <w:r>
        <w:rPr/>
        <w:t>终端整体运行效率的前提下，将</w:t>
      </w:r>
      <w:r>
        <w:rPr>
          <w:rFonts w:ascii="Times New Roman" w:hAnsi="Times New Roman" w:cs="Times New Roman" w:eastAsia="Times New Roman" w:hint="default"/>
        </w:rPr>
        <w:t>POS</w:t>
      </w:r>
      <w:r>
        <w:rPr/>
        <w:t>终端部分 硬件模块功能以软件方式实现，进一步降低硬件成本。</w:t>
      </w:r>
    </w:p>
    <w:p>
      <w:pPr>
        <w:spacing w:line="367" w:lineRule="auto" w:before="84"/>
        <w:ind w:left="621" w:right="139"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）综合服务优势</w:t>
      </w:r>
      <w:r>
        <w:rPr>
          <w:rFonts w:ascii="宋体" w:hAnsi="宋体" w:cs="宋体" w:eastAsia="宋体" w:hint="default"/>
          <w:b/>
          <w:bCs/>
          <w:w w:val="99"/>
          <w:sz w:val="24"/>
          <w:szCs w:val="24"/>
        </w:rPr>
        <w:t> </w:t>
      </w:r>
      <w:r>
        <w:rPr>
          <w:rFonts w:ascii="宋体" w:hAnsi="宋体" w:cs="宋体" w:eastAsia="宋体" w:hint="default"/>
          <w:spacing w:val="-1"/>
          <w:sz w:val="24"/>
          <w:szCs w:val="24"/>
        </w:rPr>
        <w:t>公司较早成立了客户服务中心，开通了全国技术支持和售后服务热线，并率先</w:t>
      </w:r>
    </w:p>
    <w:p>
      <w:pPr>
        <w:pStyle w:val="BodyText"/>
        <w:spacing w:line="348" w:lineRule="auto" w:before="26"/>
        <w:ind w:right="122"/>
        <w:jc w:val="both"/>
      </w:pPr>
      <w:r>
        <w:rPr>
          <w:spacing w:val="-1"/>
        </w:rPr>
        <w:t>在全国建立了技术服务体系，组建了覆盖全国</w:t>
      </w:r>
      <w:r>
        <w:rPr>
          <w:rFonts w:ascii="Times New Roman" w:hAnsi="Times New Roman" w:cs="Times New Roman" w:eastAsia="Times New Roman" w:hint="default"/>
          <w:spacing w:val="-1"/>
        </w:rPr>
        <w:t>34</w:t>
      </w:r>
      <w:r>
        <w:rPr>
          <w:spacing w:val="-1"/>
        </w:rPr>
        <w:t>个省级行政区域，共计达</w:t>
      </w:r>
      <w:r>
        <w:rPr>
          <w:rFonts w:ascii="Times New Roman" w:hAnsi="Times New Roman" w:cs="Times New Roman" w:eastAsia="Times New Roman" w:hint="default"/>
          <w:spacing w:val="-1"/>
        </w:rPr>
        <w:t>37</w:t>
      </w:r>
      <w:r>
        <w:rPr>
          <w:spacing w:val="-1"/>
        </w:rPr>
        <w:t>个分支</w:t>
      </w:r>
      <w:r>
        <w:rPr>
          <w:spacing w:val="-106"/>
        </w:rPr>
        <w:t> </w:t>
      </w:r>
      <w:r>
        <w:rPr/>
        <w:t>机构组成的销售服务网络，并设立了专门的增值应用部门，推动增值应用本地化，</w:t>
      </w:r>
      <w:r>
        <w:rPr/>
        <w:t> 以强化对客户和商户需求的反应能力。公司现已建立了较为完善的客户服务体系，</w:t>
      </w:r>
    </w:p>
    <w:p>
      <w:pPr>
        <w:pStyle w:val="BodyText"/>
        <w:spacing w:line="240" w:lineRule="auto" w:before="46"/>
        <w:ind w:right="0"/>
        <w:jc w:val="both"/>
      </w:pPr>
      <w:r>
        <w:rPr/>
        <w:t>具备非现场技术支持和现场技术服务的综合服务能力，具有服务网络覆盖面广和服</w:t>
      </w:r>
    </w:p>
    <w:p>
      <w:pPr>
        <w:spacing w:after="0" w:line="240" w:lineRule="auto"/>
        <w:jc w:val="both"/>
        <w:sectPr>
          <w:pgSz w:w="11910" w:h="16840"/>
          <w:pgMar w:header="877" w:footer="1267" w:top="1060" w:bottom="1460" w:left="1560" w:right="1440"/>
        </w:sectPr>
      </w:pPr>
    </w:p>
    <w:p>
      <w:pPr>
        <w:pStyle w:val="BodyText"/>
        <w:spacing w:line="357" w:lineRule="auto" w:before="104"/>
        <w:ind w:right="146"/>
        <w:jc w:val="both"/>
      </w:pPr>
      <w:r>
        <w:rPr>
          <w:spacing w:val="-1"/>
        </w:rPr>
        <w:t>务响应及时的优势。上述优势为公司强化收单机构基层部门合作关系、巩固和提高</w:t>
      </w:r>
      <w:r>
        <w:rPr>
          <w:spacing w:val="-108"/>
        </w:rPr>
        <w:t> </w:t>
      </w:r>
      <w:r>
        <w:rPr>
          <w:spacing w:val="-108"/>
        </w:rPr>
      </w:r>
      <w:r>
        <w:rPr/>
        <w:t>市场占有率、保持市场竞争力提供了重要保障。</w:t>
      </w:r>
    </w:p>
    <w:p>
      <w:pPr>
        <w:spacing w:line="760" w:lineRule="exact" w:before="8"/>
        <w:ind w:left="621" w:right="139" w:hanging="480"/>
        <w:jc w:val="left"/>
        <w:rPr>
          <w:rFonts w:ascii="宋体" w:hAnsi="宋体" w:cs="宋体" w:eastAsia="宋体" w:hint="default"/>
          <w:sz w:val="24"/>
          <w:szCs w:val="24"/>
        </w:rPr>
      </w:pPr>
      <w:r>
        <w:rPr>
          <w:rFonts w:ascii="宋体" w:hAnsi="宋体" w:cs="宋体" w:eastAsia="宋体" w:hint="default"/>
          <w:b/>
          <w:bCs/>
          <w:sz w:val="24"/>
          <w:szCs w:val="24"/>
        </w:rPr>
        <w:t>（六）报告期内公司研发费用投入情况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公司自成立来一直高度重视研发投入力度，报告期内，公司的研发投入保持了</w:t>
      </w:r>
    </w:p>
    <w:p>
      <w:pPr>
        <w:pStyle w:val="BodyText"/>
        <w:spacing w:line="348" w:lineRule="auto" w:before="35"/>
        <w:ind w:right="144"/>
        <w:jc w:val="both"/>
      </w:pPr>
      <w:r>
        <w:rPr>
          <w:spacing w:val="-1"/>
        </w:rPr>
        <w:t>持续快速增长趋势，增幅与收入规模的增长大体相当，一直都保持在公司营业收入</w:t>
      </w:r>
      <w:r>
        <w:rPr>
          <w:spacing w:val="-107"/>
        </w:rPr>
        <w:t> </w:t>
      </w:r>
      <w:r>
        <w:rPr>
          <w:spacing w:val="-107"/>
        </w:rPr>
      </w:r>
      <w:r>
        <w:rPr>
          <w:spacing w:val="-3"/>
        </w:rPr>
        <w:t>的</w:t>
      </w:r>
      <w:r>
        <w:rPr>
          <w:rFonts w:ascii="Times New Roman" w:hAnsi="Times New Roman" w:cs="Times New Roman" w:eastAsia="Times New Roman" w:hint="default"/>
          <w:spacing w:val="-3"/>
        </w:rPr>
        <w:t>8%</w:t>
      </w:r>
      <w:r>
        <w:rPr>
          <w:spacing w:val="-3"/>
        </w:rPr>
        <w:t>以上，持续的研发投入为公司巩固和进一步提高技术竞争优势提供了有力的物</w:t>
      </w:r>
      <w:r>
        <w:rPr>
          <w:spacing w:val="-115"/>
        </w:rPr>
        <w:t> </w:t>
      </w:r>
      <w:r>
        <w:rPr>
          <w:spacing w:val="-115"/>
        </w:rPr>
      </w:r>
      <w:r>
        <w:rPr/>
        <w:t>质保障。</w:t>
      </w:r>
      <w:r>
        <w:rPr>
          <w:rFonts w:ascii="Times New Roman" w:hAnsi="Times New Roman" w:cs="Times New Roman" w:eastAsia="Times New Roman" w:hint="default"/>
        </w:rPr>
        <w:t>2010</w:t>
      </w:r>
      <w:r>
        <w:rPr/>
        <w:t>年，公司研发费用投入情况如下表：</w:t>
      </w:r>
    </w:p>
    <w:p>
      <w:pPr>
        <w:spacing w:before="82"/>
        <w:ind w:left="0" w:right="144"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r>
        <w:rPr>
          <w:rFonts w:ascii="宋体" w:hAnsi="宋体" w:cs="宋体" w:eastAsia="宋体" w:hint="default"/>
          <w:sz w:val="21"/>
          <w:szCs w:val="21"/>
        </w:rPr>
      </w:r>
    </w:p>
    <w:p>
      <w:pPr>
        <w:spacing w:line="240" w:lineRule="auto" w:before="13"/>
        <w:rPr>
          <w:rFonts w:ascii="宋体" w:hAnsi="宋体" w:cs="宋体" w:eastAsia="宋体" w:hint="default"/>
          <w:sz w:val="12"/>
          <w:szCs w:val="12"/>
        </w:rPr>
      </w:pPr>
    </w:p>
    <w:tbl>
      <w:tblPr>
        <w:tblW w:w="0" w:type="auto"/>
        <w:jc w:val="left"/>
        <w:tblInd w:w="262" w:type="dxa"/>
        <w:tblLayout w:type="fixed"/>
        <w:tblCellMar>
          <w:top w:w="0" w:type="dxa"/>
          <w:left w:w="0" w:type="dxa"/>
          <w:bottom w:w="0" w:type="dxa"/>
          <w:right w:w="0" w:type="dxa"/>
        </w:tblCellMar>
        <w:tblLook w:val="01E0"/>
      </w:tblPr>
      <w:tblGrid>
        <w:gridCol w:w="2132"/>
        <w:gridCol w:w="2129"/>
        <w:gridCol w:w="2132"/>
        <w:gridCol w:w="1976"/>
      </w:tblGrid>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c>
          <w:tcPr>
            <w:tcW w:w="197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研发投入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1"/>
                <w:szCs w:val="21"/>
              </w:rPr>
            </w:pPr>
            <w:r>
              <w:rPr>
                <w:rFonts w:ascii="Times New Roman"/>
                <w:sz w:val="21"/>
              </w:rPr>
              <w:t>1,760.13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689"/>
              <w:jc w:val="right"/>
              <w:rPr>
                <w:rFonts w:ascii="Times New Roman" w:hAnsi="Times New Roman" w:cs="Times New Roman" w:eastAsia="Times New Roman" w:hint="default"/>
                <w:sz w:val="21"/>
                <w:szCs w:val="21"/>
              </w:rPr>
            </w:pPr>
            <w:r>
              <w:rPr>
                <w:rFonts w:ascii="Times New Roman"/>
                <w:spacing w:val="-1"/>
                <w:sz w:val="21"/>
              </w:rPr>
              <w:t>1,425.54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1,139.26</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1"/>
                <w:szCs w:val="21"/>
              </w:rPr>
            </w:pPr>
            <w:r>
              <w:rPr>
                <w:rFonts w:ascii="Times New Roman"/>
                <w:sz w:val="21"/>
              </w:rPr>
              <w:t>20,852.71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636"/>
              <w:jc w:val="right"/>
              <w:rPr>
                <w:rFonts w:ascii="Times New Roman" w:hAnsi="Times New Roman" w:cs="Times New Roman" w:eastAsia="Times New Roman" w:hint="default"/>
                <w:sz w:val="21"/>
                <w:szCs w:val="21"/>
              </w:rPr>
            </w:pPr>
            <w:r>
              <w:rPr>
                <w:rFonts w:ascii="Times New Roman"/>
                <w:spacing w:val="-1"/>
                <w:sz w:val="21"/>
              </w:rPr>
              <w:t>13,973.48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10,788.45</w:t>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占营业收入比例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1"/>
                <w:szCs w:val="21"/>
              </w:rPr>
            </w:pPr>
            <w:r>
              <w:rPr>
                <w:rFonts w:ascii="Times New Roman"/>
                <w:sz w:val="21"/>
              </w:rPr>
              <w:t>8.44%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731"/>
              <w:jc w:val="right"/>
              <w:rPr>
                <w:rFonts w:ascii="Times New Roman" w:hAnsi="Times New Roman" w:cs="Times New Roman" w:eastAsia="Times New Roman" w:hint="default"/>
                <w:sz w:val="21"/>
                <w:szCs w:val="21"/>
              </w:rPr>
            </w:pPr>
            <w:r>
              <w:rPr>
                <w:rFonts w:ascii="Times New Roman"/>
                <w:sz w:val="21"/>
              </w:rPr>
              <w:t>10.20%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10.56%</w:t>
            </w:r>
          </w:p>
        </w:tc>
      </w:tr>
    </w:tbl>
    <w:p>
      <w:pPr>
        <w:spacing w:line="240" w:lineRule="auto" w:before="10"/>
        <w:rPr>
          <w:rFonts w:ascii="宋体" w:hAnsi="宋体" w:cs="宋体" w:eastAsia="宋体" w:hint="default"/>
          <w:sz w:val="23"/>
          <w:szCs w:val="23"/>
        </w:rPr>
      </w:pPr>
    </w:p>
    <w:p>
      <w:pPr>
        <w:pStyle w:val="Heading6"/>
        <w:spacing w:line="240" w:lineRule="auto" w:before="26"/>
        <w:ind w:right="1334"/>
        <w:jc w:val="left"/>
        <w:rPr>
          <w:b w:val="0"/>
          <w:bCs w:val="0"/>
        </w:rPr>
      </w:pPr>
      <w:r>
        <w:rPr/>
        <w:t>（七）报告期公司现金流量变动情况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0"/>
        <w:ind w:left="0" w:right="29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3"/>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2777"/>
        <w:gridCol w:w="2000"/>
        <w:gridCol w:w="1922"/>
        <w:gridCol w:w="1630"/>
      </w:tblGrid>
      <w:tr>
        <w:trPr>
          <w:trHeight w:val="490"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1"/>
              <w:ind w:left="6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1"/>
              <w:ind w:left="6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3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1"/>
              <w:ind w:left="3"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713"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3" w:lineRule="auto" w:before="28"/>
              <w:ind w:left="103" w:right="99"/>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w:t>
            </w:r>
            <w:r>
              <w:rPr>
                <w:rFonts w:ascii="宋体" w:hAnsi="宋体" w:cs="宋体" w:eastAsia="宋体" w:hint="default"/>
                <w:spacing w:val="-91"/>
                <w:sz w:val="21"/>
                <w:szCs w:val="21"/>
              </w:rPr>
              <w:t> </w:t>
            </w:r>
            <w:r>
              <w:rPr>
                <w:rFonts w:ascii="宋体" w:hAnsi="宋体" w:cs="宋体" w:eastAsia="宋体" w:hint="default"/>
                <w:sz w:val="21"/>
                <w:szCs w:val="21"/>
              </w:rPr>
              <w:t>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-3,004,624.04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29,959,944.44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-110.03%</w:t>
            </w:r>
          </w:p>
        </w:tc>
      </w:tr>
      <w:tr>
        <w:trPr>
          <w:trHeight w:val="490"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195,194,353.17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178,501,356.88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sz w:val="21"/>
              </w:rPr>
              <w:t>9.35%</w:t>
            </w:r>
          </w:p>
        </w:tc>
      </w:tr>
      <w:tr>
        <w:trPr>
          <w:trHeight w:val="493"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pacing w:val="-1"/>
                <w:sz w:val="21"/>
              </w:rPr>
              <w:t>198,198,977.21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148,541,412.44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33.43%</w:t>
            </w:r>
          </w:p>
        </w:tc>
      </w:tr>
      <w:tr>
        <w:trPr>
          <w:trHeight w:val="713"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1" w:lineRule="auto" w:before="28"/>
              <w:ind w:left="103" w:right="99"/>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w:t>
            </w:r>
            <w:r>
              <w:rPr>
                <w:rFonts w:ascii="宋体" w:hAnsi="宋体" w:cs="宋体" w:eastAsia="宋体" w:hint="default"/>
                <w:spacing w:val="-91"/>
                <w:sz w:val="21"/>
                <w:szCs w:val="21"/>
              </w:rPr>
              <w:t> </w:t>
            </w:r>
            <w:r>
              <w:rPr>
                <w:rFonts w:ascii="宋体" w:hAnsi="宋体" w:cs="宋体" w:eastAsia="宋体" w:hint="default"/>
                <w:sz w:val="21"/>
                <w:szCs w:val="21"/>
              </w:rPr>
              <w:t>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-1,590,826.50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-14,812,098.94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-89.26%</w:t>
            </w:r>
          </w:p>
        </w:tc>
      </w:tr>
      <w:tr>
        <w:trPr>
          <w:trHeight w:val="490"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000"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2,013,635.56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sz w:val="21"/>
              </w:rPr>
              <w:t>-100.00%</w:t>
            </w:r>
          </w:p>
        </w:tc>
      </w:tr>
      <w:tr>
        <w:trPr>
          <w:trHeight w:val="490"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1,590,826.50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16,825,734.50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sz w:val="21"/>
              </w:rPr>
              <w:t>-90.55%</w:t>
            </w:r>
          </w:p>
        </w:tc>
      </w:tr>
      <w:tr>
        <w:trPr>
          <w:trHeight w:val="715"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1" w:lineRule="auto" w:before="30"/>
              <w:ind w:left="103" w:right="99"/>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w:t>
            </w:r>
            <w:r>
              <w:rPr>
                <w:rFonts w:ascii="宋体" w:hAnsi="宋体" w:cs="宋体" w:eastAsia="宋体" w:hint="default"/>
                <w:spacing w:val="-91"/>
                <w:sz w:val="21"/>
                <w:szCs w:val="21"/>
              </w:rPr>
              <w:t> </w:t>
            </w:r>
            <w:r>
              <w:rPr>
                <w:rFonts w:ascii="宋体" w:hAnsi="宋体" w:cs="宋体" w:eastAsia="宋体" w:hint="default"/>
                <w:sz w:val="21"/>
                <w:szCs w:val="21"/>
              </w:rPr>
              <w:t>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642,810,110.96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-2,618,140.00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24,652.17%</w:t>
            </w:r>
          </w:p>
        </w:tc>
      </w:tr>
      <w:tr>
        <w:trPr>
          <w:trHeight w:val="504"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654,633,450.83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6,881,860.00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9,412.45%</w:t>
            </w:r>
          </w:p>
        </w:tc>
      </w:tr>
      <w:tr>
        <w:trPr>
          <w:trHeight w:val="506" w:hRule="exact"/>
        </w:trPr>
        <w:tc>
          <w:tcPr>
            <w:tcW w:w="277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2"/>
                <w:sz w:val="21"/>
              </w:rPr>
              <w:t>11,823,339.87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9,500,000.00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24.46%</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7" w:top="1060" w:bottom="1460" w:left="1560" w:right="144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3"/>
        <w:gridCol w:w="2777"/>
        <w:gridCol w:w="2000"/>
        <w:gridCol w:w="1922"/>
        <w:gridCol w:w="1630"/>
        <w:gridCol w:w="173"/>
      </w:tblGrid>
      <w:tr>
        <w:trPr>
          <w:trHeight w:val="730" w:hRule="exact"/>
        </w:trPr>
        <w:tc>
          <w:tcPr>
            <w:tcW w:w="173" w:type="dxa"/>
            <w:tcBorders>
              <w:top w:val="single" w:sz="6" w:space="0" w:color="000000"/>
              <w:left w:val="nil" w:sz="6" w:space="0" w:color="auto"/>
              <w:bottom w:val="nil" w:sz="6" w:space="0" w:color="auto"/>
              <w:right w:val="single" w:sz="4" w:space="0" w:color="000000"/>
            </w:tcBorders>
          </w:tcPr>
          <w:p>
            <w:pPr/>
          </w:p>
        </w:tc>
        <w:tc>
          <w:tcPr>
            <w:tcW w:w="2777" w:type="dxa"/>
            <w:tcBorders>
              <w:top w:val="single" w:sz="15" w:space="0" w:color="000000"/>
              <w:left w:val="single" w:sz="4" w:space="0" w:color="000000"/>
              <w:bottom w:val="single" w:sz="4" w:space="0" w:color="000000"/>
              <w:right w:val="single" w:sz="4" w:space="0" w:color="000000"/>
            </w:tcBorders>
            <w:shd w:val="clear" w:color="auto" w:fill="8DB3E1"/>
          </w:tcPr>
          <w:p>
            <w:pPr>
              <w:pStyle w:val="TableParagraph"/>
              <w:spacing w:line="271" w:lineRule="auto" w:before="30"/>
              <w:ind w:left="103" w:right="99"/>
              <w:jc w:val="left"/>
              <w:rPr>
                <w:rFonts w:ascii="宋体" w:hAnsi="宋体" w:cs="宋体" w:eastAsia="宋体" w:hint="default"/>
                <w:sz w:val="21"/>
                <w:szCs w:val="21"/>
              </w:rPr>
            </w:pPr>
            <w:r>
              <w:rPr>
                <w:rFonts w:ascii="宋体" w:hAnsi="宋体" w:cs="宋体" w:eastAsia="宋体" w:hint="default"/>
                <w:spacing w:val="2"/>
                <w:sz w:val="21"/>
                <w:szCs w:val="21"/>
              </w:rPr>
              <w:t>四、现金及现金等价物净增</w:t>
            </w:r>
            <w:r>
              <w:rPr>
                <w:rFonts w:ascii="宋体" w:hAnsi="宋体" w:cs="宋体" w:eastAsia="宋体" w:hint="default"/>
                <w:spacing w:val="-91"/>
                <w:sz w:val="21"/>
                <w:szCs w:val="21"/>
              </w:rPr>
              <w:t> </w:t>
            </w:r>
            <w:r>
              <w:rPr>
                <w:rFonts w:ascii="宋体" w:hAnsi="宋体" w:cs="宋体" w:eastAsia="宋体" w:hint="default"/>
                <w:sz w:val="21"/>
                <w:szCs w:val="21"/>
              </w:rPr>
              <w:t>加额</w:t>
            </w:r>
          </w:p>
        </w:tc>
        <w:tc>
          <w:tcPr>
            <w:tcW w:w="20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638,214,660.42</w:t>
            </w:r>
          </w:p>
        </w:tc>
        <w:tc>
          <w:tcPr>
            <w:tcW w:w="19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2" w:right="0"/>
              <w:jc w:val="left"/>
              <w:rPr>
                <w:rFonts w:ascii="Times New Roman" w:hAnsi="Times New Roman" w:cs="Times New Roman" w:eastAsia="Times New Roman" w:hint="default"/>
                <w:sz w:val="21"/>
                <w:szCs w:val="21"/>
              </w:rPr>
            </w:pPr>
            <w:r>
              <w:rPr>
                <w:rFonts w:ascii="Times New Roman"/>
                <w:sz w:val="21"/>
              </w:rPr>
              <w:t>12,529,705.50</w:t>
            </w:r>
          </w:p>
        </w:tc>
        <w:tc>
          <w:tcPr>
            <w:tcW w:w="16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5" w:right="0"/>
              <w:jc w:val="left"/>
              <w:rPr>
                <w:rFonts w:ascii="Times New Roman" w:hAnsi="Times New Roman" w:cs="Times New Roman" w:eastAsia="Times New Roman" w:hint="default"/>
                <w:sz w:val="21"/>
                <w:szCs w:val="21"/>
              </w:rPr>
            </w:pPr>
            <w:r>
              <w:rPr>
                <w:rFonts w:ascii="Times New Roman"/>
                <w:sz w:val="21"/>
              </w:rPr>
              <w:t>4,993.61%</w:t>
            </w:r>
          </w:p>
        </w:tc>
        <w:tc>
          <w:tcPr>
            <w:tcW w:w="173" w:type="dxa"/>
            <w:tcBorders>
              <w:top w:val="single" w:sz="6" w:space="0" w:color="000000"/>
              <w:left w:val="single" w:sz="4" w:space="0" w:color="000000"/>
              <w:bottom w:val="nil" w:sz="6" w:space="0" w:color="auto"/>
              <w:right w:val="nil" w:sz="6" w:space="0" w:color="auto"/>
            </w:tcBorders>
          </w:tcPr>
          <w:p>
            <w:pPr/>
          </w:p>
        </w:tc>
      </w:tr>
    </w:tbl>
    <w:p>
      <w:pPr>
        <w:spacing w:line="240" w:lineRule="auto" w:before="7"/>
        <w:rPr>
          <w:rFonts w:ascii="宋体" w:hAnsi="宋体" w:cs="宋体" w:eastAsia="宋体" w:hint="default"/>
          <w:sz w:val="23"/>
          <w:szCs w:val="23"/>
        </w:rPr>
      </w:pPr>
    </w:p>
    <w:p>
      <w:pPr>
        <w:pStyle w:val="BodyText"/>
        <w:spacing w:line="415" w:lineRule="auto" w:before="26"/>
        <w:ind w:right="304" w:firstLine="479"/>
        <w:jc w:val="left"/>
      </w:pPr>
      <w:r>
        <w:rPr/>
        <w:t>报告期公司经营现金流量为负数，主要是公司与主要客户使用银行承兑汇票 结算，公司在</w:t>
      </w:r>
      <w:r>
        <w:rPr>
          <w:spacing w:val="-60"/>
        </w:rPr>
        <w:t> </w:t>
      </w:r>
      <w:r>
        <w:rPr>
          <w:rFonts w:ascii="Times New Roman" w:hAnsi="Times New Roman" w:cs="Times New Roman" w:eastAsia="Times New Roman" w:hint="default"/>
        </w:rPr>
        <w:t>2009 </w:t>
      </w:r>
      <w:r>
        <w:rPr/>
        <w:t>年末将大部分应收票据进行贴现获得经营性现金，报告期末，</w:t>
      </w:r>
    </w:p>
    <w:p>
      <w:pPr>
        <w:pStyle w:val="BodyText"/>
        <w:spacing w:line="240" w:lineRule="auto" w:before="13"/>
        <w:ind w:right="219"/>
        <w:jc w:val="left"/>
        <w:rPr>
          <w:rFonts w:ascii="宋体" w:hAnsi="宋体" w:cs="宋体" w:eastAsia="宋体" w:hint="default"/>
        </w:rPr>
      </w:pPr>
      <w:r>
        <w:rPr/>
        <w:t>公司资金充足，应收票据余额为</w:t>
      </w:r>
      <w:r>
        <w:rPr>
          <w:spacing w:val="-61"/>
        </w:rPr>
        <w:t> </w:t>
      </w:r>
      <w:r>
        <w:rPr>
          <w:rFonts w:ascii="Times New Roman" w:hAnsi="Times New Roman" w:cs="Times New Roman" w:eastAsia="Times New Roman" w:hint="default"/>
        </w:rPr>
        <w:t>2,941</w:t>
      </w:r>
      <w:r>
        <w:rPr>
          <w:rFonts w:ascii="Times New Roman" w:hAnsi="Times New Roman" w:cs="Times New Roman" w:eastAsia="Times New Roman" w:hint="default"/>
          <w:spacing w:val="-1"/>
        </w:rPr>
        <w:t> </w:t>
      </w:r>
      <w:r>
        <w:rPr/>
        <w:t>万元未进行贴现</w:t>
      </w:r>
      <w:r>
        <w:rPr>
          <w:rFonts w:ascii="宋体" w:hAnsi="宋体" w:cs="宋体" w:eastAsia="宋体" w:hint="default"/>
          <w:b/>
          <w:bCs/>
        </w:rPr>
        <w:t>。</w:t>
      </w:r>
      <w:r>
        <w:rPr>
          <w:rFonts w:ascii="宋体" w:hAnsi="宋体" w:cs="宋体" w:eastAsia="宋体" w:hint="default"/>
        </w:rPr>
      </w:r>
    </w:p>
    <w:p>
      <w:pPr>
        <w:spacing w:line="240" w:lineRule="auto" w:before="11"/>
        <w:rPr>
          <w:rFonts w:ascii="宋体" w:hAnsi="宋体" w:cs="宋体" w:eastAsia="宋体" w:hint="default"/>
          <w:b/>
          <w:bCs/>
          <w:sz w:val="35"/>
          <w:szCs w:val="35"/>
        </w:rPr>
      </w:pPr>
    </w:p>
    <w:p>
      <w:pPr>
        <w:spacing w:line="580" w:lineRule="auto" w:before="0"/>
        <w:ind w:left="621" w:right="1145" w:hanging="480"/>
        <w:jc w:val="left"/>
        <w:rPr>
          <w:rFonts w:ascii="宋体" w:hAnsi="宋体" w:cs="宋体" w:eastAsia="宋体" w:hint="default"/>
          <w:sz w:val="24"/>
          <w:szCs w:val="24"/>
        </w:rPr>
      </w:pPr>
      <w:r>
        <w:rPr>
          <w:rFonts w:ascii="宋体" w:hAnsi="宋体" w:cs="宋体" w:eastAsia="宋体" w:hint="default"/>
          <w:b/>
          <w:bCs/>
          <w:sz w:val="24"/>
          <w:szCs w:val="24"/>
        </w:rPr>
        <w:t>（八）公司主要子公司及参股公司的经营情况及业绩分析</w:t>
      </w:r>
      <w:r>
        <w:rPr>
          <w:rFonts w:ascii="宋体" w:hAnsi="宋体" w:cs="宋体" w:eastAsia="宋体" w:hint="default"/>
          <w:b/>
          <w:bCs/>
          <w:w w:val="99"/>
          <w:sz w:val="24"/>
          <w:szCs w:val="24"/>
        </w:rPr>
        <w:t> </w:t>
      </w:r>
      <w:r>
        <w:rPr>
          <w:rFonts w:ascii="宋体" w:hAnsi="宋体" w:cs="宋体" w:eastAsia="宋体" w:hint="default"/>
          <w:sz w:val="24"/>
          <w:szCs w:val="24"/>
        </w:rPr>
        <w:t>报告期内，公司控股子公司均纳入合并范围，子公司经营情况如下：</w:t>
      </w:r>
    </w:p>
    <w:p>
      <w:pPr>
        <w:pStyle w:val="Heading6"/>
        <w:spacing w:line="240" w:lineRule="auto" w:before="106"/>
        <w:ind w:right="219"/>
        <w:jc w:val="left"/>
        <w:rPr>
          <w:b w:val="0"/>
          <w:bCs w:val="0"/>
        </w:rPr>
      </w:pPr>
      <w:r>
        <w:rPr>
          <w:rFonts w:ascii="Times New Roman" w:hAnsi="Times New Roman" w:cs="Times New Roman" w:eastAsia="Times New Roman" w:hint="default"/>
        </w:rPr>
        <w:t>1</w:t>
      </w:r>
      <w:r>
        <w:rPr/>
        <w:t>、深圳市新国都软件技术有限公司</w:t>
      </w:r>
      <w:r>
        <w:rPr>
          <w:spacing w:val="-3"/>
        </w:rPr>
        <w:t> </w:t>
      </w:r>
      <w:r>
        <w:rPr/>
        <w:t>（以下简称</w:t>
      </w:r>
      <w:r>
        <w:rPr>
          <w:rFonts w:ascii="Times New Roman" w:hAnsi="Times New Roman" w:cs="Times New Roman" w:eastAsia="Times New Roman" w:hint="default"/>
        </w:rPr>
        <w:t>“</w:t>
      </w:r>
      <w:r>
        <w:rPr/>
        <w:t>新国都软件</w:t>
      </w:r>
      <w:r>
        <w:rPr>
          <w:rFonts w:ascii="Times New Roman" w:hAnsi="Times New Roman" w:cs="Times New Roman" w:eastAsia="Times New Roman" w:hint="default"/>
        </w:rPr>
        <w:t>”</w:t>
      </w:r>
      <w:r>
        <w:rPr/>
        <w:t>）</w:t>
      </w:r>
      <w:r>
        <w:rPr>
          <w:b w:val="0"/>
          <w:bCs w:val="0"/>
        </w:rPr>
      </w:r>
    </w:p>
    <w:p>
      <w:pPr>
        <w:spacing w:line="240" w:lineRule="auto" w:before="4"/>
        <w:rPr>
          <w:rFonts w:ascii="宋体" w:hAnsi="宋体" w:cs="宋体" w:eastAsia="宋体" w:hint="default"/>
          <w:b/>
          <w:bCs/>
          <w:sz w:val="33"/>
          <w:szCs w:val="33"/>
        </w:rPr>
      </w:pPr>
    </w:p>
    <w:p>
      <w:pPr>
        <w:pStyle w:val="BodyText"/>
        <w:spacing w:line="348" w:lineRule="auto"/>
        <w:ind w:right="100" w:firstLine="479"/>
        <w:jc w:val="left"/>
      </w:pPr>
      <w:r>
        <w:rPr>
          <w:spacing w:val="-4"/>
        </w:rPr>
        <w:t>成立日期：</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27</w:t>
      </w:r>
      <w:r>
        <w:rPr>
          <w:spacing w:val="-4"/>
        </w:rPr>
        <w:t>日，现注册资本</w:t>
      </w:r>
      <w:r>
        <w:rPr>
          <w:rFonts w:ascii="Times New Roman" w:hAnsi="Times New Roman" w:cs="Times New Roman" w:eastAsia="Times New Roman" w:hint="default"/>
          <w:spacing w:val="-4"/>
        </w:rPr>
        <w:t>1000</w:t>
      </w:r>
      <w:r>
        <w:rPr>
          <w:spacing w:val="-4"/>
        </w:rPr>
        <w:t>万元人民币，是公司全资子公司，</w:t>
      </w:r>
      <w:r>
        <w:rPr/>
        <w:t> 经营范围是：软件技术开发和销售，软件技术咨询，计算机系统集成，目前主要为 母公司提供产品软件和增值应用软件的支撑服务。</w:t>
      </w:r>
    </w:p>
    <w:p>
      <w:pPr>
        <w:pStyle w:val="BodyText"/>
        <w:spacing w:line="338" w:lineRule="auto" w:before="84"/>
        <w:ind w:right="88" w:firstLine="479"/>
        <w:jc w:val="left"/>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日，新国都软件总资产</w:t>
      </w:r>
      <w:r>
        <w:rPr>
          <w:rFonts w:ascii="Times New Roman" w:hAnsi="Times New Roman" w:cs="Times New Roman" w:eastAsia="Times New Roman" w:hint="default"/>
        </w:rPr>
        <w:t>7,084.50</w:t>
      </w:r>
      <w:r>
        <w:rPr/>
        <w:t>万元，净资产</w:t>
      </w:r>
      <w:r>
        <w:rPr>
          <w:rFonts w:ascii="Times New Roman" w:hAnsi="Times New Roman" w:cs="Times New Roman" w:eastAsia="Times New Roman" w:hint="default"/>
        </w:rPr>
        <w:t>6,744.21</w:t>
      </w:r>
      <w:r>
        <w:rPr>
          <w:rFonts w:ascii="Times New Roman" w:hAnsi="Times New Roman" w:cs="Times New Roman" w:eastAsia="Times New Roman" w:hint="default"/>
          <w:spacing w:val="37"/>
        </w:rPr>
        <w:t> </w:t>
      </w:r>
      <w:r>
        <w:rPr/>
        <w:t>万元， </w:t>
      </w:r>
      <w:r>
        <w:rPr>
          <w:spacing w:val="-3"/>
        </w:rPr>
        <w:t>分别增长</w:t>
      </w:r>
      <w:r>
        <w:rPr>
          <w:rFonts w:ascii="Times New Roman" w:hAnsi="Times New Roman" w:cs="Times New Roman" w:eastAsia="Times New Roman" w:hint="default"/>
          <w:spacing w:val="-3"/>
        </w:rPr>
        <w:t>77.69%</w:t>
      </w:r>
      <w:r>
        <w:rPr>
          <w:spacing w:val="-3"/>
        </w:rPr>
        <w:t>、</w:t>
      </w:r>
      <w:r>
        <w:rPr>
          <w:rFonts w:ascii="Times New Roman" w:hAnsi="Times New Roman" w:cs="Times New Roman" w:eastAsia="Times New Roman" w:hint="default"/>
          <w:spacing w:val="-3"/>
        </w:rPr>
        <w:t>78.79 %</w:t>
      </w:r>
      <w:r>
        <w:rPr>
          <w:spacing w:val="-3"/>
        </w:rPr>
        <w:t>。</w:t>
      </w:r>
      <w:r>
        <w:rPr>
          <w:rFonts w:ascii="Times New Roman" w:hAnsi="Times New Roman" w:cs="Times New Roman" w:eastAsia="Times New Roman" w:hint="default"/>
          <w:spacing w:val="-3"/>
        </w:rPr>
        <w:t>2010</w:t>
      </w:r>
      <w:r>
        <w:rPr>
          <w:spacing w:val="-3"/>
        </w:rPr>
        <w:t>年度实现营业收入</w:t>
      </w:r>
      <w:r>
        <w:rPr>
          <w:rFonts w:ascii="Times New Roman" w:hAnsi="Times New Roman" w:cs="Times New Roman" w:eastAsia="Times New Roman" w:hint="default"/>
          <w:spacing w:val="-3"/>
        </w:rPr>
        <w:t>4,068.49</w:t>
      </w:r>
      <w:r>
        <w:rPr>
          <w:spacing w:val="-3"/>
        </w:rPr>
        <w:t>万元，营业利润</w:t>
      </w:r>
      <w:r>
        <w:rPr>
          <w:rFonts w:ascii="Times New Roman" w:hAnsi="Times New Roman" w:cs="Times New Roman" w:eastAsia="Times New Roman" w:hint="default"/>
          <w:spacing w:val="-3"/>
        </w:rPr>
        <w:t>2,760.58</w:t>
      </w:r>
      <w:r>
        <w:rPr>
          <w:rFonts w:ascii="Times New Roman" w:hAnsi="Times New Roman" w:cs="Times New Roman" w:eastAsia="Times New Roman" w:hint="default"/>
          <w:spacing w:val="-24"/>
        </w:rPr>
        <w:t> </w:t>
      </w:r>
      <w:r>
        <w:rPr/>
        <w:t>万元，净利润</w:t>
      </w:r>
      <w:r>
        <w:rPr>
          <w:rFonts w:ascii="Times New Roman" w:hAnsi="Times New Roman" w:cs="Times New Roman" w:eastAsia="Times New Roman" w:hint="default"/>
        </w:rPr>
        <w:t>2,972.03</w:t>
      </w:r>
      <w:r>
        <w:rPr/>
        <w:t>万元，比去年同期相比分别增长</w:t>
      </w:r>
      <w:r>
        <w:rPr>
          <w:rFonts w:ascii="Times New Roman" w:hAnsi="Times New Roman" w:cs="Times New Roman" w:eastAsia="Times New Roman" w:hint="default"/>
        </w:rPr>
        <w:t>47.74%</w:t>
      </w:r>
      <w:r>
        <w:rPr/>
        <w:t>、</w:t>
      </w:r>
      <w:r>
        <w:rPr>
          <w:rFonts w:ascii="Times New Roman" w:hAnsi="Times New Roman" w:cs="Times New Roman" w:eastAsia="Times New Roman" w:hint="default"/>
        </w:rPr>
        <w:t>16.50%</w:t>
      </w:r>
      <w:r>
        <w:rPr/>
        <w:t>、</w:t>
      </w:r>
      <w:r>
        <w:rPr>
          <w:rFonts w:ascii="Times New Roman" w:hAnsi="Times New Roman" w:cs="Times New Roman" w:eastAsia="Times New Roman" w:hint="default"/>
        </w:rPr>
        <w:t>7.09%</w:t>
      </w:r>
      <w:r>
        <w:rPr/>
        <w:t>。</w:t>
      </w:r>
    </w:p>
    <w:p>
      <w:pPr>
        <w:pStyle w:val="BodyText"/>
        <w:spacing w:line="345" w:lineRule="auto" w:before="67"/>
        <w:ind w:right="223" w:firstLine="479"/>
        <w:jc w:val="both"/>
      </w:pPr>
      <w:r>
        <w:rPr>
          <w:spacing w:val="-1"/>
        </w:rPr>
        <w:t>母公司新国都股份是新国都软件主要客户，新国都软件是母公司唯一的软件产</w:t>
      </w:r>
      <w:r>
        <w:rPr/>
        <w:t> </w:t>
      </w:r>
      <w:r>
        <w:rPr>
          <w:spacing w:val="-3"/>
        </w:rPr>
        <w:t>品供应商，</w:t>
      </w:r>
      <w:r>
        <w:rPr>
          <w:rFonts w:ascii="Times New Roman" w:hAnsi="Times New Roman" w:cs="Times New Roman" w:eastAsia="Times New Roman" w:hint="default"/>
          <w:spacing w:val="-3"/>
        </w:rPr>
        <w:t>2010</w:t>
      </w:r>
      <w:r>
        <w:rPr>
          <w:spacing w:val="-3"/>
        </w:rPr>
        <w:t>年母公司销售增长了</w:t>
      </w:r>
      <w:r>
        <w:rPr>
          <w:rFonts w:ascii="Times New Roman" w:hAnsi="Times New Roman" w:cs="Times New Roman" w:eastAsia="Times New Roman" w:hint="default"/>
          <w:spacing w:val="-3"/>
        </w:rPr>
        <w:t>49.23</w:t>
      </w:r>
      <w:r>
        <w:rPr>
          <w:spacing w:val="-3"/>
        </w:rPr>
        <w:t>％，因此，新国都软件的营业收入随之同</w:t>
      </w:r>
      <w:r>
        <w:rPr>
          <w:spacing w:val="-81"/>
        </w:rPr>
        <w:t> </w:t>
      </w:r>
      <w:r>
        <w:rPr>
          <w:spacing w:val="-81"/>
        </w:rPr>
      </w:r>
      <w:r>
        <w:rPr>
          <w:spacing w:val="-3"/>
        </w:rPr>
        <w:t>步增长</w:t>
      </w:r>
      <w:r>
        <w:rPr>
          <w:rFonts w:ascii="Times New Roman" w:hAnsi="Times New Roman" w:cs="Times New Roman" w:eastAsia="Times New Roman" w:hint="default"/>
          <w:spacing w:val="-3"/>
        </w:rPr>
        <w:t>47.74</w:t>
      </w:r>
      <w:r>
        <w:rPr>
          <w:spacing w:val="-3"/>
        </w:rPr>
        <w:t>％。同时，软件公司加大研发投入和客户现场增值应用服务，费用比去</w:t>
      </w:r>
      <w:r>
        <w:rPr>
          <w:spacing w:val="-89"/>
        </w:rPr>
        <w:t> </w:t>
      </w:r>
      <w:r>
        <w:rPr>
          <w:spacing w:val="-89"/>
        </w:rPr>
      </w:r>
      <w:r>
        <w:rPr/>
        <w:t>年同期大幅增长，致净利虽有增长，但增幅小于营业收入的增长率。</w:t>
      </w:r>
    </w:p>
    <w:p>
      <w:pPr>
        <w:spacing w:line="766" w:lineRule="exact" w:before="9"/>
        <w:ind w:left="621" w:right="30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、广州市新国都信息科技有限公司（以下简称</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广州新国都</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日，注册资本：</w:t>
      </w:r>
      <w:r>
        <w:rPr>
          <w:rFonts w:ascii="Times New Roman" w:hAnsi="Times New Roman" w:cs="Times New Roman" w:eastAsia="Times New Roman" w:hint="default"/>
          <w:sz w:val="24"/>
          <w:szCs w:val="24"/>
        </w:rPr>
        <w:t>300</w:t>
      </w:r>
      <w:r>
        <w:rPr>
          <w:rFonts w:ascii="宋体" w:hAnsi="宋体" w:cs="宋体" w:eastAsia="宋体" w:hint="default"/>
          <w:sz w:val="24"/>
          <w:szCs w:val="24"/>
        </w:rPr>
        <w:t>万元，是公司全资子公司，计算机</w:t>
      </w:r>
    </w:p>
    <w:p>
      <w:pPr>
        <w:pStyle w:val="BodyText"/>
        <w:spacing w:line="348" w:lineRule="auto" w:before="34"/>
        <w:ind w:right="226"/>
        <w:jc w:val="both"/>
      </w:pPr>
      <w:r>
        <w:rPr>
          <w:spacing w:val="-1"/>
        </w:rPr>
        <w:t>软件、智能设备的研究、开发、销售、技术咨询、技术服务；计算机系统集成技术</w:t>
      </w:r>
      <w:r>
        <w:rPr>
          <w:spacing w:val="-110"/>
        </w:rPr>
        <w:t> </w:t>
      </w:r>
      <w:r>
        <w:rPr>
          <w:spacing w:val="-110"/>
        </w:rPr>
      </w:r>
      <w:r>
        <w:rPr/>
        <w:t>服务。广州新国都将主要开展募集资金投资项目</w:t>
      </w:r>
      <w:r>
        <w:rPr>
          <w:rFonts w:ascii="Times New Roman" w:hAnsi="Times New Roman" w:cs="Times New Roman" w:eastAsia="Times New Roman" w:hint="default"/>
        </w:rPr>
        <w:t>“</w:t>
      </w:r>
      <w:r>
        <w:rPr/>
        <w:t>电子支付终端设备运营项目</w:t>
      </w:r>
      <w:r>
        <w:rPr>
          <w:rFonts w:ascii="Times New Roman" w:hAnsi="Times New Roman" w:cs="Times New Roman" w:eastAsia="Times New Roman" w:hint="default"/>
        </w:rPr>
        <w:t>”</w:t>
      </w:r>
      <w:r>
        <w:rPr/>
        <w:t>中的 广州羊城通小额支付合作运营业务。</w:t>
      </w:r>
    </w:p>
    <w:p>
      <w:pPr>
        <w:pStyle w:val="BodyText"/>
        <w:spacing w:line="240" w:lineRule="auto" w:before="86"/>
        <w:ind w:left="621" w:right="0"/>
        <w:jc w:val="left"/>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日，广州新国都总资产为</w:t>
      </w:r>
      <w:r>
        <w:rPr>
          <w:rFonts w:ascii="Times New Roman" w:hAnsi="Times New Roman" w:cs="Times New Roman" w:eastAsia="Times New Roman" w:hint="default"/>
        </w:rPr>
        <w:t>244.78</w:t>
      </w:r>
      <w:r>
        <w:rPr/>
        <w:t>万元，净资产为</w:t>
      </w:r>
      <w:r>
        <w:rPr>
          <w:rFonts w:ascii="Times New Roman" w:hAnsi="Times New Roman" w:cs="Times New Roman" w:eastAsia="Times New Roman" w:hint="default"/>
        </w:rPr>
        <w:t>230.36</w:t>
      </w:r>
      <w:r>
        <w:rPr/>
        <w:t>万元，</w:t>
      </w:r>
    </w:p>
    <w:p>
      <w:pPr>
        <w:pStyle w:val="BodyText"/>
        <w:spacing w:line="240" w:lineRule="auto" w:before="136"/>
        <w:ind w:right="219"/>
        <w:jc w:val="left"/>
      </w:pPr>
      <w:r>
        <w:rPr>
          <w:rFonts w:ascii="Times New Roman" w:hAnsi="Times New Roman" w:cs="Times New Roman" w:eastAsia="Times New Roman" w:hint="default"/>
        </w:rPr>
        <w:t>2010</w:t>
      </w:r>
      <w:r>
        <w:rPr/>
        <w:t>年度实现营业收入</w:t>
      </w:r>
      <w:r>
        <w:rPr>
          <w:rFonts w:ascii="Times New Roman" w:hAnsi="Times New Roman" w:cs="Times New Roman" w:eastAsia="Times New Roman" w:hint="default"/>
        </w:rPr>
        <w:t>1.33</w:t>
      </w:r>
      <w:r>
        <w:rPr/>
        <w:t>万元，净利润</w:t>
      </w:r>
      <w:r>
        <w:rPr>
          <w:rFonts w:ascii="Times New Roman" w:hAnsi="Times New Roman" w:cs="Times New Roman" w:eastAsia="Times New Roman" w:hint="default"/>
        </w:rPr>
        <w:t>-49.51</w:t>
      </w:r>
      <w:r>
        <w:rPr/>
        <w:t>万元。</w:t>
      </w:r>
    </w:p>
    <w:p>
      <w:pPr>
        <w:spacing w:after="0" w:line="240" w:lineRule="auto"/>
        <w:jc w:val="left"/>
        <w:sectPr>
          <w:pgSz w:w="11910" w:h="16840"/>
          <w:pgMar w:header="877" w:footer="1267" w:top="1060" w:bottom="1460" w:left="1560" w:right="136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before="59"/>
        <w:ind w:right="219"/>
        <w:jc w:val="left"/>
        <w:rPr>
          <w:b w:val="0"/>
          <w:bCs w:val="0"/>
        </w:rPr>
      </w:pPr>
      <w:r>
        <w:rPr>
          <w:rFonts w:ascii="Times New Roman" w:hAnsi="Times New Roman" w:cs="Times New Roman" w:eastAsia="Times New Roman" w:hint="default"/>
        </w:rPr>
        <w:t>3</w:t>
      </w:r>
      <w:r>
        <w:rPr/>
        <w:t>、南京市新国都技术有限公司（以下简称</w:t>
      </w:r>
      <w:r>
        <w:rPr>
          <w:rFonts w:ascii="Times New Roman" w:hAnsi="Times New Roman" w:cs="Times New Roman" w:eastAsia="Times New Roman" w:hint="default"/>
        </w:rPr>
        <w:t>“</w:t>
      </w:r>
      <w:r>
        <w:rPr/>
        <w:t>南京新国都</w:t>
      </w:r>
      <w:r>
        <w:rPr>
          <w:rFonts w:ascii="Times New Roman" w:hAnsi="Times New Roman" w:cs="Times New Roman" w:eastAsia="Times New Roman" w:hint="default"/>
        </w:rPr>
        <w:t>”</w:t>
      </w:r>
      <w:r>
        <w:rPr/>
        <w:t>）</w:t>
      </w:r>
      <w:r>
        <w:rPr>
          <w:b w:val="0"/>
          <w:bCs w:val="0"/>
        </w:rPr>
      </w:r>
    </w:p>
    <w:p>
      <w:pPr>
        <w:spacing w:line="240" w:lineRule="auto" w:before="4"/>
        <w:rPr>
          <w:rFonts w:ascii="宋体" w:hAnsi="宋体" w:cs="宋体" w:eastAsia="宋体" w:hint="default"/>
          <w:b/>
          <w:bCs/>
          <w:sz w:val="33"/>
          <w:szCs w:val="33"/>
        </w:rPr>
      </w:pPr>
    </w:p>
    <w:p>
      <w:pPr>
        <w:pStyle w:val="BodyText"/>
        <w:spacing w:line="348" w:lineRule="auto"/>
        <w:ind w:right="92" w:firstLine="479"/>
        <w:jc w:val="left"/>
      </w:pPr>
      <w:r>
        <w:rPr/>
        <w:t>成立日期：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日，注册资本：</w:t>
      </w:r>
      <w:r>
        <w:rPr>
          <w:rFonts w:ascii="Times New Roman" w:hAnsi="Times New Roman" w:cs="Times New Roman" w:eastAsia="Times New Roman" w:hint="default"/>
        </w:rPr>
        <w:t>1300</w:t>
      </w:r>
      <w:r>
        <w:rPr/>
        <w:t>万元，系公司全资子公司。经营 </w:t>
      </w:r>
      <w:r>
        <w:rPr>
          <w:spacing w:val="-4"/>
        </w:rPr>
        <w:t>范围是：软件技术开发与销售、技术咨询和服务；计算机系统集成；投资咨询服务；</w:t>
      </w:r>
      <w:r>
        <w:rPr>
          <w:spacing w:val="-117"/>
        </w:rPr>
        <w:t> </w:t>
      </w:r>
      <w:r>
        <w:rPr>
          <w:spacing w:val="-117"/>
        </w:rPr>
      </w:r>
      <w:r>
        <w:rPr/>
        <w:t>计算机产品及电子产品的技术开发、生产、销售、租赁及技术服务，目前作为公司</w:t>
      </w:r>
      <w:r>
        <w:rPr/>
        <w:t> 募集资金投资项目之一</w:t>
      </w:r>
      <w:r>
        <w:rPr>
          <w:rFonts w:ascii="Times New Roman" w:hAnsi="Times New Roman" w:cs="Times New Roman" w:eastAsia="Times New Roman" w:hint="default"/>
        </w:rPr>
        <w:t>“</w:t>
      </w:r>
      <w:r>
        <w:rPr/>
        <w:t>电子支付技术产研基地项目</w:t>
      </w:r>
      <w:r>
        <w:rPr>
          <w:rFonts w:ascii="Times New Roman" w:hAnsi="Times New Roman" w:cs="Times New Roman" w:eastAsia="Times New Roman" w:hint="default"/>
        </w:rPr>
        <w:t>”</w:t>
      </w:r>
      <w:r>
        <w:rPr/>
        <w:t>的投资和运营主体，截至报告 期内，尚未开展经营活动。</w:t>
      </w:r>
    </w:p>
    <w:p>
      <w:pPr>
        <w:pStyle w:val="BodyText"/>
        <w:spacing w:line="338" w:lineRule="auto" w:before="86"/>
        <w:ind w:right="200" w:firstLine="479"/>
        <w:jc w:val="left"/>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日，南京新国都总资产</w:t>
      </w:r>
      <w:r>
        <w:rPr>
          <w:rFonts w:ascii="Times New Roman" w:hAnsi="Times New Roman" w:cs="Times New Roman" w:eastAsia="Times New Roman" w:hint="default"/>
        </w:rPr>
        <w:t>1,330.31</w:t>
      </w:r>
      <w:r>
        <w:rPr/>
        <w:t>万元，净资产</w:t>
      </w:r>
      <w:r>
        <w:rPr>
          <w:rFonts w:ascii="Times New Roman" w:hAnsi="Times New Roman" w:cs="Times New Roman" w:eastAsia="Times New Roman" w:hint="default"/>
        </w:rPr>
        <w:t>1,163.55</w:t>
      </w:r>
      <w:r>
        <w:rPr/>
        <w:t>万元， 营业收入为</w:t>
      </w:r>
      <w:r>
        <w:rPr>
          <w:rFonts w:ascii="Times New Roman" w:hAnsi="Times New Roman" w:cs="Times New Roman" w:eastAsia="Times New Roman" w:hint="default"/>
        </w:rPr>
        <w:t>0</w:t>
      </w:r>
      <w:r>
        <w:rPr/>
        <w:t>，净利润为</w:t>
      </w:r>
      <w:r>
        <w:rPr>
          <w:rFonts w:ascii="Times New Roman" w:hAnsi="Times New Roman" w:cs="Times New Roman" w:eastAsia="Times New Roman" w:hint="default"/>
        </w:rPr>
        <w:t>-99.37</w:t>
      </w:r>
      <w:r>
        <w:rPr/>
        <w:t>万元。</w:t>
      </w:r>
    </w:p>
    <w:p>
      <w:pPr>
        <w:spacing w:line="240" w:lineRule="auto" w:before="3"/>
        <w:rPr>
          <w:rFonts w:ascii="宋体" w:hAnsi="宋体" w:cs="宋体" w:eastAsia="宋体" w:hint="default"/>
          <w:sz w:val="24"/>
          <w:szCs w:val="24"/>
        </w:rPr>
      </w:pPr>
    </w:p>
    <w:p>
      <w:pPr>
        <w:pStyle w:val="Heading6"/>
        <w:spacing w:line="240" w:lineRule="auto"/>
        <w:ind w:right="219"/>
        <w:jc w:val="left"/>
        <w:rPr>
          <w:b w:val="0"/>
          <w:bCs w:val="0"/>
        </w:rPr>
      </w:pPr>
      <w:r>
        <w:rPr>
          <w:rFonts w:ascii="Times New Roman" w:hAnsi="Times New Roman" w:cs="Times New Roman" w:eastAsia="Times New Roman" w:hint="default"/>
        </w:rPr>
        <w:t>4</w:t>
      </w:r>
      <w:r>
        <w:rPr/>
        <w:t>、肇庆市好易联网络有限公司（以下简称</w:t>
      </w:r>
      <w:r>
        <w:rPr>
          <w:rFonts w:ascii="Times New Roman" w:hAnsi="Times New Roman" w:cs="Times New Roman" w:eastAsia="Times New Roman" w:hint="default"/>
        </w:rPr>
        <w:t>“</w:t>
      </w:r>
      <w:r>
        <w:rPr/>
        <w:t>肇庆银联网络</w:t>
      </w:r>
      <w:r>
        <w:rPr>
          <w:rFonts w:ascii="Times New Roman" w:hAnsi="Times New Roman" w:cs="Times New Roman" w:eastAsia="Times New Roman" w:hint="default"/>
        </w:rPr>
        <w:t>”</w:t>
      </w:r>
      <w:r>
        <w:rPr/>
        <w:t>）</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right="239" w:firstLine="479"/>
        <w:jc w:val="both"/>
      </w:pPr>
      <w:r>
        <w:rPr/>
        <w:t>成立日期：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日，注册资本：</w:t>
      </w:r>
      <w:r>
        <w:rPr>
          <w:rFonts w:ascii="Times New Roman" w:hAnsi="Times New Roman" w:cs="Times New Roman" w:eastAsia="Times New Roman" w:hint="default"/>
        </w:rPr>
        <w:t>300</w:t>
      </w:r>
      <w:r>
        <w:rPr/>
        <w:t>万元，公司持股</w:t>
      </w:r>
      <w:r>
        <w:rPr>
          <w:rFonts w:ascii="Times New Roman" w:hAnsi="Times New Roman" w:cs="Times New Roman" w:eastAsia="Times New Roman" w:hint="default"/>
        </w:rPr>
        <w:t>49%</w:t>
      </w:r>
      <w:r>
        <w:rPr/>
        <w:t>，是公司参股 子公司，经营范围是：为特约商户提供金融</w:t>
      </w:r>
      <w:r>
        <w:rPr>
          <w:rFonts w:ascii="Times New Roman" w:hAnsi="Times New Roman" w:cs="Times New Roman" w:eastAsia="Times New Roman" w:hint="default"/>
        </w:rPr>
        <w:t>POS</w:t>
      </w:r>
      <w:r>
        <w:rPr/>
        <w:t>终端技术维护服务，其主要客户为 广州市银联网络支付有限公司和各商业银行。</w:t>
      </w:r>
    </w:p>
    <w:p>
      <w:pPr>
        <w:pStyle w:val="BodyText"/>
        <w:spacing w:line="338" w:lineRule="auto" w:before="94"/>
        <w:ind w:right="217" w:firstLine="479"/>
        <w:jc w:val="left"/>
      </w:pPr>
      <w:r>
        <w:rPr>
          <w:spacing w:val="-2"/>
        </w:rPr>
        <w:t>截止</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日，肇庆好易联总资产</w:t>
      </w:r>
      <w:r>
        <w:rPr>
          <w:rFonts w:ascii="Times New Roman" w:hAnsi="Times New Roman" w:cs="Times New Roman" w:eastAsia="Times New Roman" w:hint="default"/>
          <w:spacing w:val="-2"/>
        </w:rPr>
        <w:t>1,044.61</w:t>
      </w:r>
      <w:r>
        <w:rPr>
          <w:spacing w:val="-2"/>
        </w:rPr>
        <w:t>万元，净资产</w:t>
      </w:r>
      <w:r>
        <w:rPr>
          <w:rFonts w:ascii="Times New Roman" w:hAnsi="Times New Roman" w:cs="Times New Roman" w:eastAsia="Times New Roman" w:hint="default"/>
          <w:spacing w:val="-2"/>
        </w:rPr>
        <w:t>542.49</w:t>
      </w:r>
      <w:r>
        <w:rPr>
          <w:spacing w:val="-2"/>
        </w:rPr>
        <w:t>万元，营</w:t>
      </w:r>
      <w:r>
        <w:rPr/>
        <w:t> 业收入为</w:t>
      </w:r>
      <w:r>
        <w:rPr>
          <w:rFonts w:ascii="Times New Roman" w:hAnsi="Times New Roman" w:cs="Times New Roman" w:eastAsia="Times New Roman" w:hint="default"/>
        </w:rPr>
        <w:t>755.99</w:t>
      </w:r>
      <w:r>
        <w:rPr/>
        <w:t>万元，净利润为</w:t>
      </w:r>
      <w:r>
        <w:rPr>
          <w:rFonts w:ascii="Times New Roman" w:hAnsi="Times New Roman" w:cs="Times New Roman" w:eastAsia="Times New Roman" w:hint="default"/>
        </w:rPr>
        <w:t>120.48</w:t>
      </w:r>
      <w:r>
        <w:rPr/>
        <w:t>万元。</w:t>
      </w:r>
    </w:p>
    <w:p>
      <w:pPr>
        <w:spacing w:line="240" w:lineRule="auto" w:before="13"/>
        <w:rPr>
          <w:rFonts w:ascii="宋体" w:hAnsi="宋体" w:cs="宋体" w:eastAsia="宋体" w:hint="default"/>
          <w:sz w:val="24"/>
          <w:szCs w:val="24"/>
        </w:rPr>
      </w:pPr>
    </w:p>
    <w:p>
      <w:pPr>
        <w:spacing w:line="580" w:lineRule="auto" w:before="0"/>
        <w:ind w:left="621" w:right="2585" w:hanging="480"/>
        <w:jc w:val="left"/>
        <w:rPr>
          <w:rFonts w:ascii="宋体" w:hAnsi="宋体" w:cs="宋体" w:eastAsia="宋体" w:hint="default"/>
          <w:sz w:val="24"/>
          <w:szCs w:val="24"/>
        </w:rPr>
      </w:pPr>
      <w:r>
        <w:rPr>
          <w:rFonts w:ascii="宋体" w:hAnsi="宋体" w:cs="宋体" w:eastAsia="宋体" w:hint="default"/>
          <w:b/>
          <w:bCs/>
          <w:sz w:val="24"/>
          <w:szCs w:val="24"/>
        </w:rPr>
        <w:t>（九）公司控制的特殊目的主体情况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公司未设立特殊目的公司，也无控制的特殊目的公司。</w:t>
      </w:r>
    </w:p>
    <w:p>
      <w:pPr>
        <w:pStyle w:val="Heading6"/>
        <w:spacing w:line="240" w:lineRule="auto" w:before="113"/>
        <w:ind w:right="219"/>
        <w:jc w:val="left"/>
        <w:rPr>
          <w:b w:val="0"/>
          <w:bCs w:val="0"/>
        </w:rPr>
      </w:pPr>
      <w:r>
        <w:rPr/>
        <w:t>二、对公司未来发展的展望</w:t>
      </w:r>
      <w:r>
        <w:rPr>
          <w:b w:val="0"/>
          <w:bCs w:val="0"/>
        </w:rPr>
      </w:r>
    </w:p>
    <w:p>
      <w:pPr>
        <w:spacing w:line="780" w:lineRule="atLeast" w:before="19"/>
        <w:ind w:left="621" w:right="225" w:hanging="480"/>
        <w:jc w:val="left"/>
        <w:rPr>
          <w:rFonts w:ascii="宋体" w:hAnsi="宋体" w:cs="宋体" w:eastAsia="宋体" w:hint="default"/>
          <w:sz w:val="24"/>
          <w:szCs w:val="24"/>
        </w:rPr>
      </w:pPr>
      <w:r>
        <w:rPr>
          <w:rFonts w:ascii="宋体" w:hAnsi="宋体" w:cs="宋体" w:eastAsia="宋体" w:hint="default"/>
          <w:b/>
          <w:bCs/>
          <w:sz w:val="24"/>
          <w:szCs w:val="24"/>
        </w:rPr>
        <w:t>（一）公司所处行业的发展趋势</w:t>
      </w:r>
      <w:r>
        <w:rPr>
          <w:rFonts w:ascii="宋体" w:hAnsi="宋体" w:cs="宋体" w:eastAsia="宋体" w:hint="default"/>
          <w:b/>
          <w:bCs/>
          <w:w w:val="99"/>
          <w:sz w:val="24"/>
          <w:szCs w:val="24"/>
        </w:rPr>
        <w:t> </w:t>
      </w:r>
      <w:r>
        <w:rPr>
          <w:rFonts w:ascii="宋体" w:hAnsi="宋体" w:cs="宋体" w:eastAsia="宋体" w:hint="default"/>
          <w:sz w:val="24"/>
          <w:szCs w:val="24"/>
        </w:rPr>
        <w:t>公司所从事的电子支付设备和技术服务，是以金融</w:t>
      </w:r>
      <w:r>
        <w:rPr>
          <w:rFonts w:ascii="Times New Roman" w:hAnsi="Times New Roman" w:cs="Times New Roman" w:eastAsia="Times New Roman" w:hint="default"/>
          <w:sz w:val="24"/>
          <w:szCs w:val="24"/>
        </w:rPr>
        <w:t>POS</w:t>
      </w:r>
      <w:r>
        <w:rPr>
          <w:rFonts w:ascii="宋体" w:hAnsi="宋体" w:cs="宋体" w:eastAsia="宋体" w:hint="default"/>
          <w:sz w:val="24"/>
          <w:szCs w:val="24"/>
        </w:rPr>
        <w:t>机为技术服务载体，通</w:t>
      </w:r>
    </w:p>
    <w:p>
      <w:pPr>
        <w:pStyle w:val="BodyText"/>
        <w:spacing w:line="357" w:lineRule="auto" w:before="135"/>
        <w:ind w:right="222"/>
        <w:jc w:val="both"/>
      </w:pPr>
      <w:r>
        <w:rPr>
          <w:spacing w:val="-1"/>
        </w:rPr>
        <w:t>过软件、硬件技术方式为商业银行、中国银联、行业客户、社会第三方收单服务机</w:t>
      </w:r>
      <w:r>
        <w:rPr>
          <w:spacing w:val="-107"/>
        </w:rPr>
        <w:t> </w:t>
      </w:r>
      <w:r>
        <w:rPr>
          <w:spacing w:val="-107"/>
        </w:rPr>
      </w:r>
      <w:r>
        <w:rPr>
          <w:spacing w:val="-1"/>
        </w:rPr>
        <w:t>构等客户提供支付指令的技术处理服务，从而协助客户实现资金管理、资金转移的</w:t>
      </w:r>
      <w:r>
        <w:rPr>
          <w:spacing w:val="-108"/>
        </w:rPr>
        <w:t> </w:t>
      </w:r>
      <w:r>
        <w:rPr>
          <w:spacing w:val="-108"/>
        </w:rPr>
      </w:r>
      <w:r>
        <w:rPr>
          <w:spacing w:val="-1"/>
        </w:rPr>
        <w:t>目的，并结合客户和终端商户的企业管理、流程管理、内部控制、业务模式等个性</w:t>
      </w:r>
      <w:r>
        <w:rPr>
          <w:spacing w:val="-108"/>
        </w:rPr>
        <w:t> </w:t>
      </w:r>
      <w:r>
        <w:rPr>
          <w:spacing w:val="-108"/>
        </w:rPr>
      </w:r>
      <w:r>
        <w:rPr/>
        <w:t>化的需求，为客户和终端商户提供个性化、定制化的增值应用技术服务方案。</w:t>
      </w:r>
    </w:p>
    <w:p>
      <w:pPr>
        <w:pStyle w:val="BodyText"/>
        <w:spacing w:line="240" w:lineRule="auto" w:before="77"/>
        <w:ind w:right="100" w:firstLine="479"/>
        <w:jc w:val="left"/>
      </w:pPr>
      <w:r>
        <w:rPr/>
        <w:t>公司所在行业的上游是电子产品供应商，行业下游是以银联、商业银行为代表</w:t>
      </w:r>
    </w:p>
    <w:p>
      <w:pPr>
        <w:pStyle w:val="BodyText"/>
        <w:spacing w:line="240" w:lineRule="auto" w:before="154"/>
        <w:ind w:right="100"/>
        <w:jc w:val="left"/>
      </w:pPr>
      <w:r>
        <w:rPr/>
        <w:t>的收单机构。目前珠三角的电子产品制造业非常发达，且市场竞争充分，公司产品</w:t>
      </w:r>
    </w:p>
    <w:p>
      <w:pPr>
        <w:spacing w:after="0" w:line="240" w:lineRule="auto"/>
        <w:jc w:val="left"/>
        <w:sectPr>
          <w:pgSz w:w="11910" w:h="16840"/>
          <w:pgMar w:header="877" w:footer="1267" w:top="1060" w:bottom="1460" w:left="1560" w:right="1360"/>
        </w:sectPr>
      </w:pPr>
    </w:p>
    <w:p>
      <w:pPr>
        <w:pStyle w:val="BodyText"/>
        <w:spacing w:line="350" w:lineRule="auto" w:before="104"/>
        <w:ind w:right="98"/>
        <w:jc w:val="left"/>
      </w:pPr>
      <w:r>
        <w:rPr/>
        <w:t>设计方案不涉及特殊电子产品的采购，故在此不再详细介绍。由于报告期内公司的 客户主要集中在国内，以银联、商业银行为代表的收单机构是我国银行卡的发行机 </w:t>
      </w:r>
      <w:r>
        <w:rPr>
          <w:spacing w:val="-3"/>
          <w:w w:val="99"/>
        </w:rPr>
        <w:t>构和行业技术规范制定机构，金融</w:t>
      </w:r>
      <w:r>
        <w:rPr>
          <w:rFonts w:ascii="Times New Roman" w:hAnsi="Times New Roman" w:cs="Times New Roman" w:eastAsia="Times New Roman" w:hint="default"/>
          <w:spacing w:val="-3"/>
          <w:w w:val="99"/>
        </w:rPr>
        <w:t>POS</w:t>
      </w:r>
      <w:r>
        <w:rPr>
          <w:spacing w:val="-3"/>
          <w:w w:val="99"/>
        </w:rPr>
        <w:t>机目前作为主要受理银行卡的支付受理终端，</w:t>
      </w:r>
      <w:r>
        <w:rPr>
          <w:spacing w:val="-113"/>
          <w:w w:val="99"/>
        </w:rPr>
        <w:t> </w:t>
      </w:r>
      <w:r>
        <w:rPr>
          <w:spacing w:val="-113"/>
          <w:w w:val="99"/>
        </w:rPr>
      </w:r>
      <w:r>
        <w:rPr/>
        <w:t>银行卡市场的发展对公司经营有着至关重要的影响。</w:t>
      </w:r>
    </w:p>
    <w:p>
      <w:pPr>
        <w:spacing w:line="240" w:lineRule="auto" w:before="9"/>
        <w:rPr>
          <w:rFonts w:ascii="宋体" w:hAnsi="宋体" w:cs="宋体" w:eastAsia="宋体" w:hint="default"/>
          <w:sz w:val="25"/>
          <w:szCs w:val="25"/>
        </w:rPr>
      </w:pPr>
    </w:p>
    <w:p>
      <w:pPr>
        <w:pStyle w:val="Heading6"/>
        <w:spacing w:line="240" w:lineRule="auto"/>
        <w:ind w:right="219"/>
        <w:jc w:val="left"/>
        <w:rPr>
          <w:b w:val="0"/>
          <w:bCs w:val="0"/>
        </w:rPr>
      </w:pPr>
      <w:r>
        <w:rPr>
          <w:rFonts w:ascii="Times New Roman" w:hAnsi="Times New Roman" w:cs="Times New Roman" w:eastAsia="Times New Roman" w:hint="default"/>
        </w:rPr>
        <w:t>1</w:t>
      </w:r>
      <w:r>
        <w:rPr/>
        <w:t>、我国银行卡市场发展情况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right="210" w:firstLine="482"/>
        <w:jc w:val="left"/>
      </w:pPr>
      <w:r>
        <w:rPr/>
        <w:t>根据中国人民银行《</w:t>
      </w:r>
      <w:r>
        <w:rPr>
          <w:rFonts w:ascii="Times New Roman" w:hAnsi="Times New Roman" w:cs="Times New Roman" w:eastAsia="Times New Roman" w:hint="default"/>
        </w:rPr>
        <w:t>2010 </w:t>
      </w:r>
      <w:r>
        <w:rPr/>
        <w:t>年支付体系运行总体情况》显示，</w:t>
      </w:r>
      <w:r>
        <w:rPr>
          <w:rFonts w:ascii="Times New Roman" w:hAnsi="Times New Roman" w:cs="Times New Roman" w:eastAsia="Times New Roman" w:hint="default"/>
        </w:rPr>
        <w:t>2010</w:t>
      </w:r>
      <w:r>
        <w:rPr/>
        <w:t>年，我国银 </w:t>
      </w:r>
      <w:r>
        <w:rPr>
          <w:spacing w:val="-3"/>
        </w:rPr>
        <w:t>行卡发卡量继续稳定增长，截至</w:t>
      </w:r>
      <w:r>
        <w:rPr>
          <w:rFonts w:ascii="Times New Roman" w:hAnsi="Times New Roman" w:cs="Times New Roman" w:eastAsia="Times New Roman" w:hint="default"/>
          <w:spacing w:val="-3"/>
        </w:rPr>
        <w:t>2010</w:t>
      </w:r>
      <w:r>
        <w:rPr>
          <w:spacing w:val="-3"/>
        </w:rPr>
        <w:t>年末，全国累计发行银行卡</w:t>
      </w:r>
      <w:r>
        <w:rPr>
          <w:rFonts w:ascii="Times New Roman" w:hAnsi="Times New Roman" w:cs="Times New Roman" w:eastAsia="Times New Roman" w:hint="default"/>
          <w:spacing w:val="-3"/>
        </w:rPr>
        <w:t>24.15</w:t>
      </w:r>
      <w:r>
        <w:rPr>
          <w:spacing w:val="-3"/>
        </w:rPr>
        <w:t>亿张，同比增</w:t>
      </w:r>
      <w:r>
        <w:rPr>
          <w:spacing w:val="-82"/>
        </w:rPr>
        <w:t> </w:t>
      </w:r>
      <w:r>
        <w:rPr>
          <w:spacing w:val="-82"/>
        </w:rPr>
      </w:r>
      <w:r>
        <w:rPr/>
        <w:t>长</w:t>
      </w:r>
      <w:r>
        <w:rPr>
          <w:rFonts w:ascii="Times New Roman" w:hAnsi="Times New Roman" w:cs="Times New Roman" w:eastAsia="Times New Roman" w:hint="default"/>
        </w:rPr>
        <w:t>16.9%</w:t>
      </w:r>
      <w:r>
        <w:rPr/>
        <w:t>，增速较上年同期加快</w:t>
      </w:r>
      <w:r>
        <w:rPr>
          <w:rFonts w:ascii="Times New Roman" w:hAnsi="Times New Roman" w:cs="Times New Roman" w:eastAsia="Times New Roman" w:hint="default"/>
        </w:rPr>
        <w:t>2.2</w:t>
      </w:r>
      <w:r>
        <w:rPr/>
        <w:t>个百分点，全国银行卡人均拥有量</w:t>
      </w:r>
      <w:r>
        <w:rPr>
          <w:rFonts w:ascii="Times New Roman" w:hAnsi="Times New Roman" w:cs="Times New Roman" w:eastAsia="Times New Roman" w:hint="default"/>
        </w:rPr>
        <w:t>1.81</w:t>
      </w:r>
      <w:r>
        <w:rPr/>
        <w:t>张，其中 </w:t>
      </w:r>
      <w:r>
        <w:rPr>
          <w:spacing w:val="-2"/>
        </w:rPr>
        <w:t>北京、上海等地信用卡人均拥有量较大，分别为</w:t>
      </w:r>
      <w:r>
        <w:rPr>
          <w:rFonts w:ascii="Times New Roman" w:hAnsi="Times New Roman" w:cs="Times New Roman" w:eastAsia="Times New Roman" w:hint="default"/>
          <w:spacing w:val="-2"/>
        </w:rPr>
        <w:t>1.17</w:t>
      </w:r>
      <w:r>
        <w:rPr>
          <w:spacing w:val="-2"/>
        </w:rPr>
        <w:t>张、</w:t>
      </w:r>
      <w:r>
        <w:rPr>
          <w:rFonts w:ascii="Times New Roman" w:hAnsi="Times New Roman" w:cs="Times New Roman" w:eastAsia="Times New Roman" w:hint="default"/>
          <w:spacing w:val="-2"/>
        </w:rPr>
        <w:t>1.06</w:t>
      </w:r>
      <w:r>
        <w:rPr>
          <w:spacing w:val="-2"/>
        </w:rPr>
        <w:t>张，远高于</w:t>
      </w:r>
      <w:r>
        <w:rPr>
          <w:rFonts w:ascii="Times New Roman" w:hAnsi="Times New Roman" w:cs="Times New Roman" w:eastAsia="Times New Roman" w:hint="default"/>
          <w:spacing w:val="-2"/>
        </w:rPr>
        <w:t>0.17</w:t>
      </w:r>
      <w:r>
        <w:rPr>
          <w:spacing w:val="-2"/>
        </w:rPr>
        <w:t>张的全</w:t>
      </w:r>
      <w:r>
        <w:rPr/>
        <w:t> </w:t>
      </w:r>
      <w:r>
        <w:rPr>
          <w:spacing w:val="-3"/>
        </w:rPr>
        <w:t>国人均信用卡拥有量。截至</w:t>
      </w:r>
      <w:r>
        <w:rPr>
          <w:rFonts w:ascii="Times New Roman" w:hAnsi="Times New Roman" w:cs="Times New Roman" w:eastAsia="Times New Roman" w:hint="default"/>
          <w:spacing w:val="-3"/>
        </w:rPr>
        <w:t>2010</w:t>
      </w:r>
      <w:r>
        <w:rPr>
          <w:spacing w:val="-3"/>
        </w:rPr>
        <w:t>年末，银行卡跨行支付系统联网商户</w:t>
      </w:r>
      <w:r>
        <w:rPr>
          <w:rFonts w:ascii="Times New Roman" w:hAnsi="Times New Roman" w:cs="Times New Roman" w:eastAsia="Times New Roman" w:hint="default"/>
          <w:spacing w:val="-3"/>
        </w:rPr>
        <w:t>218.3</w:t>
      </w:r>
      <w:r>
        <w:rPr>
          <w:spacing w:val="-3"/>
        </w:rPr>
        <w:t>万户，联</w:t>
      </w:r>
      <w:r>
        <w:rPr>
          <w:spacing w:val="-82"/>
        </w:rPr>
        <w:t> </w:t>
      </w:r>
      <w:r>
        <w:rPr>
          <w:spacing w:val="-82"/>
        </w:rPr>
      </w:r>
      <w:r>
        <w:rPr/>
        <w:t>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333.4</w:t>
      </w:r>
      <w:r>
        <w:rPr/>
        <w:t>万台，较</w:t>
      </w:r>
      <w:r>
        <w:rPr>
          <w:rFonts w:ascii="Times New Roman" w:hAnsi="Times New Roman" w:cs="Times New Roman" w:eastAsia="Times New Roman" w:hint="default"/>
        </w:rPr>
        <w:t>2009</w:t>
      </w:r>
      <w:r>
        <w:rPr/>
        <w:t>年末分别增加</w:t>
      </w:r>
      <w:r>
        <w:rPr>
          <w:rFonts w:ascii="Times New Roman" w:hAnsi="Times New Roman" w:cs="Times New Roman" w:eastAsia="Times New Roman" w:hint="default"/>
        </w:rPr>
        <w:t>61.65</w:t>
      </w:r>
      <w:r>
        <w:rPr/>
        <w:t>万户、</w:t>
      </w:r>
      <w:r>
        <w:rPr>
          <w:rFonts w:ascii="Times New Roman" w:hAnsi="Times New Roman" w:cs="Times New Roman" w:eastAsia="Times New Roman" w:hint="default"/>
        </w:rPr>
        <w:t>92.57</w:t>
      </w:r>
      <w:r>
        <w:rPr/>
        <w:t>万台。我国每台</w:t>
      </w:r>
      <w:r>
        <w:rPr>
          <w:rFonts w:ascii="Times New Roman" w:hAnsi="Times New Roman" w:cs="Times New Roman" w:eastAsia="Times New Roman" w:hint="default"/>
        </w:rPr>
        <w:t>POS</w:t>
      </w:r>
      <w:r>
        <w:rPr>
          <w:rFonts w:ascii="Times New Roman" w:hAnsi="Times New Roman" w:cs="Times New Roman" w:eastAsia="Times New Roman" w:hint="default"/>
          <w:w w:val="99"/>
        </w:rPr>
        <w:t> </w:t>
      </w:r>
      <w:r>
        <w:rPr/>
        <w:t>对应的银行卡数量为</w:t>
      </w:r>
      <w:r>
        <w:rPr>
          <w:rFonts w:ascii="Times New Roman" w:hAnsi="Times New Roman" w:cs="Times New Roman" w:eastAsia="Times New Roman" w:hint="default"/>
        </w:rPr>
        <w:t>724</w:t>
      </w:r>
      <w:r>
        <w:rPr/>
        <w:t>张，同比减少</w:t>
      </w:r>
      <w:r>
        <w:rPr>
          <w:rFonts w:ascii="Times New Roman" w:hAnsi="Times New Roman" w:cs="Times New Roman" w:eastAsia="Times New Roman" w:hint="default"/>
        </w:rPr>
        <w:t>15.6%</w:t>
      </w:r>
      <w:r>
        <w:rPr/>
        <w:t>。</w:t>
      </w:r>
    </w:p>
    <w:p>
      <w:pPr>
        <w:pStyle w:val="BodyText"/>
        <w:spacing w:line="343" w:lineRule="auto" w:before="27"/>
        <w:ind w:right="216" w:firstLine="482"/>
        <w:jc w:val="left"/>
      </w:pPr>
      <w:r>
        <w:rPr>
          <w:spacing w:val="-1"/>
        </w:rPr>
        <w:t>随着银行卡受理环境的不断改善，人们用卡越来越方便，社会公众持卡用卡意</w:t>
      </w:r>
      <w:r>
        <w:rPr/>
        <w:t> </w:t>
      </w:r>
      <w:r>
        <w:rPr>
          <w:spacing w:val="-3"/>
        </w:rPr>
        <w:t>识不断增强，银行卡消费呈现快速增长态势。</w:t>
      </w:r>
      <w:r>
        <w:rPr>
          <w:rFonts w:ascii="Times New Roman" w:hAnsi="Times New Roman" w:cs="Times New Roman" w:eastAsia="Times New Roman" w:hint="default"/>
          <w:spacing w:val="-3"/>
        </w:rPr>
        <w:t>2010</w:t>
      </w:r>
      <w:r>
        <w:rPr>
          <w:spacing w:val="-3"/>
        </w:rPr>
        <w:t>年，银行卡消费</w:t>
      </w:r>
      <w:r>
        <w:rPr>
          <w:rFonts w:ascii="Times New Roman" w:hAnsi="Times New Roman" w:cs="Times New Roman" w:eastAsia="Times New Roman" w:hint="default"/>
          <w:spacing w:val="-3"/>
        </w:rPr>
        <w:t>48.49</w:t>
      </w:r>
      <w:r>
        <w:rPr>
          <w:spacing w:val="-3"/>
        </w:rPr>
        <w:t>亿笔，金额</w:t>
      </w:r>
      <w:r>
        <w:rPr>
          <w:spacing w:val="-84"/>
        </w:rPr>
        <w:t> </w:t>
      </w:r>
      <w:r>
        <w:rPr>
          <w:spacing w:val="-84"/>
        </w:rPr>
      </w:r>
      <w:r>
        <w:rPr>
          <w:rFonts w:ascii="Times New Roman" w:hAnsi="Times New Roman" w:cs="Times New Roman" w:eastAsia="Times New Roman" w:hint="default"/>
        </w:rPr>
        <w:t>10.43</w:t>
      </w:r>
      <w:r>
        <w:rPr/>
        <w:t>万亿元，同比分别增长</w:t>
      </w:r>
      <w:r>
        <w:rPr>
          <w:rFonts w:ascii="Times New Roman" w:hAnsi="Times New Roman" w:cs="Times New Roman" w:eastAsia="Times New Roman" w:hint="default"/>
        </w:rPr>
        <w:t>38.9%</w:t>
      </w:r>
      <w:r>
        <w:rPr/>
        <w:t>和</w:t>
      </w:r>
      <w:r>
        <w:rPr>
          <w:rFonts w:ascii="Times New Roman" w:hAnsi="Times New Roman" w:cs="Times New Roman" w:eastAsia="Times New Roman" w:hint="default"/>
        </w:rPr>
        <w:t>52.0%</w:t>
      </w:r>
      <w:r>
        <w:rPr/>
        <w:t>，全国银行卡卡均消费金额</w:t>
      </w:r>
      <w:r>
        <w:rPr>
          <w:rFonts w:ascii="Times New Roman" w:hAnsi="Times New Roman" w:cs="Times New Roman" w:eastAsia="Times New Roman" w:hint="default"/>
        </w:rPr>
        <w:t>4318</w:t>
      </w:r>
      <w:r>
        <w:rPr/>
        <w:t>元，笔 均消费金额</w:t>
      </w:r>
      <w:r>
        <w:rPr>
          <w:rFonts w:ascii="Times New Roman" w:hAnsi="Times New Roman" w:cs="Times New Roman" w:eastAsia="Times New Roman" w:hint="default"/>
        </w:rPr>
        <w:t>2151</w:t>
      </w:r>
      <w:r>
        <w:rPr/>
        <w:t>元，与</w:t>
      </w:r>
      <w:r>
        <w:rPr>
          <w:rFonts w:ascii="Times New Roman" w:hAnsi="Times New Roman" w:cs="Times New Roman" w:eastAsia="Times New Roman" w:hint="default"/>
        </w:rPr>
        <w:t>2009</w:t>
      </w:r>
      <w:r>
        <w:rPr/>
        <w:t>年相比分别增长</w:t>
      </w:r>
      <w:r>
        <w:rPr>
          <w:rFonts w:ascii="Times New Roman" w:hAnsi="Times New Roman" w:cs="Times New Roman" w:eastAsia="Times New Roman" w:hint="default"/>
        </w:rPr>
        <w:t>30.0%</w:t>
      </w:r>
      <w:r>
        <w:rPr/>
        <w:t>和</w:t>
      </w:r>
      <w:r>
        <w:rPr>
          <w:rFonts w:ascii="Times New Roman" w:hAnsi="Times New Roman" w:cs="Times New Roman" w:eastAsia="Times New Roman" w:hint="default"/>
        </w:rPr>
        <w:t>9.5%</w:t>
      </w:r>
      <w:r>
        <w:rPr/>
        <w:t>。银行卡作为我国居民使 用的最广泛的非现金支付工具，银行卡渗透率已达到</w:t>
      </w:r>
      <w:r>
        <w:rPr>
          <w:rFonts w:ascii="Times New Roman" w:hAnsi="Times New Roman" w:cs="Times New Roman" w:eastAsia="Times New Roman" w:hint="default"/>
        </w:rPr>
        <w:t>35.1%</w:t>
      </w:r>
      <w:r>
        <w:rPr/>
        <w:t>，比</w:t>
      </w:r>
      <w:r>
        <w:rPr>
          <w:rFonts w:ascii="Times New Roman" w:hAnsi="Times New Roman" w:cs="Times New Roman" w:eastAsia="Times New Roman" w:hint="default"/>
        </w:rPr>
        <w:t>2009</w:t>
      </w:r>
      <w:r>
        <w:rPr/>
        <w:t>年提高</w:t>
      </w:r>
      <w:r>
        <w:rPr>
          <w:rFonts w:ascii="Times New Roman" w:hAnsi="Times New Roman" w:cs="Times New Roman" w:eastAsia="Times New Roman" w:hint="default"/>
        </w:rPr>
        <w:t>3.1</w:t>
      </w:r>
      <w:r>
        <w:rPr/>
        <w:t>个百 分点，银行卡消费对推动社会消费品零售市场的发展发挥了积极作用。</w:t>
      </w:r>
    </w:p>
    <w:p>
      <w:pPr>
        <w:pStyle w:val="BodyText"/>
        <w:spacing w:line="345" w:lineRule="auto" w:before="50"/>
        <w:ind w:right="222" w:firstLine="482"/>
        <w:jc w:val="both"/>
      </w:pPr>
      <w:r>
        <w:rPr>
          <w:spacing w:val="-1"/>
        </w:rPr>
        <w:t>尽管我国银行卡和受理市场都取得了长足进步，但与银行卡市场相对成熟的国</w:t>
      </w:r>
      <w:r>
        <w:rPr/>
        <w:t> </w:t>
      </w:r>
      <w:r>
        <w:rPr>
          <w:spacing w:val="-1"/>
        </w:rPr>
        <w:t>家和地区相比，我国受理市场发展的整体水平仍相对落后。根据《中国银行卡产业</w:t>
      </w:r>
      <w:r>
        <w:rPr>
          <w:spacing w:val="-108"/>
        </w:rPr>
        <w:t> </w:t>
      </w:r>
      <w:r>
        <w:rPr>
          <w:spacing w:val="-108"/>
        </w:rPr>
      </w:r>
      <w:r>
        <w:rPr/>
        <w:t>发展研究报告（</w:t>
      </w:r>
      <w:r>
        <w:rPr>
          <w:rFonts w:ascii="Times New Roman" w:hAnsi="Times New Roman" w:cs="Times New Roman" w:eastAsia="Times New Roman" w:hint="default"/>
        </w:rPr>
        <w:t>2009</w:t>
      </w:r>
      <w:r>
        <w:rPr/>
        <w:t>）》显示，截至</w:t>
      </w:r>
      <w:r>
        <w:rPr>
          <w:rFonts w:ascii="Times New Roman" w:hAnsi="Times New Roman" w:cs="Times New Roman" w:eastAsia="Times New Roman" w:hint="default"/>
        </w:rPr>
        <w:t>2007</w:t>
      </w:r>
      <w:r>
        <w:rPr/>
        <w:t>年底，法国、德国、美国每台</w:t>
      </w:r>
      <w:r>
        <w:rPr>
          <w:rFonts w:ascii="Times New Roman" w:hAnsi="Times New Roman" w:cs="Times New Roman" w:eastAsia="Times New Roman" w:hint="default"/>
        </w:rPr>
        <w:t>POS</w:t>
      </w:r>
      <w:r>
        <w:rPr/>
        <w:t>机对应 </w:t>
      </w:r>
      <w:r>
        <w:rPr>
          <w:spacing w:val="-1"/>
        </w:rPr>
        <w:t>的银行卡数量分别为</w:t>
      </w:r>
      <w:r>
        <w:rPr>
          <w:rFonts w:ascii="Times New Roman" w:hAnsi="Times New Roman" w:cs="Times New Roman" w:eastAsia="Times New Roman" w:hint="default"/>
          <w:spacing w:val="-1"/>
        </w:rPr>
        <w:t>80</w:t>
      </w:r>
      <w:r>
        <w:rPr>
          <w:spacing w:val="-1"/>
        </w:rPr>
        <w:t>张、</w:t>
      </w:r>
      <w:r>
        <w:rPr>
          <w:rFonts w:ascii="Times New Roman" w:hAnsi="Times New Roman" w:cs="Times New Roman" w:eastAsia="Times New Roman" w:hint="default"/>
          <w:spacing w:val="-1"/>
        </w:rPr>
        <w:t>210</w:t>
      </w:r>
      <w:r>
        <w:rPr>
          <w:spacing w:val="-1"/>
        </w:rPr>
        <w:t>张和</w:t>
      </w:r>
      <w:r>
        <w:rPr>
          <w:rFonts w:ascii="Times New Roman" w:hAnsi="Times New Roman" w:cs="Times New Roman" w:eastAsia="Times New Roman" w:hint="default"/>
          <w:spacing w:val="-1"/>
        </w:rPr>
        <w:t>502</w:t>
      </w:r>
      <w:r>
        <w:rPr>
          <w:spacing w:val="-1"/>
        </w:rPr>
        <w:t>张，而根据中国银联</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10</w:t>
      </w:r>
      <w:r>
        <w:rPr>
          <w:spacing w:val="-1"/>
        </w:rPr>
        <w:t>月《中国重点</w:t>
      </w:r>
      <w:r>
        <w:rPr>
          <w:spacing w:val="-100"/>
        </w:rPr>
        <w:t> </w:t>
      </w:r>
      <w:r>
        <w:rPr>
          <w:spacing w:val="-100"/>
        </w:rPr>
      </w:r>
      <w:r>
        <w:rPr>
          <w:spacing w:val="-1"/>
        </w:rPr>
        <w:t>城市银行卡市场发展指数》报告，美国、澳大利亚、英国和加拿大四国银行卡市场</w:t>
      </w:r>
      <w:r>
        <w:rPr>
          <w:spacing w:val="-107"/>
        </w:rPr>
        <w:t> </w:t>
      </w:r>
      <w:r>
        <w:rPr>
          <w:spacing w:val="-107"/>
        </w:rPr>
      </w:r>
      <w:r>
        <w:rPr>
          <w:spacing w:val="-2"/>
        </w:rPr>
        <w:t>中每万人平均拥有</w:t>
      </w:r>
      <w:r>
        <w:rPr>
          <w:rFonts w:ascii="Times New Roman" w:hAnsi="Times New Roman" w:cs="Times New Roman" w:eastAsia="Times New Roman" w:hint="default"/>
          <w:spacing w:val="-2"/>
        </w:rPr>
        <w:t>170</w:t>
      </w:r>
      <w:r>
        <w:rPr>
          <w:spacing w:val="-2"/>
        </w:rPr>
        <w:t>台</w:t>
      </w:r>
      <w:r>
        <w:rPr>
          <w:rFonts w:ascii="Times New Roman" w:hAnsi="Times New Roman" w:cs="Times New Roman" w:eastAsia="Times New Roman" w:hint="default"/>
          <w:spacing w:val="-2"/>
        </w:rPr>
        <w:t>POS</w:t>
      </w:r>
      <w:r>
        <w:rPr>
          <w:spacing w:val="-2"/>
        </w:rPr>
        <w:t>终端。我国</w:t>
      </w:r>
      <w:r>
        <w:rPr>
          <w:rFonts w:ascii="Times New Roman" w:hAnsi="Times New Roman" w:cs="Times New Roman" w:eastAsia="Times New Roman" w:hint="default"/>
          <w:spacing w:val="-2"/>
        </w:rPr>
        <w:t>2010</w:t>
      </w:r>
      <w:r>
        <w:rPr>
          <w:spacing w:val="-2"/>
        </w:rPr>
        <w:t>年末每台</w:t>
      </w:r>
      <w:r>
        <w:rPr>
          <w:rFonts w:ascii="Times New Roman" w:hAnsi="Times New Roman" w:cs="Times New Roman" w:eastAsia="Times New Roman" w:hint="default"/>
          <w:spacing w:val="-2"/>
        </w:rPr>
        <w:t>POS</w:t>
      </w:r>
      <w:r>
        <w:rPr>
          <w:spacing w:val="-2"/>
        </w:rPr>
        <w:t>终端对应的银行卡数量为</w:t>
      </w:r>
      <w:r>
        <w:rPr>
          <w:spacing w:val="-103"/>
        </w:rPr>
        <w:t> </w:t>
      </w:r>
      <w:r>
        <w:rPr>
          <w:rFonts w:ascii="Times New Roman" w:hAnsi="Times New Roman" w:cs="Times New Roman" w:eastAsia="Times New Roman" w:hint="default"/>
        </w:rPr>
        <w:t>724</w:t>
      </w:r>
      <w:r>
        <w:rPr/>
        <w:t>张，每万人平均拥有</w:t>
      </w:r>
      <w:r>
        <w:rPr>
          <w:rFonts w:ascii="Times New Roman" w:hAnsi="Times New Roman" w:cs="Times New Roman" w:eastAsia="Times New Roman" w:hint="default"/>
        </w:rPr>
        <w:t>24.86</w:t>
      </w:r>
      <w:r>
        <w:rPr/>
        <w:t>台</w:t>
      </w:r>
      <w:r>
        <w:rPr>
          <w:rFonts w:ascii="Times New Roman" w:hAnsi="Times New Roman" w:cs="Times New Roman" w:eastAsia="Times New Roman" w:hint="default"/>
        </w:rPr>
        <w:t>POS</w:t>
      </w:r>
      <w:r>
        <w:rPr/>
        <w:t>终端（中国人口总数以中国统计局《</w:t>
      </w:r>
      <w:r>
        <w:rPr>
          <w:rFonts w:ascii="Times New Roman" w:hAnsi="Times New Roman" w:cs="Times New Roman" w:eastAsia="Times New Roman" w:hint="default"/>
        </w:rPr>
        <w:t>2010</w:t>
      </w:r>
      <w:r>
        <w:rPr/>
        <w:t>年度 </w:t>
      </w:r>
      <w:r>
        <w:rPr>
          <w:spacing w:val="-3"/>
        </w:rPr>
        <w:t>统计公报》公布数据</w:t>
      </w:r>
      <w:r>
        <w:rPr>
          <w:rFonts w:ascii="Times New Roman" w:hAnsi="Times New Roman" w:cs="Times New Roman" w:eastAsia="Times New Roman" w:hint="default"/>
          <w:spacing w:val="-3"/>
        </w:rPr>
        <w:t>13.41</w:t>
      </w:r>
      <w:r>
        <w:rPr>
          <w:spacing w:val="-3"/>
        </w:rPr>
        <w:t>亿为准）。这表明，我国的银行卡受理市场还有很大的发</w:t>
      </w:r>
      <w:r>
        <w:rPr>
          <w:spacing w:val="-89"/>
        </w:rPr>
        <w:t> </w:t>
      </w:r>
      <w:r>
        <w:rPr>
          <w:spacing w:val="-89"/>
        </w:rPr>
      </w:r>
      <w:r>
        <w:rPr/>
        <w:t>展空间。</w:t>
      </w:r>
    </w:p>
    <w:p>
      <w:pPr>
        <w:pStyle w:val="BodyText"/>
        <w:spacing w:line="355" w:lineRule="auto" w:before="89"/>
        <w:ind w:right="219" w:firstLine="479"/>
        <w:jc w:val="left"/>
      </w:pPr>
      <w:r>
        <w:rPr/>
        <w:t>在银行卡发卡量和交易规模以较高的速度保持增长的同时，银行卡交易对安 全的要求越来越高。由于磁条银行卡在安全性方面存在缺陷，随着频射识别技术</w:t>
      </w:r>
    </w:p>
    <w:p>
      <w:pPr>
        <w:spacing w:after="0" w:line="355" w:lineRule="auto"/>
        <w:jc w:val="left"/>
        <w:sectPr>
          <w:footerReference w:type="default" r:id="rId19"/>
          <w:pgSz w:w="11910" w:h="16840"/>
          <w:pgMar w:footer="1267" w:header="877" w:top="1060" w:bottom="1460" w:left="1560" w:right="1360"/>
          <w:pgNumType w:start="36"/>
        </w:sectPr>
      </w:pPr>
    </w:p>
    <w:p>
      <w:pPr>
        <w:pStyle w:val="BodyText"/>
        <w:spacing w:line="343" w:lineRule="auto" w:before="104"/>
        <w:ind w:right="299"/>
        <w:jc w:val="both"/>
      </w:pPr>
      <w:r>
        <w:rPr/>
        <w:t>（</w:t>
      </w:r>
      <w:r>
        <w:rPr>
          <w:rFonts w:ascii="Times New Roman" w:hAnsi="Times New Roman" w:cs="Times New Roman" w:eastAsia="Times New Roman" w:hint="default"/>
        </w:rPr>
        <w:t>RFID</w:t>
      </w:r>
      <w:r>
        <w:rPr>
          <w:rFonts w:ascii="Times New Roman" w:hAnsi="Times New Roman" w:cs="Times New Roman" w:eastAsia="Times New Roman" w:hint="default"/>
          <w:spacing w:val="-5"/>
        </w:rPr>
        <w:t> </w:t>
      </w:r>
      <w:r>
        <w:rPr>
          <w:spacing w:val="-5"/>
        </w:rPr>
        <w:t>技术）的发展，金融</w:t>
      </w:r>
      <w:r>
        <w:rPr>
          <w:spacing w:val="-62"/>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4"/>
        </w:rPr>
        <w:t> </w:t>
      </w:r>
      <w:r>
        <w:rPr/>
        <w:t>卡开始走进人们的视野。金融</w:t>
      </w:r>
      <w:r>
        <w:rPr>
          <w:spacing w:val="-62"/>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2"/>
        </w:rPr>
        <w:t> </w:t>
      </w:r>
      <w:r>
        <w:rPr/>
        <w:t>卡具有存储容量 大、安全保密性好、可以实现非接触式数据交换，耐用性好、不易损坏等优点。</w:t>
      </w:r>
      <w:r>
        <w:rPr>
          <w:spacing w:val="-67"/>
        </w:rPr>
        <w:t> </w:t>
      </w:r>
      <w:r>
        <w:rPr>
          <w:spacing w:val="-67"/>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6 </w:t>
      </w:r>
      <w:r>
        <w:rPr>
          <w:spacing w:val="-4"/>
        </w:rPr>
        <w:t>日，中国银联总裁许罗德在全国地方金融第十四次论坛时透露，国</w:t>
      </w:r>
      <w:r>
        <w:rPr/>
        <w:t> 内银行卡将在</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年后全部转为金融</w:t>
      </w:r>
      <w:r>
        <w:rPr>
          <w:spacing w:val="-43"/>
        </w:rPr>
        <w:t> </w:t>
      </w:r>
      <w:r>
        <w:rPr>
          <w:rFonts w:ascii="Times New Roman" w:hAnsi="Times New Roman" w:cs="Times New Roman" w:eastAsia="Times New Roman" w:hint="default"/>
        </w:rPr>
        <w:t>IC</w:t>
      </w:r>
      <w:r>
        <w:rPr>
          <w:rFonts w:ascii="Times New Roman" w:hAnsi="Times New Roman" w:cs="Times New Roman" w:eastAsia="Times New Roman" w:hint="default"/>
          <w:spacing w:val="15"/>
        </w:rPr>
        <w:t> </w:t>
      </w:r>
      <w:r>
        <w:rPr/>
        <w:t>卡，以全面提升我国银行卡的风险防控 能力，维护金融稳定和社会稳定。银行卡技术的不断进步，将对金融</w:t>
      </w:r>
      <w:r>
        <w:rPr>
          <w:spacing w:val="-7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1"/>
        </w:rPr>
        <w:t> </w:t>
      </w:r>
      <w:r>
        <w:rPr/>
        <w:t>机带来 更新换代的市场需求。</w:t>
      </w:r>
    </w:p>
    <w:p>
      <w:pPr>
        <w:pStyle w:val="BodyText"/>
        <w:spacing w:line="338" w:lineRule="auto" w:before="91"/>
        <w:ind w:right="284" w:firstLine="479"/>
        <w:jc w:val="left"/>
      </w:pPr>
      <w:r>
        <w:rPr/>
        <w:t>综上所述，预计在未来三到五年，金融</w:t>
      </w:r>
      <w:r>
        <w:rPr>
          <w:spacing w:val="-69"/>
        </w:rPr>
        <w:t>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机的市场需求量仍将保持快速增 长态势，行业存在较大空间。</w:t>
      </w:r>
    </w:p>
    <w:p>
      <w:pPr>
        <w:spacing w:line="766" w:lineRule="exact" w:before="16"/>
        <w:ind w:left="621" w:right="13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、小额支付市场发展情况</w:t>
      </w:r>
      <w:r>
        <w:rPr>
          <w:rFonts w:ascii="宋体" w:hAnsi="宋体" w:cs="宋体" w:eastAsia="宋体" w:hint="default"/>
          <w:b/>
          <w:bCs/>
          <w:w w:val="99"/>
          <w:sz w:val="24"/>
          <w:szCs w:val="24"/>
        </w:rPr>
        <w:t> </w:t>
      </w:r>
      <w:r>
        <w:rPr>
          <w:rFonts w:ascii="宋体" w:hAnsi="宋体" w:cs="宋体" w:eastAsia="宋体" w:hint="default"/>
          <w:spacing w:val="-1"/>
          <w:sz w:val="24"/>
          <w:szCs w:val="24"/>
        </w:rPr>
        <w:t>小额支付是指在一定时间内对多笔支付业务进行轧差处理，净额清算资金。小</w:t>
      </w:r>
    </w:p>
    <w:p>
      <w:pPr>
        <w:pStyle w:val="BodyText"/>
        <w:spacing w:line="357" w:lineRule="auto" w:before="34"/>
        <w:ind w:right="122"/>
        <w:jc w:val="both"/>
      </w:pPr>
      <w:r>
        <w:rPr>
          <w:spacing w:val="-1"/>
        </w:rPr>
        <w:t>额支付业务具有发生频率高、单笔支付金额小的特点，建设小额批量支付系统的目</w:t>
      </w:r>
      <w:r>
        <w:rPr>
          <w:spacing w:val="-108"/>
        </w:rPr>
        <w:t> </w:t>
      </w:r>
      <w:r>
        <w:rPr>
          <w:spacing w:val="-108"/>
        </w:rPr>
      </w:r>
      <w:r>
        <w:rPr/>
        <w:t>的，是为社会提供低成本、大业务量的支付清算服务，支撑各种支付业务的使用， 满足社会各种经济活动的需要。</w:t>
      </w:r>
    </w:p>
    <w:p>
      <w:pPr>
        <w:pStyle w:val="BodyText"/>
        <w:spacing w:line="352" w:lineRule="auto" w:before="77"/>
        <w:ind w:right="121" w:firstLine="479"/>
        <w:jc w:val="both"/>
      </w:pPr>
      <w:r>
        <w:rPr>
          <w:spacing w:val="-1"/>
        </w:rPr>
        <w:t>随着现代社会生活节奏加快，日常生活中各类支付内容明显增多，支付行为极</w:t>
      </w:r>
      <w:r>
        <w:rPr/>
        <w:t> </w:t>
      </w:r>
      <w:r>
        <w:rPr>
          <w:spacing w:val="-1"/>
        </w:rPr>
        <w:t>为频繁，而公共服务领域的绝大多数支付需求恰恰是和人们生活密切相关的小额支</w:t>
      </w:r>
      <w:r>
        <w:rPr>
          <w:spacing w:val="-108"/>
        </w:rPr>
        <w:t> </w:t>
      </w:r>
      <w:r>
        <w:rPr>
          <w:spacing w:val="-108"/>
        </w:rPr>
      </w:r>
      <w:r>
        <w:rPr>
          <w:spacing w:val="-1"/>
        </w:rPr>
        <w:t>付，如支付各种公共交通工具、公共医疗卫生设施等费用、一般性的娱乐活动和日</w:t>
      </w:r>
      <w:r>
        <w:rPr>
          <w:spacing w:val="-108"/>
        </w:rPr>
        <w:t> </w:t>
      </w:r>
      <w:r>
        <w:rPr>
          <w:spacing w:val="-108"/>
        </w:rPr>
      </w:r>
      <w:r>
        <w:rPr/>
        <w:t>常购物消费等，大多是和人们生活密切相关的、交易金额在</w:t>
      </w:r>
      <w:r>
        <w:rPr>
          <w:rFonts w:ascii="Times New Roman" w:hAnsi="Times New Roman" w:cs="Times New Roman" w:eastAsia="Times New Roman" w:hint="default"/>
        </w:rPr>
        <w:t>1000</w:t>
      </w:r>
      <w:r>
        <w:rPr/>
        <w:t>元以下小额支付。 </w:t>
      </w:r>
      <w:r>
        <w:rPr>
          <w:spacing w:val="-1"/>
        </w:rPr>
        <w:t>由于现金支付具有携带、找零、存储的不便之处；银行票据一般不适用于日常生活</w:t>
      </w:r>
      <w:r>
        <w:rPr>
          <w:spacing w:val="-108"/>
        </w:rPr>
        <w:t> </w:t>
      </w:r>
      <w:r>
        <w:rPr>
          <w:spacing w:val="-108"/>
        </w:rPr>
      </w:r>
      <w:r>
        <w:rPr>
          <w:spacing w:val="-1"/>
        </w:rPr>
        <w:t>中的普通小额支付；磁条银行卡或接触式银行</w:t>
      </w:r>
      <w:r>
        <w:rPr>
          <w:rFonts w:ascii="Times New Roman" w:hAnsi="Times New Roman" w:cs="Times New Roman" w:eastAsia="Times New Roman" w:hint="default"/>
          <w:spacing w:val="-1"/>
        </w:rPr>
        <w:t>IC</w:t>
      </w:r>
      <w:r>
        <w:rPr>
          <w:spacing w:val="-1"/>
        </w:rPr>
        <w:t>卡虽然一定程度上可以满足人们一</w:t>
      </w:r>
      <w:r>
        <w:rPr>
          <w:spacing w:val="-109"/>
        </w:rPr>
        <w:t> </w:t>
      </w:r>
      <w:r>
        <w:rPr>
          <w:spacing w:val="-109"/>
        </w:rPr>
      </w:r>
      <w:r>
        <w:rPr/>
        <w:t>般性的小额支付需要，但由于其接触式联机交易的特点很难适应越来越多的快捷、 多发的小额支付需求。</w:t>
      </w:r>
    </w:p>
    <w:p>
      <w:pPr>
        <w:pStyle w:val="BodyText"/>
        <w:spacing w:line="345" w:lineRule="auto" w:before="82"/>
        <w:ind w:right="122" w:firstLine="479"/>
        <w:jc w:val="both"/>
      </w:pPr>
      <w:r>
        <w:rPr/>
        <w:t>自</w:t>
      </w:r>
      <w:r>
        <w:rPr>
          <w:rFonts w:ascii="Times New Roman" w:hAnsi="Times New Roman" w:cs="Times New Roman" w:eastAsia="Times New Roman" w:hint="default"/>
        </w:rPr>
        <w:t>2005</w:t>
      </w:r>
      <w:r>
        <w:rPr/>
        <w:t>年在天津、福州等城市启动</w:t>
      </w:r>
      <w:r>
        <w:rPr>
          <w:rFonts w:ascii="Times New Roman" w:hAnsi="Times New Roman" w:cs="Times New Roman" w:eastAsia="Times New Roman" w:hint="default"/>
        </w:rPr>
        <w:t>“</w:t>
      </w:r>
      <w:r>
        <w:rPr/>
        <w:t>城市一卡通</w:t>
      </w:r>
      <w:r>
        <w:rPr>
          <w:rFonts w:ascii="Times New Roman" w:hAnsi="Times New Roman" w:cs="Times New Roman" w:eastAsia="Times New Roman" w:hint="default"/>
        </w:rPr>
        <w:t>”</w:t>
      </w:r>
      <w:r>
        <w:rPr/>
        <w:t>项目以来，集政府公共服务和 </w:t>
      </w:r>
      <w:r>
        <w:rPr>
          <w:spacing w:val="-1"/>
        </w:rPr>
        <w:t>金融服务为一体的金融</w:t>
      </w:r>
      <w:r>
        <w:rPr>
          <w:rFonts w:ascii="Times New Roman" w:hAnsi="Times New Roman" w:cs="Times New Roman" w:eastAsia="Times New Roman" w:hint="default"/>
          <w:spacing w:val="-1"/>
        </w:rPr>
        <w:t>IC</w:t>
      </w:r>
      <w:r>
        <w:rPr>
          <w:spacing w:val="-1"/>
        </w:rPr>
        <w:t>卡推广工作开始在全国各地展开。目前，国内多个城市陆</w:t>
      </w:r>
      <w:r>
        <w:rPr>
          <w:spacing w:val="-110"/>
        </w:rPr>
        <w:t> </w:t>
      </w:r>
      <w:r>
        <w:rPr>
          <w:spacing w:val="-110"/>
        </w:rPr>
      </w:r>
      <w:r>
        <w:rPr/>
        <w:t>续出现了商业银行的金融服务与民政、劳动、社保、医疗、公积金、公安、工商、 </w:t>
      </w:r>
      <w:r>
        <w:rPr>
          <w:spacing w:val="-1"/>
        </w:rPr>
        <w:t>税务、教育、交通等社会公共服务小额支付项目相结合的银行卡支付服务业务。目</w:t>
      </w:r>
      <w:r>
        <w:rPr>
          <w:spacing w:val="-108"/>
        </w:rPr>
        <w:t> </w:t>
      </w:r>
      <w:r>
        <w:rPr>
          <w:spacing w:val="-108"/>
        </w:rPr>
      </w:r>
      <w:r>
        <w:rPr>
          <w:spacing w:val="-1"/>
        </w:rPr>
        <w:t>前，国内超过</w:t>
      </w:r>
      <w:r>
        <w:rPr>
          <w:rFonts w:ascii="Times New Roman" w:hAnsi="Times New Roman" w:cs="Times New Roman" w:eastAsia="Times New Roman" w:hint="default"/>
          <w:spacing w:val="-1"/>
        </w:rPr>
        <w:t>136</w:t>
      </w:r>
      <w:r>
        <w:rPr>
          <w:spacing w:val="-1"/>
        </w:rPr>
        <w:t>个城市发行了公交卡，发卡量超过</w:t>
      </w:r>
      <w:r>
        <w:rPr>
          <w:rFonts w:ascii="Times New Roman" w:hAnsi="Times New Roman" w:cs="Times New Roman" w:eastAsia="Times New Roman" w:hint="default"/>
          <w:spacing w:val="-1"/>
        </w:rPr>
        <w:t>1</w:t>
      </w:r>
      <w:r>
        <w:rPr>
          <w:spacing w:val="-1"/>
        </w:rPr>
        <w:t>亿张，据悉，住房和建设部也</w:t>
      </w:r>
      <w:r>
        <w:rPr>
          <w:spacing w:val="-105"/>
        </w:rPr>
        <w:t> </w:t>
      </w:r>
      <w:r>
        <w:rPr>
          <w:spacing w:val="-105"/>
        </w:rPr>
      </w:r>
      <w:r>
        <w:rPr/>
        <w:t>在积极筹备推动公交卡的社会小额支付业务。</w:t>
      </w:r>
    </w:p>
    <w:p>
      <w:pPr>
        <w:pStyle w:val="BodyText"/>
        <w:spacing w:line="240" w:lineRule="auto" w:before="87"/>
        <w:ind w:left="621" w:right="0"/>
        <w:jc w:val="left"/>
      </w:pPr>
      <w:r>
        <w:rPr/>
        <w:t>由此可以预见，随着社会公共服务领域不断加入小额支付市场的建设中来，公</w:t>
      </w:r>
    </w:p>
    <w:p>
      <w:pPr>
        <w:spacing w:after="0" w:line="240" w:lineRule="auto"/>
        <w:jc w:val="left"/>
        <w:sectPr>
          <w:pgSz w:w="11910" w:h="16840"/>
          <w:pgMar w:header="877" w:footer="1267" w:top="1060" w:bottom="1460" w:left="1560" w:right="1440"/>
        </w:sectPr>
      </w:pPr>
    </w:p>
    <w:p>
      <w:pPr>
        <w:pStyle w:val="BodyText"/>
        <w:spacing w:line="350" w:lineRule="auto" w:before="104"/>
        <w:ind w:right="122"/>
        <w:jc w:val="both"/>
      </w:pPr>
      <w:r>
        <w:rPr/>
        <w:t>司作为国内具有小额支付技术整体解决方案的供应商之一，将获得新的市场机会。 公司成功上市并获得募集资金后，广州</w:t>
      </w:r>
      <w:r>
        <w:rPr>
          <w:rFonts w:ascii="Times New Roman" w:hAnsi="Times New Roman" w:cs="Times New Roman" w:eastAsia="Times New Roman" w:hint="default"/>
        </w:rPr>
        <w:t>“</w:t>
      </w:r>
      <w:r>
        <w:rPr/>
        <w:t>羊城通</w:t>
      </w:r>
      <w:r>
        <w:rPr>
          <w:rFonts w:ascii="Times New Roman" w:hAnsi="Times New Roman" w:cs="Times New Roman" w:eastAsia="Times New Roman" w:hint="default"/>
        </w:rPr>
        <w:t>”</w:t>
      </w:r>
      <w:r>
        <w:rPr/>
        <w:t>合作运营项目作为募集资金使用项 </w:t>
      </w:r>
      <w:r>
        <w:rPr>
          <w:spacing w:val="-1"/>
        </w:rPr>
        <w:t>目内容之一，公司将加大对该项目的投入，将该项目做成公司的成功案例，并复制</w:t>
      </w:r>
      <w:r>
        <w:rPr>
          <w:spacing w:val="-108"/>
        </w:rPr>
        <w:t> </w:t>
      </w:r>
      <w:r>
        <w:rPr>
          <w:spacing w:val="-108"/>
        </w:rPr>
      </w:r>
      <w:r>
        <w:rPr/>
        <w:t>到其他城市信息化建设工作开展得较好的城市。</w:t>
      </w:r>
    </w:p>
    <w:p>
      <w:pPr>
        <w:spacing w:line="768" w:lineRule="exact" w:before="2"/>
        <w:ind w:left="621" w:right="34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、手机支付发展状况</w:t>
      </w:r>
      <w:r>
        <w:rPr>
          <w:rFonts w:ascii="宋体" w:hAnsi="宋体" w:cs="宋体" w:eastAsia="宋体" w:hint="default"/>
          <w:b/>
          <w:bCs/>
          <w:w w:val="99"/>
          <w:sz w:val="24"/>
          <w:szCs w:val="24"/>
        </w:rPr>
        <w:t> </w:t>
      </w:r>
      <w:r>
        <w:rPr>
          <w:rFonts w:ascii="宋体" w:hAnsi="宋体" w:cs="宋体" w:eastAsia="宋体" w:hint="default"/>
          <w:sz w:val="24"/>
          <w:szCs w:val="24"/>
        </w:rPr>
        <w:t>手机支付是指移动用户使用其移动终端（如手机）对所消费的商品或服务进</w:t>
      </w:r>
    </w:p>
    <w:p>
      <w:pPr>
        <w:pStyle w:val="BodyText"/>
        <w:spacing w:line="352" w:lineRule="auto" w:before="34"/>
        <w:ind w:right="168"/>
        <w:jc w:val="left"/>
      </w:pPr>
      <w:r>
        <w:rPr/>
        <w:t>行支付的一种支付服务方式。手机支付主要有三种模式，一是传统支付模式，指 从用户手机账单或预付费中直接扣除增值服务费；二是近距离支付模式，指手机 </w:t>
      </w:r>
      <w:r>
        <w:rPr>
          <w:spacing w:val="-1"/>
        </w:rPr>
        <w:t>用户使用手机对所消费的商品或服务进行账单支付，如通过</w:t>
      </w:r>
      <w:r>
        <w:rPr>
          <w:rFonts w:ascii="Times New Roman" w:hAnsi="Times New Roman" w:cs="Times New Roman" w:eastAsia="Times New Roman" w:hint="default"/>
          <w:spacing w:val="-1"/>
        </w:rPr>
        <w:t>“</w:t>
      </w:r>
      <w:r>
        <w:rPr>
          <w:spacing w:val="-1"/>
        </w:rPr>
        <w:t>刷手机</w:t>
      </w:r>
      <w:r>
        <w:rPr>
          <w:rFonts w:ascii="Times New Roman" w:hAnsi="Times New Roman" w:cs="Times New Roman" w:eastAsia="Times New Roman" w:hint="default"/>
          <w:spacing w:val="-1"/>
        </w:rPr>
        <w:t>”</w:t>
      </w:r>
      <w:r>
        <w:rPr>
          <w:spacing w:val="-1"/>
        </w:rPr>
        <w:t>实现银行卡、</w:t>
      </w:r>
      <w:r>
        <w:rPr>
          <w:spacing w:val="-117"/>
        </w:rPr>
        <w:t> </w:t>
      </w:r>
      <w:r>
        <w:rPr/>
        <w:t>公交卡或购物卡的功能；三是远程支付模式，通过手机发生指令进行支付，类似 于</w:t>
      </w:r>
      <w:r>
        <w:rPr>
          <w:rFonts w:ascii="Times New Roman" w:hAnsi="Times New Roman" w:cs="Times New Roman" w:eastAsia="Times New Roman" w:hint="default"/>
        </w:rPr>
        <w:t>“</w:t>
      </w:r>
      <w:r>
        <w:rPr/>
        <w:t>支付宝</w:t>
      </w:r>
      <w:r>
        <w:rPr>
          <w:rFonts w:ascii="Times New Roman" w:hAnsi="Times New Roman" w:cs="Times New Roman" w:eastAsia="Times New Roman" w:hint="default"/>
        </w:rPr>
        <w:t>”</w:t>
      </w:r>
      <w:r>
        <w:rPr/>
        <w:t>的远程网上支付平台。人们目前通过手机可对银行卡账户进行的支付 操作主要有手机话费查询和缴纳、银行卡余额查询、银行卡账户信息变动通知、 公用事业费缴纳、彩票投注等传统支付模式，同时利用二维码技术可实现航空订 票、电子折扣券、礼品券等增值服务。</w:t>
      </w:r>
    </w:p>
    <w:p>
      <w:pPr>
        <w:pStyle w:val="BodyText"/>
        <w:spacing w:line="345" w:lineRule="auto" w:before="41"/>
        <w:ind w:right="299" w:firstLine="479"/>
        <w:jc w:val="both"/>
      </w:pPr>
      <w:r>
        <w:rPr/>
        <w:t>中国手机用户已超过</w:t>
      </w:r>
      <w:r>
        <w:rPr>
          <w:spacing w:val="-60"/>
        </w:rPr>
        <w:t> </w:t>
      </w:r>
      <w:r>
        <w:rPr>
          <w:rFonts w:ascii="Times New Roman" w:hAnsi="Times New Roman" w:cs="Times New Roman" w:eastAsia="Times New Roman" w:hint="default"/>
        </w:rPr>
        <w:t>6 </w:t>
      </w:r>
      <w:r>
        <w:rPr/>
        <w:t>亿户，成为全球最大的手机市场。如此庞大的手机移 动终端用户规模，为手机支付业务的推广奠定了客户基础。但，目前手机支付业 </w:t>
      </w:r>
      <w:r>
        <w:rPr>
          <w:spacing w:val="-5"/>
        </w:rPr>
        <w:t>务绝大多数集中在手机话费充值、公共事业缴费等领域，《中国银行卡产业发展研</w:t>
      </w:r>
      <w:r>
        <w:rPr>
          <w:spacing w:val="-117"/>
        </w:rPr>
        <w:t> </w:t>
      </w:r>
      <w:r>
        <w:rPr>
          <w:spacing w:val="-117"/>
        </w:rPr>
      </w:r>
      <w:r>
        <w:rPr>
          <w:spacing w:val="-13"/>
        </w:rPr>
        <w:t>究报告（</w:t>
      </w:r>
      <w:r>
        <w:rPr>
          <w:rFonts w:ascii="Times New Roman" w:hAnsi="Times New Roman" w:cs="Times New Roman" w:eastAsia="Times New Roman" w:hint="default"/>
          <w:spacing w:val="-13"/>
        </w:rPr>
        <w:t>2009</w:t>
      </w:r>
      <w:r>
        <w:rPr>
          <w:spacing w:val="-13"/>
        </w:rPr>
        <w:t>）》显示，</w:t>
      </w:r>
      <w:r>
        <w:rPr>
          <w:rFonts w:ascii="Times New Roman" w:hAnsi="Times New Roman" w:cs="Times New Roman" w:eastAsia="Times New Roman" w:hint="default"/>
          <w:spacing w:val="-13"/>
        </w:rPr>
        <w:t>2008</w:t>
      </w:r>
      <w:r>
        <w:rPr>
          <w:rFonts w:ascii="Times New Roman" w:hAnsi="Times New Roman" w:cs="Times New Roman" w:eastAsia="Times New Roman" w:hint="default"/>
          <w:spacing w:val="24"/>
        </w:rPr>
        <w:t> </w:t>
      </w:r>
      <w:r>
        <w:rPr>
          <w:spacing w:val="-2"/>
        </w:rPr>
        <w:t>年手机支付用户规模和交易规模实现快速增长，手机</w:t>
      </w:r>
      <w:r>
        <w:rPr>
          <w:spacing w:val="-117"/>
        </w:rPr>
        <w:t> </w:t>
      </w:r>
      <w:r>
        <w:rPr>
          <w:spacing w:val="-117"/>
        </w:rPr>
      </w:r>
      <w:r>
        <w:rPr/>
        <w:t>支付累计用户已达</w:t>
      </w:r>
      <w:r>
        <w:rPr>
          <w:spacing w:val="-63"/>
        </w:rPr>
        <w:t> </w:t>
      </w:r>
      <w:r>
        <w:rPr>
          <w:rFonts w:ascii="Times New Roman" w:hAnsi="Times New Roman" w:cs="Times New Roman" w:eastAsia="Times New Roman" w:hint="default"/>
        </w:rPr>
        <w:t>1619.2</w:t>
      </w:r>
      <w:r>
        <w:rPr>
          <w:rFonts w:ascii="Times New Roman" w:hAnsi="Times New Roman" w:cs="Times New Roman" w:eastAsia="Times New Roman" w:hint="default"/>
          <w:spacing w:val="-2"/>
        </w:rPr>
        <w:t> </w:t>
      </w:r>
      <w:r>
        <w:rPr>
          <w:spacing w:val="-3"/>
        </w:rPr>
        <w:t>万户，比</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年增长</w:t>
      </w:r>
      <w:r>
        <w:rPr>
          <w:spacing w:val="-62"/>
        </w:rPr>
        <w:t> </w:t>
      </w:r>
      <w:r>
        <w:rPr>
          <w:rFonts w:ascii="Times New Roman" w:hAnsi="Times New Roman" w:cs="Times New Roman" w:eastAsia="Times New Roman" w:hint="default"/>
        </w:rPr>
        <w:t>58.1%</w:t>
      </w:r>
      <w:r>
        <w:rPr/>
        <w:t>，手机支付交易笔数突破</w:t>
      </w:r>
      <w:r>
        <w:rPr>
          <w:spacing w:val="-62"/>
        </w:rPr>
        <w:t> </w:t>
      </w:r>
      <w:r>
        <w:rPr>
          <w:rFonts w:ascii="Times New Roman" w:hAnsi="Times New Roman" w:cs="Times New Roman" w:eastAsia="Times New Roman" w:hint="default"/>
        </w:rPr>
        <w:t>1 </w:t>
      </w:r>
      <w:r>
        <w:rPr>
          <w:spacing w:val="-5"/>
        </w:rPr>
        <w:t>亿笔，交易金额达</w:t>
      </w:r>
      <w:r>
        <w:rPr>
          <w:spacing w:val="-60"/>
        </w:rPr>
        <w:t> </w:t>
      </w:r>
      <w:r>
        <w:rPr>
          <w:rFonts w:ascii="Times New Roman" w:hAnsi="Times New Roman" w:cs="Times New Roman" w:eastAsia="Times New Roman" w:hint="default"/>
        </w:rPr>
        <w:t>243.1</w:t>
      </w:r>
      <w:r>
        <w:rPr>
          <w:rFonts w:ascii="Times New Roman" w:hAnsi="Times New Roman" w:cs="Times New Roman" w:eastAsia="Times New Roman" w:hint="default"/>
          <w:spacing w:val="1"/>
        </w:rPr>
        <w:t> </w:t>
      </w:r>
      <w:r>
        <w:rPr>
          <w:spacing w:val="-6"/>
        </w:rPr>
        <w:t>亿元，分别比</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年增长</w:t>
      </w:r>
      <w:r>
        <w:rPr>
          <w:spacing w:val="-59"/>
        </w:rPr>
        <w:t> </w:t>
      </w:r>
      <w:r>
        <w:rPr>
          <w:rFonts w:ascii="Times New Roman" w:hAnsi="Times New Roman" w:cs="Times New Roman" w:eastAsia="Times New Roman" w:hint="default"/>
        </w:rPr>
        <w:t>66.6%</w:t>
      </w:r>
      <w:r>
        <w:rPr/>
        <w:t>和</w:t>
      </w:r>
      <w:r>
        <w:rPr>
          <w:spacing w:val="-59"/>
        </w:rPr>
        <w:t> </w:t>
      </w:r>
      <w:r>
        <w:rPr>
          <w:rFonts w:ascii="Times New Roman" w:hAnsi="Times New Roman" w:cs="Times New Roman" w:eastAsia="Times New Roman" w:hint="default"/>
          <w:spacing w:val="-3"/>
        </w:rPr>
        <w:t>125%</w:t>
      </w:r>
      <w:r>
        <w:rPr>
          <w:spacing w:val="-3"/>
        </w:rPr>
        <w:t>。从手机支付交</w:t>
      </w:r>
      <w:r>
        <w:rPr/>
        <w:t> 易笔数的结构来看，话费缴纳和公共事业缴费等占比达</w:t>
      </w:r>
      <w:r>
        <w:rPr>
          <w:spacing w:val="-61"/>
        </w:rPr>
        <w:t> </w:t>
      </w:r>
      <w:r>
        <w:rPr>
          <w:rFonts w:ascii="Times New Roman" w:hAnsi="Times New Roman" w:cs="Times New Roman" w:eastAsia="Times New Roman" w:hint="default"/>
        </w:rPr>
        <w:t>93%</w:t>
      </w:r>
      <w:r>
        <w:rPr/>
        <w:t>。</w:t>
      </w:r>
    </w:p>
    <w:p>
      <w:pPr>
        <w:pStyle w:val="BodyText"/>
        <w:spacing w:line="350" w:lineRule="auto" w:before="19"/>
        <w:ind w:right="361" w:firstLine="479"/>
        <w:jc w:val="both"/>
      </w:pPr>
      <w:r>
        <w:rPr/>
        <w:t>结合智能卡和</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技术应用的手机支付与应用，是最被用户看好的应用方 案之一。随着物联网技术和物联网产业的发展，通过手机支付基本可以涵盖日常 消费的现场交易，还可以用于远程的网络购物交易，因此其渗透力较强，对传统 的银行卡交易、网上支付都能产生一定的替代效应。</w:t>
      </w:r>
    </w:p>
    <w:p>
      <w:pPr>
        <w:pStyle w:val="BodyText"/>
        <w:spacing w:line="357" w:lineRule="auto" w:before="43"/>
        <w:ind w:right="361" w:firstLine="479"/>
        <w:jc w:val="both"/>
      </w:pPr>
      <w:r>
        <w:rPr/>
        <w:t>由于手机支付将给人们生活带来的极大便利，我国的手机支付产业发展极为 迅速。</w:t>
      </w:r>
    </w:p>
    <w:p>
      <w:pPr>
        <w:pStyle w:val="BodyText"/>
        <w:spacing w:line="338" w:lineRule="auto" w:before="36"/>
        <w:ind w:right="300" w:firstLine="479"/>
        <w:jc w:val="both"/>
      </w:pPr>
      <w:r>
        <w:rPr/>
        <w:t>中国移动于</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年在湖北设立了移动电子商务试点基地，研发基于</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3"/>
        </w:rPr>
        <w:t> </w:t>
      </w:r>
      <w:r>
        <w:rPr/>
        <w:t>的 支付方式；</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年下半年，中国移动开始推广</w:t>
      </w:r>
      <w:r>
        <w:rPr>
          <w:rFonts w:ascii="Times New Roman" w:hAnsi="Times New Roman" w:cs="Times New Roman" w:eastAsia="Times New Roman" w:hint="default"/>
        </w:rPr>
        <w:t>“</w:t>
      </w:r>
      <w:r>
        <w:rPr/>
        <w:t>手机钱包</w:t>
      </w:r>
      <w:r>
        <w:rPr>
          <w:rFonts w:ascii="Times New Roman" w:hAnsi="Times New Roman" w:cs="Times New Roman" w:eastAsia="Times New Roman" w:hint="default"/>
        </w:rPr>
        <w:t>”</w:t>
      </w:r>
      <w:r>
        <w:rPr/>
        <w:t>业务。</w:t>
      </w:r>
    </w:p>
    <w:p>
      <w:pPr>
        <w:spacing w:after="0" w:line="338" w:lineRule="auto"/>
        <w:jc w:val="both"/>
        <w:sectPr>
          <w:pgSz w:w="11910" w:h="16840"/>
          <w:pgMar w:header="877" w:footer="1267" w:top="1060" w:bottom="1460" w:left="1560" w:right="1440"/>
        </w:sectPr>
      </w:pPr>
    </w:p>
    <w:p>
      <w:pPr>
        <w:pStyle w:val="BodyText"/>
        <w:spacing w:line="338" w:lineRule="auto" w:before="104"/>
        <w:ind w:right="298" w:firstLine="479"/>
        <w:jc w:val="both"/>
      </w:pPr>
      <w:r>
        <w:rPr/>
        <w:t>中国联通在</w:t>
      </w:r>
      <w:r>
        <w:rPr>
          <w:spacing w:val="-60"/>
        </w:rPr>
        <w:t> </w:t>
      </w:r>
      <w:r>
        <w:rPr>
          <w:rFonts w:ascii="Times New Roman" w:hAnsi="Times New Roman" w:cs="Times New Roman" w:eastAsia="Times New Roman" w:hint="default"/>
        </w:rPr>
        <w:t>2009 </w:t>
      </w:r>
      <w:r>
        <w:rPr/>
        <w:t>年与上海公交系统合作，通过在手机内置</w:t>
      </w:r>
      <w:r>
        <w:rPr>
          <w:spacing w:val="-60"/>
        </w:rPr>
        <w:t> </w:t>
      </w:r>
      <w:r>
        <w:rPr>
          <w:rFonts w:ascii="Times New Roman" w:hAnsi="Times New Roman" w:cs="Times New Roman" w:eastAsia="Times New Roman" w:hint="default"/>
        </w:rPr>
        <w:t>NFC</w:t>
      </w:r>
      <w:r>
        <w:rPr>
          <w:rFonts w:ascii="Times New Roman" w:hAnsi="Times New Roman" w:cs="Times New Roman" w:eastAsia="Times New Roman" w:hint="default"/>
          <w:spacing w:val="1"/>
        </w:rPr>
        <w:t> </w:t>
      </w:r>
      <w:r>
        <w:rPr/>
        <w:t>芯片，实现 </w:t>
      </w:r>
      <w:r>
        <w:rPr>
          <w:spacing w:val="-3"/>
        </w:rPr>
        <w:t>公交、地铁和出租车消费的手机支付服务，其移动支付业务在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年底在全国展 开。</w:t>
      </w:r>
    </w:p>
    <w:p>
      <w:pPr>
        <w:pStyle w:val="BodyText"/>
        <w:spacing w:line="240" w:lineRule="auto" w:before="55"/>
        <w:ind w:left="621" w:right="139"/>
        <w:jc w:val="left"/>
      </w:pPr>
      <w:r>
        <w:rPr/>
        <w:t>中国电信在</w:t>
      </w:r>
      <w:r>
        <w:rPr>
          <w:spacing w:val="-60"/>
        </w:rPr>
        <w:t> </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2009 </w:t>
      </w:r>
      <w:r>
        <w:rPr/>
        <w:t>年与支付宝、财付通和易宝付等网上支付商合作，</w:t>
      </w:r>
    </w:p>
    <w:p>
      <w:pPr>
        <w:pStyle w:val="BodyText"/>
        <w:spacing w:line="240" w:lineRule="auto" w:before="135"/>
        <w:ind w:right="176"/>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月与中国银联在上海推出</w:t>
      </w:r>
      <w:r>
        <w:rPr>
          <w:rFonts w:ascii="Times New Roman" w:hAnsi="Times New Roman" w:cs="Times New Roman" w:eastAsia="Times New Roman" w:hint="default"/>
        </w:rPr>
        <w:t>“</w:t>
      </w:r>
      <w:r>
        <w:rPr/>
        <w:t>翼支付手机刷</w:t>
      </w:r>
      <w:r>
        <w:rPr>
          <w:rFonts w:ascii="Times New Roman" w:hAnsi="Times New Roman" w:cs="Times New Roman" w:eastAsia="Times New Roman" w:hint="default"/>
        </w:rPr>
        <w:t>”</w:t>
      </w:r>
      <w:r>
        <w:rPr/>
        <w:t>业务，其移动支付业务在</w:t>
      </w:r>
      <w:r>
        <w:rPr>
          <w:spacing w:val="-66"/>
        </w:rPr>
        <w:t> </w:t>
      </w:r>
      <w:r>
        <w:rPr>
          <w:rFonts w:ascii="Times New Roman" w:hAnsi="Times New Roman" w:cs="Times New Roman" w:eastAsia="Times New Roman" w:hint="default"/>
          <w:spacing w:val="-3"/>
        </w:rPr>
        <w:t>2011</w:t>
      </w:r>
    </w:p>
    <w:p>
      <w:pPr>
        <w:pStyle w:val="BodyText"/>
        <w:spacing w:line="338" w:lineRule="auto" w:before="135"/>
        <w:ind w:left="621" w:right="345" w:hanging="480"/>
        <w:jc w:val="left"/>
      </w:pPr>
      <w:r>
        <w:rPr/>
        <w:t>年将扩展到</w:t>
      </w:r>
      <w:r>
        <w:rPr>
          <w:spacing w:val="-60"/>
        </w:rPr>
        <w:t> </w:t>
      </w:r>
      <w:r>
        <w:rPr>
          <w:rFonts w:ascii="Times New Roman" w:hAnsi="Times New Roman" w:cs="Times New Roman" w:eastAsia="Times New Roman" w:hint="default"/>
        </w:rPr>
        <w:t>18 </w:t>
      </w:r>
      <w:r>
        <w:rPr/>
        <w:t>个省市。 除以上三大电信运营商外，银行系统、第三方也在积极开展移动支付业务。</w:t>
      </w:r>
    </w:p>
    <w:p>
      <w:pPr>
        <w:pStyle w:val="BodyText"/>
        <w:spacing w:line="240" w:lineRule="auto" w:before="55"/>
        <w:ind w:right="17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月，中国银联宣布其第一代手机支付业务已进入大规模试点阶段，试点</w:t>
      </w:r>
    </w:p>
    <w:p>
      <w:pPr>
        <w:pStyle w:val="BodyText"/>
        <w:spacing w:line="348" w:lineRule="auto" w:before="136"/>
        <w:ind w:right="176"/>
        <w:jc w:val="left"/>
      </w:pPr>
      <w:r>
        <w:rPr/>
        <w:t>区域扩展至上海、山东、宁波等</w:t>
      </w:r>
      <w:r>
        <w:rPr>
          <w:spacing w:val="-60"/>
        </w:rPr>
        <w:t> </w:t>
      </w:r>
      <w:r>
        <w:rPr>
          <w:rFonts w:ascii="Times New Roman" w:hAnsi="Times New Roman" w:cs="Times New Roman" w:eastAsia="Times New Roman" w:hint="default"/>
        </w:rPr>
        <w:t>6 </w:t>
      </w:r>
      <w:r>
        <w:rPr/>
        <w:t>省市。</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8 </w:t>
      </w:r>
      <w:r>
        <w:rPr/>
        <w:t>月，中国银行与中国联通、易 </w:t>
      </w:r>
      <w:r>
        <w:rPr>
          <w:spacing w:val="-2"/>
        </w:rPr>
        <w:t>宝支付合作，中国银行用户可使用中行网银在中国联通网上营业厅为手机、固话、</w:t>
      </w:r>
      <w:r>
        <w:rPr>
          <w:spacing w:val="-106"/>
        </w:rPr>
        <w:t> </w:t>
      </w:r>
      <w:r>
        <w:rPr>
          <w:spacing w:val="-106"/>
        </w:rPr>
      </w:r>
      <w:r>
        <w:rPr/>
        <w:t>宽带等充值。</w:t>
      </w:r>
    </w:p>
    <w:p>
      <w:pPr>
        <w:pStyle w:val="BodyText"/>
        <w:spacing w:line="357" w:lineRule="auto" w:before="46"/>
        <w:ind w:right="360" w:firstLine="479"/>
        <w:jc w:val="both"/>
      </w:pPr>
      <w:r>
        <w:rPr/>
        <w:t>招商银行、浦发银行、工商银行、兴业银行、交通银行和建设银行等均推出 了手机银行业务，第三方支付企业支付宝已经开发出可以支持不同操作系统的手 机支付宝客户端，用户可以通过手机银行业务、支付宝等进行充值、转账、付款 等操作。</w:t>
      </w:r>
    </w:p>
    <w:p>
      <w:pPr>
        <w:pStyle w:val="BodyText"/>
        <w:spacing w:line="348" w:lineRule="auto" w:before="36"/>
        <w:ind w:right="299" w:firstLine="479"/>
        <w:jc w:val="both"/>
      </w:pPr>
      <w:r>
        <w:rPr/>
        <w:t>经过近几年的发展，国内各大运营商就手机支付受理的技术方案已经初步达 </w:t>
      </w:r>
      <w:r>
        <w:rPr>
          <w:spacing w:val="-4"/>
        </w:rPr>
        <w:t>成共识，将采用</w:t>
      </w:r>
      <w:r>
        <w:rPr>
          <w:spacing w:val="-66"/>
        </w:rPr>
        <w:t> </w:t>
      </w:r>
      <w:r>
        <w:rPr>
          <w:rFonts w:ascii="Times New Roman" w:hAnsi="Times New Roman" w:cs="Times New Roman" w:eastAsia="Times New Roman" w:hint="default"/>
        </w:rPr>
        <w:t>SIMpass</w:t>
      </w:r>
      <w:r>
        <w:rPr>
          <w:rFonts w:ascii="Times New Roman" w:hAnsi="Times New Roman" w:cs="Times New Roman" w:eastAsia="Times New Roman" w:hint="default"/>
          <w:spacing w:val="-4"/>
        </w:rPr>
        <w:t> </w:t>
      </w:r>
      <w:r>
        <w:rPr/>
        <w:t>单芯片</w:t>
      </w:r>
      <w:r>
        <w:rPr>
          <w:spacing w:val="-65"/>
        </w:rPr>
        <w:t> </w:t>
      </w:r>
      <w:r>
        <w:rPr>
          <w:rFonts w:ascii="Times New Roman" w:hAnsi="Times New Roman" w:cs="Times New Roman" w:eastAsia="Times New Roman" w:hint="default"/>
        </w:rPr>
        <w:t>NFC</w:t>
      </w:r>
      <w:r>
        <w:rPr>
          <w:rFonts w:ascii="Times New Roman" w:hAnsi="Times New Roman" w:cs="Times New Roman" w:eastAsia="Times New Roman" w:hint="default"/>
          <w:spacing w:val="-5"/>
        </w:rPr>
        <w:t> </w:t>
      </w:r>
      <w:r>
        <w:rPr/>
        <w:t>方案，各大运营商和终端供应商正在积极进 行受理设备的测试工作。</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月，中国人民银行《非金融机构支付服务管理 办法》已出台，国内电信运营商从事手机支付业务的政策障碍已清除，各大运营 </w:t>
      </w:r>
      <w:r>
        <w:rPr>
          <w:spacing w:val="-7"/>
        </w:rPr>
        <w:t>商正在积极的申请《支付业务许可证》。</w:t>
      </w:r>
    </w:p>
    <w:p>
      <w:pPr>
        <w:pStyle w:val="BodyText"/>
        <w:spacing w:line="357" w:lineRule="auto" w:before="46"/>
        <w:ind w:right="360" w:firstLine="479"/>
        <w:jc w:val="both"/>
      </w:pPr>
      <w:r>
        <w:rPr/>
        <w:t>在我国大面积推广手机支付还存在商业模式不够清晰的问题。目前可以实现 手机支付的模式有三种，一是手机话费支付方式，二是指定绑定银行支付方式， 三是无绑定手机支付方式。无论哪一种模式都涉及多方市场利益主体，如何划分 市场利益尚无定论。但随着电信运营商、银行、中国银联在手机支付业务方面的 积极尝试，从中国移动与浦发银行就移动支付业务开展合作、中国银联与电信的 合作、中国联通与中国银行的合作等现象来看，相信未来的手机支付业务市场走 势必然是从电信运营商、银行、中国银联之间由相互竞争转向竞合。</w:t>
      </w:r>
    </w:p>
    <w:p>
      <w:pPr>
        <w:pStyle w:val="BodyText"/>
        <w:spacing w:line="357" w:lineRule="auto" w:before="36"/>
        <w:ind w:right="361" w:firstLine="479"/>
        <w:jc w:val="both"/>
      </w:pPr>
      <w:r>
        <w:rPr/>
        <w:t>公司作为受理终端设备的供应商，一直与三大电信运营商保持密切的关系， 双方在技术研发方面保持着深度的接触，公司已经完成了针对手机支付应用的产</w:t>
      </w:r>
    </w:p>
    <w:p>
      <w:pPr>
        <w:spacing w:after="0" w:line="357" w:lineRule="auto"/>
        <w:jc w:val="both"/>
        <w:sectPr>
          <w:pgSz w:w="11910" w:h="16840"/>
          <w:pgMar w:header="877" w:footer="1267" w:top="1060" w:bottom="1460" w:left="1560" w:right="1440"/>
        </w:sectPr>
      </w:pPr>
    </w:p>
    <w:p>
      <w:pPr>
        <w:pStyle w:val="BodyText"/>
        <w:spacing w:line="240" w:lineRule="auto" w:before="104"/>
        <w:ind w:right="0"/>
        <w:jc w:val="both"/>
        <w:rPr>
          <w:rFonts w:ascii="Times New Roman" w:hAnsi="Times New Roman" w:cs="Times New Roman" w:eastAsia="Times New Roman" w:hint="default"/>
        </w:rPr>
      </w:pPr>
      <w:r>
        <w:rPr/>
        <w:t>品和技术开发工作，开发了针对手机支付业务的兼容支持</w:t>
      </w:r>
      <w:r>
        <w:rPr>
          <w:spacing w:val="-62"/>
        </w:rPr>
        <w:t> </w:t>
      </w:r>
      <w:r>
        <w:rPr>
          <w:rFonts w:ascii="Times New Roman" w:hAnsi="Times New Roman" w:cs="Times New Roman" w:eastAsia="Times New Roman" w:hint="default"/>
        </w:rPr>
        <w:t>13.56M</w:t>
      </w:r>
      <w:r>
        <w:rPr>
          <w:rFonts w:ascii="Times New Roman" w:hAnsi="Times New Roman" w:cs="Times New Roman" w:eastAsia="Times New Roman" w:hint="default"/>
          <w:spacing w:val="-2"/>
        </w:rPr>
        <w:t> </w:t>
      </w:r>
      <w:r>
        <w:rPr/>
        <w:t>和</w:t>
      </w:r>
      <w:r>
        <w:rPr>
          <w:spacing w:val="-62"/>
        </w:rPr>
        <w:t> </w:t>
      </w:r>
      <w:r>
        <w:rPr>
          <w:rFonts w:ascii="Times New Roman" w:hAnsi="Times New Roman" w:cs="Times New Roman" w:eastAsia="Times New Roman" w:hint="default"/>
        </w:rPr>
        <w:t>2.4G</w:t>
      </w:r>
      <w:r>
        <w:rPr>
          <w:rFonts w:ascii="Times New Roman" w:hAnsi="Times New Roman" w:cs="Times New Roman" w:eastAsia="Times New Roman" w:hint="default"/>
          <w:spacing w:val="-2"/>
        </w:rPr>
        <w:t> </w:t>
      </w:r>
      <w:r>
        <w:rPr>
          <w:rFonts w:ascii="Times New Roman" w:hAnsi="Times New Roman" w:cs="Times New Roman" w:eastAsia="Times New Roman" w:hint="default"/>
        </w:rPr>
        <w:t>RFSIM</w:t>
      </w:r>
    </w:p>
    <w:p>
      <w:pPr>
        <w:pStyle w:val="BodyText"/>
        <w:spacing w:line="240" w:lineRule="auto" w:before="136"/>
        <w:ind w:right="0"/>
        <w:jc w:val="both"/>
      </w:pPr>
      <w:r>
        <w:rPr/>
        <w:t>卡的</w:t>
      </w:r>
      <w:r>
        <w:rPr>
          <w:spacing w:val="-61"/>
        </w:rPr>
        <w:t> </w:t>
      </w:r>
      <w:r>
        <w:rPr>
          <w:rFonts w:ascii="Times New Roman" w:hAnsi="Times New Roman" w:cs="Times New Roman" w:eastAsia="Times New Roman" w:hint="default"/>
        </w:rPr>
        <w:t>K3102</w:t>
      </w:r>
      <w:r>
        <w:rPr>
          <w:rFonts w:ascii="Times New Roman" w:hAnsi="Times New Roman" w:cs="Times New Roman" w:eastAsia="Times New Roman" w:hint="default"/>
          <w:spacing w:val="-1"/>
        </w:rPr>
        <w:t> </w:t>
      </w:r>
      <w:r>
        <w:rPr/>
        <w:t>非接卡读卡器产品，并进入量产阶段。</w:t>
      </w:r>
    </w:p>
    <w:p>
      <w:pPr>
        <w:spacing w:line="338" w:lineRule="auto" w:before="135"/>
        <w:ind w:left="621" w:right="38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POS </w:t>
      </w:r>
      <w:r>
        <w:rPr>
          <w:rFonts w:ascii="宋体" w:hAnsi="宋体" w:cs="宋体" w:eastAsia="宋体" w:hint="default"/>
          <w:b/>
          <w:bCs/>
          <w:sz w:val="24"/>
          <w:szCs w:val="24"/>
        </w:rPr>
        <w:t>收单市场发展情况</w:t>
      </w:r>
      <w:r>
        <w:rPr>
          <w:rFonts w:ascii="宋体" w:hAnsi="宋体" w:cs="宋体" w:eastAsia="宋体" w:hint="default"/>
          <w:b/>
          <w:bCs/>
          <w:w w:val="99"/>
          <w:sz w:val="24"/>
          <w:szCs w:val="24"/>
        </w:rPr>
        <w:t> </w:t>
      </w:r>
      <w:r>
        <w:rPr>
          <w:rFonts w:ascii="宋体" w:hAnsi="宋体" w:cs="宋体" w:eastAsia="宋体" w:hint="default"/>
          <w:spacing w:val="-5"/>
          <w:sz w:val="24"/>
          <w:szCs w:val="24"/>
        </w:rPr>
        <w:t>根据《中国银行卡产业发展研究报告（</w:t>
      </w:r>
      <w:r>
        <w:rPr>
          <w:rFonts w:ascii="Times New Roman" w:hAnsi="Times New Roman" w:cs="Times New Roman" w:eastAsia="Times New Roman" w:hint="default"/>
          <w:spacing w:val="-5"/>
          <w:sz w:val="24"/>
          <w:szCs w:val="24"/>
        </w:rPr>
        <w:t>2009</w:t>
      </w:r>
      <w:r>
        <w:rPr>
          <w:rFonts w:ascii="宋体" w:hAnsi="宋体" w:cs="宋体" w:eastAsia="宋体" w:hint="default"/>
          <w:spacing w:val="-5"/>
          <w:sz w:val="24"/>
          <w:szCs w:val="24"/>
        </w:rPr>
        <w:t>）》显示，商户</w:t>
      </w:r>
      <w:r>
        <w:rPr>
          <w:rFonts w:ascii="宋体" w:hAnsi="宋体" w:cs="宋体" w:eastAsia="宋体" w:hint="default"/>
          <w:spacing w:val="-50"/>
          <w:sz w:val="24"/>
          <w:szCs w:val="24"/>
        </w:rPr>
        <w:t> </w:t>
      </w:r>
      <w:r>
        <w:rPr>
          <w:rFonts w:ascii="Times New Roman" w:hAnsi="Times New Roman" w:cs="Times New Roman" w:eastAsia="Times New Roman" w:hint="default"/>
          <w:w w:val="99"/>
          <w:sz w:val="24"/>
          <w:szCs w:val="24"/>
        </w:rPr>
        <w:t>POS</w:t>
      </w:r>
      <w:r>
        <w:rPr>
          <w:rFonts w:ascii="Times New Roman" w:hAnsi="Times New Roman" w:cs="Times New Roman" w:eastAsia="Times New Roman" w:hint="default"/>
          <w:spacing w:val="11"/>
          <w:w w:val="99"/>
          <w:sz w:val="24"/>
          <w:szCs w:val="24"/>
        </w:rPr>
        <w:t> </w:t>
      </w:r>
      <w:r>
        <w:rPr>
          <w:rFonts w:ascii="宋体" w:hAnsi="宋体" w:cs="宋体" w:eastAsia="宋体" w:hint="default"/>
          <w:sz w:val="24"/>
          <w:szCs w:val="24"/>
        </w:rPr>
        <w:t>收单市场是</w:t>
      </w:r>
    </w:p>
    <w:p>
      <w:pPr>
        <w:pStyle w:val="BodyText"/>
        <w:spacing w:line="350" w:lineRule="auto" w:before="27"/>
        <w:ind w:right="296"/>
        <w:jc w:val="both"/>
      </w:pPr>
      <w:r>
        <w:rPr/>
        <w:t>目前我国金融服务业中的新兴领域。为了吸引商户储蓄，扩大储蓄规模，支持信 </w:t>
      </w:r>
      <w:r>
        <w:rPr>
          <w:spacing w:val="-6"/>
        </w:rPr>
        <w:t>用卡业务发展，获得信用卡的规模效益，商业银行开始从战略层面的高度重视</w:t>
      </w:r>
      <w:r>
        <w:rPr>
          <w:spacing w:val="-53"/>
        </w:rPr>
        <w:t> </w:t>
      </w:r>
      <w:r>
        <w:rPr>
          <w:rFonts w:ascii="Times New Roman" w:hAnsi="Times New Roman" w:cs="Times New Roman" w:eastAsia="Times New Roman" w:hint="default"/>
          <w:w w:val="99"/>
        </w:rPr>
        <w:t>POS </w:t>
      </w:r>
      <w:r>
        <w:rPr/>
        <w:t>收单业务，加大了收单市场的投入力度。近年来，建设银行、招商银行、农业银 行等将收单业务与信用卡业务绑定，实现信用卡发卡与商户收单一体化运营。</w:t>
      </w:r>
    </w:p>
    <w:p>
      <w:pPr>
        <w:pStyle w:val="BodyText"/>
        <w:spacing w:line="352" w:lineRule="auto" w:before="44"/>
        <w:ind w:right="167" w:firstLine="479"/>
        <w:jc w:val="left"/>
      </w:pPr>
      <w:r>
        <w:rPr>
          <w:spacing w:val="-2"/>
        </w:rPr>
        <w:t>与此同时，各种社会力量也都希望进入收单领域，参与银行刷卡手续费分成。</w:t>
      </w:r>
      <w:r>
        <w:rPr/>
        <w:t> 中国人民银行</w:t>
      </w:r>
      <w:r>
        <w:rPr>
          <w:spacing w:val="-50"/>
        </w:rPr>
        <w:t> </w:t>
      </w:r>
      <w:r>
        <w:rPr>
          <w:rFonts w:ascii="Times New Roman" w:hAnsi="Times New Roman" w:cs="Times New Roman" w:eastAsia="Times New Roman" w:hint="default"/>
        </w:rPr>
        <w:t>126</w:t>
      </w:r>
      <w:r>
        <w:rPr>
          <w:rFonts w:ascii="Times New Roman" w:hAnsi="Times New Roman" w:cs="Times New Roman" w:eastAsia="Times New Roman" w:hint="default"/>
          <w:spacing w:val="11"/>
        </w:rPr>
        <w:t> </w:t>
      </w:r>
      <w:r>
        <w:rPr>
          <w:spacing w:val="-3"/>
        </w:rPr>
        <w:t>号文批复的《中国银联入网机构银行卡跨行交易收益分配办法》</w:t>
      </w:r>
      <w:r>
        <w:rPr/>
        <w:t> 规定了发卡银行交换费和中国银联转接服务费标准，同时放开收单服务费标准， 完全由市场定价。随着国内银行卡刷卡消费金额的快速增长，收单服务市场受到 各种社会力量的关注。随着商业银行对收单市场的重视，价格战成为重要的市场 竞争手段。</w:t>
      </w:r>
    </w:p>
    <w:p>
      <w:pPr>
        <w:pStyle w:val="BodyText"/>
        <w:spacing w:line="357" w:lineRule="auto" w:before="41"/>
        <w:ind w:right="360" w:firstLine="479"/>
        <w:jc w:val="both"/>
      </w:pPr>
      <w:r>
        <w:rPr/>
        <w:t>为了避免单纯的价格战争，实现差异化竞争，一些收单机构开始重视增值服 务，如向商户和持卡人提供信用卡分期付款业务。相对日常消费而言，耐用消费 品对消费者的购买力要求较高，通过银行卡分期付款业务，有效促进了耐用消费 品商户的销售额增长。</w:t>
      </w:r>
    </w:p>
    <w:p>
      <w:pPr>
        <w:pStyle w:val="BodyText"/>
        <w:spacing w:line="348" w:lineRule="auto" w:before="36"/>
        <w:ind w:right="299" w:firstLine="479"/>
        <w:jc w:val="both"/>
      </w:pPr>
      <w:r>
        <w:rPr>
          <w:spacing w:val="-3"/>
        </w:rPr>
        <w:t>但总体而言，我国的</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收单市场还处于商户占有数量争夺的粗放式扩张阶 段，市场竞争行为存在简单化、同质化的特点，增值服务尤其是个性化、定制化 的增值服务相对较少。</w:t>
      </w:r>
    </w:p>
    <w:p>
      <w:pPr>
        <w:spacing w:line="240" w:lineRule="auto" w:before="4"/>
        <w:rPr>
          <w:rFonts w:ascii="宋体" w:hAnsi="宋体" w:cs="宋体" w:eastAsia="宋体" w:hint="default"/>
          <w:sz w:val="26"/>
          <w:szCs w:val="26"/>
        </w:rPr>
      </w:pPr>
    </w:p>
    <w:p>
      <w:pPr>
        <w:pStyle w:val="Heading6"/>
        <w:spacing w:line="240" w:lineRule="auto"/>
        <w:ind w:right="0"/>
        <w:jc w:val="both"/>
        <w:rPr>
          <w:b w:val="0"/>
          <w:bCs w:val="0"/>
        </w:rPr>
      </w:pPr>
      <w:r>
        <w:rPr/>
        <w:t>（二）公司面临的市场格局</w:t>
      </w:r>
      <w:r>
        <w:rPr>
          <w:b w:val="0"/>
          <w:bCs w:val="0"/>
        </w:rPr>
      </w:r>
    </w:p>
    <w:p>
      <w:pPr>
        <w:spacing w:line="760" w:lineRule="atLeast" w:before="52"/>
        <w:ind w:left="621" w:right="133"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、我国金融</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POS </w:t>
      </w:r>
      <w:r>
        <w:rPr>
          <w:rFonts w:ascii="宋体" w:hAnsi="宋体" w:cs="宋体" w:eastAsia="宋体" w:hint="default"/>
          <w:b/>
          <w:bCs/>
          <w:sz w:val="24"/>
          <w:szCs w:val="24"/>
        </w:rPr>
        <w:t>机市场结构</w:t>
      </w:r>
      <w:r>
        <w:rPr>
          <w:rFonts w:ascii="宋体" w:hAnsi="宋体" w:cs="宋体" w:eastAsia="宋体" w:hint="default"/>
          <w:b/>
          <w:bCs/>
          <w:w w:val="99"/>
          <w:sz w:val="24"/>
          <w:szCs w:val="24"/>
        </w:rPr>
        <w:t> </w:t>
      </w:r>
      <w:r>
        <w:rPr>
          <w:rFonts w:ascii="宋体" w:hAnsi="宋体" w:cs="宋体" w:eastAsia="宋体" w:hint="default"/>
          <w:spacing w:val="-6"/>
          <w:w w:val="99"/>
          <w:sz w:val="24"/>
          <w:szCs w:val="24"/>
        </w:rPr>
        <w:t>根据《中国银行卡产业发展研究报告（</w:t>
      </w:r>
      <w:r>
        <w:rPr>
          <w:rFonts w:ascii="Times New Roman" w:hAnsi="Times New Roman" w:cs="Times New Roman" w:eastAsia="Times New Roman" w:hint="default"/>
          <w:spacing w:val="-6"/>
          <w:w w:val="99"/>
          <w:sz w:val="24"/>
          <w:szCs w:val="24"/>
        </w:rPr>
        <w:t>2009</w:t>
      </w:r>
      <w:r>
        <w:rPr>
          <w:rFonts w:ascii="宋体" w:hAnsi="宋体" w:cs="宋体" w:eastAsia="宋体" w:hint="default"/>
          <w:spacing w:val="-6"/>
          <w:w w:val="99"/>
          <w:sz w:val="24"/>
          <w:szCs w:val="24"/>
        </w:rPr>
        <w:t>）》显示，虽然我国联网</w:t>
      </w:r>
      <w:r>
        <w:rPr>
          <w:rFonts w:ascii="Times New Roman" w:hAnsi="Times New Roman" w:cs="Times New Roman" w:eastAsia="Times New Roman" w:hint="default"/>
          <w:spacing w:val="-6"/>
          <w:w w:val="99"/>
          <w:sz w:val="24"/>
          <w:szCs w:val="24"/>
        </w:rPr>
        <w:t>POS</w:t>
      </w:r>
      <w:r>
        <w:rPr>
          <w:rFonts w:ascii="宋体" w:hAnsi="宋体" w:cs="宋体" w:eastAsia="宋体" w:hint="default"/>
          <w:spacing w:val="-6"/>
          <w:w w:val="99"/>
          <w:sz w:val="24"/>
          <w:szCs w:val="24"/>
        </w:rPr>
        <w:t>终端数</w:t>
      </w:r>
    </w:p>
    <w:p>
      <w:pPr>
        <w:pStyle w:val="BodyText"/>
        <w:spacing w:line="348" w:lineRule="auto" w:before="135"/>
        <w:ind w:right="146"/>
        <w:jc w:val="both"/>
      </w:pPr>
      <w:r>
        <w:rPr>
          <w:spacing w:val="-1"/>
        </w:rPr>
        <w:t>量增长迅速，国内受理市场建设取得长足的进步，但是由于我国经济发展区域不平</w:t>
      </w:r>
      <w:r>
        <w:rPr>
          <w:spacing w:val="-108"/>
        </w:rPr>
        <w:t> </w:t>
      </w:r>
      <w:r>
        <w:rPr>
          <w:spacing w:val="-108"/>
        </w:rPr>
      </w:r>
      <w:r>
        <w:rPr/>
        <w:t>衡的特点决定，从</w:t>
      </w:r>
      <w:r>
        <w:rPr>
          <w:rFonts w:ascii="Times New Roman" w:hAnsi="Times New Roman" w:cs="Times New Roman" w:eastAsia="Times New Roman" w:hint="default"/>
        </w:rPr>
        <w:t>POS</w:t>
      </w:r>
      <w:r>
        <w:rPr/>
        <w:t>终端的区域分布、受理商户的区域分布可以看出，我国受理 市场同样存在区域不平衡的特点。</w:t>
      </w:r>
    </w:p>
    <w:p>
      <w:pPr>
        <w:pStyle w:val="BodyText"/>
        <w:spacing w:line="240" w:lineRule="auto" w:before="86"/>
        <w:ind w:left="621" w:right="176"/>
        <w:jc w:val="left"/>
      </w:pPr>
      <w:r>
        <w:rPr/>
        <w:t>根据《中国银行卡产业发展研究报告（</w:t>
      </w:r>
      <w:r>
        <w:rPr>
          <w:rFonts w:ascii="Times New Roman" w:hAnsi="Times New Roman" w:cs="Times New Roman" w:eastAsia="Times New Roman" w:hint="default"/>
        </w:rPr>
        <w:t>2009</w:t>
      </w:r>
      <w:r>
        <w:rPr>
          <w:spacing w:val="-120"/>
        </w:rPr>
        <w:t>）</w:t>
      </w:r>
      <w:r>
        <w:rPr/>
        <w:t>》显示，截至</w:t>
      </w:r>
      <w:r>
        <w:rPr>
          <w:rFonts w:ascii="Times New Roman" w:hAnsi="Times New Roman" w:cs="Times New Roman" w:eastAsia="Times New Roman" w:hint="default"/>
        </w:rPr>
        <w:t>2008</w:t>
      </w:r>
      <w:r>
        <w:rPr/>
        <w:t>年，北京、广</w:t>
      </w:r>
    </w:p>
    <w:p>
      <w:pPr>
        <w:spacing w:after="0" w:line="240" w:lineRule="auto"/>
        <w:jc w:val="left"/>
        <w:sectPr>
          <w:pgSz w:w="11910" w:h="16840"/>
          <w:pgMar w:header="877" w:footer="1267" w:top="1060" w:bottom="1460" w:left="1560" w:right="1440"/>
        </w:sectPr>
      </w:pPr>
    </w:p>
    <w:p>
      <w:pPr>
        <w:pStyle w:val="BodyText"/>
        <w:spacing w:line="343" w:lineRule="auto" w:before="104"/>
        <w:ind w:right="104"/>
        <w:jc w:val="left"/>
      </w:pPr>
      <w:r>
        <w:rPr>
          <w:spacing w:val="-8"/>
        </w:rPr>
        <w:t>东（不含深圳）、上海、江苏、浙江（不含宁波）、山东（不含青岛）等经济发达地</w:t>
      </w:r>
      <w:r>
        <w:rPr>
          <w:spacing w:val="-91"/>
        </w:rPr>
        <w:t> </w:t>
      </w:r>
      <w:r>
        <w:rPr>
          <w:spacing w:val="-91"/>
        </w:rPr>
      </w:r>
      <w:r>
        <w:rPr/>
        <w:t>区的</w:t>
      </w:r>
      <w:r>
        <w:rPr>
          <w:rFonts w:ascii="Times New Roman" w:hAnsi="Times New Roman" w:cs="Times New Roman" w:eastAsia="Times New Roman" w:hint="default"/>
        </w:rPr>
        <w:t>POS</w:t>
      </w:r>
      <w:r>
        <w:rPr/>
        <w:t>终端拥有量、受理商户数量均位居前列。其中，由于北京奥运会的推动， 北京</w:t>
      </w:r>
      <w:r>
        <w:rPr>
          <w:rFonts w:ascii="Times New Roman" w:hAnsi="Times New Roman" w:cs="Times New Roman" w:eastAsia="Times New Roman" w:hint="default"/>
        </w:rPr>
        <w:t>POS</w:t>
      </w:r>
      <w:r>
        <w:rPr/>
        <w:t>终端总量、受理商户数量均居全国首位，分别为</w:t>
      </w:r>
      <w:r>
        <w:rPr>
          <w:rFonts w:ascii="Times New Roman" w:hAnsi="Times New Roman" w:cs="Times New Roman" w:eastAsia="Times New Roman" w:hint="default"/>
        </w:rPr>
        <w:t>19.5</w:t>
      </w:r>
      <w:r>
        <w:rPr/>
        <w:t>万台、</w:t>
      </w:r>
      <w:r>
        <w:rPr>
          <w:rFonts w:ascii="Times New Roman" w:hAnsi="Times New Roman" w:cs="Times New Roman" w:eastAsia="Times New Roman" w:hint="default"/>
        </w:rPr>
        <w:t>12.89</w:t>
      </w:r>
      <w:r>
        <w:rPr/>
        <w:t>万户。广 </w:t>
      </w:r>
      <w:r>
        <w:rPr>
          <w:spacing w:val="-11"/>
          <w:w w:val="99"/>
        </w:rPr>
        <w:t>东（不含深圳）、上海、江苏的</w:t>
      </w:r>
      <w:r>
        <w:rPr>
          <w:rFonts w:ascii="Times New Roman" w:hAnsi="Times New Roman" w:cs="Times New Roman" w:eastAsia="Times New Roman" w:hint="default"/>
          <w:spacing w:val="-11"/>
          <w:w w:val="99"/>
        </w:rPr>
        <w:t>POS</w:t>
      </w:r>
      <w:r>
        <w:rPr>
          <w:spacing w:val="-11"/>
          <w:w w:val="99"/>
        </w:rPr>
        <w:t>终端总量在</w:t>
      </w:r>
      <w:r>
        <w:rPr>
          <w:rFonts w:ascii="Times New Roman" w:hAnsi="Times New Roman" w:cs="Times New Roman" w:eastAsia="Times New Roman" w:hint="default"/>
          <w:spacing w:val="-11"/>
          <w:w w:val="99"/>
        </w:rPr>
        <w:t>10-15</w:t>
      </w:r>
      <w:r>
        <w:rPr>
          <w:spacing w:val="-11"/>
          <w:w w:val="99"/>
        </w:rPr>
        <w:t>万台，北京、广东（不含深圳）、</w:t>
      </w:r>
      <w:r>
        <w:rPr>
          <w:spacing w:val="-85"/>
          <w:w w:val="99"/>
        </w:rPr>
        <w:t> </w:t>
      </w:r>
      <w:r>
        <w:rPr>
          <w:spacing w:val="-85"/>
          <w:w w:val="99"/>
        </w:rPr>
      </w:r>
      <w:r>
        <w:rPr/>
        <w:t>上海、江苏四个地区的</w:t>
      </w:r>
      <w:r>
        <w:rPr>
          <w:rFonts w:ascii="Times New Roman" w:hAnsi="Times New Roman" w:cs="Times New Roman" w:eastAsia="Times New Roman" w:hint="default"/>
        </w:rPr>
        <w:t>POS</w:t>
      </w:r>
      <w:r>
        <w:rPr/>
        <w:t>总量站到全国总量的</w:t>
      </w:r>
      <w:r>
        <w:rPr>
          <w:rFonts w:ascii="Times New Roman" w:hAnsi="Times New Roman" w:cs="Times New Roman" w:eastAsia="Times New Roman" w:hint="default"/>
        </w:rPr>
        <w:t>36%</w:t>
      </w:r>
      <w:r>
        <w:rPr/>
        <w:t>。山东、湖北、天津、四川、 </w:t>
      </w:r>
      <w:r>
        <w:rPr>
          <w:spacing w:val="-5"/>
          <w:w w:val="99"/>
        </w:rPr>
        <w:t>河南、福建（不含厦门）、深圳和湖南的</w:t>
      </w:r>
      <w:r>
        <w:rPr>
          <w:rFonts w:ascii="Times New Roman" w:hAnsi="Times New Roman" w:cs="Times New Roman" w:eastAsia="Times New Roman" w:hint="default"/>
          <w:spacing w:val="-5"/>
          <w:w w:val="99"/>
        </w:rPr>
        <w:t>POS</w:t>
      </w:r>
      <w:r>
        <w:rPr>
          <w:spacing w:val="-5"/>
          <w:w w:val="99"/>
        </w:rPr>
        <w:t>终端拥有量则在</w:t>
      </w:r>
      <w:r>
        <w:rPr>
          <w:rFonts w:ascii="Times New Roman" w:hAnsi="Times New Roman" w:cs="Times New Roman" w:eastAsia="Times New Roman" w:hint="default"/>
          <w:spacing w:val="-5"/>
          <w:w w:val="99"/>
        </w:rPr>
        <w:t>5-10</w:t>
      </w:r>
      <w:r>
        <w:rPr>
          <w:spacing w:val="-5"/>
          <w:w w:val="99"/>
        </w:rPr>
        <w:t>万台。而广东（不</w:t>
      </w:r>
      <w:r>
        <w:rPr>
          <w:spacing w:val="-103"/>
          <w:w w:val="99"/>
        </w:rPr>
        <w:t> </w:t>
      </w:r>
      <w:r>
        <w:rPr>
          <w:spacing w:val="-103"/>
          <w:w w:val="99"/>
        </w:rPr>
      </w:r>
      <w:r>
        <w:rPr>
          <w:spacing w:val="-10"/>
        </w:rPr>
        <w:t>含深圳）、江苏、上海、山东（不含青岛）、浙江（不含宁波）、湖北的特约商户总</w:t>
      </w:r>
      <w:r>
        <w:rPr>
          <w:spacing w:val="-110"/>
        </w:rPr>
        <w:t> </w:t>
      </w:r>
      <w:r>
        <w:rPr>
          <w:spacing w:val="-110"/>
        </w:rPr>
      </w:r>
      <w:r>
        <w:rPr/>
        <w:t>量在</w:t>
      </w:r>
      <w:r>
        <w:rPr>
          <w:rFonts w:ascii="Times New Roman" w:hAnsi="Times New Roman" w:cs="Times New Roman" w:eastAsia="Times New Roman" w:hint="default"/>
        </w:rPr>
        <w:t>5-10</w:t>
      </w:r>
      <w:r>
        <w:rPr/>
        <w:t>万户，加上北京，这七个地区的特约商户总量占全国总量的</w:t>
      </w:r>
      <w:r>
        <w:rPr>
          <w:rFonts w:ascii="Times New Roman" w:hAnsi="Times New Roman" w:cs="Times New Roman" w:eastAsia="Times New Roman" w:hint="default"/>
        </w:rPr>
        <w:t>46%</w:t>
      </w:r>
      <w:r>
        <w:rPr/>
        <w:t>。</w:t>
      </w:r>
    </w:p>
    <w:p>
      <w:pPr>
        <w:pStyle w:val="BodyText"/>
        <w:spacing w:line="338" w:lineRule="auto" w:before="63"/>
        <w:ind w:right="240" w:firstLine="479"/>
        <w:jc w:val="both"/>
      </w:pPr>
      <w:r>
        <w:rPr/>
        <w:t>从</w:t>
      </w:r>
      <w:r>
        <w:rPr>
          <w:rFonts w:ascii="Times New Roman" w:hAnsi="Times New Roman" w:cs="Times New Roman" w:eastAsia="Times New Roman" w:hint="default"/>
        </w:rPr>
        <w:t>POS</w:t>
      </w:r>
      <w:r>
        <w:rPr/>
        <w:t>终端、受理商户总量的增长速度来看，贵州、吉林、江西、陕西和内蒙 古的位列前五，其</w:t>
      </w:r>
      <w:r>
        <w:rPr>
          <w:rFonts w:ascii="Times New Roman" w:hAnsi="Times New Roman" w:cs="Times New Roman" w:eastAsia="Times New Roman" w:hint="default"/>
        </w:rPr>
        <w:t>POS</w:t>
      </w:r>
      <w:r>
        <w:rPr/>
        <w:t>终端增长率均超过</w:t>
      </w:r>
      <w:r>
        <w:rPr>
          <w:rFonts w:ascii="Times New Roman" w:hAnsi="Times New Roman" w:cs="Times New Roman" w:eastAsia="Times New Roman" w:hint="default"/>
        </w:rPr>
        <w:t>120%</w:t>
      </w:r>
      <w:r>
        <w:rPr/>
        <w:t>，商户总量增长率均超过</w:t>
      </w:r>
      <w:r>
        <w:rPr>
          <w:rFonts w:ascii="Times New Roman" w:hAnsi="Times New Roman" w:cs="Times New Roman" w:eastAsia="Times New Roman" w:hint="default"/>
        </w:rPr>
        <w:t>100%</w:t>
      </w:r>
      <w:r>
        <w:rPr/>
        <w:t>，其 中以贵州增长率最高，</w:t>
      </w:r>
      <w:r>
        <w:rPr>
          <w:rFonts w:ascii="Times New Roman" w:hAnsi="Times New Roman" w:cs="Times New Roman" w:eastAsia="Times New Roman" w:hint="default"/>
        </w:rPr>
        <w:t>POS</w:t>
      </w:r>
      <w:r>
        <w:rPr/>
        <w:t>终端增长率达</w:t>
      </w:r>
      <w:r>
        <w:rPr>
          <w:rFonts w:ascii="Times New Roman" w:hAnsi="Times New Roman" w:cs="Times New Roman" w:eastAsia="Times New Roman" w:hint="default"/>
        </w:rPr>
        <w:t>329.7%</w:t>
      </w:r>
      <w:r>
        <w:rPr/>
        <w:t>，商户增长率高达</w:t>
      </w:r>
      <w:r>
        <w:rPr>
          <w:rFonts w:ascii="Times New Roman" w:hAnsi="Times New Roman" w:cs="Times New Roman" w:eastAsia="Times New Roman" w:hint="default"/>
        </w:rPr>
        <w:t>444.1%</w:t>
      </w:r>
      <w:r>
        <w:rPr/>
        <w:t>。</w:t>
      </w:r>
    </w:p>
    <w:p>
      <w:pPr>
        <w:pStyle w:val="BodyText"/>
        <w:spacing w:line="343" w:lineRule="auto" w:before="67"/>
        <w:ind w:right="219" w:firstLine="479"/>
        <w:jc w:val="left"/>
      </w:pPr>
      <w:r>
        <w:rPr>
          <w:spacing w:val="-1"/>
        </w:rPr>
        <w:t>此外，我国受理市场东部地区远远超过中部和西部地区，但中西部地区增长势</w:t>
      </w:r>
      <w:r>
        <w:rPr/>
        <w:t> 头迅猛。</w:t>
      </w:r>
      <w:r>
        <w:rPr>
          <w:rFonts w:ascii="Times New Roman" w:hAnsi="Times New Roman" w:cs="Times New Roman" w:eastAsia="Times New Roman" w:hint="default"/>
        </w:rPr>
        <w:t>2008</w:t>
      </w:r>
      <w:r>
        <w:rPr/>
        <w:t>年末，我国东部地区</w:t>
      </w:r>
      <w:r>
        <w:rPr>
          <w:rFonts w:ascii="Times New Roman" w:hAnsi="Times New Roman" w:cs="Times New Roman" w:eastAsia="Times New Roman" w:hint="default"/>
        </w:rPr>
        <w:t>POS</w:t>
      </w:r>
      <w:r>
        <w:rPr/>
        <w:t>终端总量占全国的</w:t>
      </w:r>
      <w:r>
        <w:rPr>
          <w:rFonts w:ascii="Times New Roman" w:hAnsi="Times New Roman" w:cs="Times New Roman" w:eastAsia="Times New Roman" w:hint="default"/>
        </w:rPr>
        <w:t>70.8%</w:t>
      </w:r>
      <w:r>
        <w:rPr/>
        <w:t>，中部地区只有 </w:t>
      </w:r>
      <w:r>
        <w:rPr>
          <w:rFonts w:ascii="Times New Roman" w:hAnsi="Times New Roman" w:cs="Times New Roman" w:eastAsia="Times New Roman" w:hint="default"/>
          <w:spacing w:val="-3"/>
        </w:rPr>
        <w:t>15.7%</w:t>
      </w:r>
      <w:r>
        <w:rPr>
          <w:spacing w:val="-3"/>
        </w:rPr>
        <w:t>、西部地区仅</w:t>
      </w:r>
      <w:r>
        <w:rPr>
          <w:rFonts w:ascii="Times New Roman" w:hAnsi="Times New Roman" w:cs="Times New Roman" w:eastAsia="Times New Roman" w:hint="default"/>
          <w:spacing w:val="-3"/>
        </w:rPr>
        <w:t>13.5%</w:t>
      </w:r>
      <w:r>
        <w:rPr>
          <w:spacing w:val="-3"/>
        </w:rPr>
        <w:t>，特约商户东部地区占</w:t>
      </w:r>
      <w:r>
        <w:rPr>
          <w:rFonts w:ascii="Times New Roman" w:hAnsi="Times New Roman" w:cs="Times New Roman" w:eastAsia="Times New Roman" w:hint="default"/>
          <w:spacing w:val="-3"/>
        </w:rPr>
        <w:t>67.9%</w:t>
      </w:r>
      <w:r>
        <w:rPr>
          <w:spacing w:val="-3"/>
        </w:rPr>
        <w:t>、中部地区占</w:t>
      </w:r>
      <w:r>
        <w:rPr>
          <w:rFonts w:ascii="Times New Roman" w:hAnsi="Times New Roman" w:cs="Times New Roman" w:eastAsia="Times New Roman" w:hint="default"/>
          <w:spacing w:val="-3"/>
        </w:rPr>
        <w:t>17.9%</w:t>
      </w:r>
      <w:r>
        <w:rPr>
          <w:spacing w:val="-3"/>
        </w:rPr>
        <w:t>、西部地</w:t>
      </w:r>
      <w:r>
        <w:rPr>
          <w:spacing w:val="-91"/>
        </w:rPr>
        <w:t> </w:t>
      </w:r>
      <w:r>
        <w:rPr>
          <w:spacing w:val="-91"/>
        </w:rPr>
      </w:r>
      <w:r>
        <w:rPr/>
        <w:t>区占</w:t>
      </w:r>
      <w:r>
        <w:rPr>
          <w:rFonts w:ascii="Times New Roman" w:hAnsi="Times New Roman" w:cs="Times New Roman" w:eastAsia="Times New Roman" w:hint="default"/>
        </w:rPr>
        <w:t>14.2%</w:t>
      </w:r>
      <w:r>
        <w:rPr/>
        <w:t>。而从</w:t>
      </w:r>
      <w:r>
        <w:rPr>
          <w:rFonts w:ascii="Times New Roman" w:hAnsi="Times New Roman" w:cs="Times New Roman" w:eastAsia="Times New Roman" w:hint="default"/>
        </w:rPr>
        <w:t>POS</w:t>
      </w:r>
      <w:r>
        <w:rPr/>
        <w:t>终端总量增长速度上来看，</w:t>
      </w:r>
      <w:r>
        <w:rPr>
          <w:rFonts w:ascii="Times New Roman" w:hAnsi="Times New Roman" w:cs="Times New Roman" w:eastAsia="Times New Roman" w:hint="default"/>
        </w:rPr>
        <w:t>2008</w:t>
      </w:r>
      <w:r>
        <w:rPr/>
        <w:t>年东部地区为</w:t>
      </w:r>
      <w:r>
        <w:rPr>
          <w:rFonts w:ascii="Times New Roman" w:hAnsi="Times New Roman" w:cs="Times New Roman" w:eastAsia="Times New Roman" w:hint="default"/>
        </w:rPr>
        <w:t>54.62%</w:t>
      </w:r>
      <w:r>
        <w:rPr/>
        <w:t>，中部 地区则为</w:t>
      </w:r>
      <w:r>
        <w:rPr>
          <w:rFonts w:ascii="Times New Roman" w:hAnsi="Times New Roman" w:cs="Times New Roman" w:eastAsia="Times New Roman" w:hint="default"/>
        </w:rPr>
        <w:t>84.09%</w:t>
      </w:r>
      <w:r>
        <w:rPr/>
        <w:t>，西部地区达到</w:t>
      </w:r>
      <w:r>
        <w:rPr>
          <w:rFonts w:ascii="Times New Roman" w:hAnsi="Times New Roman" w:cs="Times New Roman" w:eastAsia="Times New Roman" w:hint="default"/>
        </w:rPr>
        <w:t>97.64%</w:t>
      </w:r>
      <w:r>
        <w:rPr/>
        <w:t>。</w:t>
      </w:r>
    </w:p>
    <w:p>
      <w:pPr>
        <w:spacing w:line="240" w:lineRule="auto" w:before="11"/>
        <w:rPr>
          <w:rFonts w:ascii="宋体" w:hAnsi="宋体" w:cs="宋体" w:eastAsia="宋体" w:hint="default"/>
          <w:sz w:val="23"/>
          <w:szCs w:val="23"/>
        </w:rPr>
      </w:pPr>
    </w:p>
    <w:p>
      <w:pPr>
        <w:pStyle w:val="Heading6"/>
        <w:spacing w:line="240" w:lineRule="auto"/>
        <w:ind w:right="219"/>
        <w:jc w:val="left"/>
        <w:rPr>
          <w:b w:val="0"/>
          <w:bCs w:val="0"/>
        </w:rPr>
      </w:pPr>
      <w:r>
        <w:rPr>
          <w:rFonts w:ascii="Times New Roman" w:hAnsi="Times New Roman" w:cs="Times New Roman" w:eastAsia="Times New Roman" w:hint="default"/>
        </w:rPr>
        <w:t>2</w:t>
      </w:r>
      <w:r>
        <w:rPr/>
        <w:t>、我国金融</w:t>
      </w:r>
      <w:r>
        <w:rPr>
          <w:spacing w:val="-63"/>
        </w:rPr>
        <w:t> </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机市场竞争格局</w:t>
      </w:r>
      <w:r>
        <w:rPr>
          <w:b w:val="0"/>
          <w:bCs w:val="0"/>
        </w:rPr>
      </w:r>
    </w:p>
    <w:p>
      <w:pPr>
        <w:spacing w:line="240" w:lineRule="auto" w:before="4"/>
        <w:rPr>
          <w:rFonts w:ascii="宋体" w:hAnsi="宋体" w:cs="宋体" w:eastAsia="宋体" w:hint="default"/>
          <w:b/>
          <w:bCs/>
          <w:sz w:val="33"/>
          <w:szCs w:val="33"/>
        </w:rPr>
      </w:pPr>
    </w:p>
    <w:p>
      <w:pPr>
        <w:pStyle w:val="BodyText"/>
        <w:spacing w:line="343" w:lineRule="auto"/>
        <w:ind w:right="380" w:firstLine="470"/>
        <w:jc w:val="both"/>
      </w:pPr>
      <w:r>
        <w:rPr/>
        <w:t>由于</w:t>
      </w:r>
      <w:r>
        <w:rPr>
          <w:spacing w:val="-65"/>
        </w:rPr>
        <w:t> </w:t>
      </w:r>
      <w:r>
        <w:rPr>
          <w:rFonts w:ascii="Times New Roman" w:hAnsi="Times New Roman" w:cs="Times New Roman" w:eastAsia="Times New Roman" w:hint="default"/>
        </w:rPr>
        <w:t>POS</w:t>
      </w:r>
      <w:r>
        <w:rPr>
          <w:rFonts w:ascii="Times New Roman" w:hAnsi="Times New Roman" w:cs="Times New Roman" w:eastAsia="Times New Roman" w:hint="default"/>
          <w:spacing w:val="-5"/>
        </w:rPr>
        <w:t> </w:t>
      </w:r>
      <w:r>
        <w:rPr/>
        <w:t>终端涉及金融支付安全，中国人民银行及中国银联制定严格的行业 标准和规范，同时国际银行卡组织和相关机构也对</w:t>
      </w:r>
      <w:r>
        <w:rPr>
          <w:spacing w:val="-70"/>
        </w:rPr>
        <w:t>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终端制定了严格的认证标 准，形成了较高的市场准入门槛，因此，我国</w:t>
      </w:r>
      <w:r>
        <w:rPr>
          <w:spacing w:val="-69"/>
        </w:rPr>
        <w:t> </w:t>
      </w:r>
      <w:r>
        <w:rPr>
          <w:rFonts w:ascii="Times New Roman" w:hAnsi="Times New Roman" w:cs="Times New Roman" w:eastAsia="Times New Roman" w:hint="default"/>
        </w:rPr>
        <w:t>POS</w:t>
      </w:r>
      <w:r>
        <w:rPr>
          <w:rFonts w:ascii="Times New Roman" w:hAnsi="Times New Roman" w:cs="Times New Roman" w:eastAsia="Times New Roman" w:hint="default"/>
          <w:spacing w:val="-11"/>
        </w:rPr>
        <w:t> </w:t>
      </w:r>
      <w:r>
        <w:rPr/>
        <w:t>终端制造行业已初步形成了相 对封闭的寡头市场格局，市场集中度较高。从主要收单机构银联商务的招标情况</w:t>
      </w:r>
      <w:r>
        <w:rPr>
          <w:spacing w:val="-67"/>
        </w:rPr>
        <w:t> </w:t>
      </w:r>
      <w:r>
        <w:rPr>
          <w:spacing w:val="-67"/>
        </w:rPr>
      </w:r>
      <w:r>
        <w:rPr/>
        <w:t>来看，近三年的入围企业基本未发生重大变化。</w:t>
      </w:r>
    </w:p>
    <w:p>
      <w:pPr>
        <w:pStyle w:val="BodyText"/>
        <w:spacing w:line="338" w:lineRule="auto" w:before="91"/>
        <w:ind w:right="379" w:firstLine="479"/>
        <w:jc w:val="both"/>
      </w:pPr>
      <w:r>
        <w:rPr/>
        <w:t>目前，国内以金融</w:t>
      </w:r>
      <w:r>
        <w:rPr>
          <w:spacing w:val="-7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1"/>
        </w:rPr>
        <w:t> </w:t>
      </w:r>
      <w:r>
        <w:rPr/>
        <w:t>机为技术载体，从事电子支付技术服务开发、销售和 </w:t>
      </w:r>
      <w:r>
        <w:rPr>
          <w:spacing w:val="-5"/>
          <w:w w:val="100"/>
        </w:rPr>
        <w:t>运营的主流厂商有百富计算机技术（深圳）有限公司（以下简称</w:t>
      </w:r>
      <w:r>
        <w:rPr>
          <w:rFonts w:ascii="Times New Roman" w:hAnsi="Times New Roman" w:cs="Times New Roman" w:eastAsia="Times New Roman" w:hint="default"/>
          <w:spacing w:val="-5"/>
          <w:w w:val="100"/>
        </w:rPr>
        <w:t>“</w:t>
      </w:r>
      <w:r>
        <w:rPr>
          <w:spacing w:val="-5"/>
          <w:w w:val="100"/>
        </w:rPr>
        <w:t>深圳百富</w:t>
      </w:r>
      <w:r>
        <w:rPr>
          <w:rFonts w:ascii="Times New Roman" w:hAnsi="Times New Roman" w:cs="Times New Roman" w:eastAsia="Times New Roman" w:hint="default"/>
          <w:spacing w:val="-5"/>
          <w:w w:val="100"/>
        </w:rPr>
        <w:t>”</w:t>
      </w:r>
      <w:r>
        <w:rPr>
          <w:spacing w:val="-5"/>
          <w:w w:val="100"/>
        </w:rPr>
        <w:t>）、新</w:t>
      </w:r>
      <w:r>
        <w:rPr>
          <w:spacing w:val="-93"/>
          <w:w w:val="100"/>
        </w:rPr>
        <w:t> </w:t>
      </w:r>
      <w:r>
        <w:rPr>
          <w:spacing w:val="-93"/>
          <w:w w:val="100"/>
        </w:rPr>
      </w:r>
      <w:r>
        <w:rPr>
          <w:spacing w:val="-5"/>
          <w:w w:val="100"/>
        </w:rPr>
        <w:t>国都、惠尔丰电子（北京）有限公司（以下简称</w:t>
      </w:r>
      <w:r>
        <w:rPr>
          <w:rFonts w:ascii="Times New Roman" w:hAnsi="Times New Roman" w:cs="Times New Roman" w:eastAsia="Times New Roman" w:hint="default"/>
          <w:spacing w:val="-5"/>
          <w:w w:val="100"/>
        </w:rPr>
        <w:t>“</w:t>
      </w:r>
      <w:r>
        <w:rPr>
          <w:spacing w:val="-5"/>
          <w:w w:val="100"/>
        </w:rPr>
        <w:t>惠尔丰</w:t>
      </w:r>
      <w:r>
        <w:rPr>
          <w:rFonts w:ascii="Times New Roman" w:hAnsi="Times New Roman" w:cs="Times New Roman" w:eastAsia="Times New Roman" w:hint="default"/>
          <w:spacing w:val="-5"/>
          <w:w w:val="100"/>
        </w:rPr>
        <w:t>”</w:t>
      </w:r>
      <w:r>
        <w:rPr>
          <w:spacing w:val="-5"/>
          <w:w w:val="100"/>
        </w:rPr>
        <w:t>）、福建联迪商用设备有</w:t>
      </w:r>
      <w:r>
        <w:rPr>
          <w:spacing w:val="-91"/>
          <w:w w:val="100"/>
        </w:rPr>
        <w:t> </w:t>
      </w:r>
      <w:r>
        <w:rPr>
          <w:spacing w:val="-91"/>
          <w:w w:val="100"/>
        </w:rPr>
      </w:r>
      <w:r>
        <w:rPr>
          <w:spacing w:val="-10"/>
          <w:w w:val="100"/>
        </w:rPr>
        <w:t>限公司（以下简称</w:t>
      </w:r>
      <w:r>
        <w:rPr>
          <w:rFonts w:ascii="Times New Roman" w:hAnsi="Times New Roman" w:cs="Times New Roman" w:eastAsia="Times New Roman" w:hint="default"/>
          <w:spacing w:val="-10"/>
          <w:w w:val="100"/>
        </w:rPr>
        <w:t>“</w:t>
      </w:r>
      <w:r>
        <w:rPr>
          <w:spacing w:val="-10"/>
          <w:w w:val="100"/>
        </w:rPr>
        <w:t>联迪</w:t>
      </w:r>
      <w:r>
        <w:rPr>
          <w:rFonts w:ascii="Times New Roman" w:hAnsi="Times New Roman" w:cs="Times New Roman" w:eastAsia="Times New Roman" w:hint="default"/>
          <w:spacing w:val="-10"/>
          <w:w w:val="100"/>
        </w:rPr>
        <w:t>”</w:t>
      </w:r>
      <w:r>
        <w:rPr>
          <w:spacing w:val="-10"/>
          <w:w w:val="100"/>
        </w:rPr>
        <w:t>）和福建新大陆电脑股份有限公司（以下简称</w:t>
      </w:r>
      <w:r>
        <w:rPr>
          <w:rFonts w:ascii="Times New Roman" w:hAnsi="Times New Roman" w:cs="Times New Roman" w:eastAsia="Times New Roman" w:hint="default"/>
          <w:spacing w:val="-10"/>
          <w:w w:val="100"/>
        </w:rPr>
        <w:t>“</w:t>
      </w:r>
      <w:r>
        <w:rPr>
          <w:spacing w:val="-10"/>
          <w:w w:val="100"/>
        </w:rPr>
        <w:t>新大陆</w:t>
      </w:r>
      <w:r>
        <w:rPr>
          <w:rFonts w:ascii="Times New Roman" w:hAnsi="Times New Roman" w:cs="Times New Roman" w:eastAsia="Times New Roman" w:hint="default"/>
          <w:spacing w:val="-10"/>
          <w:w w:val="100"/>
        </w:rPr>
        <w:t>”</w:t>
      </w:r>
      <w:r>
        <w:rPr>
          <w:spacing w:val="-10"/>
          <w:w w:val="100"/>
        </w:rPr>
        <w:t>）。</w:t>
      </w:r>
      <w:r>
        <w:rPr>
          <w:w w:val="100"/>
        </w:rPr>
      </w:r>
    </w:p>
    <w:p>
      <w:pPr>
        <w:pStyle w:val="BodyText"/>
        <w:spacing w:line="240" w:lineRule="auto" w:before="27"/>
        <w:ind w:left="621" w:right="219"/>
        <w:jc w:val="left"/>
      </w:pPr>
      <w:r>
        <w:rPr/>
        <w:t>（</w:t>
      </w:r>
      <w:r>
        <w:rPr>
          <w:rFonts w:ascii="Times New Roman" w:hAnsi="Times New Roman" w:cs="Times New Roman" w:eastAsia="Times New Roman" w:hint="default"/>
        </w:rPr>
        <w:t>1</w:t>
      </w:r>
      <w:r>
        <w:rPr/>
        <w:t>）百富计算机技术（深圳）有限公司</w:t>
      </w:r>
    </w:p>
    <w:p>
      <w:pPr>
        <w:spacing w:after="0" w:line="240" w:lineRule="auto"/>
        <w:jc w:val="left"/>
        <w:sectPr>
          <w:pgSz w:w="11910" w:h="16840"/>
          <w:pgMar w:header="877" w:footer="1267" w:top="1060" w:bottom="1460" w:left="1560" w:right="1360"/>
        </w:sectPr>
      </w:pPr>
    </w:p>
    <w:p>
      <w:pPr>
        <w:pStyle w:val="BodyText"/>
        <w:spacing w:line="338" w:lineRule="auto" w:before="104"/>
        <w:ind w:right="298" w:firstLine="479"/>
        <w:jc w:val="both"/>
      </w:pPr>
      <w:r>
        <w:rPr/>
        <w:t>深圳百富成立于</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spacing w:val="-3"/>
        </w:rPr>
        <w:t>年，专业从事电子终端产品及相关软件研发、生产、销</w:t>
      </w:r>
      <w:r>
        <w:rPr/>
        <w:t> </w:t>
      </w:r>
      <w:r>
        <w:rPr>
          <w:spacing w:val="-4"/>
          <w:w w:val="99"/>
        </w:rPr>
        <w:t>售，控股股东为香港上市公司高阳科技（中国）有限公司（</w:t>
      </w:r>
      <w:r>
        <w:rPr>
          <w:rFonts w:ascii="Times New Roman" w:hAnsi="Times New Roman" w:cs="Times New Roman" w:eastAsia="Times New Roman" w:hint="default"/>
          <w:spacing w:val="-4"/>
          <w:w w:val="99"/>
        </w:rPr>
        <w:t>HK.0818</w:t>
      </w:r>
      <w:r>
        <w:rPr>
          <w:spacing w:val="-4"/>
          <w:w w:val="99"/>
        </w:rPr>
        <w:t>）。深圳百富</w:t>
      </w:r>
      <w:r>
        <w:rPr>
          <w:spacing w:val="-83"/>
          <w:w w:val="99"/>
        </w:rPr>
        <w:t> </w:t>
      </w:r>
      <w:r>
        <w:rPr>
          <w:spacing w:val="-83"/>
          <w:w w:val="99"/>
        </w:rPr>
      </w:r>
      <w:r>
        <w:rPr/>
        <w:t>是国内最早专业从事</w:t>
      </w:r>
      <w:r>
        <w:rPr>
          <w:spacing w:val="-57"/>
        </w:rPr>
        <w:t> </w:t>
      </w:r>
      <w:r>
        <w:rPr>
          <w:rFonts w:ascii="Times New Roman" w:hAnsi="Times New Roman" w:cs="Times New Roman" w:eastAsia="Times New Roman" w:hint="default"/>
          <w:w w:val="99"/>
        </w:rPr>
        <w:t>POS</w:t>
      </w:r>
      <w:r>
        <w:rPr>
          <w:rFonts w:ascii="Times New Roman" w:hAnsi="Times New Roman" w:cs="Times New Roman" w:eastAsia="Times New Roman" w:hint="default"/>
          <w:spacing w:val="3"/>
          <w:w w:val="99"/>
        </w:rPr>
        <w:t> </w:t>
      </w:r>
      <w:r>
        <w:rPr>
          <w:spacing w:val="-7"/>
        </w:rPr>
        <w:t>终端生产的企业之一，现已成为国内</w:t>
      </w:r>
      <w:r>
        <w:rPr>
          <w:spacing w:val="-57"/>
        </w:rPr>
        <w:t> </w:t>
      </w:r>
      <w:r>
        <w:rPr>
          <w:rFonts w:ascii="Times New Roman" w:hAnsi="Times New Roman" w:cs="Times New Roman" w:eastAsia="Times New Roman" w:hint="default"/>
          <w:w w:val="99"/>
        </w:rPr>
        <w:t>POS</w:t>
      </w:r>
      <w:r>
        <w:rPr>
          <w:rFonts w:ascii="Times New Roman" w:hAnsi="Times New Roman" w:cs="Times New Roman" w:eastAsia="Times New Roman" w:hint="default"/>
          <w:spacing w:val="1"/>
          <w:w w:val="99"/>
        </w:rPr>
        <w:t> </w:t>
      </w:r>
      <w:r>
        <w:rPr/>
        <w:t>终端制造行业 </w:t>
      </w:r>
      <w:r>
        <w:rPr>
          <w:spacing w:val="-4"/>
        </w:rPr>
        <w:t>的核心企业之一。</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4"/>
        </w:rPr>
        <w:t> </w:t>
      </w:r>
      <w:r>
        <w:rPr>
          <w:spacing w:val="-4"/>
        </w:rPr>
        <w:t>年，百富公司营业收入达</w:t>
      </w:r>
      <w:r>
        <w:rPr>
          <w:spacing w:val="-58"/>
        </w:rPr>
        <w:t> </w:t>
      </w:r>
      <w:r>
        <w:rPr>
          <w:rFonts w:ascii="Times New Roman" w:hAnsi="Times New Roman" w:cs="Times New Roman" w:eastAsia="Times New Roman" w:hint="default"/>
        </w:rPr>
        <w:t>7.26</w:t>
      </w:r>
      <w:r>
        <w:rPr>
          <w:rFonts w:ascii="Times New Roman" w:hAnsi="Times New Roman" w:cs="Times New Roman" w:eastAsia="Times New Roman" w:hint="default"/>
          <w:spacing w:val="2"/>
        </w:rPr>
        <w:t> </w:t>
      </w:r>
      <w:r>
        <w:rPr>
          <w:spacing w:val="-5"/>
        </w:rPr>
        <w:t>亿港元，营业利润</w:t>
      </w:r>
      <w:r>
        <w:rPr>
          <w:spacing w:val="-58"/>
        </w:rPr>
        <w:t> </w:t>
      </w:r>
      <w:r>
        <w:rPr>
          <w:rFonts w:ascii="Times New Roman" w:hAnsi="Times New Roman" w:cs="Times New Roman" w:eastAsia="Times New Roman" w:hint="default"/>
        </w:rPr>
        <w:t>1.45</w:t>
      </w:r>
      <w:r>
        <w:rPr>
          <w:rFonts w:ascii="Times New Roman" w:hAnsi="Times New Roman" w:cs="Times New Roman" w:eastAsia="Times New Roman" w:hint="default"/>
          <w:spacing w:val="2"/>
        </w:rPr>
        <w:t> </w:t>
      </w:r>
      <w:r>
        <w:rPr>
          <w:spacing w:val="-3"/>
        </w:rPr>
        <w:t>亿港</w:t>
      </w:r>
      <w:r>
        <w:rPr/>
      </w:r>
    </w:p>
    <w:p>
      <w:pPr>
        <w:pStyle w:val="BodyText"/>
        <w:spacing w:line="240" w:lineRule="auto" w:before="27"/>
        <w:ind w:right="1334"/>
        <w:jc w:val="left"/>
      </w:pPr>
      <w:r>
        <w:rPr/>
        <w:t>元，内地出货量超过</w:t>
      </w:r>
      <w:r>
        <w:rPr>
          <w:spacing w:val="-60"/>
        </w:rPr>
        <w:t> </w:t>
      </w:r>
      <w:r>
        <w:rPr>
          <w:rFonts w:ascii="Times New Roman" w:hAnsi="Times New Roman" w:cs="Times New Roman" w:eastAsia="Times New Roman" w:hint="default"/>
        </w:rPr>
        <w:t>45 </w:t>
      </w:r>
      <w:r>
        <w:rPr/>
        <w:t>万台。</w:t>
      </w:r>
    </w:p>
    <w:p>
      <w:pPr>
        <w:pStyle w:val="BodyText"/>
        <w:spacing w:line="240" w:lineRule="auto" w:before="135"/>
        <w:ind w:left="621" w:right="1334"/>
        <w:jc w:val="left"/>
      </w:pPr>
      <w:r>
        <w:rPr/>
        <w:t>（</w:t>
      </w:r>
      <w:r>
        <w:rPr>
          <w:rFonts w:ascii="Times New Roman" w:hAnsi="Times New Roman" w:cs="Times New Roman" w:eastAsia="Times New Roman" w:hint="default"/>
        </w:rPr>
        <w:t>2</w:t>
      </w:r>
      <w:r>
        <w:rPr/>
        <w:t>）惠尔丰电子（北京）有限公司</w:t>
      </w:r>
    </w:p>
    <w:p>
      <w:pPr>
        <w:pStyle w:val="BodyText"/>
        <w:spacing w:line="338" w:lineRule="auto" w:before="135"/>
        <w:ind w:right="166" w:firstLine="479"/>
        <w:jc w:val="left"/>
      </w:pPr>
      <w:r>
        <w:rPr/>
        <w:t>美国</w:t>
      </w:r>
      <w:r>
        <w:rPr>
          <w:spacing w:val="-63"/>
        </w:rPr>
        <w:t> </w:t>
      </w:r>
      <w:r>
        <w:rPr>
          <w:rFonts w:ascii="Times New Roman" w:hAnsi="Times New Roman" w:cs="Times New Roman" w:eastAsia="Times New Roman" w:hint="default"/>
        </w:rPr>
        <w:t>VeriFone</w:t>
      </w:r>
      <w:r>
        <w:rPr/>
        <w:t>（惠尔丰）成立于</w:t>
      </w:r>
      <w:r>
        <w:rPr>
          <w:spacing w:val="-63"/>
        </w:rPr>
        <w:t> </w:t>
      </w:r>
      <w:r>
        <w:rPr>
          <w:rFonts w:ascii="Times New Roman" w:hAnsi="Times New Roman" w:cs="Times New Roman" w:eastAsia="Times New Roman" w:hint="default"/>
        </w:rPr>
        <w:t>1981</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spacing w:val="-4"/>
        </w:rPr>
        <w:t>VeriFone </w:t>
      </w:r>
      <w:r>
        <w:rPr/>
        <w:t>在美国纽约证交 所上市并成为全球最大的</w:t>
      </w:r>
      <w:r>
        <w:rPr>
          <w:spacing w:val="-60"/>
        </w:rPr>
        <w:t> </w:t>
      </w:r>
      <w:r>
        <w:rPr>
          <w:rFonts w:ascii="Times New Roman" w:hAnsi="Times New Roman" w:cs="Times New Roman" w:eastAsia="Times New Roman" w:hint="default"/>
        </w:rPr>
        <w:t>POS </w:t>
      </w:r>
      <w:r>
        <w:rPr/>
        <w:t>终端生产供应商，年销售收入超过</w:t>
      </w:r>
      <w:r>
        <w:rPr>
          <w:spacing w:val="-60"/>
        </w:rPr>
        <w:t> </w:t>
      </w:r>
      <w:r>
        <w:rPr>
          <w:rFonts w:ascii="Times New Roman" w:hAnsi="Times New Roman" w:cs="Times New Roman" w:eastAsia="Times New Roman" w:hint="default"/>
        </w:rPr>
        <w:t>10 </w:t>
      </w:r>
      <w:r>
        <w:rPr/>
        <w:t>亿美元。惠 </w:t>
      </w:r>
      <w:r>
        <w:rPr>
          <w:spacing w:val="-8"/>
        </w:rPr>
        <w:t>尔丰电子（北京）有限公司是</w:t>
      </w:r>
      <w:r>
        <w:rPr>
          <w:spacing w:val="-56"/>
        </w:rPr>
        <w:t> </w:t>
      </w:r>
      <w:r>
        <w:rPr>
          <w:rFonts w:ascii="Times New Roman" w:hAnsi="Times New Roman" w:cs="Times New Roman" w:eastAsia="Times New Roman" w:hint="default"/>
          <w:spacing w:val="-4"/>
        </w:rPr>
        <w:t>VeriFone</w:t>
      </w:r>
      <w:r>
        <w:rPr>
          <w:rFonts w:ascii="Times New Roman" w:hAnsi="Times New Roman" w:cs="Times New Roman" w:eastAsia="Times New Roman" w:hint="default"/>
          <w:spacing w:val="3"/>
        </w:rPr>
        <w:t> </w:t>
      </w:r>
      <w:r>
        <w:rPr/>
        <w:t>新加坡有限公司在中国设立的全资子公司， 主要负责中国市场销售和客户支持服务。</w:t>
      </w:r>
    </w:p>
    <w:p>
      <w:pPr>
        <w:pStyle w:val="BodyText"/>
        <w:spacing w:line="338" w:lineRule="auto" w:before="55"/>
        <w:ind w:left="621" w:right="345"/>
        <w:jc w:val="left"/>
      </w:pPr>
      <w:r>
        <w:rPr/>
        <w:t>（</w:t>
      </w:r>
      <w:r>
        <w:rPr>
          <w:rFonts w:ascii="Times New Roman" w:hAnsi="Times New Roman" w:cs="Times New Roman" w:eastAsia="Times New Roman" w:hint="default"/>
        </w:rPr>
        <w:t>3</w:t>
      </w:r>
      <w:r>
        <w:rPr/>
        <w:t>）福建联迪商用设备有限公司 福建联迪以原实达集团外设的电子支付和税控产业群为主体，由法国安智集</w:t>
      </w:r>
    </w:p>
    <w:p>
      <w:pPr>
        <w:pStyle w:val="BodyText"/>
        <w:spacing w:line="345" w:lineRule="auto" w:before="55"/>
        <w:ind w:right="176"/>
        <w:jc w:val="left"/>
      </w:pPr>
      <w:r>
        <w:rPr/>
        <w:t>团成立的投资机构共同成立的中外合资企业，安智集团是在巴黎证券交易所上市 </w:t>
      </w:r>
      <w:r>
        <w:rPr>
          <w:spacing w:val="-10"/>
        </w:rPr>
        <w:t>的公司，其经营的</w:t>
      </w:r>
      <w:r>
        <w:rPr>
          <w:spacing w:val="-58"/>
        </w:rPr>
        <w:t> </w:t>
      </w:r>
      <w:r>
        <w:rPr>
          <w:rFonts w:ascii="Times New Roman" w:hAnsi="Times New Roman" w:cs="Times New Roman" w:eastAsia="Times New Roman" w:hint="default"/>
        </w:rPr>
        <w:t>INGENICO</w:t>
      </w:r>
      <w:r>
        <w:rPr>
          <w:rFonts w:ascii="Times New Roman" w:hAnsi="Times New Roman" w:cs="Times New Roman" w:eastAsia="Times New Roman" w:hint="default"/>
          <w:spacing w:val="1"/>
        </w:rPr>
        <w:t> </w:t>
      </w:r>
      <w:r>
        <w:rPr/>
        <w:t>品牌为国际上著名的</w:t>
      </w:r>
      <w:r>
        <w:rPr>
          <w:spacing w:val="-60"/>
        </w:rPr>
        <w:t> </w:t>
      </w:r>
      <w:r>
        <w:rPr>
          <w:rFonts w:ascii="Times New Roman" w:hAnsi="Times New Roman" w:cs="Times New Roman" w:eastAsia="Times New Roman" w:hint="default"/>
        </w:rPr>
        <w:t>POS </w:t>
      </w:r>
      <w:r>
        <w:rPr>
          <w:spacing w:val="-10"/>
        </w:rPr>
        <w:t>机品牌。联迪成立于</w:t>
      </w:r>
      <w:r>
        <w:rPr>
          <w:spacing w:val="-60"/>
        </w:rPr>
        <w:t> </w:t>
      </w:r>
      <w:r>
        <w:rPr>
          <w:rFonts w:ascii="Times New Roman" w:hAnsi="Times New Roman" w:cs="Times New Roman" w:eastAsia="Times New Roman" w:hint="default"/>
        </w:rPr>
        <w:t>2005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月，注册资本</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亿元人民币，主营业务包括金融</w:t>
      </w:r>
      <w:r>
        <w:rPr>
          <w:spacing w:val="-61"/>
        </w:rPr>
        <w:t> </w:t>
      </w:r>
      <w:r>
        <w:rPr>
          <w:rFonts w:ascii="Times New Roman" w:hAnsi="Times New Roman" w:cs="Times New Roman" w:eastAsia="Times New Roman" w:hint="default"/>
        </w:rPr>
        <w:t>POS</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卡应用产品、金 </w:t>
      </w:r>
      <w:r>
        <w:rPr>
          <w:spacing w:val="-2"/>
        </w:rPr>
        <w:t>融自助产品、安全电子支付行业应用解决方案、税收信息化产品及无线通信产品。</w:t>
      </w:r>
    </w:p>
    <w:p>
      <w:pPr>
        <w:pStyle w:val="BodyText"/>
        <w:spacing w:line="240" w:lineRule="auto" w:before="48"/>
        <w:ind w:left="621" w:right="1334"/>
        <w:jc w:val="left"/>
      </w:pPr>
      <w:r>
        <w:rPr/>
        <w:t>（</w:t>
      </w:r>
      <w:r>
        <w:rPr>
          <w:rFonts w:ascii="Times New Roman" w:hAnsi="Times New Roman" w:cs="Times New Roman" w:eastAsia="Times New Roman" w:hint="default"/>
        </w:rPr>
        <w:t>4</w:t>
      </w:r>
      <w:r>
        <w:rPr/>
        <w:t>）福建新大陆电脑股份有限公司</w:t>
      </w:r>
    </w:p>
    <w:p>
      <w:pPr>
        <w:pStyle w:val="BodyText"/>
        <w:spacing w:line="338" w:lineRule="auto" w:before="135"/>
        <w:ind w:right="224" w:firstLine="479"/>
        <w:jc w:val="left"/>
      </w:pPr>
      <w:r>
        <w:rPr/>
        <w:t>福建新大陆成立于</w:t>
      </w:r>
      <w:r>
        <w:rPr>
          <w:spacing w:val="-60"/>
        </w:rPr>
        <w:t> </w:t>
      </w:r>
      <w:hyperlink r:id="rId20">
        <w:r>
          <w:rPr>
            <w:rFonts w:ascii="Times New Roman" w:hAnsi="Times New Roman" w:cs="Times New Roman" w:eastAsia="Times New Roman" w:hint="default"/>
          </w:rPr>
          <w:t>1994 </w:t>
        </w:r>
        <w:r>
          <w:rPr/>
          <w:t>年</w:t>
        </w:r>
      </w:hyperlink>
      <w:r>
        <w:rPr/>
        <w:t>，</w:t>
      </w:r>
      <w:r>
        <w:rPr>
          <w:rFonts w:ascii="Times New Roman" w:hAnsi="Times New Roman" w:cs="Times New Roman" w:eastAsia="Times New Roman" w:hint="default"/>
        </w:rPr>
        <w:t>2000 </w:t>
      </w:r>
      <w:r>
        <w:rPr/>
        <w:t>年在深圳证券交易所上市（股票代码： </w:t>
      </w:r>
      <w:r>
        <w:rPr>
          <w:rFonts w:ascii="Times New Roman" w:hAnsi="Times New Roman" w:cs="Times New Roman" w:eastAsia="Times New Roman" w:hint="default"/>
          <w:spacing w:val="-5"/>
        </w:rPr>
        <w:t>000997</w:t>
      </w:r>
      <w:r>
        <w:rPr>
          <w:spacing w:val="-5"/>
        </w:rPr>
        <w:t>），其主营业务包括金融税控收款机、二维码自动识别软件、行业应用软件</w:t>
      </w:r>
      <w:r>
        <w:rPr>
          <w:spacing w:val="-106"/>
        </w:rPr>
        <w:t> </w:t>
      </w:r>
      <w:r>
        <w:rPr>
          <w:spacing w:val="-106"/>
        </w:rPr>
      </w:r>
      <w:r>
        <w:rPr/>
        <w:t>开发与系统集成服务等领域。金融</w:t>
      </w:r>
      <w:r>
        <w:rPr>
          <w:spacing w:val="-67"/>
        </w:rPr>
        <w:t> </w:t>
      </w:r>
      <w:r>
        <w:rPr>
          <w:rFonts w:ascii="Times New Roman" w:hAnsi="Times New Roman" w:cs="Times New Roman" w:eastAsia="Times New Roman" w:hint="default"/>
        </w:rPr>
        <w:t>POS</w:t>
      </w:r>
      <w:r>
        <w:rPr>
          <w:rFonts w:ascii="Times New Roman" w:hAnsi="Times New Roman" w:cs="Times New Roman" w:eastAsia="Times New Roman" w:hint="default"/>
          <w:spacing w:val="-7"/>
        </w:rPr>
        <w:t> </w:t>
      </w:r>
      <w:r>
        <w:rPr/>
        <w:t>终端占其业务比重呈逐年降低趋势。</w:t>
      </w:r>
      <w:r>
        <w:rPr>
          <w:rFonts w:ascii="Times New Roman" w:hAnsi="Times New Roman" w:cs="Times New Roman" w:eastAsia="Times New Roman" w:hint="default"/>
        </w:rPr>
        <w:t>2009 </w:t>
      </w:r>
      <w:r>
        <w:rPr/>
        <w:t>年，新大陆电子支付产品及信息识读产品销售收入</w:t>
      </w:r>
      <w:r>
        <w:rPr>
          <w:spacing w:val="-60"/>
        </w:rPr>
        <w:t> </w:t>
      </w:r>
      <w:r>
        <w:rPr>
          <w:rFonts w:ascii="Times New Roman" w:hAnsi="Times New Roman" w:cs="Times New Roman" w:eastAsia="Times New Roman" w:hint="default"/>
        </w:rPr>
        <w:t>3.12 </w:t>
      </w:r>
      <w:r>
        <w:rPr/>
        <w:t>亿元，营业利润</w:t>
      </w:r>
      <w:r>
        <w:rPr>
          <w:spacing w:val="-60"/>
        </w:rPr>
        <w:t> </w:t>
      </w:r>
      <w:r>
        <w:rPr>
          <w:rFonts w:ascii="Times New Roman" w:hAnsi="Times New Roman" w:cs="Times New Roman" w:eastAsia="Times New Roman" w:hint="default"/>
        </w:rPr>
        <w:t>1.15 </w:t>
      </w:r>
      <w:r>
        <w:rPr/>
        <w:t>万。</w:t>
      </w:r>
    </w:p>
    <w:p>
      <w:pPr>
        <w:pStyle w:val="BodyText"/>
        <w:spacing w:line="338" w:lineRule="auto" w:before="27"/>
        <w:ind w:right="288" w:firstLine="479"/>
        <w:jc w:val="left"/>
      </w:pPr>
      <w:r>
        <w:rPr/>
        <w:t>深圳百富是专业生产</w:t>
      </w:r>
      <w:r>
        <w:rPr>
          <w:spacing w:val="-6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终端的企业，现已取代国外产商，占据我国</w:t>
      </w:r>
      <w:r>
        <w:rPr>
          <w:spacing w:val="-60"/>
        </w:rPr>
        <w:t> </w:t>
      </w:r>
      <w:r>
        <w:rPr>
          <w:rFonts w:ascii="Times New Roman" w:hAnsi="Times New Roman" w:cs="Times New Roman" w:eastAsia="Times New Roman" w:hint="default"/>
        </w:rPr>
        <w:t>POS</w:t>
      </w:r>
      <w:r>
        <w:rPr>
          <w:rFonts w:ascii="Times New Roman" w:hAnsi="Times New Roman" w:cs="Times New Roman" w:eastAsia="Times New Roman" w:hint="default"/>
          <w:w w:val="99"/>
        </w:rPr>
        <w:t> </w:t>
      </w:r>
      <w:r>
        <w:rPr>
          <w:spacing w:val="-8"/>
        </w:rPr>
        <w:t>终端行业领导地位；惠尔丰在我国</w:t>
      </w:r>
      <w:r>
        <w:rPr>
          <w:spacing w:val="-52"/>
        </w:rPr>
        <w:t> </w:t>
      </w:r>
      <w:r>
        <w:rPr>
          <w:rFonts w:ascii="Times New Roman" w:hAnsi="Times New Roman" w:cs="Times New Roman" w:eastAsia="Times New Roman" w:hint="default"/>
          <w:w w:val="99"/>
        </w:rPr>
        <w:t>POS</w:t>
      </w:r>
      <w:r>
        <w:rPr>
          <w:rFonts w:ascii="Times New Roman" w:hAnsi="Times New Roman" w:cs="Times New Roman" w:eastAsia="Times New Roman" w:hint="default"/>
          <w:spacing w:val="8"/>
          <w:w w:val="99"/>
        </w:rPr>
        <w:t> </w:t>
      </w:r>
      <w:r>
        <w:rPr>
          <w:spacing w:val="-6"/>
          <w:w w:val="99"/>
        </w:rPr>
        <w:t>终端行业发展早期占据主要市场份额；</w:t>
      </w:r>
      <w:r>
        <w:rPr>
          <w:rFonts w:ascii="Times New Roman" w:hAnsi="Times New Roman" w:cs="Times New Roman" w:eastAsia="Times New Roman" w:hint="default"/>
          <w:spacing w:val="-6"/>
          <w:w w:val="99"/>
        </w:rPr>
        <w:t>POS</w:t>
      </w:r>
      <w:r>
        <w:rPr>
          <w:rFonts w:ascii="Times New Roman" w:hAnsi="Times New Roman" w:cs="Times New Roman" w:eastAsia="Times New Roman" w:hint="default"/>
          <w:w w:val="99"/>
        </w:rPr>
        <w:t> </w:t>
      </w:r>
      <w:r>
        <w:rPr/>
        <w:t>终端是福建联迪和新大陆的主营业务之一，市场份额保持相对稳定。</w:t>
      </w:r>
    </w:p>
    <w:p>
      <w:pPr>
        <w:pStyle w:val="BodyText"/>
        <w:spacing w:line="343" w:lineRule="auto" w:before="96"/>
        <w:ind w:right="298" w:firstLine="479"/>
        <w:jc w:val="both"/>
      </w:pPr>
      <w:r>
        <w:rPr/>
        <w:t>报告期内，公司产销量继续扩大，市场份额进一步提高，是现阶段同行业中 成长速度最快的</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5"/>
        </w:rPr>
        <w:t> </w:t>
      </w:r>
      <w:r>
        <w:rPr>
          <w:spacing w:val="-5"/>
        </w:rPr>
        <w:t>终端供应商。根据中国人民银行《</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
        </w:rPr>
        <w:t> </w:t>
      </w:r>
      <w:r>
        <w:rPr/>
        <w:t>年支付体系运行总体 情况》联网</w:t>
      </w:r>
      <w:r>
        <w:rPr>
          <w:spacing w:val="-46"/>
        </w:rPr>
        <w:t> </w:t>
      </w:r>
      <w:r>
        <w:rPr>
          <w:rFonts w:ascii="Times New Roman" w:hAnsi="Times New Roman" w:cs="Times New Roman" w:eastAsia="Times New Roman" w:hint="default"/>
        </w:rPr>
        <w:t>POS</w:t>
      </w:r>
      <w:r>
        <w:rPr>
          <w:rFonts w:ascii="Times New Roman" w:hAnsi="Times New Roman" w:cs="Times New Roman" w:eastAsia="Times New Roman" w:hint="default"/>
          <w:spacing w:val="15"/>
        </w:rPr>
        <w:t> </w:t>
      </w:r>
      <w:r>
        <w:rPr/>
        <w:t>终端统计数据推算，</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年公司销售</w:t>
      </w:r>
      <w:r>
        <w:rPr>
          <w:spacing w:val="-46"/>
        </w:rPr>
        <w:t> </w:t>
      </w:r>
      <w:r>
        <w:rPr>
          <w:rFonts w:ascii="Times New Roman" w:hAnsi="Times New Roman" w:cs="Times New Roman" w:eastAsia="Times New Roman" w:hint="default"/>
        </w:rPr>
        <w:t>POS</w:t>
      </w:r>
      <w:r>
        <w:rPr>
          <w:rFonts w:ascii="Times New Roman" w:hAnsi="Times New Roman" w:cs="Times New Roman" w:eastAsia="Times New Roman" w:hint="default"/>
          <w:spacing w:val="15"/>
        </w:rPr>
        <w:t> </w:t>
      </w:r>
      <w:r>
        <w:rPr/>
        <w:t>终端数量相当于全国 联网</w:t>
      </w:r>
      <w:r>
        <w:rPr>
          <w:spacing w:val="-50"/>
        </w:rPr>
        <w:t> </w:t>
      </w:r>
      <w:r>
        <w:rPr>
          <w:rFonts w:ascii="Times New Roman" w:hAnsi="Times New Roman" w:cs="Times New Roman" w:eastAsia="Times New Roman" w:hint="default"/>
        </w:rPr>
        <w:t>POS</w:t>
      </w:r>
      <w:r>
        <w:rPr>
          <w:rFonts w:ascii="Times New Roman" w:hAnsi="Times New Roman" w:cs="Times New Roman" w:eastAsia="Times New Roman" w:hint="default"/>
          <w:spacing w:val="11"/>
        </w:rPr>
        <w:t> </w:t>
      </w:r>
      <w:r>
        <w:rPr/>
        <w:t>增量的</w:t>
      </w:r>
      <w:r>
        <w:rPr>
          <w:spacing w:val="-49"/>
        </w:rPr>
        <w:t> </w:t>
      </w:r>
      <w:r>
        <w:rPr>
          <w:rFonts w:ascii="Times New Roman" w:hAnsi="Times New Roman" w:cs="Times New Roman" w:eastAsia="Times New Roman" w:hint="default"/>
        </w:rPr>
        <w:t>24.47%</w:t>
      </w:r>
      <w:r>
        <w:rPr/>
        <w:t>，在业内排名前三位。公司已成为我国</w:t>
      </w:r>
      <w:r>
        <w:rPr>
          <w:spacing w:val="-49"/>
        </w:rPr>
        <w:t> </w:t>
      </w:r>
      <w:r>
        <w:rPr>
          <w:rFonts w:ascii="Times New Roman" w:hAnsi="Times New Roman" w:cs="Times New Roman" w:eastAsia="Times New Roman" w:hint="default"/>
        </w:rPr>
        <w:t>POS</w:t>
      </w:r>
      <w:r>
        <w:rPr>
          <w:rFonts w:ascii="Times New Roman" w:hAnsi="Times New Roman" w:cs="Times New Roman" w:eastAsia="Times New Roman" w:hint="default"/>
          <w:spacing w:val="12"/>
        </w:rPr>
        <w:t> </w:t>
      </w:r>
      <w:r>
        <w:rPr/>
        <w:t>终端制造行 业的核心参与者，并成为银联商务等主要收单机构的重要供应商。</w:t>
      </w:r>
    </w:p>
    <w:p>
      <w:pPr>
        <w:spacing w:after="0" w:line="343" w:lineRule="auto"/>
        <w:jc w:val="both"/>
        <w:sectPr>
          <w:pgSz w:w="11910" w:h="16840"/>
          <w:pgMar w:header="877" w:footer="1267" w:top="1060" w:bottom="1460" w:left="1560" w:right="1440"/>
        </w:sectPr>
      </w:pPr>
    </w:p>
    <w:p>
      <w:pPr>
        <w:spacing w:line="240" w:lineRule="auto" w:before="0"/>
        <w:rPr>
          <w:rFonts w:ascii="宋体" w:hAnsi="宋体" w:cs="宋体" w:eastAsia="宋体" w:hint="default"/>
          <w:sz w:val="5"/>
          <w:szCs w:val="5"/>
        </w:rPr>
      </w:pPr>
    </w:p>
    <w:p>
      <w:pPr>
        <w:spacing w:line="20" w:lineRule="exact"/>
        <w:ind w:left="310" w:right="0" w:firstLine="0"/>
        <w:rPr>
          <w:rFonts w:ascii="宋体" w:hAnsi="宋体" w:cs="宋体" w:eastAsia="宋体" w:hint="default"/>
          <w:sz w:val="2"/>
          <w:szCs w:val="2"/>
        </w:rPr>
      </w:pPr>
      <w:r>
        <w:rPr>
          <w:rFonts w:ascii="宋体" w:hAnsi="宋体" w:cs="宋体" w:eastAsia="宋体" w:hint="default"/>
          <w:sz w:val="2"/>
          <w:szCs w:val="2"/>
        </w:rPr>
        <w:pict>
          <v:group style="width:150.75pt;height:.5pt;mso-position-horizontal-relative:char;mso-position-vertical-relative:line" coordorigin="0,0" coordsize="3015,10">
            <v:group style="position:absolute;left:5;top:5;width:29;height:2" coordorigin="5,5" coordsize="29,2">
              <v:shape style="position:absolute;left:5;top:5;width:29;height:2" coordorigin="5,5" coordsize="29,0" path="m5,5l34,5e" filled="false" stroked="true" strokeweight=".48pt" strokecolor="#000000">
                <v:path arrowok="t"/>
              </v:shape>
            </v:group>
            <v:group style="position:absolute;left:34;top:5;width:2977;height:2" coordorigin="34,5" coordsize="2977,2">
              <v:shape style="position:absolute;left:34;top:5;width:2977;height:2" coordorigin="34,5" coordsize="2977,0" path="m34,5l3010,5e" filled="false" stroked="true" strokeweight=".48pt" strokecolor="#000000">
                <v:path arrowok="t"/>
              </v:shape>
            </v:group>
          </v:group>
        </w:pict>
      </w:r>
      <w:r>
        <w:rPr>
          <w:rFonts w:ascii="宋体" w:hAnsi="宋体" w:cs="宋体" w:eastAsia="宋体" w:hint="default"/>
          <w:sz w:val="2"/>
          <w:szCs w:val="2"/>
        </w:rPr>
      </w:r>
    </w:p>
    <w:tbl>
      <w:tblPr>
        <w:tblW w:w="0" w:type="auto"/>
        <w:jc w:val="left"/>
        <w:tblInd w:w="314" w:type="dxa"/>
        <w:tblLayout w:type="fixed"/>
        <w:tblCellMar>
          <w:top w:w="0" w:type="dxa"/>
          <w:left w:w="0" w:type="dxa"/>
          <w:bottom w:w="0" w:type="dxa"/>
          <w:right w:w="0" w:type="dxa"/>
        </w:tblCellMar>
        <w:tblLook w:val="01E0"/>
      </w:tblPr>
      <w:tblGrid>
        <w:gridCol w:w="2998"/>
        <w:gridCol w:w="1527"/>
        <w:gridCol w:w="1594"/>
        <w:gridCol w:w="2127"/>
      </w:tblGrid>
      <w:tr>
        <w:trPr>
          <w:trHeight w:val="561" w:hRule="exact"/>
        </w:trPr>
        <w:tc>
          <w:tcPr>
            <w:tcW w:w="2998" w:type="dxa"/>
            <w:tcBorders>
              <w:top w:val="single" w:sz="4" w:space="0" w:color="000000"/>
              <w:left w:val="single" w:sz="12" w:space="0" w:color="000000"/>
              <w:bottom w:val="single" w:sz="6" w:space="0" w:color="000000"/>
              <w:right w:val="single" w:sz="6" w:space="0" w:color="000000"/>
            </w:tcBorders>
            <w:shd w:val="clear" w:color="auto" w:fill="8DB3E1"/>
          </w:tcPr>
          <w:p>
            <w:pPr>
              <w:pStyle w:val="TableParagraph"/>
              <w:spacing w:line="240" w:lineRule="auto" w:before="106"/>
              <w:ind w:right="8"/>
              <w:jc w:val="center"/>
              <w:rPr>
                <w:rFonts w:ascii="宋体" w:hAnsi="宋体" w:cs="宋体" w:eastAsia="宋体" w:hint="default"/>
                <w:sz w:val="21"/>
                <w:szCs w:val="21"/>
              </w:rPr>
            </w:pPr>
            <w:r>
              <w:rPr>
                <w:rFonts w:ascii="宋体" w:hAnsi="宋体" w:cs="宋体" w:eastAsia="宋体" w:hint="default"/>
                <w:b/>
                <w:bCs/>
                <w:sz w:val="21"/>
                <w:szCs w:val="21"/>
              </w:rPr>
              <w:t>指标</w:t>
            </w:r>
            <w:r>
              <w:rPr>
                <w:rFonts w:ascii="宋体" w:hAnsi="宋体" w:cs="宋体" w:eastAsia="宋体" w:hint="default"/>
                <w:sz w:val="21"/>
                <w:szCs w:val="21"/>
              </w:rPr>
            </w:r>
          </w:p>
        </w:tc>
        <w:tc>
          <w:tcPr>
            <w:tcW w:w="1527"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96"/>
              <w:ind w:right="413"/>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94"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96"/>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12" w:space="0" w:color="000000"/>
            </w:tcBorders>
            <w:shd w:val="clear" w:color="auto" w:fill="8DB3E1"/>
          </w:tcPr>
          <w:p>
            <w:pPr>
              <w:pStyle w:val="TableParagraph"/>
              <w:spacing w:line="240" w:lineRule="auto" w:before="9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64"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21"/>
                <w:szCs w:val="21"/>
              </w:rPr>
            </w:pPr>
            <w:r>
              <w:rPr>
                <w:rFonts w:ascii="宋体" w:hAnsi="宋体" w:cs="宋体" w:eastAsia="宋体" w:hint="default"/>
                <w:sz w:val="21"/>
                <w:szCs w:val="21"/>
              </w:rPr>
              <w:t>全国联网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增长量（万台）</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516"/>
              <w:jc w:val="right"/>
              <w:rPr>
                <w:rFonts w:ascii="Times New Roman" w:hAnsi="Times New Roman" w:cs="Times New Roman" w:eastAsia="Times New Roman" w:hint="default"/>
                <w:sz w:val="21"/>
                <w:szCs w:val="21"/>
              </w:rPr>
            </w:pPr>
            <w:r>
              <w:rPr>
                <w:rFonts w:ascii="Times New Roman"/>
                <w:sz w:val="21"/>
              </w:rPr>
              <w:t>66.39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56.32</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4"/>
              <w:ind w:left="3" w:right="0"/>
              <w:jc w:val="center"/>
              <w:rPr>
                <w:rFonts w:ascii="Times New Roman" w:hAnsi="Times New Roman" w:cs="Times New Roman" w:eastAsia="Times New Roman" w:hint="default"/>
                <w:sz w:val="21"/>
                <w:szCs w:val="21"/>
              </w:rPr>
            </w:pPr>
            <w:r>
              <w:rPr>
                <w:rFonts w:ascii="Times New Roman"/>
                <w:sz w:val="21"/>
              </w:rPr>
              <w:t>92.57</w:t>
            </w:r>
          </w:p>
        </w:tc>
      </w:tr>
      <w:tr>
        <w:trPr>
          <w:trHeight w:val="562"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93" w:right="0"/>
              <w:jc w:val="left"/>
              <w:rPr>
                <w:rFonts w:ascii="宋体" w:hAnsi="宋体" w:cs="宋体" w:eastAsia="宋体" w:hint="default"/>
                <w:sz w:val="21"/>
                <w:szCs w:val="21"/>
              </w:rPr>
            </w:pPr>
            <w:r>
              <w:rPr>
                <w:rFonts w:ascii="宋体" w:hAnsi="宋体" w:cs="宋体" w:eastAsia="宋体" w:hint="default"/>
                <w:sz w:val="21"/>
                <w:szCs w:val="21"/>
              </w:rPr>
              <w:t>公司销售量（万台）</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5.9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11.78</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22</w:t>
            </w:r>
          </w:p>
        </w:tc>
      </w:tr>
      <w:tr>
        <w:trPr>
          <w:trHeight w:val="564"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21"/>
                <w:szCs w:val="21"/>
              </w:rPr>
            </w:pPr>
            <w:r>
              <w:rPr>
                <w:rFonts w:ascii="宋体" w:hAnsi="宋体" w:cs="宋体" w:eastAsia="宋体" w:hint="default"/>
                <w:sz w:val="21"/>
                <w:szCs w:val="21"/>
              </w:rPr>
              <w:t>公司占比</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482"/>
              <w:jc w:val="right"/>
              <w:rPr>
                <w:rFonts w:ascii="Times New Roman" w:hAnsi="Times New Roman" w:cs="Times New Roman" w:eastAsia="Times New Roman" w:hint="default"/>
                <w:sz w:val="21"/>
                <w:szCs w:val="21"/>
              </w:rPr>
            </w:pPr>
            <w:r>
              <w:rPr>
                <w:rFonts w:ascii="Times New Roman"/>
                <w:sz w:val="21"/>
              </w:rPr>
              <w:t>8.89%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20.92%</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4"/>
              <w:ind w:left="6" w:right="0"/>
              <w:jc w:val="center"/>
              <w:rPr>
                <w:rFonts w:ascii="Times New Roman" w:hAnsi="Times New Roman" w:cs="Times New Roman" w:eastAsia="Times New Roman" w:hint="default"/>
                <w:sz w:val="21"/>
                <w:szCs w:val="21"/>
              </w:rPr>
            </w:pPr>
            <w:r>
              <w:rPr>
                <w:rFonts w:ascii="Times New Roman"/>
                <w:sz w:val="21"/>
              </w:rPr>
              <w:t>23.77%</w:t>
            </w:r>
          </w:p>
        </w:tc>
      </w:tr>
      <w:tr>
        <w:trPr>
          <w:trHeight w:val="564"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93" w:right="0"/>
              <w:jc w:val="left"/>
              <w:rPr>
                <w:rFonts w:ascii="宋体" w:hAnsi="宋体" w:cs="宋体" w:eastAsia="宋体" w:hint="default"/>
                <w:sz w:val="21"/>
                <w:szCs w:val="21"/>
              </w:rPr>
            </w:pPr>
            <w:r>
              <w:rPr>
                <w:rFonts w:ascii="宋体" w:hAnsi="宋体" w:cs="宋体" w:eastAsia="宋体" w:hint="default"/>
                <w:sz w:val="21"/>
                <w:szCs w:val="21"/>
              </w:rPr>
              <w:t>全国联网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 </w:t>
            </w:r>
            <w:r>
              <w:rPr>
                <w:rFonts w:ascii="宋体" w:hAnsi="宋体" w:cs="宋体" w:eastAsia="宋体" w:hint="default"/>
                <w:sz w:val="21"/>
                <w:szCs w:val="21"/>
              </w:rPr>
              <w:t>保有量（万台）</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185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1"/>
                <w:szCs w:val="21"/>
              </w:rPr>
            </w:pPr>
            <w:r>
              <w:rPr>
                <w:rFonts w:ascii="Times New Roman"/>
                <w:sz w:val="21"/>
              </w:rPr>
              <w:t>240.83</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333.4</w:t>
            </w:r>
          </w:p>
        </w:tc>
      </w:tr>
      <w:tr>
        <w:trPr>
          <w:trHeight w:val="562"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93" w:right="0"/>
              <w:jc w:val="left"/>
              <w:rPr>
                <w:rFonts w:ascii="宋体" w:hAnsi="宋体" w:cs="宋体" w:eastAsia="宋体" w:hint="default"/>
                <w:sz w:val="21"/>
                <w:szCs w:val="21"/>
              </w:rPr>
            </w:pPr>
            <w:r>
              <w:rPr>
                <w:rFonts w:ascii="宋体" w:hAnsi="宋体" w:cs="宋体" w:eastAsia="宋体" w:hint="default"/>
                <w:sz w:val="21"/>
                <w:szCs w:val="21"/>
              </w:rPr>
              <w:t>公司保有量（万台）</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521"/>
              <w:jc w:val="right"/>
              <w:rPr>
                <w:rFonts w:ascii="Times New Roman" w:hAnsi="Times New Roman" w:cs="Times New Roman" w:eastAsia="Times New Roman" w:hint="default"/>
                <w:sz w:val="21"/>
                <w:szCs w:val="21"/>
              </w:rPr>
            </w:pPr>
            <w:r>
              <w:rPr>
                <w:rFonts w:ascii="Times New Roman"/>
                <w:spacing w:val="-2"/>
                <w:sz w:val="21"/>
              </w:rPr>
              <w:t>11.57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1"/>
                <w:szCs w:val="21"/>
              </w:rPr>
            </w:pPr>
            <w:r>
              <w:rPr>
                <w:rFonts w:ascii="Times New Roman"/>
                <w:sz w:val="21"/>
              </w:rPr>
              <w:t>23.49</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45.49</w:t>
            </w:r>
          </w:p>
        </w:tc>
      </w:tr>
      <w:tr>
        <w:trPr>
          <w:trHeight w:val="572" w:hRule="exact"/>
        </w:trPr>
        <w:tc>
          <w:tcPr>
            <w:tcW w:w="29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left="93" w:right="0"/>
              <w:jc w:val="left"/>
              <w:rPr>
                <w:rFonts w:ascii="宋体" w:hAnsi="宋体" w:cs="宋体" w:eastAsia="宋体" w:hint="default"/>
                <w:sz w:val="21"/>
                <w:szCs w:val="21"/>
              </w:rPr>
            </w:pPr>
            <w:r>
              <w:rPr>
                <w:rFonts w:ascii="宋体" w:hAnsi="宋体" w:cs="宋体" w:eastAsia="宋体" w:hint="default"/>
                <w:sz w:val="21"/>
                <w:szCs w:val="21"/>
              </w:rPr>
              <w:t>公司占比</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482"/>
              <w:jc w:val="right"/>
              <w:rPr>
                <w:rFonts w:ascii="Times New Roman" w:hAnsi="Times New Roman" w:cs="Times New Roman" w:eastAsia="Times New Roman" w:hint="default"/>
                <w:sz w:val="21"/>
                <w:szCs w:val="21"/>
              </w:rPr>
            </w:pPr>
            <w:r>
              <w:rPr>
                <w:rFonts w:ascii="Times New Roman"/>
                <w:sz w:val="21"/>
              </w:rPr>
              <w:t>6.25%</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9.75%</w:t>
            </w:r>
          </w:p>
        </w:tc>
        <w:tc>
          <w:tcPr>
            <w:tcW w:w="21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2"/>
              <w:ind w:left="6" w:right="0"/>
              <w:jc w:val="center"/>
              <w:rPr>
                <w:rFonts w:ascii="Times New Roman" w:hAnsi="Times New Roman" w:cs="Times New Roman" w:eastAsia="Times New Roman" w:hint="default"/>
                <w:sz w:val="21"/>
                <w:szCs w:val="21"/>
              </w:rPr>
            </w:pPr>
            <w:r>
              <w:rPr>
                <w:rFonts w:ascii="Times New Roman"/>
                <w:sz w:val="21"/>
              </w:rPr>
              <w:t>13.64%</w:t>
            </w:r>
          </w:p>
        </w:tc>
      </w:tr>
    </w:tbl>
    <w:p>
      <w:pPr>
        <w:spacing w:line="240" w:lineRule="auto" w:before="8"/>
        <w:rPr>
          <w:rFonts w:ascii="宋体" w:hAnsi="宋体" w:cs="宋体" w:eastAsia="宋体" w:hint="default"/>
          <w:sz w:val="9"/>
          <w:szCs w:val="9"/>
        </w:rPr>
      </w:pPr>
    </w:p>
    <w:p>
      <w:pPr>
        <w:spacing w:before="24"/>
        <w:ind w:left="142" w:right="176" w:firstLine="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注：公司销售量仅为公司当年直接销售数量，不包括新增租赁量；全国保有量为全国联网</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POS</w:t>
      </w:r>
    </w:p>
    <w:p>
      <w:pPr>
        <w:spacing w:line="240" w:lineRule="auto" w:before="11"/>
        <w:rPr>
          <w:rFonts w:ascii="Times New Roman" w:hAnsi="Times New Roman" w:cs="Times New Roman" w:eastAsia="Times New Roman" w:hint="default"/>
          <w:sz w:val="28"/>
          <w:szCs w:val="28"/>
        </w:rPr>
      </w:pPr>
    </w:p>
    <w:p>
      <w:pPr>
        <w:spacing w:before="0"/>
        <w:ind w:left="142" w:right="1334" w:firstLine="0"/>
        <w:jc w:val="left"/>
        <w:rPr>
          <w:rFonts w:ascii="宋体" w:hAnsi="宋体" w:cs="宋体" w:eastAsia="宋体" w:hint="default"/>
          <w:sz w:val="21"/>
          <w:szCs w:val="21"/>
        </w:rPr>
      </w:pPr>
      <w:r>
        <w:rPr>
          <w:rFonts w:ascii="宋体" w:hAnsi="宋体" w:cs="宋体" w:eastAsia="宋体" w:hint="default"/>
          <w:sz w:val="21"/>
          <w:szCs w:val="21"/>
        </w:rPr>
        <w:t>终端总量</w:t>
      </w:r>
    </w:p>
    <w:p>
      <w:pPr>
        <w:spacing w:line="240" w:lineRule="auto" w:before="9"/>
        <w:rPr>
          <w:rFonts w:ascii="宋体" w:hAnsi="宋体" w:cs="宋体" w:eastAsia="宋体" w:hint="default"/>
          <w:sz w:val="26"/>
          <w:szCs w:val="26"/>
        </w:rPr>
      </w:pPr>
    </w:p>
    <w:p>
      <w:pPr>
        <w:spacing w:before="0"/>
        <w:ind w:left="142" w:right="1334" w:firstLine="0"/>
        <w:jc w:val="left"/>
        <w:rPr>
          <w:rFonts w:ascii="宋体" w:hAnsi="宋体" w:cs="宋体" w:eastAsia="宋体" w:hint="default"/>
          <w:sz w:val="21"/>
          <w:szCs w:val="21"/>
        </w:rPr>
      </w:pPr>
      <w:r>
        <w:rPr>
          <w:rFonts w:ascii="宋体" w:hAnsi="宋体" w:cs="宋体" w:eastAsia="宋体" w:hint="default"/>
          <w:sz w:val="21"/>
          <w:szCs w:val="21"/>
        </w:rPr>
        <w:t>数据来源：全国联网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相关数据来自中国人民银行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6"/>
        <w:spacing w:line="240" w:lineRule="auto"/>
        <w:ind w:right="1334"/>
        <w:jc w:val="left"/>
        <w:rPr>
          <w:b w:val="0"/>
          <w:bCs w:val="0"/>
        </w:rPr>
      </w:pPr>
      <w:r>
        <w:rPr>
          <w:rFonts w:ascii="Times New Roman" w:hAnsi="Times New Roman" w:cs="Times New Roman" w:eastAsia="Times New Roman" w:hint="default"/>
        </w:rPr>
        <w:t>3</w:t>
      </w:r>
      <w:r>
        <w:rPr/>
        <w:t>、小结</w:t>
      </w:r>
      <w:r>
        <w:rPr>
          <w:b w:val="0"/>
          <w:bCs w:val="0"/>
        </w:rPr>
      </w:r>
    </w:p>
    <w:p>
      <w:pPr>
        <w:spacing w:line="240" w:lineRule="auto" w:before="2"/>
        <w:rPr>
          <w:rFonts w:ascii="宋体" w:hAnsi="宋体" w:cs="宋体" w:eastAsia="宋体" w:hint="default"/>
          <w:b/>
          <w:bCs/>
          <w:sz w:val="33"/>
          <w:szCs w:val="33"/>
        </w:rPr>
      </w:pPr>
    </w:p>
    <w:p>
      <w:pPr>
        <w:pStyle w:val="BodyText"/>
        <w:spacing w:line="357" w:lineRule="auto"/>
        <w:ind w:right="168" w:firstLine="479"/>
        <w:jc w:val="left"/>
      </w:pPr>
      <w:r>
        <w:rPr/>
        <w:t>我国作为发展中国家，电子支付市场在我国方兴未艾，随着电子信息技术的 不断发展，我国出现了银行卡支付、网络支付、手机支付、电话支付，甚至还出 现了数字电视机顶盒支付、指纹支付等各种各样的支付方式，支付技术在我国蓬 勃发展。我公司作为以银行卡受理终端研发为基础的电子支付技术服务商，不论 是卡支付、网络支付还是手机支付，支付方式的多样化将给公司带来客户的多元 化，也为公司的产品、增值应用开发方案和支付技术服务解决方案的创新提供了 客观环境。随着电信运营商加入支付受理环境建设，国内受理终端的市场规模将 进一步扩大，公司将面临新的市场需求，有利于公司未来业绩的稳定增长。由于 电子支付行业在我国是一个新兴行业，存在着较多技术和业务模式的创新空间， </w:t>
      </w:r>
      <w:r>
        <w:rPr>
          <w:spacing w:val="-1"/>
        </w:rPr>
        <w:t>公司将在</w:t>
      </w:r>
      <w:r>
        <w:rPr>
          <w:rFonts w:ascii="Times New Roman" w:hAnsi="Times New Roman" w:cs="Times New Roman" w:eastAsia="Times New Roman" w:hint="default"/>
          <w:spacing w:val="-1"/>
        </w:rPr>
        <w:t>“</w:t>
      </w:r>
      <w:r>
        <w:rPr>
          <w:spacing w:val="-1"/>
        </w:rPr>
        <w:t>创新</w:t>
      </w:r>
      <w:r>
        <w:rPr>
          <w:rFonts w:ascii="Times New Roman" w:hAnsi="Times New Roman" w:cs="Times New Roman" w:eastAsia="Times New Roman" w:hint="default"/>
          <w:spacing w:val="-1"/>
        </w:rPr>
        <w:t>”</w:t>
      </w:r>
      <w:r>
        <w:rPr>
          <w:spacing w:val="-1"/>
        </w:rPr>
        <w:t>的企业核心价值的引导下，抓住行业发展机会，将企业做大做强。</w:t>
      </w:r>
    </w:p>
    <w:p>
      <w:pPr>
        <w:spacing w:line="240" w:lineRule="auto" w:before="2"/>
        <w:rPr>
          <w:rFonts w:ascii="宋体" w:hAnsi="宋体" w:cs="宋体" w:eastAsia="宋体" w:hint="default"/>
          <w:sz w:val="23"/>
          <w:szCs w:val="23"/>
        </w:rPr>
      </w:pPr>
    </w:p>
    <w:p>
      <w:pPr>
        <w:pStyle w:val="Heading6"/>
        <w:spacing w:line="240" w:lineRule="auto"/>
        <w:ind w:right="176"/>
        <w:jc w:val="left"/>
        <w:rPr>
          <w:b w:val="0"/>
          <w:bCs w:val="0"/>
        </w:rPr>
      </w:pPr>
      <w:r>
        <w:rPr/>
        <w:t>（三）对公司未来发展战略和经营目标的实现产生不利影响的风险因素分析</w:t>
      </w:r>
      <w:r>
        <w:rPr>
          <w:b w:val="0"/>
          <w:bCs w:val="0"/>
        </w:rPr>
      </w:r>
    </w:p>
    <w:p>
      <w:pPr>
        <w:spacing w:line="240" w:lineRule="auto" w:before="0"/>
        <w:rPr>
          <w:rFonts w:ascii="宋体" w:hAnsi="宋体" w:cs="宋体" w:eastAsia="宋体" w:hint="default"/>
          <w:b/>
          <w:bCs/>
          <w:sz w:val="24"/>
          <w:szCs w:val="24"/>
        </w:rPr>
      </w:pPr>
    </w:p>
    <w:p>
      <w:pPr>
        <w:spacing w:line="496" w:lineRule="auto" w:before="166"/>
        <w:ind w:left="634" w:right="285" w:hanging="492"/>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、对大客户依赖的风险</w:t>
      </w:r>
      <w:r>
        <w:rPr>
          <w:rFonts w:ascii="宋体" w:hAnsi="宋体" w:cs="宋体" w:eastAsia="宋体" w:hint="default"/>
          <w:b/>
          <w:bCs/>
          <w:w w:val="99"/>
          <w:sz w:val="24"/>
          <w:szCs w:val="24"/>
        </w:rPr>
        <w:t> </w:t>
      </w:r>
      <w:r>
        <w:rPr>
          <w:rFonts w:ascii="宋体" w:hAnsi="宋体" w:cs="宋体" w:eastAsia="宋体" w:hint="default"/>
          <w:sz w:val="24"/>
          <w:szCs w:val="24"/>
        </w:rPr>
        <w:t>中国银联控股的银联商务和广州银联支付是公司主要客户，</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年至</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2009</w:t>
      </w:r>
    </w:p>
    <w:p>
      <w:pPr>
        <w:spacing w:after="0" w:line="496" w:lineRule="auto"/>
        <w:jc w:val="left"/>
        <w:rPr>
          <w:rFonts w:ascii="Times New Roman" w:hAnsi="Times New Roman" w:cs="Times New Roman" w:eastAsia="Times New Roman" w:hint="default"/>
          <w:sz w:val="24"/>
          <w:szCs w:val="24"/>
        </w:rPr>
        <w:sectPr>
          <w:pgSz w:w="11910" w:h="16840"/>
          <w:pgMar w:header="877" w:footer="1267" w:top="1060" w:bottom="1460" w:left="1560" w:right="1440"/>
        </w:sectPr>
      </w:pPr>
    </w:p>
    <w:p>
      <w:pPr>
        <w:pStyle w:val="BodyText"/>
        <w:spacing w:line="348" w:lineRule="auto" w:before="25"/>
        <w:ind w:right="299"/>
        <w:jc w:val="both"/>
      </w:pPr>
      <w:r>
        <w:rPr/>
        <w:pict>
          <v:group style="position:absolute;margin-left:83.664001pt;margin-top:2.185654pt;width:433.75pt;height:.1pt;mso-position-horizontal-relative:page;mso-position-vertical-relative:paragraph;z-index:-681712" coordorigin="1673,44" coordsize="8675,2">
            <v:shape style="position:absolute;left:1673;top:44;width:8675;height:2" coordorigin="1673,44" coordsize="8675,0" path="m1673,44l10348,44e" filled="false" stroked="true" strokeweight=".72pt" strokecolor="#000000">
              <v:path arrowok="t"/>
            </v:shape>
            <w10:wrap type="none"/>
          </v:group>
        </w:pict>
      </w:r>
      <w:r>
        <w:rPr>
          <w:spacing w:val="4"/>
        </w:rPr>
        <w:t>年公司对上述两家客户的销售收入合计占公司营业收入的比例分别为</w:t>
      </w:r>
      <w:r>
        <w:rPr>
          <w:spacing w:val="13"/>
        </w:rPr>
        <w:t> </w:t>
      </w:r>
      <w:r>
        <w:rPr>
          <w:rFonts w:ascii="Times New Roman" w:hAnsi="Times New Roman" w:cs="Times New Roman" w:eastAsia="Times New Roman" w:hint="default"/>
        </w:rPr>
        <w:t>86.96%</w:t>
      </w:r>
      <w:r>
        <w:rPr/>
        <w:t>、 </w:t>
      </w:r>
      <w:r>
        <w:rPr>
          <w:rFonts w:ascii="Times New Roman" w:hAnsi="Times New Roman" w:cs="Times New Roman" w:eastAsia="Times New Roman" w:hint="default"/>
        </w:rPr>
        <w:t>76.78%</w:t>
      </w:r>
      <w:r>
        <w:rPr/>
        <w:t>、</w:t>
      </w:r>
      <w:r>
        <w:rPr>
          <w:rFonts w:ascii="Times New Roman" w:hAnsi="Times New Roman" w:cs="Times New Roman" w:eastAsia="Times New Roman" w:hint="default"/>
        </w:rPr>
        <w:t>47.78%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年，公司客户中新增中国银联体系的深圳市银联金融网络 有限公司，由此银联商务、广州银联支付以及深圳市银联金融网络有限公司销售</w:t>
      </w:r>
      <w:r>
        <w:rPr>
          <w:spacing w:val="-67"/>
        </w:rPr>
        <w:t> </w:t>
      </w:r>
      <w:r>
        <w:rPr>
          <w:spacing w:val="-67"/>
        </w:rPr>
      </w:r>
      <w:r>
        <w:rPr/>
        <w:t>收入合计占公司营业收入的比例为</w:t>
      </w:r>
      <w:r>
        <w:rPr>
          <w:spacing w:val="-78"/>
        </w:rPr>
        <w:t> </w:t>
      </w:r>
      <w:r>
        <w:rPr>
          <w:rFonts w:ascii="Times New Roman" w:hAnsi="Times New Roman" w:cs="Times New Roman" w:eastAsia="Times New Roman" w:hint="default"/>
        </w:rPr>
        <w:t>40.76%</w:t>
      </w:r>
      <w:r>
        <w:rPr/>
        <w:t>。虽然随着我国银行卡产业和收单行业 的发展，公司销售客户结构已出现多元化趋势，但中国银联体系在公司销售中的</w:t>
      </w:r>
      <w:r>
        <w:rPr>
          <w:spacing w:val="-67"/>
        </w:rPr>
        <w:t> </w:t>
      </w:r>
      <w:r>
        <w:rPr>
          <w:spacing w:val="-67"/>
        </w:rPr>
      </w:r>
      <w:r>
        <w:rPr/>
        <w:t>占比仍然有可能维持较高水平，该客户的采购政策发生变化有可能对公司业务产</w:t>
      </w:r>
      <w:r>
        <w:rPr>
          <w:spacing w:val="-67"/>
        </w:rPr>
        <w:t> </w:t>
      </w:r>
      <w:r>
        <w:rPr>
          <w:spacing w:val="-67"/>
        </w:rPr>
      </w:r>
      <w:r>
        <w:rPr/>
        <w:t>生不利影响。</w:t>
      </w:r>
    </w:p>
    <w:p>
      <w:pPr>
        <w:spacing w:line="240" w:lineRule="auto" w:before="10"/>
        <w:rPr>
          <w:rFonts w:ascii="宋体" w:hAnsi="宋体" w:cs="宋体" w:eastAsia="宋体" w:hint="default"/>
          <w:sz w:val="31"/>
          <w:szCs w:val="31"/>
        </w:rPr>
      </w:pPr>
    </w:p>
    <w:p>
      <w:pPr>
        <w:pStyle w:val="Heading6"/>
        <w:spacing w:line="240" w:lineRule="auto"/>
        <w:ind w:right="0"/>
        <w:jc w:val="both"/>
        <w:rPr>
          <w:b w:val="0"/>
          <w:bCs w:val="0"/>
        </w:rPr>
      </w:pPr>
      <w:r>
        <w:rPr>
          <w:rFonts w:ascii="Times New Roman" w:hAnsi="Times New Roman" w:cs="Times New Roman" w:eastAsia="Times New Roman" w:hint="default"/>
        </w:rPr>
        <w:t>2</w:t>
      </w:r>
      <w:r>
        <w:rPr/>
        <w:t>、部分客户行业经营政策环境不确定风险</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621" w:right="176"/>
        <w:jc w:val="left"/>
      </w:pPr>
      <w:r>
        <w:rPr/>
        <w:t>中国人民银行于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14 </w:t>
      </w:r>
      <w:r>
        <w:rPr/>
        <w:t>日颁</w:t>
      </w:r>
      <w:r>
        <w:rPr>
          <w:spacing w:val="-29"/>
        </w:rPr>
        <w:t>布</w:t>
      </w:r>
      <w:r>
        <w:rPr/>
        <w:t>《非金融机构支付服务管理办法</w:t>
      </w:r>
      <w:r>
        <w:rPr>
          <w:spacing w:val="-120"/>
        </w:rPr>
        <w:t>》</w:t>
      </w:r>
      <w:r>
        <w:rPr>
          <w:spacing w:val="-29"/>
        </w:rPr>
        <w:t>，</w:t>
      </w:r>
      <w:r>
        <w:rPr/>
        <w:t>核</w:t>
      </w:r>
    </w:p>
    <w:p>
      <w:pPr>
        <w:pStyle w:val="BodyText"/>
        <w:spacing w:line="348" w:lineRule="auto" w:before="135"/>
        <w:ind w:right="300"/>
        <w:jc w:val="both"/>
      </w:pPr>
      <w:r>
        <w:rPr/>
        <w:t>心在于对非金融机构从事支付服务管理进行资质管理。该办法将于</w:t>
      </w:r>
      <w:r>
        <w:rPr>
          <w:spacing w:val="-59"/>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 </w:t>
      </w:r>
      <w:r>
        <w:rPr/>
        <w:t>日正式生效。对目前已经从事相关业务的机构，该办法给予一年过渡期，即要求</w:t>
      </w:r>
      <w:r>
        <w:rPr>
          <w:spacing w:val="-63"/>
        </w:rPr>
        <w:t> </w:t>
      </w:r>
      <w:r>
        <w:rPr>
          <w:spacing w:val="-63"/>
        </w:rPr>
      </w:r>
      <w:r>
        <w:rPr/>
        <w:t>这类机构在</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月之前向人民银行申请并取得资质。</w:t>
      </w:r>
    </w:p>
    <w:p>
      <w:pPr>
        <w:pStyle w:val="BodyText"/>
        <w:spacing w:line="357" w:lineRule="auto" w:before="133"/>
        <w:ind w:right="176" w:firstLine="479"/>
        <w:jc w:val="left"/>
      </w:pPr>
      <w:r>
        <w:rPr/>
        <w:t>公司主要客户银联商务部分下属机构从事收单服务，需要申请相应资质。尽 管银联商务在资本实力、业务规模、技术和管理水平等方面符合该办法的基本要</w:t>
      </w:r>
      <w:r>
        <w:rPr>
          <w:spacing w:val="-67"/>
        </w:rPr>
        <w:t> </w:t>
      </w:r>
      <w:r>
        <w:rPr>
          <w:spacing w:val="-67"/>
        </w:rPr>
      </w:r>
      <w:r>
        <w:rPr>
          <w:spacing w:val="-2"/>
        </w:rPr>
        <w:t>求，行业影响力突出，但目前来看，相关资质的取得在最终获批前存在不确定性，</w:t>
      </w:r>
      <w:r>
        <w:rPr>
          <w:spacing w:val="-108"/>
        </w:rPr>
        <w:t> </w:t>
      </w:r>
      <w:r>
        <w:rPr>
          <w:spacing w:val="-108"/>
        </w:rPr>
      </w:r>
      <w:r>
        <w:rPr/>
        <w:t>从而可能间接影响公司业务开展。</w:t>
      </w:r>
    </w:p>
    <w:p>
      <w:pPr>
        <w:pStyle w:val="BodyText"/>
        <w:spacing w:line="350" w:lineRule="auto" w:before="77"/>
        <w:ind w:right="295" w:firstLine="479"/>
        <w:jc w:val="both"/>
      </w:pPr>
      <w:r>
        <w:rPr>
          <w:spacing w:val="9"/>
        </w:rPr>
        <w:t>此外，公司主要客户通联支付及其他从事收单服务的客户现有业务主要是 </w:t>
      </w:r>
      <w:r>
        <w:rPr>
          <w:rFonts w:ascii="Times New Roman" w:hAnsi="Times New Roman" w:cs="Times New Roman" w:eastAsia="Times New Roman" w:hint="default"/>
        </w:rPr>
        <w:t>POS</w:t>
      </w:r>
      <w:r>
        <w:rPr>
          <w:rFonts w:ascii="Times New Roman" w:hAnsi="Times New Roman" w:cs="Times New Roman" w:eastAsia="Times New Roman" w:hint="default"/>
          <w:spacing w:val="38"/>
        </w:rPr>
        <w:t> </w:t>
      </w:r>
      <w:r>
        <w:rPr/>
        <w:t>终端的布放、维护和技术服务，不需要申请相应资质。如果未来通联支付等 收单服务机构业务延伸至资金收付等收单业务领域，则需要申请相应资质，存在</w:t>
      </w:r>
      <w:r>
        <w:rPr>
          <w:spacing w:val="-62"/>
        </w:rPr>
        <w:t> </w:t>
      </w:r>
      <w:r>
        <w:rPr>
          <w:spacing w:val="-62"/>
        </w:rPr>
      </w:r>
      <w:r>
        <w:rPr/>
        <w:t>不能获批的可能性。</w:t>
      </w:r>
    </w:p>
    <w:p>
      <w:pPr>
        <w:spacing w:line="240" w:lineRule="auto" w:before="4"/>
        <w:rPr>
          <w:rFonts w:ascii="宋体" w:hAnsi="宋体" w:cs="宋体" w:eastAsia="宋体" w:hint="default"/>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3</w:t>
      </w:r>
      <w:r>
        <w:rPr/>
        <w:t>、市场竞争风险</w:t>
      </w:r>
      <w:r>
        <w:rPr>
          <w:b w:val="0"/>
          <w:bCs w:val="0"/>
        </w:rPr>
      </w:r>
    </w:p>
    <w:p>
      <w:pPr>
        <w:spacing w:line="240" w:lineRule="auto" w:before="4"/>
        <w:rPr>
          <w:rFonts w:ascii="宋体" w:hAnsi="宋体" w:cs="宋体" w:eastAsia="宋体" w:hint="default"/>
          <w:b/>
          <w:bCs/>
          <w:sz w:val="31"/>
          <w:szCs w:val="31"/>
        </w:rPr>
      </w:pPr>
    </w:p>
    <w:p>
      <w:pPr>
        <w:pStyle w:val="BodyText"/>
        <w:spacing w:line="352" w:lineRule="auto"/>
        <w:ind w:right="176" w:firstLine="479"/>
        <w:jc w:val="left"/>
      </w:pPr>
      <w:r>
        <w:rPr/>
        <w:t>金融</w:t>
      </w:r>
      <w:r>
        <w:rPr>
          <w:spacing w:val="-65"/>
        </w:rPr>
        <w:t> </w:t>
      </w:r>
      <w:r>
        <w:rPr>
          <w:rFonts w:ascii="Times New Roman" w:hAnsi="Times New Roman" w:cs="Times New Roman" w:eastAsia="Times New Roman" w:hint="default"/>
        </w:rPr>
        <w:t>POS</w:t>
      </w:r>
      <w:r>
        <w:rPr>
          <w:rFonts w:ascii="Times New Roman" w:hAnsi="Times New Roman" w:cs="Times New Roman" w:eastAsia="Times New Roman" w:hint="default"/>
          <w:spacing w:val="-5"/>
        </w:rPr>
        <w:t> </w:t>
      </w:r>
      <w:r>
        <w:rPr/>
        <w:t>终端的研发、生产以及电子支付技术服务具有较高的进入壁垒。目 前，公司的主要竞争对手深圳百富等具有境外资本市场背景，在总体业务规模、</w:t>
      </w:r>
      <w:r>
        <w:rPr>
          <w:spacing w:val="-67"/>
        </w:rPr>
        <w:t> </w:t>
      </w:r>
      <w:r>
        <w:rPr>
          <w:spacing w:val="-67"/>
        </w:rPr>
      </w:r>
      <w:r>
        <w:rPr/>
        <w:t>资金实力等方面掌握有一定优势。近几年来公司保持了快速成长的势头，但如果</w:t>
      </w:r>
      <w:r>
        <w:rPr>
          <w:spacing w:val="-67"/>
        </w:rPr>
        <w:t> </w:t>
      </w:r>
      <w:r>
        <w:rPr>
          <w:spacing w:val="-67"/>
        </w:rPr>
      </w:r>
      <w:r>
        <w:rPr>
          <w:spacing w:val="-2"/>
        </w:rPr>
        <w:t>公司未来在新产品或技术的开发、销售网络构建等方面不能有效适应市场的变化，</w:t>
      </w:r>
      <w:r>
        <w:rPr>
          <w:spacing w:val="-108"/>
        </w:rPr>
        <w:t> </w:t>
      </w:r>
      <w:r>
        <w:rPr>
          <w:spacing w:val="-108"/>
        </w:rPr>
      </w:r>
      <w:r>
        <w:rPr/>
        <w:t>公司在市场竞争中可能难以保持快速增长，甚至失去已有的市场份额。</w:t>
      </w:r>
    </w:p>
    <w:p>
      <w:pPr>
        <w:spacing w:after="0" w:line="352" w:lineRule="auto"/>
        <w:jc w:val="left"/>
        <w:sectPr>
          <w:pgSz w:w="11910" w:h="16840"/>
          <w:pgMar w:header="877" w:footer="1267" w:top="1060" w:bottom="1460" w:left="1560" w:right="14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6"/>
        <w:spacing w:line="240" w:lineRule="auto" w:before="26"/>
        <w:ind w:right="219"/>
        <w:jc w:val="left"/>
        <w:rPr>
          <w:b w:val="0"/>
          <w:bCs w:val="0"/>
        </w:rPr>
      </w:pPr>
      <w:r>
        <w:rPr>
          <w:rFonts w:ascii="Times New Roman" w:hAnsi="Times New Roman" w:cs="Times New Roman" w:eastAsia="Times New Roman" w:hint="default"/>
        </w:rPr>
        <w:t>4</w:t>
      </w:r>
      <w:r>
        <w:rPr/>
        <w:t>、业务和资产规模扩张带来的管理风险</w:t>
      </w:r>
      <w:r>
        <w:rPr>
          <w:b w:val="0"/>
          <w:bCs w:val="0"/>
        </w:rPr>
      </w:r>
    </w:p>
    <w:p>
      <w:pPr>
        <w:spacing w:line="240" w:lineRule="auto" w:before="4"/>
        <w:rPr>
          <w:rFonts w:ascii="宋体" w:hAnsi="宋体" w:cs="宋体" w:eastAsia="宋体" w:hint="default"/>
          <w:b/>
          <w:bCs/>
          <w:sz w:val="31"/>
          <w:szCs w:val="31"/>
        </w:rPr>
      </w:pPr>
    </w:p>
    <w:p>
      <w:pPr>
        <w:pStyle w:val="BodyText"/>
        <w:spacing w:line="357" w:lineRule="auto"/>
        <w:ind w:right="385" w:firstLine="479"/>
        <w:jc w:val="both"/>
      </w:pPr>
      <w:r>
        <w:rPr/>
        <w:t>本次发行后，公司资产、业务和人员规模将进一步扩大，从而使得公司现有 组织架构和运营管理模式面临新的考验。业务规模的扩张将会增加公司的管理难</w:t>
      </w:r>
      <w:r>
        <w:rPr>
          <w:spacing w:val="-67"/>
        </w:rPr>
        <w:t> </w:t>
      </w:r>
      <w:r>
        <w:rPr>
          <w:spacing w:val="-67"/>
        </w:rPr>
      </w:r>
      <w:r>
        <w:rPr/>
        <w:t>度，如果公司的管理团队不能适应发行后的资产规模对人力资源配置的要求，将</w:t>
      </w:r>
      <w:r>
        <w:rPr>
          <w:spacing w:val="-67"/>
        </w:rPr>
        <w:t> </w:t>
      </w:r>
      <w:r>
        <w:rPr>
          <w:spacing w:val="-67"/>
        </w:rPr>
      </w:r>
      <w:r>
        <w:rPr/>
        <w:t>会降低公司的运行效率，导致公司未来盈利不能达到预期目标。</w:t>
      </w:r>
    </w:p>
    <w:p>
      <w:pPr>
        <w:spacing w:line="240" w:lineRule="auto" w:before="9"/>
        <w:rPr>
          <w:rFonts w:ascii="宋体" w:hAnsi="宋体" w:cs="宋体" w:eastAsia="宋体" w:hint="default"/>
          <w:sz w:val="25"/>
          <w:szCs w:val="25"/>
        </w:rPr>
      </w:pPr>
    </w:p>
    <w:p>
      <w:pPr>
        <w:pStyle w:val="Heading6"/>
        <w:spacing w:line="240" w:lineRule="auto"/>
        <w:ind w:right="219"/>
        <w:jc w:val="left"/>
        <w:rPr>
          <w:b w:val="0"/>
          <w:bCs w:val="0"/>
        </w:rPr>
      </w:pPr>
      <w:r>
        <w:rPr/>
        <w:t>（四）管理层所关注的发展机遇和挑战</w:t>
      </w:r>
      <w:r>
        <w:rPr>
          <w:b w:val="0"/>
          <w:bCs w:val="0"/>
        </w:rPr>
      </w:r>
    </w:p>
    <w:p>
      <w:pPr>
        <w:spacing w:line="240" w:lineRule="auto" w:before="0"/>
        <w:rPr>
          <w:rFonts w:ascii="宋体" w:hAnsi="宋体" w:cs="宋体" w:eastAsia="宋体" w:hint="default"/>
          <w:b/>
          <w:bCs/>
          <w:sz w:val="24"/>
          <w:szCs w:val="24"/>
        </w:rPr>
      </w:pPr>
    </w:p>
    <w:p>
      <w:pPr>
        <w:spacing w:before="164"/>
        <w:ind w:left="142" w:right="2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、机遇</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338" w:lineRule="auto"/>
        <w:ind w:left="621" w:right="212" w:hanging="480"/>
        <w:jc w:val="left"/>
      </w:pPr>
      <w:r>
        <w:rPr/>
        <w:t>（</w:t>
      </w:r>
      <w:r>
        <w:rPr>
          <w:rFonts w:ascii="Times New Roman" w:hAnsi="Times New Roman" w:cs="Times New Roman" w:eastAsia="Times New Roman" w:hint="default"/>
        </w:rPr>
        <w:t>1</w:t>
      </w:r>
      <w:r>
        <w:rPr/>
        <w:t>）国内金融</w:t>
      </w:r>
      <w:r>
        <w:rPr>
          <w:spacing w:val="-61"/>
        </w:rPr>
        <w:t> </w:t>
      </w:r>
      <w:r>
        <w:rPr>
          <w:rFonts w:ascii="Times New Roman" w:hAnsi="Times New Roman" w:cs="Times New Roman" w:eastAsia="Times New Roman" w:hint="default"/>
        </w:rPr>
        <w:t>POS </w:t>
      </w:r>
      <w:r>
        <w:rPr/>
        <w:t>机市场规模将保持持续快速增长。 我国的</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规划提出将继续加快中国城市化建设进程，加快电子商务的发</w:t>
      </w:r>
    </w:p>
    <w:p>
      <w:pPr>
        <w:pStyle w:val="BodyText"/>
        <w:spacing w:line="352" w:lineRule="auto" w:before="27"/>
        <w:ind w:right="92"/>
        <w:jc w:val="left"/>
      </w:pPr>
      <w:r>
        <w:rPr/>
        <w:t>展，促进物联网技术的应用，此外，中国人民银行提出要改善农村用卡环境建设， 加大农村支付受理市场的建设力度，农业银行、中国邮政储蓄银行、各农村商业银 行预期将继续加大设备的采购力度。不仅如此，在国内各大商业银行加大收单业务 </w:t>
      </w:r>
      <w:r>
        <w:rPr>
          <w:spacing w:val="-4"/>
        </w:rPr>
        <w:t>的背景下，中国银联、各大国有商业银行等收单机构都将继续加大设备的采购力度。</w:t>
      </w:r>
      <w:r>
        <w:rPr>
          <w:spacing w:val="-116"/>
        </w:rPr>
        <w:t> </w:t>
      </w:r>
      <w:r>
        <w:rPr>
          <w:spacing w:val="-116"/>
        </w:rPr>
      </w:r>
      <w:r>
        <w:rPr>
          <w:spacing w:val="-3"/>
          <w:w w:val="99"/>
        </w:rPr>
        <w:t>相比发达国家的支付受理市场规模，预计国内金融</w:t>
      </w:r>
      <w:r>
        <w:rPr>
          <w:rFonts w:ascii="Times New Roman" w:hAnsi="Times New Roman" w:cs="Times New Roman" w:eastAsia="Times New Roman" w:hint="default"/>
          <w:spacing w:val="-3"/>
          <w:w w:val="99"/>
        </w:rPr>
        <w:t>POS</w:t>
      </w:r>
      <w:r>
        <w:rPr>
          <w:spacing w:val="-3"/>
          <w:w w:val="99"/>
        </w:rPr>
        <w:t>机市场将延续较快增长势头，</w:t>
      </w:r>
      <w:r>
        <w:rPr>
          <w:spacing w:val="-110"/>
          <w:w w:val="99"/>
        </w:rPr>
        <w:t> </w:t>
      </w:r>
      <w:r>
        <w:rPr/>
        <w:t>公司作为国内受理终端的主流供应商，面临行业快速发展的机遇。</w:t>
      </w:r>
    </w:p>
    <w:p>
      <w:pPr>
        <w:pStyle w:val="BodyText"/>
        <w:spacing w:line="338" w:lineRule="auto" w:before="41"/>
        <w:ind w:left="621" w:right="220" w:hanging="480"/>
        <w:jc w:val="left"/>
      </w:pPr>
      <w:r>
        <w:rPr/>
        <w:t>（</w:t>
      </w:r>
      <w:r>
        <w:rPr>
          <w:rFonts w:ascii="Times New Roman" w:hAnsi="Times New Roman" w:cs="Times New Roman" w:eastAsia="Times New Roman" w:hint="default"/>
        </w:rPr>
        <w:t>2</w:t>
      </w:r>
      <w:r>
        <w:rPr/>
        <w:t>）银行卡技术的不断升级给金融</w:t>
      </w:r>
      <w:r>
        <w:rPr>
          <w:spacing w:val="-6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机带来市场空间。 </w:t>
      </w:r>
      <w:r>
        <w:rPr>
          <w:spacing w:val="-1"/>
        </w:rPr>
        <w:t>银行卡技术从磁条银行卡技术向金融</w:t>
      </w:r>
      <w:r>
        <w:rPr>
          <w:rFonts w:ascii="Times New Roman" w:hAnsi="Times New Roman" w:cs="Times New Roman" w:eastAsia="Times New Roman" w:hint="default"/>
          <w:spacing w:val="-1"/>
        </w:rPr>
        <w:t>IC</w:t>
      </w:r>
      <w:r>
        <w:rPr>
          <w:spacing w:val="-1"/>
        </w:rPr>
        <w:t>卡技术发展，从接触式卡技术向非接触</w:t>
      </w:r>
    </w:p>
    <w:p>
      <w:pPr>
        <w:pStyle w:val="BodyText"/>
        <w:spacing w:line="340" w:lineRule="auto" w:before="27"/>
        <w:ind w:right="219"/>
        <w:jc w:val="left"/>
      </w:pPr>
      <w:r>
        <w:rPr>
          <w:spacing w:val="-3"/>
        </w:rPr>
        <w:t>式卡技术发展，银行卡</w:t>
      </w:r>
      <w:r>
        <w:rPr>
          <w:rFonts w:ascii="Times New Roman" w:hAnsi="Times New Roman" w:cs="Times New Roman" w:eastAsia="Times New Roman" w:hint="default"/>
          <w:spacing w:val="-3"/>
        </w:rPr>
        <w:t>EMV</w:t>
      </w:r>
      <w:r>
        <w:rPr>
          <w:spacing w:val="-3"/>
        </w:rPr>
        <w:t>技术迁移，金融</w:t>
      </w:r>
      <w:r>
        <w:rPr>
          <w:rFonts w:ascii="Times New Roman" w:hAnsi="Times New Roman" w:cs="Times New Roman" w:eastAsia="Times New Roman" w:hint="default"/>
          <w:spacing w:val="-3"/>
        </w:rPr>
        <w:t>IC</w:t>
      </w:r>
      <w:r>
        <w:rPr>
          <w:spacing w:val="-3"/>
        </w:rPr>
        <w:t>卡迁移；持卡人身份从数字代号识别</w:t>
      </w:r>
      <w:r>
        <w:rPr>
          <w:spacing w:val="-88"/>
        </w:rPr>
        <w:t> </w:t>
      </w:r>
      <w:r>
        <w:rPr>
          <w:spacing w:val="-88"/>
        </w:rPr>
      </w:r>
      <w:r>
        <w:rPr>
          <w:spacing w:val="11"/>
        </w:rPr>
        <w:t>到生物识别；通信技术从</w:t>
      </w:r>
      <w:r>
        <w:rPr>
          <w:rFonts w:ascii="Times New Roman" w:hAnsi="Times New Roman" w:cs="Times New Roman" w:eastAsia="Times New Roman" w:hint="default"/>
          <w:spacing w:val="11"/>
        </w:rPr>
        <w:t>1G</w:t>
      </w:r>
      <w:r>
        <w:rPr>
          <w:spacing w:val="11"/>
        </w:rPr>
        <w:t>发展到</w:t>
      </w:r>
      <w:r>
        <w:rPr>
          <w:rFonts w:ascii="Times New Roman" w:hAnsi="Times New Roman" w:cs="Times New Roman" w:eastAsia="Times New Roman" w:hint="default"/>
          <w:spacing w:val="11"/>
        </w:rPr>
        <w:t>3G</w:t>
      </w:r>
      <w:r>
        <w:rPr>
          <w:spacing w:val="11"/>
        </w:rPr>
        <w:t>，甚至到</w:t>
      </w:r>
      <w:r>
        <w:rPr>
          <w:rFonts w:ascii="Times New Roman" w:hAnsi="Times New Roman" w:cs="Times New Roman" w:eastAsia="Times New Roman" w:hint="default"/>
          <w:spacing w:val="11"/>
        </w:rPr>
        <w:t>4G</w:t>
      </w:r>
      <w:r>
        <w:rPr>
          <w:spacing w:val="11"/>
        </w:rPr>
        <w:t>，通信技术的发展将对电子</w:t>
      </w:r>
      <w:r>
        <w:rPr>
          <w:spacing w:val="-117"/>
        </w:rPr>
        <w:t> </w:t>
      </w:r>
      <w:r>
        <w:rPr>
          <w:spacing w:val="-117"/>
        </w:rPr>
      </w:r>
      <w:r>
        <w:rPr>
          <w:spacing w:val="12"/>
        </w:rPr>
        <w:t>支付受理终端设备的交易速度、交易安全控制等方面产生重大影响。随着中国</w:t>
      </w:r>
      <w:r>
        <w:rPr>
          <w:spacing w:val="-109"/>
        </w:rPr>
        <w:t> </w:t>
      </w:r>
      <w:r>
        <w:rPr>
          <w:spacing w:val="-109"/>
        </w:rPr>
      </w:r>
      <w:r>
        <w:rPr>
          <w:spacing w:val="12"/>
        </w:rPr>
        <w:t>银联、各大商业银行大力推进金融</w:t>
      </w:r>
      <w:r>
        <w:rPr>
          <w:rFonts w:ascii="Times New Roman" w:hAnsi="Times New Roman" w:cs="Times New Roman" w:eastAsia="Times New Roman" w:hint="default"/>
          <w:spacing w:val="12"/>
        </w:rPr>
        <w:t>IC</w:t>
      </w:r>
      <w:r>
        <w:rPr>
          <w:spacing w:val="12"/>
        </w:rPr>
        <w:t>卡替换工程，金融</w:t>
      </w:r>
      <w:r>
        <w:rPr>
          <w:rFonts w:ascii="Times New Roman" w:hAnsi="Times New Roman" w:cs="Times New Roman" w:eastAsia="Times New Roman" w:hint="default"/>
          <w:spacing w:val="12"/>
        </w:rPr>
        <w:t>POS</w:t>
      </w:r>
      <w:r>
        <w:rPr>
          <w:spacing w:val="12"/>
        </w:rPr>
        <w:t>机作为电子支付技</w:t>
      </w:r>
      <w:r>
        <w:rPr>
          <w:spacing w:val="-88"/>
        </w:rPr>
        <w:t> </w:t>
      </w:r>
      <w:r>
        <w:rPr>
          <w:spacing w:val="-88"/>
        </w:rPr>
      </w:r>
      <w:r>
        <w:rPr>
          <w:spacing w:val="13"/>
        </w:rPr>
        <w:t>术实现的终端载体，必须尽快实现可支持受理金融</w:t>
      </w:r>
      <w:r>
        <w:rPr>
          <w:rFonts w:ascii="Times New Roman" w:hAnsi="Times New Roman" w:cs="Times New Roman" w:eastAsia="Times New Roman" w:hint="default"/>
          <w:spacing w:val="13"/>
        </w:rPr>
        <w:t>IC</w:t>
      </w:r>
      <w:r>
        <w:rPr>
          <w:spacing w:val="13"/>
        </w:rPr>
        <w:t>卡的功能，这是继</w:t>
      </w:r>
      <w:r>
        <w:rPr>
          <w:rFonts w:ascii="Times New Roman" w:hAnsi="Times New Roman" w:cs="Times New Roman" w:eastAsia="Times New Roman" w:hint="default"/>
          <w:spacing w:val="13"/>
        </w:rPr>
        <w:t>2005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1"/>
        </w:rPr>
        <w:t>年银行卡</w:t>
      </w:r>
      <w:r>
        <w:rPr>
          <w:rFonts w:ascii="Times New Roman" w:hAnsi="Times New Roman" w:cs="Times New Roman" w:eastAsia="Times New Roman" w:hint="default"/>
          <w:spacing w:val="11"/>
        </w:rPr>
        <w:t>EMV</w:t>
      </w:r>
      <w:r>
        <w:rPr>
          <w:spacing w:val="11"/>
        </w:rPr>
        <w:t>迁移之后的又一次银行卡技术升级，将再一次促进金融</w:t>
      </w:r>
      <w:r>
        <w:rPr>
          <w:rFonts w:ascii="Times New Roman" w:hAnsi="Times New Roman" w:cs="Times New Roman" w:eastAsia="Times New Roman" w:hint="default"/>
          <w:spacing w:val="11"/>
        </w:rPr>
        <w:t>POS</w:t>
      </w:r>
      <w:r>
        <w:rPr>
          <w:spacing w:val="11"/>
        </w:rPr>
        <w:t>机的</w:t>
      </w:r>
      <w:r>
        <w:rPr>
          <w:spacing w:val="-87"/>
        </w:rPr>
        <w:t> </w:t>
      </w:r>
      <w:r>
        <w:rPr>
          <w:spacing w:val="13"/>
        </w:rPr>
        <w:t>升级换代，从而产生金融</w:t>
      </w:r>
      <w:r>
        <w:rPr>
          <w:rFonts w:ascii="Times New Roman" w:hAnsi="Times New Roman" w:cs="Times New Roman" w:eastAsia="Times New Roman" w:hint="default"/>
          <w:spacing w:val="13"/>
        </w:rPr>
        <w:t>POS</w:t>
      </w:r>
      <w:r>
        <w:rPr>
          <w:spacing w:val="13"/>
        </w:rPr>
        <w:t>机的市场存量更换空间。</w:t>
      </w:r>
    </w:p>
    <w:p>
      <w:pPr>
        <w:pStyle w:val="BodyText"/>
        <w:spacing w:line="338" w:lineRule="auto" w:before="24"/>
        <w:ind w:left="621" w:right="100" w:hanging="480"/>
        <w:jc w:val="left"/>
      </w:pPr>
      <w:r>
        <w:rPr/>
        <w:t>（</w:t>
      </w:r>
      <w:r>
        <w:rPr>
          <w:rFonts w:ascii="Times New Roman" w:hAnsi="Times New Roman" w:cs="Times New Roman" w:eastAsia="Times New Roman" w:hint="default"/>
        </w:rPr>
        <w:t>3</w:t>
      </w:r>
      <w:r>
        <w:rPr/>
        <w:t>）手机支付给受理终端厂商带来新市场和新客户。 </w:t>
      </w:r>
      <w:r>
        <w:rPr>
          <w:spacing w:val="-5"/>
        </w:rPr>
        <w:t>中国移动、中国联通、中国电信三大电信运营商积极推进手机支付业务的发展，</w:t>
      </w:r>
    </w:p>
    <w:p>
      <w:pPr>
        <w:pStyle w:val="BodyText"/>
        <w:spacing w:line="240" w:lineRule="auto" w:before="55"/>
        <w:ind w:right="100"/>
        <w:jc w:val="left"/>
      </w:pPr>
      <w:r>
        <w:rPr/>
        <w:t>将对我国电子支付市场注入新动力，预计近几年内手机支付受理终端设备将为国内</w:t>
      </w:r>
    </w:p>
    <w:p>
      <w:pPr>
        <w:spacing w:after="0" w:line="240" w:lineRule="auto"/>
        <w:jc w:val="left"/>
        <w:sectPr>
          <w:pgSz w:w="11910" w:h="16840"/>
          <w:pgMar w:header="877" w:footer="1267" w:top="1060" w:bottom="1460" w:left="1560" w:right="1360"/>
        </w:sectPr>
      </w:pPr>
    </w:p>
    <w:p>
      <w:pPr>
        <w:pStyle w:val="BodyText"/>
        <w:spacing w:line="357" w:lineRule="auto" w:before="104"/>
        <w:ind w:right="225"/>
        <w:jc w:val="both"/>
      </w:pPr>
      <w:r>
        <w:rPr>
          <w:spacing w:val="-1"/>
        </w:rPr>
        <w:t>电子支付终端市场带来较大的增长量。公司已经做好手机支付的相关产品和技术研</w:t>
      </w:r>
      <w:r>
        <w:rPr>
          <w:spacing w:val="-109"/>
        </w:rPr>
        <w:t> </w:t>
      </w:r>
      <w:r>
        <w:rPr>
          <w:spacing w:val="-109"/>
        </w:rPr>
      </w:r>
      <w:r>
        <w:rPr/>
        <w:t>发，努力抓住手机支付业务发展带来的市场机会。</w:t>
      </w:r>
    </w:p>
    <w:p>
      <w:pPr>
        <w:pStyle w:val="BodyText"/>
        <w:spacing w:line="338" w:lineRule="auto" w:before="36"/>
        <w:ind w:right="376"/>
        <w:jc w:val="left"/>
      </w:pPr>
      <w:r>
        <w:rPr>
          <w:spacing w:val="-2"/>
        </w:rPr>
        <w:t>（</w:t>
      </w:r>
      <w:r>
        <w:rPr>
          <w:rFonts w:ascii="Times New Roman" w:hAnsi="Times New Roman" w:cs="Times New Roman" w:eastAsia="Times New Roman" w:hint="default"/>
          <w:spacing w:val="-2"/>
        </w:rPr>
        <w:t>4</w:t>
      </w:r>
      <w:r>
        <w:rPr>
          <w:spacing w:val="-2"/>
        </w:rPr>
        <w:t>）《非金融机构从事支付服务管理办法》给非金融机构从事支付服务业务打开</w:t>
      </w:r>
      <w:r>
        <w:rPr>
          <w:spacing w:val="-108"/>
        </w:rPr>
        <w:t> </w:t>
      </w:r>
      <w:r>
        <w:rPr>
          <w:spacing w:val="-108"/>
        </w:rPr>
      </w:r>
      <w:r>
        <w:rPr/>
        <w:t>政策空间，将带来新的市场机会。</w:t>
      </w:r>
    </w:p>
    <w:p>
      <w:pPr>
        <w:pStyle w:val="BodyText"/>
        <w:spacing w:line="357" w:lineRule="auto" w:before="55"/>
        <w:ind w:right="92" w:firstLine="479"/>
        <w:jc w:val="left"/>
      </w:pPr>
      <w:r>
        <w:rPr/>
        <w:t>根据中国人民银行《非金融机构从事支付服务管理办法》的规定，非金融机构 只要满足从事支付服务的内部风险控制流程管理、业务模式符合办法的规定，且具 </w:t>
      </w:r>
      <w:r>
        <w:rPr>
          <w:spacing w:val="-4"/>
        </w:rPr>
        <w:t>备从事支付服务的经验和条件，即可申请《支付业务许可证》，从事支付服务业务。</w:t>
      </w:r>
      <w:r>
        <w:rPr>
          <w:spacing w:val="-116"/>
        </w:rPr>
        <w:t> </w:t>
      </w:r>
      <w:r>
        <w:rPr>
          <w:spacing w:val="-116"/>
        </w:rPr>
      </w:r>
      <w:r>
        <w:rPr/>
        <w:t>除了国内三大电信运营商准备大力推动手机支付需要申请《支付业务许可证》外， 公交卡运营商，支付宝、腾讯等网络支付运营商，各发行预付卡的商场、石化企业</w:t>
      </w:r>
      <w:r>
        <w:rPr/>
        <w:t> 等大型行业企业等有支付业务经验的企业均可能申请《支付业务许可证》，以进入 收单服务市场。</w:t>
      </w:r>
    </w:p>
    <w:p>
      <w:pPr>
        <w:pStyle w:val="BodyText"/>
        <w:spacing w:line="348" w:lineRule="auto" w:before="36"/>
        <w:ind w:right="225" w:firstLine="479"/>
        <w:jc w:val="both"/>
      </w:pPr>
      <w:r>
        <w:rPr>
          <w:spacing w:val="-1"/>
        </w:rPr>
        <w:t>可以预计，收单市场将迎来新的发展，大量社会收单服务机构的出现，将为公</w:t>
      </w:r>
      <w:r>
        <w:rPr/>
        <w:t> 司提供新的客户，公司作为以金融</w:t>
      </w:r>
      <w:r>
        <w:rPr>
          <w:rFonts w:ascii="Times New Roman" w:hAnsi="Times New Roman" w:cs="Times New Roman" w:eastAsia="Times New Roman" w:hint="default"/>
        </w:rPr>
        <w:t>POS</w:t>
      </w:r>
      <w:r>
        <w:rPr/>
        <w:t>机为技术载体的电子支付技术服务商，将获 得更多的市场机会，从而为更多客户提供受理设备和支付技术服务。</w:t>
      </w:r>
    </w:p>
    <w:p>
      <w:pPr>
        <w:pStyle w:val="BodyText"/>
        <w:spacing w:line="338" w:lineRule="auto" w:before="46"/>
        <w:ind w:left="621" w:right="219" w:hanging="480"/>
        <w:jc w:val="left"/>
      </w:pPr>
      <w:r>
        <w:rPr/>
        <w:t>（</w:t>
      </w:r>
      <w:r>
        <w:rPr>
          <w:rFonts w:ascii="Times New Roman" w:hAnsi="Times New Roman" w:cs="Times New Roman" w:eastAsia="Times New Roman" w:hint="default"/>
        </w:rPr>
        <w:t>5</w:t>
      </w:r>
      <w:r>
        <w:rPr/>
        <w:t>）广阔的国际市场空间。 </w:t>
      </w:r>
      <w:r>
        <w:rPr>
          <w:spacing w:val="-3"/>
        </w:rPr>
        <w:t>根据美国</w:t>
      </w:r>
      <w:r>
        <w:rPr>
          <w:rFonts w:ascii="Times New Roman" w:hAnsi="Times New Roman" w:cs="Times New Roman" w:eastAsia="Times New Roman" w:hint="default"/>
          <w:spacing w:val="-3"/>
        </w:rPr>
        <w:t>AC</w:t>
      </w:r>
      <w:r>
        <w:rPr>
          <w:spacing w:val="-3"/>
        </w:rPr>
        <w:t>尼尔森调研报告显示，</w:t>
      </w:r>
      <w:r>
        <w:rPr>
          <w:rFonts w:ascii="Times New Roman" w:hAnsi="Times New Roman" w:cs="Times New Roman" w:eastAsia="Times New Roman" w:hint="default"/>
          <w:spacing w:val="-3"/>
        </w:rPr>
        <w:t>2009</w:t>
      </w:r>
      <w:r>
        <w:rPr>
          <w:spacing w:val="-3"/>
        </w:rPr>
        <w:t>年，全球</w:t>
      </w:r>
      <w:r>
        <w:rPr>
          <w:rFonts w:ascii="Times New Roman" w:hAnsi="Times New Roman" w:cs="Times New Roman" w:eastAsia="Times New Roman" w:hint="default"/>
          <w:spacing w:val="-3"/>
        </w:rPr>
        <w:t>POS</w:t>
      </w:r>
      <w:r>
        <w:rPr>
          <w:spacing w:val="-3"/>
        </w:rPr>
        <w:t>受理终端的市场新增量超</w:t>
      </w:r>
    </w:p>
    <w:p>
      <w:pPr>
        <w:pStyle w:val="BodyText"/>
        <w:spacing w:line="338" w:lineRule="auto" w:before="27"/>
        <w:ind w:right="321"/>
        <w:jc w:val="both"/>
      </w:pPr>
      <w:r>
        <w:rPr/>
        <w:t>过</w:t>
      </w:r>
      <w:r>
        <w:rPr>
          <w:rFonts w:ascii="Times New Roman" w:hAnsi="Times New Roman" w:cs="Times New Roman" w:eastAsia="Times New Roman" w:hint="default"/>
        </w:rPr>
        <w:t>1000</w:t>
      </w:r>
      <w:r>
        <w:rPr/>
        <w:t>万台，其中美国惠尔丰、法国安智出机量累计超过</w:t>
      </w:r>
      <w:r>
        <w:rPr>
          <w:rFonts w:ascii="Times New Roman" w:hAnsi="Times New Roman" w:cs="Times New Roman" w:eastAsia="Times New Roman" w:hint="default"/>
        </w:rPr>
        <w:t>800</w:t>
      </w:r>
      <w:r>
        <w:rPr/>
        <w:t>万台。相比全球市场 的市场容量，我公司将加快进军海外市场的步骤，争取获得更大的市场空间。</w:t>
      </w:r>
    </w:p>
    <w:p>
      <w:pPr>
        <w:spacing w:line="240" w:lineRule="auto" w:before="8"/>
        <w:rPr>
          <w:rFonts w:ascii="宋体" w:hAnsi="宋体" w:cs="宋体" w:eastAsia="宋体" w:hint="default"/>
          <w:sz w:val="26"/>
          <w:szCs w:val="26"/>
        </w:rPr>
      </w:pPr>
    </w:p>
    <w:p>
      <w:pPr>
        <w:pStyle w:val="Heading6"/>
        <w:spacing w:line="240" w:lineRule="auto"/>
        <w:ind w:right="219"/>
        <w:jc w:val="left"/>
        <w:rPr>
          <w:b w:val="0"/>
          <w:bCs w:val="0"/>
        </w:rPr>
      </w:pPr>
      <w:r>
        <w:rPr>
          <w:rFonts w:ascii="Times New Roman" w:hAnsi="Times New Roman" w:cs="Times New Roman" w:eastAsia="Times New Roman" w:hint="default"/>
        </w:rPr>
        <w:t>2</w:t>
      </w:r>
      <w:r>
        <w:rPr/>
        <w:t>、挑战</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621" w:right="219" w:hanging="480"/>
        <w:jc w:val="left"/>
      </w:pPr>
      <w:r>
        <w:rPr/>
        <w:t>（</w:t>
      </w:r>
      <w:r>
        <w:rPr>
          <w:rFonts w:ascii="Times New Roman" w:hAnsi="Times New Roman" w:cs="Times New Roman" w:eastAsia="Times New Roman" w:hint="default"/>
        </w:rPr>
        <w:t>1</w:t>
      </w:r>
      <w:r>
        <w:rPr/>
        <w:t>）对高端人才的持续需求 </w:t>
      </w:r>
      <w:r>
        <w:rPr>
          <w:spacing w:val="-1"/>
        </w:rPr>
        <w:t>公司属于知识密集型企业，高端人才对公司的战略目标实现具有重要意义。随</w:t>
      </w:r>
    </w:p>
    <w:p>
      <w:pPr>
        <w:pStyle w:val="BodyText"/>
        <w:spacing w:line="357" w:lineRule="auto" w:before="55"/>
        <w:ind w:right="223"/>
        <w:jc w:val="both"/>
      </w:pPr>
      <w:r>
        <w:rPr>
          <w:spacing w:val="-1"/>
        </w:rPr>
        <w:t>着公司业务规模不断扩大，产品类型不断增加、市场范围由国内延伸至国外、各类</w:t>
      </w:r>
      <w:r>
        <w:rPr>
          <w:spacing w:val="-108"/>
        </w:rPr>
        <w:t> </w:t>
      </w:r>
      <w:r>
        <w:rPr>
          <w:spacing w:val="-108"/>
        </w:rPr>
      </w:r>
      <w:r>
        <w:rPr>
          <w:spacing w:val="-1"/>
        </w:rPr>
        <w:t>增值应用开发更加复杂繁琐、支付服务系统项目日益庞大复杂，导致公司对软硬件</w:t>
      </w:r>
      <w:r>
        <w:rPr>
          <w:spacing w:val="-108"/>
        </w:rPr>
        <w:t> </w:t>
      </w:r>
      <w:r>
        <w:rPr>
          <w:spacing w:val="-108"/>
        </w:rPr>
      </w:r>
      <w:r>
        <w:rPr>
          <w:spacing w:val="-1"/>
        </w:rPr>
        <w:t>高级技术人员、大型系统软件研发人员、有优秀营销案例的营销人员和高级企业管</w:t>
      </w:r>
      <w:r>
        <w:rPr>
          <w:spacing w:val="-108"/>
        </w:rPr>
        <w:t> </w:t>
      </w:r>
      <w:r>
        <w:rPr>
          <w:spacing w:val="-108"/>
        </w:rPr>
      </w:r>
      <w:r>
        <w:rPr>
          <w:spacing w:val="-1"/>
        </w:rPr>
        <w:t>理人员具有较大的需求。如何保持现有技术队伍和管理层的稳定、提高业务人员和</w:t>
      </w:r>
      <w:r>
        <w:rPr>
          <w:spacing w:val="-108"/>
        </w:rPr>
        <w:t> </w:t>
      </w:r>
      <w:r>
        <w:rPr>
          <w:spacing w:val="-108"/>
        </w:rPr>
      </w:r>
      <w:r>
        <w:rPr>
          <w:spacing w:val="-1"/>
        </w:rPr>
        <w:t>管理人员的专业水平和综合素质、培养和引进优秀人才，对公司的快速发展至关重</w:t>
      </w:r>
      <w:r>
        <w:rPr>
          <w:spacing w:val="-108"/>
        </w:rPr>
        <w:t> </w:t>
      </w:r>
      <w:r>
        <w:rPr>
          <w:spacing w:val="-108"/>
        </w:rPr>
      </w:r>
      <w:r>
        <w:rPr/>
        <w:t>要。</w:t>
      </w:r>
    </w:p>
    <w:p>
      <w:pPr>
        <w:pStyle w:val="BodyText"/>
        <w:spacing w:line="338" w:lineRule="auto" w:before="36"/>
        <w:ind w:left="621" w:right="219" w:hanging="480"/>
        <w:jc w:val="left"/>
      </w:pPr>
      <w:r>
        <w:rPr/>
        <w:t>（</w:t>
      </w:r>
      <w:r>
        <w:rPr>
          <w:rFonts w:ascii="Times New Roman" w:hAnsi="Times New Roman" w:cs="Times New Roman" w:eastAsia="Times New Roman" w:hint="default"/>
        </w:rPr>
        <w:t>2</w:t>
      </w:r>
      <w:r>
        <w:rPr/>
        <w:t>）规模扩大对管理水平的挑战 </w:t>
      </w:r>
      <w:r>
        <w:rPr>
          <w:spacing w:val="-1"/>
        </w:rPr>
        <w:t>随着公司业务规模持续快速增长，公司在企业文化建设、资源配置、运营管理</w:t>
      </w:r>
    </w:p>
    <w:p>
      <w:pPr>
        <w:spacing w:after="0" w:line="338" w:lineRule="auto"/>
        <w:jc w:val="left"/>
        <w:sectPr>
          <w:footerReference w:type="default" r:id="rId21"/>
          <w:pgSz w:w="11910" w:h="16840"/>
          <w:pgMar w:footer="1267" w:header="877" w:top="1060" w:bottom="1460" w:left="1560" w:right="1360"/>
          <w:pgNumType w:start="46"/>
        </w:sectPr>
      </w:pPr>
    </w:p>
    <w:p>
      <w:pPr>
        <w:pStyle w:val="BodyText"/>
        <w:spacing w:line="357" w:lineRule="auto" w:before="104"/>
        <w:ind w:right="143"/>
        <w:jc w:val="both"/>
      </w:pPr>
      <w:r>
        <w:rPr>
          <w:spacing w:val="-1"/>
        </w:rPr>
        <w:t>等方面，特别是人才管理、内部控制、资金管理等方面，再加上由于公司在深圳没</w:t>
      </w:r>
      <w:r>
        <w:rPr>
          <w:spacing w:val="-107"/>
        </w:rPr>
        <w:t> </w:t>
      </w:r>
      <w:r>
        <w:rPr>
          <w:spacing w:val="-107"/>
        </w:rPr>
      </w:r>
      <w:r>
        <w:rPr>
          <w:spacing w:val="-1"/>
        </w:rPr>
        <w:t>有自有土地使用权，公司办公场地零散，导致公司信息沟通成本加大，都对公司管</w:t>
      </w:r>
      <w:r>
        <w:rPr>
          <w:spacing w:val="-108"/>
        </w:rPr>
        <w:t> </w:t>
      </w:r>
      <w:r>
        <w:rPr>
          <w:spacing w:val="-108"/>
        </w:rPr>
      </w:r>
      <w:r>
        <w:rPr/>
        <w:t>理水平提出更大的挑战。</w:t>
      </w:r>
    </w:p>
    <w:p>
      <w:pPr>
        <w:pStyle w:val="BodyText"/>
        <w:spacing w:line="338" w:lineRule="auto" w:before="36"/>
        <w:ind w:left="621" w:right="139" w:hanging="480"/>
        <w:jc w:val="left"/>
      </w:pPr>
      <w:r>
        <w:rPr/>
        <w:t>（</w:t>
      </w:r>
      <w:r>
        <w:rPr>
          <w:rFonts w:ascii="Times New Roman" w:hAnsi="Times New Roman" w:cs="Times New Roman" w:eastAsia="Times New Roman" w:hint="default"/>
        </w:rPr>
        <w:t>3</w:t>
      </w:r>
      <w:r>
        <w:rPr/>
        <w:t>）市场竞争不断加剧 </w:t>
      </w:r>
      <w:r>
        <w:rPr>
          <w:spacing w:val="-1"/>
        </w:rPr>
        <w:t>电子支付行业的快速发展给公司提供发展机遇的同时，也给公司带来挑战。公</w:t>
      </w:r>
    </w:p>
    <w:p>
      <w:pPr>
        <w:pStyle w:val="BodyText"/>
        <w:spacing w:line="350" w:lineRule="auto" w:before="55"/>
        <w:ind w:right="143"/>
        <w:jc w:val="both"/>
      </w:pPr>
      <w:r>
        <w:rPr/>
        <w:t>司主要从事的金融</w:t>
      </w:r>
      <w:r>
        <w:rPr>
          <w:rFonts w:ascii="Times New Roman" w:hAnsi="Times New Roman" w:cs="Times New Roman" w:eastAsia="Times New Roman" w:hint="default"/>
        </w:rPr>
        <w:t>POS</w:t>
      </w:r>
      <w:r>
        <w:rPr/>
        <w:t>机销售业务，虽然公司市场规模进一步提高，但随着支付手 </w:t>
      </w:r>
      <w:r>
        <w:rPr>
          <w:spacing w:val="-1"/>
        </w:rPr>
        <w:t>段的增加，更多市场主体进入到电子支付行业，新老竞争对手之间的市场竞争将更</w:t>
      </w:r>
      <w:r>
        <w:rPr>
          <w:spacing w:val="-108"/>
        </w:rPr>
        <w:t> </w:t>
      </w:r>
      <w:r>
        <w:rPr>
          <w:spacing w:val="-108"/>
        </w:rPr>
      </w:r>
      <w:r>
        <w:rPr>
          <w:spacing w:val="-1"/>
        </w:rPr>
        <w:t>加激烈。这对公司能否紧随行业发展，及时推出适应新客户、新市场需求的产品和</w:t>
      </w:r>
      <w:r>
        <w:rPr>
          <w:spacing w:val="-108"/>
        </w:rPr>
        <w:t> </w:t>
      </w:r>
      <w:r>
        <w:rPr>
          <w:spacing w:val="-108"/>
        </w:rPr>
      </w:r>
      <w:r>
        <w:rPr/>
        <w:t>技术服务提出了新的挑战。</w:t>
      </w:r>
    </w:p>
    <w:p>
      <w:pPr>
        <w:spacing w:line="240" w:lineRule="auto" w:before="1"/>
        <w:rPr>
          <w:rFonts w:ascii="宋体" w:hAnsi="宋体" w:cs="宋体" w:eastAsia="宋体" w:hint="default"/>
          <w:sz w:val="26"/>
          <w:szCs w:val="26"/>
        </w:rPr>
      </w:pPr>
    </w:p>
    <w:p>
      <w:pPr>
        <w:pStyle w:val="Heading6"/>
        <w:spacing w:line="240" w:lineRule="auto"/>
        <w:ind w:right="0"/>
        <w:jc w:val="both"/>
        <w:rPr>
          <w:b w:val="0"/>
          <w:bCs w:val="0"/>
        </w:rPr>
      </w:pPr>
      <w:r>
        <w:rPr/>
        <w:t>（五）公司未来发展战略规划及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年经营计划</w:t>
      </w:r>
      <w:r>
        <w:rPr>
          <w:b w:val="0"/>
          <w:bCs w:val="0"/>
        </w:rPr>
      </w:r>
    </w:p>
    <w:p>
      <w:pPr>
        <w:spacing w:line="240" w:lineRule="auto" w:before="4"/>
        <w:rPr>
          <w:rFonts w:ascii="宋体" w:hAnsi="宋体" w:cs="宋体" w:eastAsia="宋体" w:hint="default"/>
          <w:b/>
          <w:bCs/>
          <w:sz w:val="35"/>
          <w:szCs w:val="35"/>
        </w:rPr>
      </w:pPr>
    </w:p>
    <w:p>
      <w:pPr>
        <w:spacing w:before="0"/>
        <w:ind w:left="142" w:right="0" w:firstLine="0"/>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、战略规划</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357" w:lineRule="auto"/>
        <w:ind w:right="143" w:firstLine="482"/>
        <w:jc w:val="both"/>
      </w:pPr>
      <w:r>
        <w:rPr>
          <w:spacing w:val="-1"/>
        </w:rPr>
        <w:t>公司未来三年的业务发展目标为：公司将专注于电子支付技术研发，围绕电子</w:t>
      </w:r>
      <w:r>
        <w:rPr/>
        <w:t> </w:t>
      </w:r>
      <w:r>
        <w:rPr>
          <w:spacing w:val="-1"/>
        </w:rPr>
        <w:t>支付技术服务商的企业定位，积极推进电子支付技术在我国的发展和应用，进一步</w:t>
      </w:r>
      <w:r>
        <w:rPr>
          <w:spacing w:val="-108"/>
        </w:rPr>
        <w:t> </w:t>
      </w:r>
      <w:r>
        <w:rPr>
          <w:spacing w:val="-108"/>
        </w:rPr>
      </w:r>
      <w:r>
        <w:rPr>
          <w:spacing w:val="-1"/>
        </w:rPr>
        <w:t>巩固和提高公司在我国电子支付受理终端领域的市场领先地位，增强公司的核心竞</w:t>
      </w:r>
      <w:r>
        <w:rPr>
          <w:spacing w:val="-108"/>
        </w:rPr>
        <w:t> </w:t>
      </w:r>
      <w:r>
        <w:rPr>
          <w:spacing w:val="-108"/>
        </w:rPr>
      </w:r>
      <w:r>
        <w:rPr>
          <w:spacing w:val="-1"/>
        </w:rPr>
        <w:t>争力，开拓行业客户，进一步加强与海外客户的技术和市场合作，凭借公司的技术</w:t>
      </w:r>
      <w:r>
        <w:rPr>
          <w:spacing w:val="-106"/>
        </w:rPr>
        <w:t> </w:t>
      </w:r>
      <w:r>
        <w:rPr>
          <w:spacing w:val="-106"/>
        </w:rPr>
      </w:r>
      <w:r>
        <w:rPr/>
        <w:t>优势，积极探索、稳步拓展海外受理市场，为公司可持续发展奠定坚实基础。</w:t>
      </w:r>
    </w:p>
    <w:p>
      <w:pPr>
        <w:pStyle w:val="BodyText"/>
        <w:spacing w:line="357" w:lineRule="auto" w:before="36"/>
        <w:ind w:right="143" w:firstLine="482"/>
        <w:jc w:val="both"/>
      </w:pPr>
      <w:r>
        <w:rPr>
          <w:spacing w:val="-1"/>
        </w:rPr>
        <w:t>公司将坚持以上战略规划不动摇，公司发展规划不涉及银行卡收单业务和收单</w:t>
      </w:r>
      <w:r>
        <w:rPr/>
        <w:t> </w:t>
      </w:r>
      <w:r>
        <w:rPr>
          <w:spacing w:val="-1"/>
        </w:rPr>
        <w:t>服务业务，只专注从事支付受理设备和支付受理技术服务等业务，努力使自己成为</w:t>
      </w:r>
      <w:r>
        <w:rPr>
          <w:spacing w:val="-108"/>
        </w:rPr>
        <w:t> </w:t>
      </w:r>
      <w:r>
        <w:rPr>
          <w:spacing w:val="-108"/>
        </w:rPr>
      </w:r>
      <w:r>
        <w:rPr/>
        <w:t>优秀的电子支付技术服务商。</w:t>
      </w:r>
    </w:p>
    <w:p>
      <w:pPr>
        <w:pStyle w:val="BodyText"/>
        <w:spacing w:line="352" w:lineRule="auto" w:before="77"/>
        <w:ind w:right="145" w:firstLine="479"/>
        <w:jc w:val="both"/>
      </w:pPr>
      <w:r>
        <w:rPr>
          <w:rFonts w:ascii="Times New Roman" w:hAnsi="Times New Roman" w:cs="Times New Roman" w:eastAsia="Times New Roman" w:hint="default"/>
          <w:spacing w:val="-1"/>
        </w:rPr>
        <w:t>2010</w:t>
      </w:r>
      <w:r>
        <w:rPr>
          <w:spacing w:val="-1"/>
        </w:rPr>
        <w:t>年，公司在深交所创业板成功挂牌上市，品牌知名度和行业影响力得到了</w:t>
      </w:r>
      <w:r>
        <w:rPr/>
        <w:t> </w:t>
      </w:r>
      <w:r>
        <w:rPr>
          <w:spacing w:val="-1"/>
        </w:rPr>
        <w:t>明显提高，竞争力得到了进一步提升。公司将充分发挥人才、技术、市场、服务等</w:t>
      </w:r>
      <w:r>
        <w:rPr>
          <w:spacing w:val="-109"/>
        </w:rPr>
        <w:t> </w:t>
      </w:r>
      <w:r>
        <w:rPr>
          <w:spacing w:val="-109"/>
        </w:rPr>
      </w:r>
      <w:r>
        <w:rPr>
          <w:spacing w:val="-1"/>
        </w:rPr>
        <w:t>综合优势，与科研机构展开通信领域前沿技术研发合作，深入开展储备技术的研究</w:t>
      </w:r>
      <w:r>
        <w:rPr>
          <w:spacing w:val="-108"/>
        </w:rPr>
        <w:t> </w:t>
      </w:r>
      <w:r>
        <w:rPr>
          <w:spacing w:val="-108"/>
        </w:rPr>
      </w:r>
      <w:r>
        <w:rPr>
          <w:spacing w:val="-1"/>
        </w:rPr>
        <w:t>与开发，积极探索包括并购、参股、战略合作等多种形式的合作方式，紧紧把握住</w:t>
      </w:r>
      <w:r>
        <w:rPr>
          <w:spacing w:val="-108"/>
        </w:rPr>
        <w:t> </w:t>
      </w:r>
      <w:r>
        <w:rPr>
          <w:spacing w:val="-108"/>
        </w:rPr>
      </w:r>
      <w:r>
        <w:rPr/>
        <w:t>电子支付行业的历史发展机遇，建立公司长期可持续发展的良性循环机制。</w:t>
      </w:r>
    </w:p>
    <w:p>
      <w:pPr>
        <w:spacing w:line="766" w:lineRule="exact" w:before="1"/>
        <w:ind w:left="621" w:right="13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 </w:t>
      </w:r>
      <w:r>
        <w:rPr>
          <w:rFonts w:ascii="Times New Roman" w:hAnsi="Times New Roman" w:cs="Times New Roman" w:eastAsia="Times New Roman" w:hint="default"/>
          <w:b/>
          <w:bCs/>
          <w:sz w:val="24"/>
          <w:szCs w:val="24"/>
        </w:rPr>
        <w:t>2011 </w:t>
      </w:r>
      <w:r>
        <w:rPr>
          <w:rFonts w:ascii="宋体" w:hAnsi="宋体" w:cs="宋体" w:eastAsia="宋体" w:hint="default"/>
          <w:b/>
          <w:bCs/>
          <w:sz w:val="24"/>
          <w:szCs w:val="24"/>
        </w:rPr>
        <w:t>年经营计划</w:t>
      </w:r>
      <w:r>
        <w:rPr>
          <w:rFonts w:ascii="宋体" w:hAnsi="宋体" w:cs="宋体" w:eastAsia="宋体" w:hint="default"/>
          <w:b/>
          <w:bCs/>
          <w:w w:val="99"/>
          <w:sz w:val="24"/>
          <w:szCs w:val="24"/>
        </w:rPr>
        <w:t> </w:t>
      </w:r>
      <w:r>
        <w:rPr>
          <w:rFonts w:ascii="宋体" w:hAnsi="宋体" w:cs="宋体" w:eastAsia="宋体" w:hint="default"/>
          <w:spacing w:val="-1"/>
          <w:sz w:val="24"/>
          <w:szCs w:val="24"/>
        </w:rPr>
        <w:t>围绕着上述发展规划，结合公司所处行业和市场环境的综合分析，根据公司实</w:t>
      </w:r>
    </w:p>
    <w:p>
      <w:pPr>
        <w:pStyle w:val="BodyText"/>
        <w:spacing w:line="240" w:lineRule="auto" w:before="34"/>
        <w:ind w:right="0"/>
        <w:jc w:val="both"/>
      </w:pPr>
      <w:r>
        <w:rPr/>
        <w:t>际情况，公司董事会制订了</w:t>
      </w:r>
      <w:r>
        <w:rPr>
          <w:rFonts w:ascii="Times New Roman" w:hAnsi="Times New Roman" w:cs="Times New Roman" w:eastAsia="Times New Roman" w:hint="default"/>
        </w:rPr>
        <w:t>2011</w:t>
      </w:r>
      <w:r>
        <w:rPr/>
        <w:t>年经营计划，具体内容如下：</w:t>
      </w:r>
    </w:p>
    <w:p>
      <w:pPr>
        <w:spacing w:after="0" w:line="240" w:lineRule="auto"/>
        <w:jc w:val="both"/>
        <w:sectPr>
          <w:pgSz w:w="11910" w:h="16840"/>
          <w:pgMar w:header="877" w:footer="1267" w:top="1060" w:bottom="1460" w:left="1560" w:right="1440"/>
        </w:sectPr>
      </w:pPr>
    </w:p>
    <w:p>
      <w:pPr>
        <w:pStyle w:val="BodyText"/>
        <w:spacing w:line="338" w:lineRule="auto" w:before="104"/>
        <w:ind w:left="621" w:right="219" w:hanging="480"/>
        <w:jc w:val="left"/>
      </w:pPr>
      <w:r>
        <w:rPr/>
        <w:t>（</w:t>
      </w:r>
      <w:r>
        <w:rPr>
          <w:rFonts w:ascii="Times New Roman" w:hAnsi="Times New Roman" w:cs="Times New Roman" w:eastAsia="Times New Roman" w:hint="default"/>
        </w:rPr>
        <w:t>1</w:t>
      </w:r>
      <w:r>
        <w:rPr/>
        <w:t>）产品开发与业务开展计划 </w:t>
      </w:r>
      <w:r>
        <w:rPr>
          <w:spacing w:val="-1"/>
        </w:rPr>
        <w:t>密切跟踪以银行卡为核心的国内电子支付行业发展趋势，紧密围绕客户、商户</w:t>
      </w:r>
    </w:p>
    <w:p>
      <w:pPr>
        <w:pStyle w:val="BodyText"/>
        <w:spacing w:line="357" w:lineRule="auto" w:before="55"/>
        <w:ind w:right="223"/>
        <w:jc w:val="both"/>
      </w:pPr>
      <w:r>
        <w:rPr>
          <w:spacing w:val="-1"/>
        </w:rPr>
        <w:t>和持卡人的支付需求进行深度开发和创新，持续加强技术储备，以应对电子支付行</w:t>
      </w:r>
      <w:r>
        <w:rPr>
          <w:spacing w:val="-108"/>
        </w:rPr>
        <w:t> </w:t>
      </w:r>
      <w:r>
        <w:rPr>
          <w:spacing w:val="-108"/>
        </w:rPr>
      </w:r>
      <w:r>
        <w:rPr>
          <w:spacing w:val="-1"/>
        </w:rPr>
        <w:t>业的新市场、新客户和新需求，进一步提高公司的研发能力和市场抗风险能力，提</w:t>
      </w:r>
      <w:r>
        <w:rPr>
          <w:spacing w:val="-108"/>
        </w:rPr>
        <w:t> </w:t>
      </w:r>
      <w:r>
        <w:rPr>
          <w:spacing w:val="-108"/>
        </w:rPr>
      </w:r>
      <w:r>
        <w:rPr/>
        <w:t>升公司核心竞争力。</w:t>
      </w:r>
    </w:p>
    <w:p>
      <w:pPr>
        <w:pStyle w:val="BodyText"/>
        <w:spacing w:line="348" w:lineRule="auto" w:before="36"/>
        <w:ind w:right="220" w:firstLine="479"/>
        <w:jc w:val="left"/>
      </w:pPr>
      <w:r>
        <w:rPr>
          <w:rFonts w:ascii="Times New Roman" w:hAnsi="Times New Roman" w:cs="Times New Roman" w:eastAsia="Times New Roman" w:hint="default"/>
        </w:rPr>
        <w:t>1</w:t>
      </w:r>
      <w:r>
        <w:rPr/>
        <w:t>）继续对中国银联等传统市场进行精耕细作，在巩固传统市场的基础上，加 </w:t>
      </w:r>
      <w:r>
        <w:rPr>
          <w:spacing w:val="-1"/>
        </w:rPr>
        <w:t>大行业客户和商业银行的市场工作力度，扩大在各大商业银行的采购份额，积极跟</w:t>
      </w:r>
      <w:r>
        <w:rPr>
          <w:spacing w:val="-108"/>
        </w:rPr>
        <w:t> </w:t>
      </w:r>
      <w:r>
        <w:rPr>
          <w:spacing w:val="-108"/>
        </w:rPr>
      </w:r>
      <w:r>
        <w:rPr/>
        <w:t>进三大运营商的手机支付业务进展，力争成为手机支付的受理终端供应商。</w:t>
      </w:r>
    </w:p>
    <w:p>
      <w:pPr>
        <w:pStyle w:val="BodyText"/>
        <w:spacing w:line="300" w:lineRule="exact"/>
        <w:ind w:right="219" w:firstLine="479"/>
        <w:jc w:val="left"/>
      </w:pPr>
      <w:r>
        <w:rPr>
          <w:rFonts w:ascii="Times New Roman" w:hAnsi="Times New Roman" w:cs="Times New Roman" w:eastAsia="Times New Roman" w:hint="default"/>
        </w:rPr>
        <w:t>2</w:t>
      </w:r>
      <w:r>
        <w:rPr/>
        <w:t>）坚持</w:t>
      </w:r>
      <w:r>
        <w:rPr>
          <w:rFonts w:ascii="Times New Roman" w:hAnsi="Times New Roman" w:cs="Times New Roman" w:eastAsia="Times New Roman" w:hint="default"/>
        </w:rPr>
        <w:t>“</w:t>
      </w:r>
      <w:r>
        <w:rPr/>
        <w:t>技术先行</w:t>
      </w:r>
      <w:r>
        <w:rPr>
          <w:rFonts w:ascii="Times New Roman" w:hAnsi="Times New Roman" w:cs="Times New Roman" w:eastAsia="Times New Roman" w:hint="default"/>
        </w:rPr>
        <w:t>”</w:t>
      </w:r>
      <w:r>
        <w:rPr/>
        <w:t>，继续加大技术研发投入，进一步丰富产品结构，对现有</w:t>
      </w:r>
    </w:p>
    <w:p>
      <w:pPr>
        <w:pStyle w:val="BodyText"/>
        <w:spacing w:line="348" w:lineRule="auto" w:before="135"/>
        <w:ind w:right="248"/>
        <w:jc w:val="left"/>
      </w:pPr>
      <w:r>
        <w:rPr/>
        <w:t>产品方案在安全性、稳定性方面继续优化，同时积极进行技术创新，加强大型支</w:t>
      </w:r>
      <w:r>
        <w:rPr>
          <w:spacing w:val="-67"/>
        </w:rPr>
        <w:t> </w:t>
      </w:r>
      <w:r>
        <w:rPr>
          <w:spacing w:val="-67"/>
        </w:rPr>
      </w:r>
      <w:r>
        <w:rPr/>
        <w:t>付系统软件的开发力量，积极收集海外市场技术和业务信息，为进入海外市场打</w:t>
      </w:r>
      <w:r>
        <w:rPr>
          <w:spacing w:val="-67"/>
        </w:rPr>
        <w:t> </w:t>
      </w:r>
      <w:r>
        <w:rPr>
          <w:spacing w:val="-67"/>
        </w:rPr>
      </w:r>
      <w:r>
        <w:rPr/>
        <w:t>下技术基础。</w:t>
      </w:r>
      <w:r>
        <w:rPr>
          <w:rFonts w:ascii="Times New Roman" w:hAnsi="Times New Roman" w:cs="Times New Roman" w:eastAsia="Times New Roman" w:hint="default"/>
        </w:rPr>
        <w:t>2011 </w:t>
      </w:r>
      <w:r>
        <w:rPr/>
        <w:t>年，公司将继续加大交易安全性技术的研发工作，紧盯客户需 </w:t>
      </w:r>
      <w:r>
        <w:rPr>
          <w:spacing w:val="-1"/>
        </w:rPr>
        <w:t>求和业务的发展变化，以</w:t>
      </w:r>
      <w:r>
        <w:rPr>
          <w:rFonts w:ascii="Times New Roman" w:hAnsi="Times New Roman" w:cs="Times New Roman" w:eastAsia="Times New Roman" w:hint="default"/>
          <w:spacing w:val="-1"/>
        </w:rPr>
        <w:t>“</w:t>
      </w:r>
      <w:r>
        <w:rPr>
          <w:spacing w:val="-1"/>
        </w:rPr>
        <w:t>支付技术</w:t>
      </w:r>
      <w:r>
        <w:rPr>
          <w:rFonts w:ascii="Times New Roman" w:hAnsi="Times New Roman" w:cs="Times New Roman" w:eastAsia="Times New Roman" w:hint="default"/>
          <w:spacing w:val="-1"/>
        </w:rPr>
        <w:t>”</w:t>
      </w:r>
      <w:r>
        <w:rPr>
          <w:spacing w:val="-1"/>
        </w:rPr>
        <w:t>为核心，加强生物识别技术、移动支付技术、</w:t>
      </w:r>
      <w:r>
        <w:rPr>
          <w:spacing w:val="-115"/>
        </w:rPr>
        <w:t> </w:t>
      </w:r>
      <w:r>
        <w:rPr>
          <w:spacing w:val="-115"/>
        </w:rPr>
      </w:r>
      <w:r>
        <w:rPr/>
        <w:t>非接触式卡受理技术、大型支付系统软件、脚本化</w:t>
      </w:r>
      <w:r>
        <w:rPr>
          <w:spacing w:val="-65"/>
        </w:rPr>
        <w:t> </w:t>
      </w:r>
      <w:r>
        <w:rPr>
          <w:rFonts w:ascii="Times New Roman" w:hAnsi="Times New Roman" w:cs="Times New Roman" w:eastAsia="Times New Roman" w:hint="default"/>
        </w:rPr>
        <w:t>POS</w:t>
      </w:r>
      <w:r>
        <w:rPr>
          <w:rFonts w:ascii="Times New Roman" w:hAnsi="Times New Roman" w:cs="Times New Roman" w:eastAsia="Times New Roman" w:hint="default"/>
          <w:spacing w:val="-5"/>
        </w:rPr>
        <w:t> </w:t>
      </w:r>
      <w:r>
        <w:rPr/>
        <w:t>方案等技术方案的储备研 发，同时建立与美国等支付技术发达国家客户的战略合作关系，加快开发公司产</w:t>
      </w:r>
      <w:r>
        <w:rPr>
          <w:spacing w:val="-67"/>
        </w:rPr>
        <w:t> </w:t>
      </w:r>
      <w:r>
        <w:rPr>
          <w:spacing w:val="-67"/>
        </w:rPr>
      </w:r>
      <w:r>
        <w:rPr/>
        <w:t>品的国际化版本，为客户提供优秀的支付技术服务打下坚实的基础。</w:t>
      </w:r>
    </w:p>
    <w:p>
      <w:pPr>
        <w:pStyle w:val="BodyText"/>
        <w:spacing w:line="348" w:lineRule="auto" w:before="125"/>
        <w:ind w:right="92" w:firstLine="47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年，公司将继续关注国际市场的动态，跟踪国际电子支付技术的发展 动态，研究</w:t>
      </w:r>
      <w:r>
        <w:rPr>
          <w:rFonts w:ascii="Times New Roman" w:hAnsi="Times New Roman" w:cs="Times New Roman" w:eastAsia="Times New Roman" w:hint="default"/>
        </w:rPr>
        <w:t>PCI</w:t>
      </w:r>
      <w:r>
        <w:rPr/>
        <w:t>支付安全认证标准等国际性通用技术标准的最新发展，加大海外市 场信息收集力度，做好海外市场战略布局，积极与欧洲、美国等发达国家的供应商 展开技术和业务合作，以提高公司产品的技术水平；与中东、东南亚、印度等国家 </w:t>
      </w:r>
      <w:r>
        <w:rPr>
          <w:spacing w:val="-4"/>
        </w:rPr>
        <w:t>和地区开展业务合作，在满足客户技术认证的前提下，力争实现海外市场批量销售。</w:t>
      </w:r>
    </w:p>
    <w:p>
      <w:pPr>
        <w:pStyle w:val="BodyText"/>
        <w:spacing w:line="350" w:lineRule="auto" w:before="46"/>
        <w:ind w:right="184" w:firstLine="479"/>
        <w:jc w:val="left"/>
      </w:pPr>
      <w:r>
        <w:rPr>
          <w:rFonts w:ascii="Times New Roman" w:hAnsi="Times New Roman" w:cs="Times New Roman" w:eastAsia="Times New Roman" w:hint="default"/>
        </w:rPr>
        <w:t>4</w:t>
      </w:r>
      <w:r>
        <w:rPr/>
        <w:t>）积极关注电子支付市场的发展，配合国家宏观经济政策，积极关注手机支 付、电子支付惠农服务等项目的进展，随时跟进各大运营商的受理环境建设规划， </w:t>
      </w:r>
      <w:r>
        <w:rPr>
          <w:spacing w:val="-1"/>
        </w:rPr>
        <w:t>做好市场部署，全力支持客户做好电子支付受理终端环境建设工作，做好产品和技</w:t>
      </w:r>
      <w:r>
        <w:rPr>
          <w:spacing w:val="-108"/>
        </w:rPr>
        <w:t> </w:t>
      </w:r>
      <w:r>
        <w:rPr>
          <w:spacing w:val="-108"/>
        </w:rPr>
      </w:r>
      <w:r>
        <w:rPr/>
        <w:t>术服务。</w:t>
      </w:r>
    </w:p>
    <w:p>
      <w:pPr>
        <w:pStyle w:val="BodyText"/>
        <w:spacing w:line="348" w:lineRule="auto" w:before="43"/>
        <w:ind w:right="211" w:firstLine="479"/>
        <w:jc w:val="left"/>
      </w:pPr>
      <w:r>
        <w:rPr>
          <w:rFonts w:ascii="Times New Roman" w:hAnsi="Times New Roman" w:cs="Times New Roman" w:eastAsia="Times New Roman" w:hint="default"/>
        </w:rPr>
        <w:t>5</w:t>
      </w:r>
      <w:r>
        <w:rPr/>
        <w:t>）全力推进募集资金项目实施，力争南京电子支付技术产研基地项目尽快动 工建设，加快电子支付终端设备运营项目的市场进展，切实推动广州</w:t>
      </w:r>
      <w:r>
        <w:rPr>
          <w:rFonts w:ascii="Times New Roman" w:hAnsi="Times New Roman" w:cs="Times New Roman" w:eastAsia="Times New Roman" w:hint="default"/>
        </w:rPr>
        <w:t>“</w:t>
      </w:r>
      <w:r>
        <w:rPr/>
        <w:t>羊城通</w:t>
      </w:r>
      <w:r>
        <w:rPr>
          <w:rFonts w:ascii="Times New Roman" w:hAnsi="Times New Roman" w:cs="Times New Roman" w:eastAsia="Times New Roman" w:hint="default"/>
        </w:rPr>
        <w:t>”</w:t>
      </w:r>
      <w:r>
        <w:rPr/>
        <w:t>合作 </w:t>
      </w:r>
      <w:r>
        <w:rPr>
          <w:spacing w:val="-1"/>
        </w:rPr>
        <w:t>运营项目的发展，进一步完善公司运营销售服务网络。此外，公司还将严格按照证</w:t>
      </w:r>
      <w:r>
        <w:rPr>
          <w:spacing w:val="-108"/>
        </w:rPr>
        <w:t> </w:t>
      </w:r>
      <w:r>
        <w:rPr>
          <w:spacing w:val="-108"/>
        </w:rPr>
      </w:r>
      <w:r>
        <w:rPr>
          <w:spacing w:val="-1"/>
        </w:rPr>
        <w:t>监会和深交所的有关规定，合理规划、谨慎实施超募资金投资项目，为公司谋求更</w:t>
      </w:r>
      <w:r>
        <w:rPr>
          <w:spacing w:val="-108"/>
        </w:rPr>
        <w:t> </w:t>
      </w:r>
      <w:r>
        <w:rPr>
          <w:spacing w:val="-108"/>
        </w:rPr>
      </w:r>
      <w:r>
        <w:rPr>
          <w:spacing w:val="-1"/>
        </w:rPr>
        <w:t>大发展空间。</w:t>
      </w:r>
      <w:r>
        <w:rPr>
          <w:rFonts w:ascii="Times New Roman" w:hAnsi="Times New Roman" w:cs="Times New Roman" w:eastAsia="Times New Roman" w:hint="default"/>
          <w:spacing w:val="-1"/>
        </w:rPr>
        <w:t>2011</w:t>
      </w:r>
      <w:r>
        <w:rPr>
          <w:spacing w:val="-1"/>
        </w:rPr>
        <w:t>年，公司将确定超募资金的使用方向，并组织编制超募资金使用</w:t>
      </w:r>
    </w:p>
    <w:p>
      <w:pPr>
        <w:spacing w:after="0" w:line="348" w:lineRule="auto"/>
        <w:jc w:val="left"/>
        <w:sectPr>
          <w:footerReference w:type="default" r:id="rId22"/>
          <w:pgSz w:w="11910" w:h="16840"/>
          <w:pgMar w:footer="1267" w:header="877" w:top="1060" w:bottom="1460" w:left="1560" w:right="1360"/>
          <w:pgNumType w:start="48"/>
        </w:sectPr>
      </w:pPr>
    </w:p>
    <w:p>
      <w:pPr>
        <w:pStyle w:val="BodyText"/>
        <w:spacing w:line="240" w:lineRule="auto" w:before="104"/>
        <w:ind w:right="219"/>
        <w:jc w:val="left"/>
      </w:pPr>
      <w:r>
        <w:rPr/>
        <w:t>项目的可研与论证，充分论证其可行性和投资效益，为下一步的实施奠定基础。</w:t>
      </w:r>
    </w:p>
    <w:p>
      <w:pPr>
        <w:pStyle w:val="BodyText"/>
        <w:spacing w:line="338" w:lineRule="auto" w:before="154"/>
        <w:ind w:left="621" w:right="219" w:hanging="480"/>
        <w:jc w:val="left"/>
      </w:pPr>
      <w:r>
        <w:rPr/>
        <w:t>（</w:t>
      </w:r>
      <w:r>
        <w:rPr>
          <w:rFonts w:ascii="Times New Roman" w:hAnsi="Times New Roman" w:cs="Times New Roman" w:eastAsia="Times New Roman" w:hint="default"/>
        </w:rPr>
        <w:t>2</w:t>
      </w:r>
      <w:r>
        <w:rPr/>
        <w:t>）人力资源发展计划 </w:t>
      </w:r>
      <w:r>
        <w:rPr>
          <w:spacing w:val="-1"/>
        </w:rPr>
        <w:t>人力资源体系的建设是整个公司持续发展的基石与保障。为了实现公司的战略</w:t>
      </w:r>
    </w:p>
    <w:p>
      <w:pPr>
        <w:pStyle w:val="BodyText"/>
        <w:spacing w:line="338" w:lineRule="auto" w:before="55"/>
        <w:ind w:right="211"/>
        <w:jc w:val="left"/>
      </w:pPr>
      <w:r>
        <w:rPr/>
        <w:t>目标和经营目标，公司将继续坚持</w:t>
      </w:r>
      <w:r>
        <w:rPr>
          <w:rFonts w:ascii="Times New Roman" w:hAnsi="Times New Roman" w:cs="Times New Roman" w:eastAsia="Times New Roman" w:hint="default"/>
        </w:rPr>
        <w:t>“</w:t>
      </w:r>
      <w:r>
        <w:rPr/>
        <w:t>以人为本，人尽其用</w:t>
      </w:r>
      <w:r>
        <w:rPr>
          <w:rFonts w:ascii="Times New Roman" w:hAnsi="Times New Roman" w:cs="Times New Roman" w:eastAsia="Times New Roman" w:hint="default"/>
        </w:rPr>
        <w:t>”</w:t>
      </w:r>
      <w:r>
        <w:rPr/>
        <w:t>的人才思路，进一步完善 人才培养、引进和激励机制。</w:t>
      </w:r>
    </w:p>
    <w:p>
      <w:pPr>
        <w:pStyle w:val="BodyText"/>
        <w:spacing w:line="350" w:lineRule="auto" w:before="55"/>
        <w:ind w:right="220" w:firstLine="479"/>
        <w:jc w:val="left"/>
      </w:pPr>
      <w:r>
        <w:rPr>
          <w:rFonts w:ascii="Times New Roman" w:hAnsi="Times New Roman" w:cs="Times New Roman" w:eastAsia="Times New Roman" w:hint="default"/>
        </w:rPr>
        <w:t>1</w:t>
      </w:r>
      <w:r>
        <w:rPr/>
        <w:t>）推进企业文化建设。建立导师制度，由员工辅导员、讲师、导师组成企业 </w:t>
      </w:r>
      <w:r>
        <w:rPr>
          <w:spacing w:val="-1"/>
        </w:rPr>
        <w:t>文化宣传团队，协助员工做好职业规划，为员工提供职业关怀和职业咨询辅导，丰</w:t>
      </w:r>
      <w:r>
        <w:rPr>
          <w:spacing w:val="-108"/>
        </w:rPr>
        <w:t> </w:t>
      </w:r>
      <w:r>
        <w:rPr>
          <w:spacing w:val="-108"/>
        </w:rPr>
      </w:r>
      <w:r>
        <w:rPr>
          <w:spacing w:val="-1"/>
        </w:rPr>
        <w:t>富员工活动，组织开展员工文体活动，大力加强企业文化宣传工作，提高员工对企</w:t>
      </w:r>
      <w:r>
        <w:rPr>
          <w:spacing w:val="-108"/>
        </w:rPr>
        <w:t> </w:t>
      </w:r>
      <w:r>
        <w:rPr>
          <w:spacing w:val="-108"/>
        </w:rPr>
      </w:r>
      <w:r>
        <w:rPr/>
        <w:t>业文化的认同度。</w:t>
      </w:r>
    </w:p>
    <w:p>
      <w:pPr>
        <w:pStyle w:val="BodyText"/>
        <w:spacing w:line="352" w:lineRule="auto" w:before="43"/>
        <w:ind w:right="184" w:firstLine="479"/>
        <w:jc w:val="left"/>
      </w:pPr>
      <w:r>
        <w:rPr>
          <w:rFonts w:ascii="Times New Roman" w:hAnsi="Times New Roman" w:cs="Times New Roman" w:eastAsia="Times New Roman" w:hint="default"/>
        </w:rPr>
        <w:t>2</w:t>
      </w:r>
      <w:r>
        <w:rPr/>
        <w:t>）建立健全内部人才培养、干部培养和外部人才引进机制，合理安排人力资 源，优化人力资源配置结构，加强公司中层骨干队伍的建设。储备后备干部队伍， </w:t>
      </w:r>
      <w:r>
        <w:rPr>
          <w:spacing w:val="-1"/>
        </w:rPr>
        <w:t>建设员工职业上升通道，通过内部培训和外部培训相结合的方式，满足公司对管理</w:t>
      </w:r>
      <w:r>
        <w:rPr>
          <w:spacing w:val="-108"/>
        </w:rPr>
        <w:t> </w:t>
      </w:r>
      <w:r>
        <w:rPr>
          <w:spacing w:val="-108"/>
        </w:rPr>
      </w:r>
      <w:r>
        <w:rPr>
          <w:spacing w:val="-1"/>
        </w:rPr>
        <w:t>型和技术型高端人才的需求，强化员工的业务和技术培训，提高公司的整体技术水</w:t>
      </w:r>
      <w:r>
        <w:rPr>
          <w:spacing w:val="-108"/>
        </w:rPr>
        <w:t> </w:t>
      </w:r>
      <w:r>
        <w:rPr>
          <w:spacing w:val="-108"/>
        </w:rPr>
      </w:r>
      <w:r>
        <w:rPr/>
        <w:t>平。</w:t>
      </w:r>
    </w:p>
    <w:p>
      <w:pPr>
        <w:pStyle w:val="BodyText"/>
        <w:spacing w:line="352" w:lineRule="auto" w:before="41"/>
        <w:ind w:right="223" w:firstLine="479"/>
        <w:jc w:val="both"/>
      </w:pPr>
      <w:r>
        <w:rPr>
          <w:rFonts w:ascii="Times New Roman" w:hAnsi="Times New Roman" w:cs="Times New Roman" w:eastAsia="Times New Roman" w:hint="default"/>
          <w:spacing w:val="-4"/>
        </w:rPr>
        <w:t>3</w:t>
      </w:r>
      <w:r>
        <w:rPr>
          <w:spacing w:val="-4"/>
        </w:rPr>
        <w:t>）认真研究股权激励的相关政策法规，建立</w:t>
      </w:r>
      <w:r>
        <w:rPr>
          <w:rFonts w:ascii="Times New Roman" w:hAnsi="Times New Roman" w:cs="Times New Roman" w:eastAsia="Times New Roman" w:hint="default"/>
          <w:spacing w:val="-4"/>
        </w:rPr>
        <w:t>“</w:t>
      </w:r>
      <w:r>
        <w:rPr>
          <w:spacing w:val="-4"/>
        </w:rPr>
        <w:t>高绩效、高贡献、高回报</w:t>
      </w:r>
      <w:r>
        <w:rPr>
          <w:rFonts w:ascii="Times New Roman" w:hAnsi="Times New Roman" w:cs="Times New Roman" w:eastAsia="Times New Roman" w:hint="default"/>
          <w:spacing w:val="-4"/>
        </w:rPr>
        <w:t>”</w:t>
      </w:r>
      <w:r>
        <w:rPr>
          <w:spacing w:val="-4"/>
        </w:rPr>
        <w:t>的激励</w:t>
      </w:r>
      <w:r>
        <w:rPr/>
        <w:t> </w:t>
      </w:r>
      <w:r>
        <w:rPr>
          <w:spacing w:val="-1"/>
        </w:rPr>
        <w:t>体系，完善科学有效的人力资源管理制度，根据公司未来三到五年发展规划，加大</w:t>
      </w:r>
      <w:r>
        <w:rPr>
          <w:spacing w:val="-108"/>
        </w:rPr>
        <w:t> </w:t>
      </w:r>
      <w:r>
        <w:rPr>
          <w:spacing w:val="-108"/>
        </w:rPr>
      </w:r>
      <w:r>
        <w:rPr>
          <w:spacing w:val="-1"/>
        </w:rPr>
        <w:t>研发人才、营销和市场人才、高级管理人才等外部人才的引进力度，适时推出员工</w:t>
      </w:r>
      <w:r>
        <w:rPr>
          <w:spacing w:val="-108"/>
        </w:rPr>
        <w:t> </w:t>
      </w:r>
      <w:r>
        <w:rPr>
          <w:spacing w:val="-108"/>
        </w:rPr>
      </w:r>
      <w:r>
        <w:rPr>
          <w:spacing w:val="-1"/>
        </w:rPr>
        <w:t>股权激励计划等激励政策，以快速实现高端人才储备的进一步充实，促进公司快速</w:t>
      </w:r>
      <w:r>
        <w:rPr>
          <w:spacing w:val="-108"/>
        </w:rPr>
        <w:t> </w:t>
      </w:r>
      <w:r>
        <w:rPr>
          <w:spacing w:val="-108"/>
        </w:rPr>
      </w:r>
      <w:r>
        <w:rPr/>
        <w:t>发展。</w:t>
      </w:r>
    </w:p>
    <w:p>
      <w:pPr>
        <w:pStyle w:val="BodyText"/>
        <w:spacing w:line="280" w:lineRule="auto" w:before="41"/>
        <w:ind w:left="621" w:right="219" w:hanging="480"/>
        <w:jc w:val="left"/>
      </w:pPr>
      <w:r>
        <w:rPr/>
        <w:t>（</w:t>
      </w:r>
      <w:r>
        <w:rPr>
          <w:rFonts w:ascii="Times New Roman" w:hAnsi="Times New Roman" w:cs="Times New Roman" w:eastAsia="Times New Roman" w:hint="default"/>
        </w:rPr>
        <w:t>3</w:t>
      </w:r>
      <w:r>
        <w:rPr/>
        <w:t>）运营销售服务体系建设 根据运营服务网络建设项目的实施计划，重点完善销售体系的业务流程控制</w:t>
      </w:r>
    </w:p>
    <w:p>
      <w:pPr>
        <w:pStyle w:val="BodyText"/>
        <w:spacing w:line="352" w:lineRule="auto" w:before="113"/>
        <w:ind w:right="244"/>
        <w:jc w:val="left"/>
      </w:pPr>
      <w:r>
        <w:rPr>
          <w:spacing w:val="-7"/>
        </w:rPr>
        <w:t>和营销管理制度，根据公司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4"/>
        </w:rPr>
        <w:t>年业务发展计划，保障营销体系的人力资源配置，</w:t>
      </w:r>
      <w:r>
        <w:rPr/>
        <w:t> 加强市场开拓工作的人力资源保障，在国内重点一线城市加大市场和营销力度，</w:t>
      </w:r>
      <w:r>
        <w:rPr>
          <w:spacing w:val="-60"/>
        </w:rPr>
        <w:t> </w:t>
      </w:r>
      <w:r>
        <w:rPr>
          <w:spacing w:val="-60"/>
        </w:rPr>
      </w:r>
      <w:r>
        <w:rPr/>
        <w:t>全面加强对营销体系的技术支撑能力，力争实现售后技术服务的落地工作，以点</w:t>
      </w:r>
      <w:r>
        <w:rPr>
          <w:spacing w:val="-67"/>
        </w:rPr>
        <w:t> </w:t>
      </w:r>
      <w:r>
        <w:rPr>
          <w:spacing w:val="-67"/>
        </w:rPr>
      </w:r>
      <w:r>
        <w:rPr/>
        <w:t>带面，全面夯实现有的市场基础，进一步强化品牌效应，为国内市场和营销工作</w:t>
      </w:r>
      <w:r>
        <w:rPr>
          <w:spacing w:val="-67"/>
        </w:rPr>
        <w:t> </w:t>
      </w:r>
      <w:r>
        <w:rPr>
          <w:spacing w:val="-67"/>
        </w:rPr>
      </w:r>
      <w:r>
        <w:rPr/>
        <w:t>打开新的局面。</w:t>
      </w:r>
    </w:p>
    <w:p>
      <w:pPr>
        <w:pStyle w:val="BodyText"/>
        <w:spacing w:line="338" w:lineRule="auto" w:before="120"/>
        <w:ind w:left="621" w:right="219" w:hanging="480"/>
        <w:jc w:val="left"/>
      </w:pPr>
      <w:r>
        <w:rPr/>
        <w:t>（</w:t>
      </w:r>
      <w:r>
        <w:rPr>
          <w:rFonts w:ascii="Times New Roman" w:hAnsi="Times New Roman" w:cs="Times New Roman" w:eastAsia="Times New Roman" w:hint="default"/>
        </w:rPr>
        <w:t>4</w:t>
      </w:r>
      <w:r>
        <w:rPr/>
        <w:t>）加强内部控制环境建设： </w:t>
      </w:r>
      <w:r>
        <w:rPr>
          <w:spacing w:val="-1"/>
        </w:rPr>
        <w:t>继续完善公司治理结构，提升公司规范化运作水平，围绕公司信息披露管理工</w:t>
      </w:r>
    </w:p>
    <w:p>
      <w:pPr>
        <w:pStyle w:val="BodyText"/>
        <w:spacing w:line="357" w:lineRule="auto" w:before="56"/>
        <w:ind w:right="92"/>
        <w:jc w:val="left"/>
      </w:pPr>
      <w:r>
        <w:rPr>
          <w:spacing w:val="-4"/>
        </w:rPr>
        <w:t>作，深化管理，加强控制，构建以内部控制环境为基础，梳理产供销等各业务环节，</w:t>
      </w:r>
      <w:r>
        <w:rPr>
          <w:spacing w:val="-117"/>
        </w:rPr>
        <w:t> </w:t>
      </w:r>
      <w:r>
        <w:rPr>
          <w:spacing w:val="-117"/>
        </w:rPr>
      </w:r>
      <w:r>
        <w:rPr/>
        <w:t>对风险节点进行评估，全面加强风险控制活动，系统防范经营风险。进一步加强企</w:t>
      </w:r>
    </w:p>
    <w:p>
      <w:pPr>
        <w:spacing w:after="0" w:line="357" w:lineRule="auto"/>
        <w:jc w:val="left"/>
        <w:sectPr>
          <w:footerReference w:type="default" r:id="rId23"/>
          <w:pgSz w:w="11910" w:h="16840"/>
          <w:pgMar w:footer="1267" w:header="877" w:top="1060" w:bottom="1460" w:left="1560" w:right="1360"/>
          <w:pgNumType w:start="49"/>
        </w:sectPr>
      </w:pPr>
    </w:p>
    <w:p>
      <w:pPr>
        <w:pStyle w:val="BodyText"/>
        <w:spacing w:line="357" w:lineRule="auto" w:before="104"/>
        <w:ind w:right="223"/>
        <w:jc w:val="both"/>
      </w:pPr>
      <w:r>
        <w:rPr>
          <w:spacing w:val="-1"/>
        </w:rPr>
        <w:t>业管理，提高管理效率，控制成本支出，加强内部信息共享与沟通，协调企业内部</w:t>
      </w:r>
      <w:r>
        <w:rPr>
          <w:spacing w:val="-107"/>
        </w:rPr>
        <w:t> </w:t>
      </w:r>
      <w:r>
        <w:rPr>
          <w:spacing w:val="-107"/>
        </w:rPr>
      </w:r>
      <w:r>
        <w:rPr/>
        <w:t>资源统筹，建成有机构成、相互促进的内部控制和全面风险管理体系。</w:t>
      </w:r>
    </w:p>
    <w:p>
      <w:pPr>
        <w:pStyle w:val="BodyText"/>
        <w:spacing w:line="240" w:lineRule="auto" w:before="36"/>
        <w:ind w:right="219"/>
        <w:jc w:val="left"/>
      </w:pPr>
      <w:r>
        <w:rPr/>
        <w:t>（</w:t>
      </w:r>
      <w:r>
        <w:rPr>
          <w:rFonts w:ascii="Times New Roman" w:hAnsi="Times New Roman" w:cs="Times New Roman" w:eastAsia="Times New Roman" w:hint="default"/>
        </w:rPr>
        <w:t>5</w:t>
      </w:r>
      <w:r>
        <w:rPr/>
        <w:t>）投资者关系管理</w:t>
      </w:r>
    </w:p>
    <w:p>
      <w:pPr>
        <w:pStyle w:val="BodyText"/>
        <w:spacing w:line="352" w:lineRule="auto" w:before="135"/>
        <w:ind w:right="93" w:firstLine="479"/>
        <w:jc w:val="left"/>
      </w:pPr>
      <w:r>
        <w:rPr>
          <w:rFonts w:ascii="Times New Roman" w:hAnsi="Times New Roman" w:cs="Times New Roman" w:eastAsia="Times New Roman" w:hint="default"/>
          <w:spacing w:val="-4"/>
        </w:rPr>
        <w:t>2011</w:t>
      </w:r>
      <w:r>
        <w:rPr>
          <w:spacing w:val="-4"/>
        </w:rPr>
        <w:t>年，作为创业板上市公司中的一员，将进一步完善公司的治理结构，建立、</w:t>
      </w:r>
      <w:r>
        <w:rPr/>
        <w:t> 健全投资者沟通平台，规范公司投资者关系工作，加强公司与投资者和潜在投资者 之间的沟通，加深投资者对公司及公司所在行业的了解和认同，促进公司与投资者 之间建立长期、稳定的良好关系，提升公司的资本市场形象，进一步巩固核心竞争 能力，实现公司价值最大化和股东利益最大化。</w:t>
      </w:r>
    </w:p>
    <w:p>
      <w:pPr>
        <w:spacing w:line="764" w:lineRule="exact" w:before="8"/>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（六）实现未来发展战略和</w:t>
      </w:r>
      <w:r>
        <w:rPr>
          <w:rFonts w:ascii="宋体" w:hAnsi="宋体" w:cs="宋体" w:eastAsia="宋体" w:hint="default"/>
          <w:b/>
          <w:bCs/>
          <w:spacing w:val="-58"/>
          <w:sz w:val="24"/>
          <w:szCs w:val="24"/>
        </w:rPr>
        <w:t> </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年经营计划所需资金</w:t>
      </w:r>
      <w:r>
        <w:rPr>
          <w:rFonts w:ascii="宋体" w:hAnsi="宋体" w:cs="宋体" w:eastAsia="宋体" w:hint="default"/>
          <w:b/>
          <w:bCs/>
          <w:w w:val="99"/>
          <w:sz w:val="24"/>
          <w:szCs w:val="24"/>
        </w:rPr>
        <w:t> </w:t>
      </w:r>
      <w:r>
        <w:rPr>
          <w:rFonts w:ascii="宋体" w:hAnsi="宋体" w:cs="宋体" w:eastAsia="宋体" w:hint="default"/>
          <w:spacing w:val="-1"/>
          <w:sz w:val="24"/>
          <w:szCs w:val="24"/>
        </w:rPr>
        <w:t>公司</w:t>
      </w:r>
      <w:r>
        <w:rPr>
          <w:rFonts w:ascii="Times New Roman" w:hAnsi="Times New Roman" w:cs="Times New Roman" w:eastAsia="Times New Roman" w:hint="default"/>
          <w:spacing w:val="-1"/>
          <w:sz w:val="24"/>
          <w:szCs w:val="24"/>
        </w:rPr>
        <w:t>2010</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10</w:t>
      </w:r>
      <w:r>
        <w:rPr>
          <w:rFonts w:ascii="宋体" w:hAnsi="宋体" w:cs="宋体" w:eastAsia="宋体" w:hint="default"/>
          <w:spacing w:val="-1"/>
          <w:sz w:val="24"/>
          <w:szCs w:val="24"/>
        </w:rPr>
        <w:t>月首次公开发行</w:t>
      </w:r>
      <w:r>
        <w:rPr>
          <w:rFonts w:ascii="Times New Roman" w:hAnsi="Times New Roman" w:cs="Times New Roman" w:eastAsia="Times New Roman" w:hint="default"/>
          <w:spacing w:val="-1"/>
          <w:sz w:val="24"/>
          <w:szCs w:val="24"/>
        </w:rPr>
        <w:t>A</w:t>
      </w:r>
      <w:r>
        <w:rPr>
          <w:rFonts w:ascii="宋体" w:hAnsi="宋体" w:cs="宋体" w:eastAsia="宋体" w:hint="default"/>
          <w:spacing w:val="-1"/>
          <w:sz w:val="24"/>
          <w:szCs w:val="24"/>
        </w:rPr>
        <w:t>股并上市，募集资金净额</w:t>
      </w:r>
      <w:r>
        <w:rPr>
          <w:rFonts w:ascii="Times New Roman" w:hAnsi="Times New Roman" w:cs="Times New Roman" w:eastAsia="Times New Roman" w:hint="default"/>
          <w:spacing w:val="-1"/>
          <w:sz w:val="24"/>
          <w:szCs w:val="24"/>
        </w:rPr>
        <w:t>646,334,934.33</w:t>
      </w:r>
      <w:r>
        <w:rPr>
          <w:rFonts w:ascii="宋体" w:hAnsi="宋体" w:cs="宋体" w:eastAsia="宋体" w:hint="default"/>
          <w:spacing w:val="-1"/>
          <w:sz w:val="24"/>
          <w:szCs w:val="24"/>
        </w:rPr>
        <w:t>元，公</w:t>
      </w:r>
    </w:p>
    <w:p>
      <w:pPr>
        <w:pStyle w:val="BodyText"/>
        <w:spacing w:line="350" w:lineRule="auto" w:before="35"/>
        <w:ind w:right="223"/>
        <w:jc w:val="both"/>
      </w:pPr>
      <w:r>
        <w:rPr>
          <w:spacing w:val="-1"/>
        </w:rPr>
        <w:t>司将严格按照中国证监会和深交所各项规定管好和用好募集资金和超募资金，严格</w:t>
      </w:r>
      <w:r>
        <w:rPr>
          <w:spacing w:val="-108"/>
        </w:rPr>
        <w:t> </w:t>
      </w:r>
      <w:r>
        <w:rPr>
          <w:spacing w:val="-108"/>
        </w:rPr>
      </w:r>
      <w:r>
        <w:rPr>
          <w:spacing w:val="-1"/>
        </w:rPr>
        <w:t>执行审批程序，积极推进募投项目建设，制订并实施超募资金使用方案，努力提高</w:t>
      </w:r>
      <w:r>
        <w:rPr>
          <w:spacing w:val="-108"/>
        </w:rPr>
        <w:t> </w:t>
      </w:r>
      <w:r>
        <w:rPr>
          <w:spacing w:val="-108"/>
        </w:rPr>
      </w:r>
      <w:r>
        <w:rPr>
          <w:spacing w:val="-1"/>
        </w:rPr>
        <w:t>资金的使用效率，实现公司</w:t>
      </w:r>
      <w:r>
        <w:rPr>
          <w:rFonts w:ascii="Times New Roman" w:hAnsi="Times New Roman" w:cs="Times New Roman" w:eastAsia="Times New Roman" w:hint="default"/>
          <w:spacing w:val="-1"/>
        </w:rPr>
        <w:t>2011</w:t>
      </w:r>
      <w:r>
        <w:rPr>
          <w:spacing w:val="-1"/>
        </w:rPr>
        <w:t>年经营计划，并为公司的长远发展奠定基础，为股</w:t>
      </w:r>
      <w:r>
        <w:rPr>
          <w:spacing w:val="-106"/>
        </w:rPr>
        <w:t> </w:t>
      </w:r>
      <w:r>
        <w:rPr>
          <w:spacing w:val="-106"/>
        </w:rPr>
      </w:r>
      <w:r>
        <w:rPr/>
        <w:t>东创造最大效益。</w:t>
      </w:r>
    </w:p>
    <w:p>
      <w:pPr>
        <w:spacing w:line="240" w:lineRule="auto" w:before="5"/>
        <w:rPr>
          <w:rFonts w:ascii="宋体" w:hAnsi="宋体" w:cs="宋体" w:eastAsia="宋体" w:hint="default"/>
          <w:sz w:val="20"/>
          <w:szCs w:val="20"/>
        </w:rPr>
      </w:pPr>
    </w:p>
    <w:p>
      <w:pPr>
        <w:pStyle w:val="Heading6"/>
        <w:spacing w:line="240" w:lineRule="auto"/>
        <w:ind w:right="219"/>
        <w:jc w:val="left"/>
        <w:rPr>
          <w:b w:val="0"/>
          <w:bCs w:val="0"/>
        </w:rPr>
      </w:pPr>
      <w:r>
        <w:rPr/>
        <w:t>三、董事会日常工作情况</w:t>
      </w:r>
      <w:r>
        <w:rPr>
          <w:b w:val="0"/>
          <w:bCs w:val="0"/>
        </w:rPr>
      </w:r>
    </w:p>
    <w:p>
      <w:pPr>
        <w:spacing w:line="240" w:lineRule="auto" w:before="10"/>
        <w:rPr>
          <w:rFonts w:ascii="宋体" w:hAnsi="宋体" w:cs="宋体" w:eastAsia="宋体" w:hint="default"/>
          <w:b/>
          <w:bCs/>
          <w:sz w:val="31"/>
          <w:szCs w:val="31"/>
        </w:rPr>
      </w:pPr>
    </w:p>
    <w:p>
      <w:pPr>
        <w:spacing w:before="0"/>
        <w:ind w:left="142" w:right="219" w:firstLine="0"/>
        <w:jc w:val="left"/>
        <w:rPr>
          <w:rFonts w:ascii="宋体" w:hAnsi="宋体" w:cs="宋体" w:eastAsia="宋体" w:hint="default"/>
          <w:sz w:val="24"/>
          <w:szCs w:val="24"/>
        </w:rPr>
      </w:pPr>
      <w:r>
        <w:rPr>
          <w:rFonts w:ascii="宋体" w:hAnsi="宋体" w:cs="宋体" w:eastAsia="宋体" w:hint="default"/>
          <w:b/>
          <w:bCs/>
          <w:sz w:val="24"/>
          <w:szCs w:val="24"/>
        </w:rPr>
        <w:t>（一）报告期内，董事会日常工作情况详见第七节</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四、董事会运行情况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p>
      <w:pPr>
        <w:spacing w:line="760" w:lineRule="atLeast" w:before="23"/>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（二）董事会对股东大会决议执行情况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报告期内，公司董事会严格按照《公司法》、《公司章程》和《董事会议事规</w:t>
      </w:r>
    </w:p>
    <w:p>
      <w:pPr>
        <w:pStyle w:val="BodyText"/>
        <w:spacing w:line="357" w:lineRule="auto" w:before="154"/>
        <w:ind w:right="224"/>
        <w:jc w:val="both"/>
      </w:pPr>
      <w:r>
        <w:rPr>
          <w:spacing w:val="-1"/>
        </w:rPr>
        <w:t>则》等规定和要求，认真履行职责并全面执行了公司股东大会决议的全部事项具体</w:t>
      </w:r>
      <w:r>
        <w:rPr>
          <w:spacing w:val="-107"/>
        </w:rPr>
        <w:t> </w:t>
      </w:r>
      <w:r>
        <w:rPr>
          <w:spacing w:val="-107"/>
        </w:rPr>
      </w:r>
      <w:r>
        <w:rPr/>
        <w:t>如下：</w:t>
      </w:r>
    </w:p>
    <w:p>
      <w:pPr>
        <w:pStyle w:val="BodyText"/>
        <w:spacing w:line="338" w:lineRule="auto" w:before="36"/>
        <w:ind w:right="185" w:firstLine="47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2009</w:t>
      </w:r>
      <w:r>
        <w:rPr/>
        <w:t>年度股东大会审议通过了</w:t>
      </w:r>
      <w:r>
        <w:rPr>
          <w:rFonts w:ascii="Times New Roman" w:hAnsi="Times New Roman" w:cs="Times New Roman" w:eastAsia="Times New Roman" w:hint="default"/>
        </w:rPr>
        <w:t>2010</w:t>
      </w:r>
      <w:r>
        <w:rPr/>
        <w:t>年公司经营计划， 公司按照经营计划的要求，完成了</w:t>
      </w:r>
      <w:r>
        <w:rPr>
          <w:rFonts w:ascii="Times New Roman" w:hAnsi="Times New Roman" w:cs="Times New Roman" w:eastAsia="Times New Roman" w:hint="default"/>
        </w:rPr>
        <w:t>2010</w:t>
      </w:r>
      <w:r>
        <w:rPr/>
        <w:t>年的既定业绩目标、管理目标。</w:t>
      </w:r>
    </w:p>
    <w:p>
      <w:pPr>
        <w:pStyle w:val="BodyText"/>
        <w:spacing w:line="240" w:lineRule="auto" w:before="27"/>
        <w:ind w:left="621" w:right="219"/>
        <w:jc w:val="left"/>
      </w:pPr>
      <w:r>
        <w:rPr>
          <w:rFonts w:ascii="Times New Roman" w:hAnsi="Times New Roman" w:cs="Times New Roman" w:eastAsia="Times New Roman" w:hint="default"/>
        </w:rPr>
        <w:t>2</w:t>
      </w:r>
      <w:r>
        <w:rPr/>
        <w:t>、公开发行股票相关事宜的执行情况。</w:t>
      </w:r>
    </w:p>
    <w:p>
      <w:pPr>
        <w:pStyle w:val="BodyText"/>
        <w:spacing w:line="338" w:lineRule="auto" w:before="135"/>
        <w:ind w:right="225" w:firstLine="479"/>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5</w:t>
      </w:r>
      <w:r>
        <w:rPr>
          <w:spacing w:val="-1"/>
        </w:rPr>
        <w:t>日，公司</w:t>
      </w:r>
      <w:r>
        <w:rPr>
          <w:rFonts w:ascii="Times New Roman" w:hAnsi="Times New Roman" w:cs="Times New Roman" w:eastAsia="Times New Roman" w:hint="default"/>
          <w:spacing w:val="-1"/>
        </w:rPr>
        <w:t>2010</w:t>
      </w:r>
      <w:r>
        <w:rPr>
          <w:spacing w:val="-1"/>
        </w:rPr>
        <w:t>年第一次临时股东大会审议通过《关于审议延长公司</w:t>
      </w:r>
      <w:r>
        <w:rPr/>
        <w:t> </w:t>
      </w:r>
      <w:r>
        <w:rPr>
          <w:spacing w:val="-6"/>
          <w:w w:val="99"/>
        </w:rPr>
        <w:t>首次公开发行人民币普通股（</w:t>
      </w:r>
      <w:r>
        <w:rPr>
          <w:rFonts w:ascii="Times New Roman" w:hAnsi="Times New Roman" w:cs="Times New Roman" w:eastAsia="Times New Roman" w:hint="default"/>
          <w:spacing w:val="-6"/>
          <w:w w:val="99"/>
        </w:rPr>
        <w:t>A</w:t>
      </w:r>
      <w:r>
        <w:rPr>
          <w:spacing w:val="-6"/>
          <w:w w:val="99"/>
        </w:rPr>
        <w:t>股）股票并在创业板上市的决议有效期的议案》，根</w:t>
      </w:r>
      <w:r>
        <w:rPr>
          <w:spacing w:val="-98"/>
          <w:w w:val="99"/>
        </w:rPr>
        <w:t> </w:t>
      </w:r>
      <w:r>
        <w:rPr>
          <w:spacing w:val="-98"/>
          <w:w w:val="99"/>
        </w:rPr>
      </w:r>
      <w:r>
        <w:rPr/>
        <w:t>据决议，股东大会继续授权董事会办理首次公开发行股票并在创业板上市具体事</w:t>
      </w:r>
    </w:p>
    <w:p>
      <w:pPr>
        <w:spacing w:after="0" w:line="338" w:lineRule="auto"/>
        <w:jc w:val="both"/>
        <w:sectPr>
          <w:footerReference w:type="default" r:id="rId24"/>
          <w:pgSz w:w="11910" w:h="16840"/>
          <w:pgMar w:footer="1267" w:header="877" w:top="1060" w:bottom="1460" w:left="1560" w:right="1360"/>
          <w:pgNumType w:start="50"/>
        </w:sectPr>
      </w:pPr>
    </w:p>
    <w:p>
      <w:pPr>
        <w:pStyle w:val="BodyText"/>
        <w:spacing w:line="338" w:lineRule="auto" w:before="104"/>
        <w:ind w:right="136"/>
        <w:jc w:val="left"/>
      </w:pPr>
      <w:r>
        <w:rPr/>
        <w:t>宜。中国证券监督管理委员会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[2010]1292</w:t>
      </w:r>
      <w:r>
        <w:rPr/>
        <w:t>号</w:t>
      </w:r>
      <w:r>
        <w:rPr>
          <w:rFonts w:ascii="Times New Roman" w:hAnsi="Times New Roman" w:cs="Times New Roman" w:eastAsia="Times New Roman" w:hint="default"/>
        </w:rPr>
        <w:t>”</w:t>
      </w:r>
      <w:r>
        <w:rPr/>
        <w:t>文核准，公司公开发行人民 币普通股</w:t>
      </w:r>
      <w:r>
        <w:rPr>
          <w:rFonts w:ascii="Times New Roman" w:hAnsi="Times New Roman" w:cs="Times New Roman" w:eastAsia="Times New Roman" w:hint="default"/>
        </w:rPr>
        <w:t>1,600</w:t>
      </w:r>
      <w:r>
        <w:rPr>
          <w:rFonts w:ascii="Times New Roman" w:hAnsi="Times New Roman" w:cs="Times New Roman" w:eastAsia="Times New Roman" w:hint="default"/>
          <w:spacing w:val="28"/>
        </w:rPr>
        <w:t> </w:t>
      </w:r>
      <w:r>
        <w:rPr>
          <w:spacing w:val="-3"/>
        </w:rPr>
        <w:t>万股，发行价格每股</w:t>
      </w:r>
      <w:r>
        <w:rPr>
          <w:rFonts w:ascii="Times New Roman" w:hAnsi="Times New Roman" w:cs="Times New Roman" w:eastAsia="Times New Roman" w:hint="default"/>
          <w:spacing w:val="-3"/>
        </w:rPr>
        <w:t>43.33</w:t>
      </w:r>
      <w:r>
        <w:rPr>
          <w:spacing w:val="-3"/>
        </w:rPr>
        <w:t>元，募集资金总额：</w:t>
      </w:r>
      <w:r>
        <w:rPr>
          <w:rFonts w:ascii="Times New Roman" w:hAnsi="Times New Roman" w:cs="Times New Roman" w:eastAsia="Times New Roman" w:hint="default"/>
          <w:spacing w:val="-3"/>
        </w:rPr>
        <w:t>693,280,000.00</w:t>
      </w:r>
      <w:r>
        <w:rPr>
          <w:spacing w:val="-3"/>
        </w:rPr>
        <w:t>元，募</w:t>
      </w:r>
      <w:r>
        <w:rPr>
          <w:spacing w:val="-117"/>
        </w:rPr>
        <w:t> </w:t>
      </w:r>
      <w:r>
        <w:rPr>
          <w:spacing w:val="-117"/>
        </w:rPr>
      </w:r>
      <w:r>
        <w:rPr>
          <w:spacing w:val="-2"/>
        </w:rPr>
        <w:t>集资金净额为：</w:t>
      </w:r>
      <w:r>
        <w:rPr>
          <w:rFonts w:ascii="Times New Roman" w:hAnsi="Times New Roman" w:cs="Times New Roman" w:eastAsia="Times New Roman" w:hint="default"/>
          <w:spacing w:val="-2"/>
        </w:rPr>
        <w:t>646,334,934.33</w:t>
      </w:r>
      <w:r>
        <w:rPr>
          <w:spacing w:val="-2"/>
        </w:rPr>
        <w:t>元。发行后公司股本总额为</w:t>
      </w:r>
      <w:r>
        <w:rPr>
          <w:rFonts w:ascii="Times New Roman" w:hAnsi="Times New Roman" w:cs="Times New Roman" w:eastAsia="Times New Roman" w:hint="default"/>
          <w:spacing w:val="-2"/>
        </w:rPr>
        <w:t>6350</w:t>
      </w:r>
      <w:r>
        <w:rPr>
          <w:spacing w:val="-2"/>
        </w:rPr>
        <w:t>万股，发行工作已于</w:t>
      </w:r>
      <w:r>
        <w:rPr>
          <w:spacing w:val="-113"/>
        </w:rPr>
        <w:t> </w:t>
      </w:r>
      <w:r>
        <w:rPr>
          <w:spacing w:val="-113"/>
        </w:rPr>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日结束。经深圳证券交易所《关于深圳市新国都技术股份有限公司人</w:t>
      </w:r>
      <w:r>
        <w:rPr>
          <w:spacing w:val="-104"/>
        </w:rPr>
        <w:t> </w:t>
      </w:r>
      <w:r>
        <w:rPr>
          <w:spacing w:val="-104"/>
        </w:rPr>
      </w:r>
      <w:r>
        <w:rPr>
          <w:spacing w:val="-2"/>
        </w:rPr>
        <w:t>民币普通股股票在创业板上市的通知》（深证上</w:t>
      </w:r>
      <w:r>
        <w:rPr>
          <w:rFonts w:ascii="Times New Roman" w:hAnsi="Times New Roman" w:cs="Times New Roman" w:eastAsia="Times New Roman" w:hint="default"/>
          <w:spacing w:val="-2"/>
        </w:rPr>
        <w:t>[2010]332</w:t>
      </w:r>
      <w:r>
        <w:rPr>
          <w:spacing w:val="-2"/>
        </w:rPr>
        <w:t>号）同意，本公司发行的</w:t>
      </w:r>
      <w:r>
        <w:rPr>
          <w:spacing w:val="-101"/>
        </w:rPr>
        <w:t> </w:t>
      </w:r>
      <w:r>
        <w:rPr>
          <w:spacing w:val="-101"/>
        </w:rPr>
      </w:r>
      <w:r>
        <w:rPr/>
        <w:t>人民币普通股股票于</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日起在深圳证券交易所创业板上市，股票简称 </w:t>
      </w:r>
      <w:r>
        <w:rPr>
          <w:rFonts w:ascii="Times New Roman" w:hAnsi="Times New Roman" w:cs="Times New Roman" w:eastAsia="Times New Roman" w:hint="default"/>
        </w:rPr>
        <w:t>“</w:t>
      </w:r>
      <w:r>
        <w:rPr/>
        <w:t>新国都</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w:t>
      </w:r>
      <w:r>
        <w:rPr>
          <w:rFonts w:ascii="Times New Roman" w:hAnsi="Times New Roman" w:cs="Times New Roman" w:eastAsia="Times New Roman" w:hint="default"/>
        </w:rPr>
        <w:t>130</w:t>
      </w:r>
      <w:r>
        <w:rPr>
          <w:rFonts w:ascii="Times New Roman" w:hAnsi="Times New Roman" w:cs="Times New Roman" w:eastAsia="Times New Roman" w:hint="default"/>
        </w:rPr>
        <w:t>”</w:t>
      </w:r>
      <w:r>
        <w:rPr/>
        <w:t>。</w:t>
      </w:r>
    </w:p>
    <w:p>
      <w:pPr>
        <w:pStyle w:val="BodyText"/>
        <w:spacing w:line="338" w:lineRule="auto" w:before="27"/>
        <w:ind w:right="241" w:firstLine="479"/>
        <w:jc w:val="both"/>
      </w:pP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2009</w:t>
      </w:r>
      <w:r>
        <w:rPr/>
        <w:t>年度股东大会决议，董事会聘请了立信大华会计师事务所有 限公司为公司</w:t>
      </w:r>
      <w:r>
        <w:rPr>
          <w:rFonts w:ascii="Times New Roman" w:hAnsi="Times New Roman" w:cs="Times New Roman" w:eastAsia="Times New Roman" w:hint="default"/>
        </w:rPr>
        <w:t>2010</w:t>
      </w:r>
      <w:r>
        <w:rPr/>
        <w:t>年度审计机构。</w:t>
      </w:r>
    </w:p>
    <w:p>
      <w:pPr>
        <w:spacing w:line="240" w:lineRule="auto" w:before="10"/>
        <w:rPr>
          <w:rFonts w:ascii="宋体" w:hAnsi="宋体" w:cs="宋体" w:eastAsia="宋体" w:hint="default"/>
          <w:sz w:val="24"/>
          <w:szCs w:val="24"/>
        </w:rPr>
      </w:pPr>
    </w:p>
    <w:p>
      <w:pPr>
        <w:pStyle w:val="Heading6"/>
        <w:spacing w:line="240" w:lineRule="auto"/>
        <w:ind w:right="1334"/>
        <w:jc w:val="left"/>
        <w:rPr>
          <w:b w:val="0"/>
          <w:bCs w:val="0"/>
        </w:rPr>
      </w:pPr>
      <w:r>
        <w:rPr/>
        <w:t>（三）公司董事会专业委员会运行情况</w:t>
      </w:r>
      <w:r>
        <w:rPr>
          <w:b w:val="0"/>
          <w:bCs w:val="0"/>
        </w:rPr>
      </w:r>
    </w:p>
    <w:p>
      <w:pPr>
        <w:spacing w:line="240" w:lineRule="auto" w:before="4"/>
        <w:rPr>
          <w:rFonts w:ascii="宋体" w:hAnsi="宋体" w:cs="宋体" w:eastAsia="宋体" w:hint="default"/>
          <w:b/>
          <w:bCs/>
          <w:sz w:val="34"/>
          <w:szCs w:val="34"/>
        </w:rPr>
      </w:pPr>
    </w:p>
    <w:p>
      <w:pPr>
        <w:pStyle w:val="BodyText"/>
        <w:spacing w:line="338" w:lineRule="auto"/>
        <w:ind w:right="255" w:firstLine="479"/>
        <w:jc w:val="both"/>
      </w:pPr>
      <w:r>
        <w:rPr/>
        <w:t>报告期内，董事会专业委员会的运行情况详见第七节</w:t>
      </w:r>
      <w:r>
        <w:rPr>
          <w:rFonts w:ascii="Times New Roman" w:hAnsi="Times New Roman" w:cs="Times New Roman" w:eastAsia="Times New Roman" w:hint="default"/>
        </w:rPr>
        <w:t>“</w:t>
      </w:r>
      <w:r>
        <w:rPr/>
        <w:t>四、（二）董事会专业 委员会运行情况</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4"/>
          <w:szCs w:val="24"/>
        </w:rPr>
      </w:pPr>
    </w:p>
    <w:p>
      <w:pPr>
        <w:pStyle w:val="Heading6"/>
        <w:spacing w:line="240" w:lineRule="auto"/>
        <w:ind w:right="1334"/>
        <w:jc w:val="left"/>
        <w:rPr>
          <w:b w:val="0"/>
          <w:bCs w:val="0"/>
        </w:rPr>
      </w:pPr>
      <w:r>
        <w:rPr/>
        <w:t>（四）独立董事履行工作情况</w:t>
      </w:r>
      <w:r>
        <w:rPr>
          <w:b w:val="0"/>
          <w:bCs w:val="0"/>
        </w:rPr>
      </w:r>
    </w:p>
    <w:p>
      <w:pPr>
        <w:spacing w:line="240" w:lineRule="auto" w:before="5"/>
        <w:rPr>
          <w:rFonts w:ascii="宋体" w:hAnsi="宋体" w:cs="宋体" w:eastAsia="宋体" w:hint="default"/>
          <w:b/>
          <w:bCs/>
          <w:sz w:val="34"/>
          <w:szCs w:val="34"/>
        </w:rPr>
      </w:pPr>
    </w:p>
    <w:p>
      <w:pPr>
        <w:pStyle w:val="BodyText"/>
        <w:spacing w:line="357" w:lineRule="auto"/>
        <w:ind w:right="284" w:firstLine="419"/>
        <w:jc w:val="left"/>
      </w:pPr>
      <w:r>
        <w:rPr>
          <w:spacing w:val="-4"/>
        </w:rPr>
        <w:t>报告期内，公司的独立董事忠实地履行了独立董事的职责，谨慎、认真、勤勉</w:t>
      </w:r>
      <w:r>
        <w:rPr/>
        <w:t> 地行使公司所赋予独立董事的权利，参加了</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3"/>
        </w:rPr>
        <w:t>年的相关会议，根据深交所《关</w:t>
      </w:r>
    </w:p>
    <w:p>
      <w:pPr>
        <w:pStyle w:val="BodyText"/>
        <w:spacing w:line="240" w:lineRule="auto" w:before="5"/>
        <w:ind w:right="176"/>
        <w:jc w:val="left"/>
      </w:pPr>
      <w:r>
        <w:rPr/>
        <w:t>于做好上市公司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5"/>
        </w:rPr>
        <w:t>年年度报告工作的通知》和中国证监会《关于加强社会公众</w:t>
      </w:r>
    </w:p>
    <w:p>
      <w:pPr>
        <w:pStyle w:val="BodyText"/>
        <w:spacing w:line="309" w:lineRule="auto" w:before="135"/>
        <w:ind w:right="577"/>
        <w:jc w:val="left"/>
      </w:pPr>
      <w:r>
        <w:rPr/>
        <w:t>股股东权益保护的若干规定》的有关规定， </w:t>
      </w:r>
      <w:r>
        <w:rPr>
          <w:rFonts w:ascii="Times New Roman" w:hAnsi="Times New Roman" w:cs="Times New Roman" w:eastAsia="Times New Roman" w:hint="default"/>
        </w:rPr>
        <w:t>2010 </w:t>
      </w:r>
      <w:r>
        <w:rPr/>
        <w:t>年度独立董事履职情况如下</w:t>
      </w:r>
      <w:r>
        <w:rPr>
          <w:rFonts w:ascii="Times New Roman" w:hAnsi="Times New Roman" w:cs="Times New Roman" w:eastAsia="Times New Roman" w:hint="default"/>
        </w:rPr>
        <w:t>: 1</w:t>
      </w:r>
      <w:r>
        <w:rPr/>
        <w:t>、独立董事出席董事会的情况</w:t>
      </w:r>
    </w:p>
    <w:p>
      <w:pPr>
        <w:pStyle w:val="BodyText"/>
        <w:spacing w:line="338" w:lineRule="auto" w:before="22"/>
        <w:ind w:right="301" w:firstLine="539"/>
        <w:jc w:val="both"/>
      </w:pPr>
      <w:r>
        <w:rPr>
          <w:rFonts w:ascii="Times New Roman" w:hAnsi="Times New Roman" w:cs="Times New Roman" w:eastAsia="Times New Roman" w:hint="default"/>
        </w:rPr>
        <w:t>2010 </w:t>
      </w:r>
      <w:r>
        <w:rPr/>
        <w:t>年，公司董事会聘任了 </w:t>
      </w:r>
      <w:r>
        <w:rPr>
          <w:rFonts w:ascii="Times New Roman" w:hAnsi="Times New Roman" w:cs="Times New Roman" w:eastAsia="Times New Roman" w:hint="default"/>
        </w:rPr>
        <w:t>4 </w:t>
      </w:r>
      <w:r>
        <w:rPr/>
        <w:t>名独立董事，符合上市公司建立独</w:t>
      </w:r>
      <w:r>
        <w:rPr>
          <w:spacing w:val="-59"/>
        </w:rPr>
        <w:t> </w:t>
      </w:r>
      <w:r>
        <w:rPr/>
        <w:t>立董事制</w:t>
      </w:r>
      <w:r>
        <w:rPr/>
        <w:t> 度的要求。</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年度，公司共召开了</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次董事会会议，独立董事均按时出席，无 缺席和委托出席的情况。</w:t>
      </w:r>
    </w:p>
    <w:p>
      <w:pPr>
        <w:pStyle w:val="BodyText"/>
        <w:spacing w:line="357" w:lineRule="auto" w:before="94"/>
        <w:ind w:right="299" w:firstLine="539"/>
        <w:jc w:val="both"/>
      </w:pPr>
      <w:r>
        <w:rPr/>
        <w:t>公司独立董事能依照《公司章程》及《董事会议事规则》的规定和要求，按 时出席董事会会议，认真审议议案，并以严谨的态度行使</w:t>
      </w:r>
      <w:r>
        <w:rPr>
          <w:spacing w:val="-56"/>
        </w:rPr>
        <w:t> </w:t>
      </w:r>
      <w:r>
        <w:rPr/>
        <w:t>表决权，充分发挥了独</w:t>
      </w:r>
      <w:r>
        <w:rPr/>
        <w:t> 立董事的作用，维护了公司的整体利益和中小股东的利益。</w:t>
      </w:r>
    </w:p>
    <w:p>
      <w:pPr>
        <w:pStyle w:val="BodyText"/>
        <w:spacing w:line="312" w:lineRule="auto"/>
        <w:ind w:left="681" w:right="284" w:hanging="54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年度独立董事发表独立意见的情况 </w:t>
      </w:r>
      <w:r>
        <w:rPr>
          <w:spacing w:val="-6"/>
        </w:rPr>
        <w:t>根据相关法律、法规和有关的规定，独立董事对公司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年度经营活动情况</w:t>
      </w:r>
    </w:p>
    <w:p>
      <w:pPr>
        <w:pStyle w:val="BodyText"/>
        <w:spacing w:line="357" w:lineRule="auto" w:before="56"/>
        <w:ind w:right="344"/>
        <w:jc w:val="left"/>
      </w:pPr>
      <w:r>
        <w:rPr/>
        <w:t>进行了认真的了解和查验，并对各项议案进行了认真审议。报告期内，独立董事 未对公司具体事项发表独立意见。</w:t>
      </w:r>
    </w:p>
    <w:p>
      <w:pPr>
        <w:spacing w:after="0" w:line="357" w:lineRule="auto"/>
        <w:jc w:val="left"/>
        <w:sectPr>
          <w:pgSz w:w="11910" w:h="16840"/>
          <w:pgMar w:header="877" w:footer="1267" w:top="1060" w:bottom="1460" w:left="1560" w:right="1440"/>
        </w:sectPr>
      </w:pPr>
    </w:p>
    <w:p>
      <w:pPr>
        <w:pStyle w:val="BodyText"/>
        <w:spacing w:line="240" w:lineRule="auto" w:before="25"/>
        <w:ind w:right="0"/>
        <w:jc w:val="both"/>
      </w:pPr>
      <w:r>
        <w:rPr/>
        <w:pict>
          <v:group style="position:absolute;margin-left:83.664001pt;margin-top:2.185654pt;width:433.75pt;height:.1pt;mso-position-horizontal-relative:page;mso-position-vertical-relative:paragraph;z-index:-681664" coordorigin="1673,44" coordsize="8675,2">
            <v:shape style="position:absolute;left:1673;top:44;width:8675;height:2" coordorigin="1673,44" coordsize="8675,0" path="m1673,44l10348,44e" filled="false" stroked="true" strokeweight=".72pt" strokecolor="#000000">
              <v:path arrowok="t"/>
            </v:shape>
            <w10:wrap type="none"/>
          </v:group>
        </w:pict>
      </w:r>
      <w:r>
        <w:rPr>
          <w:rFonts w:ascii="Times New Roman" w:hAnsi="Times New Roman" w:cs="Times New Roman" w:eastAsia="Times New Roman" w:hint="default"/>
        </w:rPr>
        <w:t>3</w:t>
      </w:r>
      <w:r>
        <w:rPr/>
        <w:t>、董事会的日常工作</w:t>
      </w:r>
    </w:p>
    <w:p>
      <w:pPr>
        <w:pStyle w:val="BodyText"/>
        <w:spacing w:line="352" w:lineRule="auto" w:before="100"/>
        <w:ind w:right="379"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年度，独立董事忠实履行职责，勤勉尽职工作，凡是经董事会决策的重 大事项，均事先对事项详情进行了解、认真审核，并根据相关法规进行审查，提</w:t>
      </w:r>
      <w:r>
        <w:rPr>
          <w:spacing w:val="-66"/>
        </w:rPr>
        <w:t> </w:t>
      </w:r>
      <w:r>
        <w:rPr>
          <w:spacing w:val="-66"/>
        </w:rPr>
      </w:r>
      <w:r>
        <w:rPr/>
        <w:t>出了意见和建议。独立董事适时了解公司动态，听取公司经营层有关部门对公司</w:t>
      </w:r>
      <w:r>
        <w:rPr>
          <w:spacing w:val="-64"/>
        </w:rPr>
        <w:t> </w:t>
      </w:r>
      <w:r>
        <w:rPr>
          <w:spacing w:val="-64"/>
        </w:rPr>
      </w:r>
      <w:r>
        <w:rPr/>
        <w:t>生产经营、财务运作、资金往来等情况的汇报，并与公司管理层进行沟通，共同</w:t>
      </w:r>
      <w:r>
        <w:rPr>
          <w:spacing w:val="-67"/>
        </w:rPr>
        <w:t> </w:t>
      </w:r>
      <w:r>
        <w:rPr>
          <w:spacing w:val="-67"/>
        </w:rPr>
      </w:r>
      <w:r>
        <w:rPr/>
        <w:t>研究公司的发展目标。</w:t>
      </w:r>
    </w:p>
    <w:p>
      <w:pPr>
        <w:pStyle w:val="BodyText"/>
        <w:spacing w:line="364" w:lineRule="auto" w:before="82"/>
        <w:ind w:left="621" w:right="219" w:hanging="120"/>
        <w:jc w:val="left"/>
      </w:pPr>
      <w:r>
        <w:rPr>
          <w:rFonts w:ascii="Times New Roman" w:hAnsi="Times New Roman" w:cs="Times New Roman" w:eastAsia="Times New Roman" w:hint="default"/>
        </w:rPr>
        <w:t>4</w:t>
      </w:r>
      <w:r>
        <w:rPr/>
        <w:t>、其他事项 报告期内，无提议召开董事会的情况、无提议解聘会计师事务所的情况、无</w:t>
      </w:r>
    </w:p>
    <w:p>
      <w:pPr>
        <w:pStyle w:val="BodyText"/>
        <w:spacing w:line="388" w:lineRule="auto" w:before="29"/>
        <w:ind w:left="621" w:right="219" w:hanging="480"/>
        <w:jc w:val="left"/>
      </w:pPr>
      <w:r>
        <w:rPr/>
        <w:t>独立聘请外部审计机构和咨询机构的情况。 </w:t>
      </w:r>
      <w:r>
        <w:rPr>
          <w:spacing w:val="-1"/>
        </w:rPr>
        <w:t>独立董事将继续尽职尽责，审慎、勤勉地行使独立董事的权利和义务，自觉保</w:t>
      </w:r>
    </w:p>
    <w:p>
      <w:pPr>
        <w:pStyle w:val="BodyText"/>
        <w:spacing w:line="357" w:lineRule="auto" w:before="5"/>
        <w:ind w:right="202"/>
        <w:jc w:val="both"/>
      </w:pPr>
      <w:r>
        <w:rPr/>
        <w:t>护中小股东权益，加强同公司董事会、监事会、经营层之间的沟通、交流与合作， </w:t>
      </w:r>
      <w:r>
        <w:rPr>
          <w:spacing w:val="-1"/>
        </w:rPr>
        <w:t>提高公司董事会的决策能力和领导水平，推进公司治理结构的完善与优化，维护公</w:t>
      </w:r>
      <w:r>
        <w:rPr>
          <w:spacing w:val="-108"/>
        </w:rPr>
        <w:t> </w:t>
      </w:r>
      <w:r>
        <w:rPr>
          <w:spacing w:val="-108"/>
        </w:rPr>
      </w:r>
      <w:r>
        <w:rPr/>
        <w:t>司整体利益和全体股东的合法权益。</w:t>
      </w:r>
    </w:p>
    <w:p>
      <w:pPr>
        <w:spacing w:line="240" w:lineRule="auto" w:before="10"/>
        <w:rPr>
          <w:rFonts w:ascii="宋体" w:hAnsi="宋体" w:cs="宋体" w:eastAsia="宋体" w:hint="default"/>
          <w:sz w:val="20"/>
          <w:szCs w:val="20"/>
        </w:rPr>
      </w:pPr>
    </w:p>
    <w:p>
      <w:pPr>
        <w:pStyle w:val="Heading6"/>
        <w:spacing w:line="240" w:lineRule="auto"/>
        <w:ind w:right="0"/>
        <w:jc w:val="both"/>
        <w:rPr>
          <w:b w:val="0"/>
          <w:bCs w:val="0"/>
        </w:rPr>
      </w:pPr>
      <w:r>
        <w:rPr/>
        <w:t>四、公司投资情况：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8"/>
          <w:szCs w:val="28"/>
        </w:rPr>
      </w:pPr>
    </w:p>
    <w:p>
      <w:pPr>
        <w:spacing w:before="0"/>
        <w:ind w:left="142" w:right="0" w:firstLine="0"/>
        <w:jc w:val="both"/>
        <w:rPr>
          <w:rFonts w:ascii="宋体" w:hAnsi="宋体" w:cs="宋体" w:eastAsia="宋体" w:hint="default"/>
          <w:sz w:val="24"/>
          <w:szCs w:val="24"/>
        </w:rPr>
      </w:pPr>
      <w:r>
        <w:rPr>
          <w:rFonts w:ascii="宋体" w:hAnsi="宋体" w:cs="宋体" w:eastAsia="宋体" w:hint="default"/>
          <w:b/>
          <w:bCs/>
          <w:sz w:val="24"/>
          <w:szCs w:val="24"/>
        </w:rPr>
        <w:t>（一）报告期内募集资金的使用情况</w:t>
      </w:r>
      <w:r>
        <w:rPr>
          <w:rFonts w:ascii="宋体" w:hAnsi="宋体" w:cs="宋体" w:eastAsia="宋体" w:hint="default"/>
          <w:sz w:val="24"/>
          <w:szCs w:val="24"/>
        </w:rPr>
      </w:r>
    </w:p>
    <w:p>
      <w:pPr>
        <w:spacing w:line="760" w:lineRule="atLeast" w:before="52"/>
        <w:ind w:left="621" w:right="292"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、募集资金到位情况</w:t>
      </w:r>
      <w:r>
        <w:rPr>
          <w:rFonts w:ascii="宋体" w:hAnsi="宋体" w:cs="宋体" w:eastAsia="宋体" w:hint="default"/>
          <w:b/>
          <w:bCs/>
          <w:w w:val="99"/>
          <w:sz w:val="24"/>
          <w:szCs w:val="24"/>
        </w:rPr>
        <w:t> </w:t>
      </w:r>
      <w:r>
        <w:rPr>
          <w:rFonts w:ascii="宋体" w:hAnsi="宋体" w:cs="宋体" w:eastAsia="宋体" w:hint="default"/>
          <w:sz w:val="24"/>
          <w:szCs w:val="24"/>
        </w:rPr>
        <w:t>中国证券监督管理委员会</w:t>
      </w:r>
      <w:r>
        <w:rPr>
          <w:rFonts w:ascii="Times New Roman" w:hAnsi="Times New Roman" w:cs="Times New Roman" w:eastAsia="Times New Roman" w:hint="default"/>
          <w:sz w:val="24"/>
          <w:szCs w:val="24"/>
        </w:rPr>
        <w:t>“</w:t>
      </w:r>
      <w:r>
        <w:rPr>
          <w:rFonts w:ascii="宋体" w:hAnsi="宋体" w:cs="宋体" w:eastAsia="宋体" w:hint="default"/>
          <w:sz w:val="24"/>
          <w:szCs w:val="24"/>
        </w:rPr>
        <w:t>证监许可</w:t>
      </w:r>
      <w:r>
        <w:rPr>
          <w:rFonts w:ascii="Times New Roman" w:hAnsi="Times New Roman" w:cs="Times New Roman" w:eastAsia="Times New Roman" w:hint="default"/>
          <w:sz w:val="24"/>
          <w:szCs w:val="24"/>
        </w:rPr>
        <w:t>[2010]1292</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文核准，本公司公开发行人</w:t>
      </w:r>
    </w:p>
    <w:p>
      <w:pPr>
        <w:pStyle w:val="BodyText"/>
        <w:spacing w:line="240" w:lineRule="auto" w:before="135"/>
        <w:ind w:right="0"/>
        <w:jc w:val="both"/>
      </w:pPr>
      <w:r>
        <w:rPr/>
        <w:t>民币普通股</w:t>
      </w:r>
      <w:r>
        <w:rPr>
          <w:rFonts w:ascii="Times New Roman" w:hAnsi="Times New Roman" w:cs="Times New Roman" w:eastAsia="Times New Roman" w:hint="default"/>
        </w:rPr>
        <w:t>1,600  </w:t>
      </w:r>
      <w:r>
        <w:rPr/>
        <w:t>万股，每股面值</w:t>
      </w:r>
      <w:r>
        <w:rPr>
          <w:rFonts w:ascii="Times New Roman" w:hAnsi="Times New Roman" w:cs="Times New Roman" w:eastAsia="Times New Roman" w:hint="default"/>
        </w:rPr>
        <w:t>1.00</w:t>
      </w:r>
      <w:r>
        <w:rPr>
          <w:rFonts w:ascii="Times New Roman" w:hAnsi="Times New Roman" w:cs="Times New Roman" w:eastAsia="Times New Roman" w:hint="default"/>
          <w:spacing w:val="59"/>
        </w:rPr>
        <w:t> </w:t>
      </w:r>
      <w:r>
        <w:rPr/>
        <w:t>元，发行价格每股</w:t>
      </w:r>
      <w:r>
        <w:rPr>
          <w:rFonts w:ascii="Times New Roman" w:hAnsi="Times New Roman" w:cs="Times New Roman" w:eastAsia="Times New Roman" w:hint="default"/>
        </w:rPr>
        <w:t>43.33</w:t>
      </w:r>
      <w:r>
        <w:rPr/>
        <w:t>元，募集资金总额：</w:t>
      </w:r>
    </w:p>
    <w:p>
      <w:pPr>
        <w:pStyle w:val="BodyText"/>
        <w:spacing w:line="240" w:lineRule="auto" w:before="136"/>
        <w:ind w:right="0"/>
        <w:jc w:val="both"/>
      </w:pPr>
      <w:r>
        <w:rPr>
          <w:rFonts w:ascii="Times New Roman" w:hAnsi="Times New Roman" w:cs="Times New Roman" w:eastAsia="Times New Roman" w:hint="default"/>
        </w:rPr>
        <w:t>693,280,000.00</w:t>
      </w:r>
      <w:r>
        <w:rPr/>
        <w:t>元，扣除各项发行费用</w:t>
      </w:r>
      <w:r>
        <w:rPr>
          <w:rFonts w:ascii="Times New Roman" w:hAnsi="Times New Roman" w:cs="Times New Roman" w:eastAsia="Times New Roman" w:hint="default"/>
        </w:rPr>
        <w:t>46,945,065.67</w:t>
      </w:r>
      <w:r>
        <w:rPr/>
        <w:t>元，公司募集资金净额为：</w:t>
      </w:r>
    </w:p>
    <w:p>
      <w:pPr>
        <w:pStyle w:val="BodyText"/>
        <w:spacing w:line="338" w:lineRule="auto" w:before="135"/>
        <w:ind w:right="324"/>
        <w:jc w:val="left"/>
      </w:pPr>
      <w:r>
        <w:rPr>
          <w:rFonts w:ascii="Times New Roman" w:hAnsi="Times New Roman" w:cs="Times New Roman" w:eastAsia="Times New Roman" w:hint="default"/>
        </w:rPr>
        <w:t>646,334,934.33</w:t>
      </w:r>
      <w:r>
        <w:rPr/>
        <w:t>元。以上募集资金已由立信大华验字</w:t>
      </w:r>
      <w:r>
        <w:rPr>
          <w:rFonts w:ascii="Times New Roman" w:hAnsi="Times New Roman" w:cs="Times New Roman" w:eastAsia="Times New Roman" w:hint="default"/>
        </w:rPr>
        <w:t>[2010]124</w:t>
      </w:r>
      <w:r>
        <w:rPr/>
        <w:t>号《验资报告》验证 确认。</w:t>
      </w:r>
    </w:p>
    <w:p>
      <w:pPr>
        <w:spacing w:line="766" w:lineRule="exact" w:before="16"/>
        <w:ind w:left="621" w:right="21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、募集资金管理情况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公司严格按照《募集资金管理办法》的规定和要求，对募集资金的存放和使用</w:t>
      </w:r>
    </w:p>
    <w:p>
      <w:pPr>
        <w:pStyle w:val="BodyText"/>
        <w:spacing w:line="357" w:lineRule="auto" w:before="34"/>
        <w:ind w:right="106"/>
        <w:jc w:val="both"/>
      </w:pPr>
      <w:r>
        <w:rPr>
          <w:spacing w:val="-4"/>
        </w:rPr>
        <w:t>进行有效的监督和管理，以确保用于募集资金投资项目的建设。在使用募集资金时，</w:t>
      </w:r>
      <w:r>
        <w:rPr>
          <w:spacing w:val="-116"/>
        </w:rPr>
        <w:t> </w:t>
      </w:r>
      <w:r>
        <w:rPr>
          <w:spacing w:val="-116"/>
        </w:rPr>
      </w:r>
      <w:r>
        <w:rPr>
          <w:spacing w:val="-4"/>
        </w:rPr>
        <w:t>严格履行相应的申请和审批手续，保证募集资金专款专用，同时及时告知保荐机构，</w:t>
      </w:r>
      <w:r>
        <w:rPr>
          <w:spacing w:val="-116"/>
        </w:rPr>
        <w:t> </w:t>
      </w:r>
      <w:r>
        <w:rPr>
          <w:spacing w:val="-116"/>
        </w:rPr>
      </w:r>
      <w:r>
        <w:rPr/>
        <w:t>并随时接受保荐代表人的监督。</w:t>
      </w:r>
    </w:p>
    <w:p>
      <w:pPr>
        <w:spacing w:after="0" w:line="357" w:lineRule="auto"/>
        <w:jc w:val="both"/>
        <w:sectPr>
          <w:footerReference w:type="default" r:id="rId25"/>
          <w:pgSz w:w="11910" w:h="16840"/>
          <w:pgMar w:footer="1267" w:header="877" w:top="1060" w:bottom="1460" w:left="1560" w:right="1360"/>
          <w:pgNumType w:start="52"/>
        </w:sectPr>
      </w:pPr>
    </w:p>
    <w:p>
      <w:pPr>
        <w:spacing w:line="240" w:lineRule="auto" w:before="11"/>
        <w:rPr>
          <w:rFonts w:ascii="宋体" w:hAnsi="宋体" w:cs="宋体" w:eastAsia="宋体" w:hint="default"/>
          <w:sz w:val="2"/>
          <w:szCs w:val="2"/>
        </w:rPr>
      </w:pPr>
    </w:p>
    <w:p>
      <w:pPr>
        <w:spacing w:line="20" w:lineRule="exact"/>
        <w:ind w:left="68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before="62"/>
        <w:ind w:left="722" w:right="0"/>
        <w:jc w:val="left"/>
        <w:rPr>
          <w:b w:val="0"/>
          <w:bCs w:val="0"/>
        </w:rPr>
      </w:pPr>
      <w:r>
        <w:rPr>
          <w:rFonts w:ascii="Times New Roman" w:hAnsi="Times New Roman" w:cs="Times New Roman" w:eastAsia="Times New Roman" w:hint="default"/>
        </w:rPr>
        <w:t>3</w:t>
      </w:r>
      <w:r>
        <w:rPr/>
        <w:t>、募集资金的具体使用情况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722" w:right="0" w:firstLine="479"/>
        <w:jc w:val="left"/>
      </w:pPr>
      <w:r>
        <w:rPr/>
        <w:t>截止到 </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6"/>
        </w:rPr>
        <w:t> </w:t>
      </w:r>
      <w:r>
        <w:rPr/>
        <w:t>日，募集资金项目具体情况见如下的募集资金使用情 况对照表：</w:t>
      </w:r>
    </w:p>
    <w:tbl>
      <w:tblPr>
        <w:tblW w:w="0" w:type="auto"/>
        <w:jc w:val="left"/>
        <w:tblInd w:w="109" w:type="dxa"/>
        <w:tblLayout w:type="fixed"/>
        <w:tblCellMar>
          <w:top w:w="0" w:type="dxa"/>
          <w:left w:w="0" w:type="dxa"/>
          <w:bottom w:w="0" w:type="dxa"/>
          <w:right w:w="0" w:type="dxa"/>
        </w:tblCellMar>
        <w:tblLook w:val="01E0"/>
      </w:tblPr>
      <w:tblGrid>
        <w:gridCol w:w="1822"/>
        <w:gridCol w:w="559"/>
        <w:gridCol w:w="633"/>
        <w:gridCol w:w="966"/>
        <w:gridCol w:w="962"/>
        <w:gridCol w:w="130"/>
        <w:gridCol w:w="494"/>
        <w:gridCol w:w="853"/>
        <w:gridCol w:w="1122"/>
        <w:gridCol w:w="209"/>
        <w:gridCol w:w="575"/>
        <w:gridCol w:w="650"/>
        <w:gridCol w:w="856"/>
      </w:tblGrid>
      <w:tr>
        <w:trPr>
          <w:trHeight w:val="206" w:hRule="exact"/>
        </w:trPr>
        <w:tc>
          <w:tcPr>
            <w:tcW w:w="3014" w:type="dxa"/>
            <w:gridSpan w:val="3"/>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8" w:type="dxa"/>
            <w:gridSpan w:val="3"/>
            <w:vMerge w:val="restart"/>
            <w:tcBorders>
              <w:top w:val="single" w:sz="4" w:space="0" w:color="000000"/>
              <w:left w:val="single" w:sz="13" w:space="0" w:color="8DB3E1"/>
              <w:right w:val="single" w:sz="9" w:space="0" w:color="8DB3E1"/>
            </w:tcBorders>
          </w:tcPr>
          <w:p>
            <w:pPr>
              <w:pStyle w:val="TableParagraph"/>
              <w:spacing w:line="240" w:lineRule="auto" w:before="91"/>
              <w:ind w:left="1292" w:right="0"/>
              <w:jc w:val="left"/>
              <w:rPr>
                <w:rFonts w:ascii="Times New Roman" w:hAnsi="Times New Roman" w:cs="Times New Roman" w:eastAsia="Times New Roman" w:hint="default"/>
                <w:sz w:val="18"/>
                <w:szCs w:val="18"/>
              </w:rPr>
            </w:pPr>
            <w:r>
              <w:rPr>
                <w:rFonts w:ascii="Times New Roman"/>
                <w:sz w:val="18"/>
              </w:rPr>
              <w:t>64,633.40</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8DB3E1"/>
          </w:tcPr>
          <w:p>
            <w:pPr/>
          </w:p>
        </w:tc>
        <w:tc>
          <w:tcPr>
            <w:tcW w:w="2081" w:type="dxa"/>
            <w:gridSpan w:val="3"/>
            <w:vMerge w:val="restart"/>
            <w:tcBorders>
              <w:top w:val="single" w:sz="4" w:space="0" w:color="000000"/>
              <w:left w:val="single" w:sz="9" w:space="0" w:color="8DB3E1"/>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196" w:hRule="exact"/>
        </w:trPr>
        <w:tc>
          <w:tcPr>
            <w:tcW w:w="3014" w:type="dxa"/>
            <w:gridSpan w:val="3"/>
            <w:vMerge/>
            <w:tcBorders>
              <w:left w:val="single" w:sz="4" w:space="0" w:color="000000"/>
              <w:bottom w:val="single" w:sz="4" w:space="0" w:color="000000"/>
              <w:right w:val="single" w:sz="4" w:space="0" w:color="000000"/>
            </w:tcBorders>
            <w:shd w:val="clear" w:color="auto" w:fill="8DB3E1"/>
          </w:tcPr>
          <w:p>
            <w:pPr/>
          </w:p>
        </w:tc>
        <w:tc>
          <w:tcPr>
            <w:tcW w:w="2058" w:type="dxa"/>
            <w:gridSpan w:val="3"/>
            <w:vMerge/>
            <w:tcBorders>
              <w:left w:val="single" w:sz="13" w:space="0" w:color="8DB3E1"/>
              <w:bottom w:val="single" w:sz="4" w:space="0" w:color="000000"/>
              <w:right w:val="single" w:sz="9" w:space="0" w:color="8DB3E1"/>
            </w:tcBorders>
          </w:tcPr>
          <w:p>
            <w:pPr/>
          </w:p>
        </w:tc>
        <w:tc>
          <w:tcPr>
            <w:tcW w:w="2679" w:type="dxa"/>
            <w:gridSpan w:val="4"/>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9" w:space="0" w:color="8DB3E1"/>
              <w:right w:val="single" w:sz="4" w:space="0" w:color="000000"/>
            </w:tcBorders>
          </w:tcPr>
          <w:p>
            <w:pPr/>
          </w:p>
        </w:tc>
      </w:tr>
      <w:tr>
        <w:trPr>
          <w:trHeight w:val="196" w:hRule="exact"/>
        </w:trPr>
        <w:tc>
          <w:tcPr>
            <w:tcW w:w="3014" w:type="dxa"/>
            <w:gridSpan w:val="3"/>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50"/>
              <w:ind w:left="15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8" w:type="dxa"/>
            <w:gridSpan w:val="3"/>
            <w:vMerge w:val="restart"/>
            <w:tcBorders>
              <w:top w:val="single" w:sz="4" w:space="0" w:color="000000"/>
              <w:left w:val="single" w:sz="13" w:space="0" w:color="8DB3E1"/>
              <w:right w:val="single" w:sz="9" w:space="0" w:color="8DB3E1"/>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vMerge/>
            <w:tcBorders>
              <w:left w:val="single" w:sz="4" w:space="0" w:color="000000"/>
              <w:bottom w:val="nil" w:sz="6" w:space="0" w:color="auto"/>
              <w:right w:val="single" w:sz="4" w:space="0" w:color="000000"/>
            </w:tcBorders>
            <w:shd w:val="clear" w:color="auto" w:fill="8DB3E1"/>
          </w:tcPr>
          <w:p>
            <w:pPr/>
          </w:p>
        </w:tc>
        <w:tc>
          <w:tcPr>
            <w:tcW w:w="2081" w:type="dxa"/>
            <w:gridSpan w:val="3"/>
            <w:vMerge/>
            <w:tcBorders>
              <w:left w:val="single" w:sz="9" w:space="0" w:color="8DB3E1"/>
              <w:right w:val="single" w:sz="4" w:space="0" w:color="000000"/>
            </w:tcBorders>
          </w:tcPr>
          <w:p>
            <w:pPr/>
          </w:p>
        </w:tc>
      </w:tr>
      <w:tr>
        <w:trPr>
          <w:trHeight w:val="206" w:hRule="exact"/>
        </w:trPr>
        <w:tc>
          <w:tcPr>
            <w:tcW w:w="3014" w:type="dxa"/>
            <w:gridSpan w:val="3"/>
            <w:vMerge/>
            <w:tcBorders>
              <w:left w:val="single" w:sz="4" w:space="0" w:color="000000"/>
              <w:bottom w:val="single" w:sz="4" w:space="0" w:color="000000"/>
              <w:right w:val="single" w:sz="4" w:space="0" w:color="000000"/>
            </w:tcBorders>
            <w:shd w:val="clear" w:color="auto" w:fill="8DB3E1"/>
          </w:tcPr>
          <w:p>
            <w:pPr/>
          </w:p>
        </w:tc>
        <w:tc>
          <w:tcPr>
            <w:tcW w:w="2058" w:type="dxa"/>
            <w:gridSpan w:val="3"/>
            <w:vMerge/>
            <w:tcBorders>
              <w:left w:val="single" w:sz="13" w:space="0" w:color="8DB3E1"/>
              <w:bottom w:val="single" w:sz="4" w:space="0" w:color="000000"/>
              <w:right w:val="single" w:sz="9" w:space="0" w:color="8DB3E1"/>
            </w:tcBorders>
          </w:tcPr>
          <w:p>
            <w:pPr/>
          </w:p>
        </w:tc>
        <w:tc>
          <w:tcPr>
            <w:tcW w:w="2679" w:type="dxa"/>
            <w:gridSpan w:val="4"/>
            <w:tcBorders>
              <w:top w:val="nil" w:sz="6" w:space="0" w:color="auto"/>
              <w:left w:val="single" w:sz="4" w:space="0" w:color="000000"/>
              <w:bottom w:val="single" w:sz="4" w:space="0" w:color="000000"/>
              <w:right w:val="single" w:sz="4" w:space="0" w:color="000000"/>
            </w:tcBorders>
            <w:shd w:val="clear" w:color="auto" w:fill="8DB3E1"/>
          </w:tcPr>
          <w:p>
            <w:pPr/>
          </w:p>
        </w:tc>
        <w:tc>
          <w:tcPr>
            <w:tcW w:w="2081" w:type="dxa"/>
            <w:gridSpan w:val="3"/>
            <w:vMerge/>
            <w:tcBorders>
              <w:left w:val="single" w:sz="9" w:space="0" w:color="8DB3E1"/>
              <w:bottom w:val="single" w:sz="4" w:space="0" w:color="000000"/>
              <w:right w:val="single" w:sz="4" w:space="0" w:color="000000"/>
            </w:tcBorders>
          </w:tcPr>
          <w:p>
            <w:pPr/>
          </w:p>
        </w:tc>
      </w:tr>
      <w:tr>
        <w:trPr>
          <w:trHeight w:val="206" w:hRule="exact"/>
        </w:trPr>
        <w:tc>
          <w:tcPr>
            <w:tcW w:w="3014" w:type="dxa"/>
            <w:gridSpan w:val="3"/>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8" w:type="dxa"/>
            <w:gridSpan w:val="3"/>
            <w:vMerge w:val="restart"/>
            <w:tcBorders>
              <w:top w:val="single" w:sz="4" w:space="0" w:color="000000"/>
              <w:left w:val="single" w:sz="13" w:space="0" w:color="8DB3E1"/>
              <w:right w:val="single" w:sz="9" w:space="0" w:color="8DB3E1"/>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8DB3E1"/>
          </w:tcPr>
          <w:p>
            <w:pPr/>
          </w:p>
        </w:tc>
        <w:tc>
          <w:tcPr>
            <w:tcW w:w="2081" w:type="dxa"/>
            <w:gridSpan w:val="3"/>
            <w:vMerge w:val="restart"/>
            <w:tcBorders>
              <w:top w:val="single" w:sz="4" w:space="0" w:color="000000"/>
              <w:left w:val="single" w:sz="9" w:space="0" w:color="8DB3E1"/>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196" w:hRule="exact"/>
        </w:trPr>
        <w:tc>
          <w:tcPr>
            <w:tcW w:w="3014" w:type="dxa"/>
            <w:gridSpan w:val="3"/>
            <w:vMerge/>
            <w:tcBorders>
              <w:left w:val="single" w:sz="4" w:space="0" w:color="000000"/>
              <w:bottom w:val="single" w:sz="4" w:space="0" w:color="000000"/>
              <w:right w:val="single" w:sz="4" w:space="0" w:color="000000"/>
            </w:tcBorders>
            <w:shd w:val="clear" w:color="auto" w:fill="8DB3E1"/>
          </w:tcPr>
          <w:p>
            <w:pPr/>
          </w:p>
        </w:tc>
        <w:tc>
          <w:tcPr>
            <w:tcW w:w="2058" w:type="dxa"/>
            <w:gridSpan w:val="3"/>
            <w:vMerge/>
            <w:tcBorders>
              <w:left w:val="single" w:sz="13" w:space="0" w:color="8DB3E1"/>
              <w:bottom w:val="single" w:sz="4" w:space="0" w:color="000000"/>
              <w:right w:val="single" w:sz="9" w:space="0" w:color="8DB3E1"/>
            </w:tcBorders>
          </w:tcPr>
          <w:p>
            <w:pPr/>
          </w:p>
        </w:tc>
        <w:tc>
          <w:tcPr>
            <w:tcW w:w="2679" w:type="dxa"/>
            <w:gridSpan w:val="4"/>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9" w:space="0" w:color="8DB3E1"/>
              <w:right w:val="single" w:sz="4" w:space="0" w:color="000000"/>
            </w:tcBorders>
          </w:tcPr>
          <w:p>
            <w:pPr/>
          </w:p>
        </w:tc>
      </w:tr>
      <w:tr>
        <w:trPr>
          <w:trHeight w:val="196" w:hRule="exact"/>
        </w:trPr>
        <w:tc>
          <w:tcPr>
            <w:tcW w:w="3014" w:type="dxa"/>
            <w:gridSpan w:val="3"/>
            <w:vMerge w:val="restart"/>
            <w:tcBorders>
              <w:top w:val="single" w:sz="4" w:space="0" w:color="000000"/>
              <w:left w:val="single" w:sz="4" w:space="0" w:color="000000"/>
              <w:right w:val="single" w:sz="4" w:space="0" w:color="000000"/>
            </w:tcBorders>
            <w:shd w:val="clear" w:color="auto" w:fill="8DB3E1"/>
          </w:tcPr>
          <w:p>
            <w:pPr>
              <w:pStyle w:val="TableParagraph"/>
              <w:spacing w:line="240" w:lineRule="auto" w:before="50"/>
              <w:ind w:left="15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8" w:type="dxa"/>
            <w:gridSpan w:val="3"/>
            <w:vMerge w:val="restart"/>
            <w:tcBorders>
              <w:top w:val="single" w:sz="4" w:space="0" w:color="000000"/>
              <w:left w:val="single" w:sz="13" w:space="0" w:color="8DB3E1"/>
              <w:right w:val="single" w:sz="9" w:space="0" w:color="8DB3E1"/>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0.00%</w:t>
            </w:r>
          </w:p>
        </w:tc>
        <w:tc>
          <w:tcPr>
            <w:tcW w:w="2679" w:type="dxa"/>
            <w:gridSpan w:val="4"/>
            <w:vMerge/>
            <w:tcBorders>
              <w:left w:val="single" w:sz="4" w:space="0" w:color="000000"/>
              <w:bottom w:val="nil" w:sz="6" w:space="0" w:color="auto"/>
              <w:right w:val="single" w:sz="4" w:space="0" w:color="000000"/>
            </w:tcBorders>
            <w:shd w:val="clear" w:color="auto" w:fill="8DB3E1"/>
          </w:tcPr>
          <w:p>
            <w:pPr/>
          </w:p>
        </w:tc>
        <w:tc>
          <w:tcPr>
            <w:tcW w:w="2081" w:type="dxa"/>
            <w:gridSpan w:val="3"/>
            <w:vMerge/>
            <w:tcBorders>
              <w:left w:val="single" w:sz="9" w:space="0" w:color="8DB3E1"/>
              <w:right w:val="single" w:sz="4" w:space="0" w:color="000000"/>
            </w:tcBorders>
          </w:tcPr>
          <w:p>
            <w:pPr/>
          </w:p>
        </w:tc>
      </w:tr>
      <w:tr>
        <w:trPr>
          <w:trHeight w:val="206" w:hRule="exact"/>
        </w:trPr>
        <w:tc>
          <w:tcPr>
            <w:tcW w:w="3014" w:type="dxa"/>
            <w:gridSpan w:val="3"/>
            <w:vMerge/>
            <w:tcBorders>
              <w:left w:val="single" w:sz="4" w:space="0" w:color="000000"/>
              <w:bottom w:val="single" w:sz="4" w:space="0" w:color="000000"/>
              <w:right w:val="single" w:sz="4" w:space="0" w:color="000000"/>
            </w:tcBorders>
            <w:shd w:val="clear" w:color="auto" w:fill="8DB3E1"/>
          </w:tcPr>
          <w:p>
            <w:pPr/>
          </w:p>
        </w:tc>
        <w:tc>
          <w:tcPr>
            <w:tcW w:w="2058" w:type="dxa"/>
            <w:gridSpan w:val="3"/>
            <w:vMerge/>
            <w:tcBorders>
              <w:left w:val="single" w:sz="13" w:space="0" w:color="8DB3E1"/>
              <w:bottom w:val="single" w:sz="4" w:space="0" w:color="000000"/>
              <w:right w:val="single" w:sz="9" w:space="0" w:color="8DB3E1"/>
            </w:tcBorders>
          </w:tcPr>
          <w:p>
            <w:pPr/>
          </w:p>
        </w:tc>
        <w:tc>
          <w:tcPr>
            <w:tcW w:w="2679" w:type="dxa"/>
            <w:gridSpan w:val="4"/>
            <w:tcBorders>
              <w:top w:val="nil" w:sz="6" w:space="0" w:color="auto"/>
              <w:left w:val="single" w:sz="4" w:space="0" w:color="000000"/>
              <w:bottom w:val="single" w:sz="4" w:space="0" w:color="000000"/>
              <w:right w:val="single" w:sz="4" w:space="0" w:color="000000"/>
            </w:tcBorders>
            <w:shd w:val="clear" w:color="auto" w:fill="8DB3E1"/>
          </w:tcPr>
          <w:p>
            <w:pPr/>
          </w:p>
        </w:tc>
        <w:tc>
          <w:tcPr>
            <w:tcW w:w="2081" w:type="dxa"/>
            <w:gridSpan w:val="3"/>
            <w:vMerge/>
            <w:tcBorders>
              <w:left w:val="single" w:sz="9" w:space="0" w:color="8DB3E1"/>
              <w:bottom w:val="single" w:sz="4" w:space="0" w:color="000000"/>
              <w:right w:val="single" w:sz="4" w:space="0" w:color="000000"/>
            </w:tcBorders>
          </w:tcPr>
          <w:p>
            <w:pPr/>
          </w:p>
        </w:tc>
      </w:tr>
      <w:tr>
        <w:trPr>
          <w:trHeight w:val="317" w:hRule="exact"/>
        </w:trPr>
        <w:tc>
          <w:tcPr>
            <w:tcW w:w="1822" w:type="dxa"/>
            <w:vMerge w:val="restart"/>
            <w:tcBorders>
              <w:top w:val="single" w:sz="4" w:space="0" w:color="000000"/>
              <w:left w:val="single" w:sz="4" w:space="0" w:color="000000"/>
              <w:right w:val="single" w:sz="4" w:space="0" w:color="000000"/>
            </w:tcBorders>
            <w:shd w:val="clear" w:color="auto" w:fill="8DB3E1"/>
          </w:tcPr>
          <w:p>
            <w:pPr/>
          </w:p>
        </w:tc>
        <w:tc>
          <w:tcPr>
            <w:tcW w:w="559" w:type="dxa"/>
            <w:vMerge w:val="restart"/>
            <w:tcBorders>
              <w:top w:val="single" w:sz="4" w:space="0" w:color="000000"/>
              <w:left w:val="single" w:sz="4" w:space="0" w:color="000000"/>
              <w:right w:val="single" w:sz="4" w:space="0" w:color="000000"/>
            </w:tcBorders>
            <w:shd w:val="clear" w:color="auto" w:fill="8DB3E1"/>
          </w:tcPr>
          <w:p>
            <w:pPr>
              <w:pStyle w:val="TableParagraph"/>
              <w:spacing w:line="314" w:lineRule="auto" w:before="49"/>
              <w:ind w:left="62" w:right="64"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3" w:type="dxa"/>
            <w:tcBorders>
              <w:top w:val="single" w:sz="4" w:space="0" w:color="000000"/>
              <w:left w:val="single" w:sz="4" w:space="0" w:color="000000"/>
              <w:bottom w:val="nil" w:sz="6" w:space="0" w:color="auto"/>
              <w:right w:val="single" w:sz="4" w:space="0" w:color="000000"/>
            </w:tcBorders>
            <w:shd w:val="clear" w:color="auto" w:fill="8DB3E1"/>
          </w:tcPr>
          <w:p>
            <w:pPr/>
          </w:p>
        </w:tc>
        <w:tc>
          <w:tcPr>
            <w:tcW w:w="966" w:type="dxa"/>
            <w:vMerge w:val="restart"/>
            <w:tcBorders>
              <w:top w:val="single" w:sz="4" w:space="0" w:color="000000"/>
              <w:left w:val="single" w:sz="4" w:space="0" w:color="000000"/>
              <w:right w:val="single" w:sz="4" w:space="0" w:color="000000"/>
            </w:tcBorders>
            <w:shd w:val="clear" w:color="auto" w:fill="8DB3E1"/>
          </w:tcPr>
          <w:p>
            <w:pPr/>
          </w:p>
        </w:tc>
        <w:tc>
          <w:tcPr>
            <w:tcW w:w="962" w:type="dxa"/>
            <w:vMerge w:val="restart"/>
            <w:tcBorders>
              <w:top w:val="single" w:sz="4" w:space="0" w:color="000000"/>
              <w:left w:val="single" w:sz="4" w:space="0" w:color="000000"/>
              <w:right w:val="single" w:sz="4" w:space="0" w:color="000000"/>
            </w:tcBorders>
            <w:shd w:val="clear" w:color="auto" w:fill="8DB3E1"/>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8DB3E1"/>
          </w:tcPr>
          <w:p>
            <w:pPr/>
          </w:p>
        </w:tc>
        <w:tc>
          <w:tcPr>
            <w:tcW w:w="853" w:type="dxa"/>
            <w:tcBorders>
              <w:top w:val="single" w:sz="4" w:space="0" w:color="000000"/>
              <w:left w:val="single" w:sz="4" w:space="0" w:color="000000"/>
              <w:bottom w:val="nil" w:sz="6" w:space="0" w:color="auto"/>
              <w:right w:val="single" w:sz="4" w:space="0" w:color="000000"/>
            </w:tcBorders>
            <w:shd w:val="clear" w:color="auto" w:fill="8DB3E1"/>
          </w:tcPr>
          <w:p>
            <w:pPr/>
          </w:p>
        </w:tc>
        <w:tc>
          <w:tcPr>
            <w:tcW w:w="1122" w:type="dxa"/>
            <w:vMerge w:val="restart"/>
            <w:tcBorders>
              <w:top w:val="single" w:sz="4" w:space="0" w:color="000000"/>
              <w:left w:val="single" w:sz="4" w:space="0" w:color="000000"/>
              <w:right w:val="single" w:sz="4" w:space="0" w:color="000000"/>
            </w:tcBorders>
            <w:shd w:val="clear" w:color="auto" w:fill="8DB3E1"/>
          </w:tcPr>
          <w:p>
            <w:pPr/>
          </w:p>
        </w:tc>
        <w:tc>
          <w:tcPr>
            <w:tcW w:w="785" w:type="dxa"/>
            <w:gridSpan w:val="2"/>
            <w:vMerge w:val="restart"/>
            <w:tcBorders>
              <w:top w:val="single" w:sz="4" w:space="0" w:color="000000"/>
              <w:left w:val="single" w:sz="4" w:space="0" w:color="000000"/>
              <w:right w:val="single" w:sz="4" w:space="0" w:color="000000"/>
            </w:tcBorders>
            <w:shd w:val="clear" w:color="auto" w:fill="8DB3E1"/>
          </w:tcPr>
          <w:p>
            <w:pPr/>
          </w:p>
        </w:tc>
        <w:tc>
          <w:tcPr>
            <w:tcW w:w="650" w:type="dxa"/>
            <w:vMerge w:val="restart"/>
            <w:tcBorders>
              <w:top w:val="single" w:sz="4" w:space="0" w:color="000000"/>
              <w:left w:val="single" w:sz="4" w:space="0" w:color="000000"/>
              <w:right w:val="single" w:sz="4" w:space="0" w:color="000000"/>
            </w:tcBorders>
            <w:shd w:val="clear" w:color="auto" w:fill="8DB3E1"/>
          </w:tcPr>
          <w:p>
            <w:pPr/>
          </w:p>
        </w:tc>
        <w:tc>
          <w:tcPr>
            <w:tcW w:w="856" w:type="dxa"/>
            <w:tcBorders>
              <w:top w:val="single" w:sz="4" w:space="0" w:color="000000"/>
              <w:left w:val="single" w:sz="4" w:space="0" w:color="000000"/>
              <w:bottom w:val="nil" w:sz="6" w:space="0" w:color="auto"/>
              <w:right w:val="single" w:sz="4" w:space="0" w:color="000000"/>
            </w:tcBorders>
            <w:shd w:val="clear" w:color="auto" w:fill="8DB3E1"/>
          </w:tcPr>
          <w:p>
            <w:pPr/>
          </w:p>
        </w:tc>
      </w:tr>
      <w:tr>
        <w:trPr>
          <w:trHeight w:val="157" w:hRule="exact"/>
        </w:trPr>
        <w:tc>
          <w:tcPr>
            <w:tcW w:w="1822" w:type="dxa"/>
            <w:vMerge/>
            <w:tcBorders>
              <w:left w:val="single" w:sz="4" w:space="0" w:color="000000"/>
              <w:right w:val="single" w:sz="4" w:space="0" w:color="000000"/>
            </w:tcBorders>
            <w:shd w:val="clear" w:color="auto" w:fill="8DB3E1"/>
          </w:tcPr>
          <w:p>
            <w:pPr/>
          </w:p>
        </w:tc>
        <w:tc>
          <w:tcPr>
            <w:tcW w:w="559" w:type="dxa"/>
            <w:vMerge/>
            <w:tcBorders>
              <w:left w:val="single" w:sz="4" w:space="0" w:color="000000"/>
              <w:right w:val="single" w:sz="4" w:space="0" w:color="000000"/>
            </w:tcBorders>
            <w:shd w:val="clear" w:color="auto" w:fill="8DB3E1"/>
          </w:tcPr>
          <w:p>
            <w:pPr/>
          </w:p>
        </w:tc>
        <w:tc>
          <w:tcPr>
            <w:tcW w:w="633" w:type="dxa"/>
            <w:vMerge w:val="restart"/>
            <w:tcBorders>
              <w:top w:val="nil" w:sz="6" w:space="0" w:color="auto"/>
              <w:left w:val="single" w:sz="4" w:space="0" w:color="000000"/>
              <w:right w:val="single" w:sz="4" w:space="0" w:color="000000"/>
            </w:tcBorders>
            <w:shd w:val="clear" w:color="auto" w:fill="8DB3E1"/>
          </w:tcPr>
          <w:p>
            <w:pPr>
              <w:pStyle w:val="TableParagraph"/>
              <w:spacing w:line="316" w:lineRule="auto" w:before="49"/>
              <w:ind w:left="41" w:right="4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8DB3E1"/>
          </w:tcPr>
          <w:p>
            <w:pPr/>
          </w:p>
        </w:tc>
        <w:tc>
          <w:tcPr>
            <w:tcW w:w="962" w:type="dxa"/>
            <w:vMerge/>
            <w:tcBorders>
              <w:left w:val="single" w:sz="4" w:space="0" w:color="000000"/>
              <w:right w:val="single" w:sz="4" w:space="0" w:color="000000"/>
            </w:tcBorders>
            <w:shd w:val="clear" w:color="auto" w:fill="8DB3E1"/>
          </w:tcPr>
          <w:p>
            <w:pPr/>
          </w:p>
        </w:tc>
        <w:tc>
          <w:tcPr>
            <w:tcW w:w="624" w:type="dxa"/>
            <w:gridSpan w:val="2"/>
            <w:vMerge w:val="restart"/>
            <w:tcBorders>
              <w:top w:val="nil" w:sz="6" w:space="0" w:color="auto"/>
              <w:left w:val="single" w:sz="4" w:space="0" w:color="000000"/>
              <w:right w:val="single" w:sz="4" w:space="0" w:color="000000"/>
            </w:tcBorders>
            <w:shd w:val="clear" w:color="auto" w:fill="8DB3E1"/>
          </w:tcPr>
          <w:p>
            <w:pPr>
              <w:pStyle w:val="TableParagraph"/>
              <w:spacing w:line="316" w:lineRule="auto" w:before="49"/>
              <w:ind w:left="36"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3" w:type="dxa"/>
            <w:vMerge w:val="restart"/>
            <w:tcBorders>
              <w:top w:val="nil" w:sz="6" w:space="0" w:color="auto"/>
              <w:left w:val="single" w:sz="4" w:space="0" w:color="000000"/>
              <w:right w:val="single" w:sz="4" w:space="0" w:color="000000"/>
            </w:tcBorders>
            <w:shd w:val="clear" w:color="auto" w:fill="8DB3E1"/>
          </w:tcPr>
          <w:p>
            <w:pPr>
              <w:pStyle w:val="TableParagraph"/>
              <w:spacing w:line="316" w:lineRule="auto" w:before="49"/>
              <w:ind w:left="62" w:right="5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7" w:right="0"/>
              <w:jc w:val="left"/>
              <w:rPr>
                <w:rFonts w:ascii="Times New Roman" w:hAnsi="Times New Roman" w:cs="Times New Roman" w:eastAsia="Times New Roman" w:hint="default"/>
                <w:sz w:val="18"/>
                <w:szCs w:val="18"/>
              </w:rPr>
            </w:pPr>
            <w:r>
              <w:rPr>
                <w:rFonts w:ascii="Times New Roman"/>
                <w:sz w:val="18"/>
              </w:rPr>
              <w:t>(2)/(1)</w:t>
            </w:r>
          </w:p>
        </w:tc>
        <w:tc>
          <w:tcPr>
            <w:tcW w:w="1122" w:type="dxa"/>
            <w:vMerge/>
            <w:tcBorders>
              <w:left w:val="single" w:sz="4" w:space="0" w:color="000000"/>
              <w:bottom w:val="nil" w:sz="6" w:space="0" w:color="auto"/>
              <w:right w:val="single" w:sz="4" w:space="0" w:color="000000"/>
            </w:tcBorders>
            <w:shd w:val="clear" w:color="auto" w:fill="8DB3E1"/>
          </w:tcPr>
          <w:p>
            <w:pPr/>
          </w:p>
        </w:tc>
        <w:tc>
          <w:tcPr>
            <w:tcW w:w="785" w:type="dxa"/>
            <w:gridSpan w:val="2"/>
            <w:vMerge/>
            <w:tcBorders>
              <w:left w:val="single" w:sz="4" w:space="0" w:color="000000"/>
              <w:right w:val="single" w:sz="4" w:space="0" w:color="000000"/>
            </w:tcBorders>
            <w:shd w:val="clear" w:color="auto" w:fill="8DB3E1"/>
          </w:tcPr>
          <w:p>
            <w:pPr/>
          </w:p>
        </w:tc>
        <w:tc>
          <w:tcPr>
            <w:tcW w:w="650" w:type="dxa"/>
            <w:vMerge/>
            <w:tcBorders>
              <w:left w:val="single" w:sz="4" w:space="0" w:color="000000"/>
              <w:bottom w:val="nil" w:sz="6" w:space="0" w:color="auto"/>
              <w:right w:val="single" w:sz="4" w:space="0" w:color="000000"/>
            </w:tcBorders>
            <w:shd w:val="clear" w:color="auto" w:fill="8DB3E1"/>
          </w:tcPr>
          <w:p>
            <w:pPr/>
          </w:p>
        </w:tc>
        <w:tc>
          <w:tcPr>
            <w:tcW w:w="856" w:type="dxa"/>
            <w:vMerge w:val="restart"/>
            <w:tcBorders>
              <w:top w:val="nil" w:sz="6" w:space="0" w:color="auto"/>
              <w:left w:val="single" w:sz="4" w:space="0" w:color="000000"/>
              <w:right w:val="single" w:sz="4" w:space="0" w:color="000000"/>
            </w:tcBorders>
            <w:shd w:val="clear" w:color="auto" w:fill="8DB3E1"/>
          </w:tcPr>
          <w:p>
            <w:pPr>
              <w:pStyle w:val="TableParagraph"/>
              <w:spacing w:line="316" w:lineRule="auto" w:before="49"/>
              <w:ind w:left="58" w:right="65"/>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822" w:type="dxa"/>
            <w:vMerge/>
            <w:tcBorders>
              <w:left w:val="single" w:sz="4" w:space="0" w:color="000000"/>
              <w:bottom w:val="nil" w:sz="6" w:space="0" w:color="auto"/>
              <w:right w:val="single" w:sz="4" w:space="0" w:color="000000"/>
            </w:tcBorders>
            <w:shd w:val="clear" w:color="auto" w:fill="8DB3E1"/>
          </w:tcPr>
          <w:p>
            <w:pPr/>
          </w:p>
        </w:tc>
        <w:tc>
          <w:tcPr>
            <w:tcW w:w="559" w:type="dxa"/>
            <w:vMerge/>
            <w:tcBorders>
              <w:left w:val="single" w:sz="4" w:space="0" w:color="000000"/>
              <w:right w:val="single" w:sz="4" w:space="0" w:color="000000"/>
            </w:tcBorders>
            <w:shd w:val="clear" w:color="auto" w:fill="8DB3E1"/>
          </w:tcPr>
          <w:p>
            <w:pPr/>
          </w:p>
        </w:tc>
        <w:tc>
          <w:tcPr>
            <w:tcW w:w="633" w:type="dxa"/>
            <w:vMerge/>
            <w:tcBorders>
              <w:left w:val="single" w:sz="4" w:space="0" w:color="000000"/>
              <w:right w:val="single" w:sz="4" w:space="0" w:color="000000"/>
            </w:tcBorders>
            <w:shd w:val="clear" w:color="auto" w:fill="8DB3E1"/>
          </w:tcPr>
          <w:p>
            <w:pPr/>
          </w:p>
        </w:tc>
        <w:tc>
          <w:tcPr>
            <w:tcW w:w="966" w:type="dxa"/>
            <w:vMerge/>
            <w:tcBorders>
              <w:left w:val="single" w:sz="4" w:space="0" w:color="000000"/>
              <w:bottom w:val="nil" w:sz="6" w:space="0" w:color="auto"/>
              <w:right w:val="single" w:sz="4" w:space="0" w:color="000000"/>
            </w:tcBorders>
            <w:shd w:val="clear" w:color="auto" w:fill="8DB3E1"/>
          </w:tcPr>
          <w:p>
            <w:pPr/>
          </w:p>
        </w:tc>
        <w:tc>
          <w:tcPr>
            <w:tcW w:w="962" w:type="dxa"/>
            <w:vMerge/>
            <w:tcBorders>
              <w:left w:val="single" w:sz="4" w:space="0" w:color="000000"/>
              <w:bottom w:val="nil" w:sz="6" w:space="0" w:color="auto"/>
              <w:right w:val="single" w:sz="4" w:space="0" w:color="000000"/>
            </w:tcBorders>
            <w:shd w:val="clear" w:color="auto" w:fill="8DB3E1"/>
          </w:tcPr>
          <w:p>
            <w:pPr/>
          </w:p>
        </w:tc>
        <w:tc>
          <w:tcPr>
            <w:tcW w:w="624" w:type="dxa"/>
            <w:gridSpan w:val="2"/>
            <w:vMerge/>
            <w:tcBorders>
              <w:left w:val="single" w:sz="4" w:space="0" w:color="000000"/>
              <w:right w:val="single" w:sz="4" w:space="0" w:color="000000"/>
            </w:tcBorders>
            <w:shd w:val="clear" w:color="auto" w:fill="8DB3E1"/>
          </w:tcPr>
          <w:p>
            <w:pPr/>
          </w:p>
        </w:tc>
        <w:tc>
          <w:tcPr>
            <w:tcW w:w="853" w:type="dxa"/>
            <w:vMerge/>
            <w:tcBorders>
              <w:left w:val="single" w:sz="4" w:space="0" w:color="000000"/>
              <w:right w:val="single" w:sz="4" w:space="0" w:color="000000"/>
            </w:tcBorders>
            <w:shd w:val="clear" w:color="auto" w:fill="8DB3E1"/>
          </w:tcPr>
          <w:p>
            <w:pPr/>
          </w:p>
        </w:tc>
        <w:tc>
          <w:tcPr>
            <w:tcW w:w="1122" w:type="dxa"/>
            <w:vMerge w:val="restart"/>
            <w:tcBorders>
              <w:top w:val="nil" w:sz="6" w:space="0" w:color="auto"/>
              <w:left w:val="single" w:sz="4" w:space="0" w:color="000000"/>
              <w:right w:val="single" w:sz="4" w:space="0" w:color="000000"/>
            </w:tcBorders>
            <w:shd w:val="clear" w:color="auto" w:fill="8DB3E1"/>
          </w:tcPr>
          <w:p>
            <w:pPr>
              <w:pStyle w:val="TableParagraph"/>
              <w:spacing w:line="316" w:lineRule="auto" w:before="49"/>
              <w:ind w:left="109" w:right="10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5" w:type="dxa"/>
            <w:gridSpan w:val="2"/>
            <w:vMerge/>
            <w:tcBorders>
              <w:left w:val="single" w:sz="4" w:space="0" w:color="000000"/>
              <w:bottom w:val="nil" w:sz="6" w:space="0" w:color="auto"/>
              <w:right w:val="single" w:sz="4" w:space="0" w:color="000000"/>
            </w:tcBorders>
            <w:shd w:val="clear" w:color="auto" w:fill="8DB3E1"/>
          </w:tcPr>
          <w:p>
            <w:pPr/>
          </w:p>
        </w:tc>
        <w:tc>
          <w:tcPr>
            <w:tcW w:w="650" w:type="dxa"/>
            <w:vMerge w:val="restart"/>
            <w:tcBorders>
              <w:top w:val="nil" w:sz="6" w:space="0" w:color="auto"/>
              <w:left w:val="single" w:sz="4" w:space="0" w:color="000000"/>
              <w:right w:val="single" w:sz="4" w:space="0" w:color="000000"/>
            </w:tcBorders>
            <w:shd w:val="clear" w:color="auto" w:fill="8DB3E1"/>
          </w:tcPr>
          <w:p>
            <w:pPr>
              <w:pStyle w:val="TableParagraph"/>
              <w:spacing w:line="316" w:lineRule="auto" w:before="49"/>
              <w:ind w:left="46"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6" w:type="dxa"/>
            <w:vMerge/>
            <w:tcBorders>
              <w:left w:val="single" w:sz="4" w:space="0" w:color="000000"/>
              <w:right w:val="single" w:sz="4" w:space="0" w:color="000000"/>
            </w:tcBorders>
            <w:shd w:val="clear" w:color="auto" w:fill="8DB3E1"/>
          </w:tcPr>
          <w:p>
            <w:pPr/>
          </w:p>
        </w:tc>
      </w:tr>
      <w:tr>
        <w:trPr>
          <w:trHeight w:val="703" w:hRule="exact"/>
        </w:trPr>
        <w:tc>
          <w:tcPr>
            <w:tcW w:w="1822"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316" w:lineRule="auto" w:before="49"/>
              <w:ind w:left="545" w:right="9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vMerge/>
            <w:tcBorders>
              <w:left w:val="single" w:sz="4" w:space="0" w:color="000000"/>
              <w:right w:val="single" w:sz="4" w:space="0" w:color="000000"/>
            </w:tcBorders>
            <w:shd w:val="clear" w:color="auto" w:fill="8DB3E1"/>
          </w:tcPr>
          <w:p>
            <w:pPr/>
          </w:p>
        </w:tc>
        <w:tc>
          <w:tcPr>
            <w:tcW w:w="633" w:type="dxa"/>
            <w:vMerge/>
            <w:tcBorders>
              <w:left w:val="single" w:sz="4" w:space="0" w:color="000000"/>
              <w:right w:val="single" w:sz="4" w:space="0" w:color="000000"/>
            </w:tcBorders>
            <w:shd w:val="clear" w:color="auto" w:fill="8DB3E1"/>
          </w:tcPr>
          <w:p>
            <w:pPr/>
          </w:p>
        </w:tc>
        <w:tc>
          <w:tcPr>
            <w:tcW w:w="966"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316" w:lineRule="auto" w:before="49"/>
              <w:ind w:left="19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2"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316" w:lineRule="auto" w:before="49"/>
              <w:ind w:left="295" w:right="26"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4" w:type="dxa"/>
            <w:gridSpan w:val="2"/>
            <w:vMerge/>
            <w:tcBorders>
              <w:left w:val="single" w:sz="4" w:space="0" w:color="000000"/>
              <w:right w:val="single" w:sz="4" w:space="0" w:color="000000"/>
            </w:tcBorders>
            <w:shd w:val="clear" w:color="auto" w:fill="8DB3E1"/>
          </w:tcPr>
          <w:p>
            <w:pPr/>
          </w:p>
        </w:tc>
        <w:tc>
          <w:tcPr>
            <w:tcW w:w="853" w:type="dxa"/>
            <w:vMerge/>
            <w:tcBorders>
              <w:left w:val="single" w:sz="4" w:space="0" w:color="000000"/>
              <w:right w:val="single" w:sz="4" w:space="0" w:color="000000"/>
            </w:tcBorders>
            <w:shd w:val="clear" w:color="auto" w:fill="8DB3E1"/>
          </w:tcPr>
          <w:p>
            <w:pPr/>
          </w:p>
        </w:tc>
        <w:tc>
          <w:tcPr>
            <w:tcW w:w="1122" w:type="dxa"/>
            <w:vMerge/>
            <w:tcBorders>
              <w:left w:val="single" w:sz="4" w:space="0" w:color="000000"/>
              <w:right w:val="single" w:sz="4" w:space="0" w:color="000000"/>
            </w:tcBorders>
            <w:shd w:val="clear" w:color="auto" w:fill="8DB3E1"/>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316" w:lineRule="auto" w:before="49"/>
              <w:ind w:left="26" w:right="26"/>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8DB3E1"/>
          </w:tcPr>
          <w:p>
            <w:pPr/>
          </w:p>
        </w:tc>
        <w:tc>
          <w:tcPr>
            <w:tcW w:w="856" w:type="dxa"/>
            <w:vMerge/>
            <w:tcBorders>
              <w:left w:val="single" w:sz="4" w:space="0" w:color="000000"/>
              <w:right w:val="single" w:sz="4" w:space="0" w:color="000000"/>
            </w:tcBorders>
            <w:shd w:val="clear" w:color="auto" w:fill="8DB3E1"/>
          </w:tcPr>
          <w:p>
            <w:pPr/>
          </w:p>
        </w:tc>
      </w:tr>
      <w:tr>
        <w:trPr>
          <w:trHeight w:val="156" w:hRule="exact"/>
        </w:trPr>
        <w:tc>
          <w:tcPr>
            <w:tcW w:w="1822" w:type="dxa"/>
            <w:vMerge w:val="restart"/>
            <w:tcBorders>
              <w:top w:val="nil" w:sz="6" w:space="0" w:color="auto"/>
              <w:left w:val="single" w:sz="4" w:space="0" w:color="000000"/>
              <w:right w:val="single" w:sz="4" w:space="0" w:color="000000"/>
            </w:tcBorders>
            <w:shd w:val="clear" w:color="auto" w:fill="8DB3E1"/>
          </w:tcPr>
          <w:p>
            <w:pPr/>
          </w:p>
        </w:tc>
        <w:tc>
          <w:tcPr>
            <w:tcW w:w="559" w:type="dxa"/>
            <w:vMerge/>
            <w:tcBorders>
              <w:left w:val="single" w:sz="4" w:space="0" w:color="000000"/>
              <w:right w:val="single" w:sz="4" w:space="0" w:color="000000"/>
            </w:tcBorders>
            <w:shd w:val="clear" w:color="auto" w:fill="8DB3E1"/>
          </w:tcPr>
          <w:p>
            <w:pPr/>
          </w:p>
        </w:tc>
        <w:tc>
          <w:tcPr>
            <w:tcW w:w="633" w:type="dxa"/>
            <w:vMerge/>
            <w:tcBorders>
              <w:left w:val="single" w:sz="4" w:space="0" w:color="000000"/>
              <w:right w:val="single" w:sz="4" w:space="0" w:color="000000"/>
            </w:tcBorders>
            <w:shd w:val="clear" w:color="auto" w:fill="8DB3E1"/>
          </w:tcPr>
          <w:p>
            <w:pPr/>
          </w:p>
        </w:tc>
        <w:tc>
          <w:tcPr>
            <w:tcW w:w="966" w:type="dxa"/>
            <w:vMerge w:val="restart"/>
            <w:tcBorders>
              <w:top w:val="nil" w:sz="6" w:space="0" w:color="auto"/>
              <w:left w:val="single" w:sz="4" w:space="0" w:color="000000"/>
              <w:right w:val="single" w:sz="4" w:space="0" w:color="000000"/>
            </w:tcBorders>
            <w:shd w:val="clear" w:color="auto" w:fill="8DB3E1"/>
          </w:tcPr>
          <w:p>
            <w:pPr/>
          </w:p>
        </w:tc>
        <w:tc>
          <w:tcPr>
            <w:tcW w:w="962" w:type="dxa"/>
            <w:vMerge w:val="restart"/>
            <w:tcBorders>
              <w:top w:val="nil" w:sz="6" w:space="0" w:color="auto"/>
              <w:left w:val="single" w:sz="4" w:space="0" w:color="000000"/>
              <w:right w:val="single" w:sz="4" w:space="0" w:color="000000"/>
            </w:tcBorders>
            <w:shd w:val="clear" w:color="auto" w:fill="8DB3E1"/>
          </w:tcPr>
          <w:p>
            <w:pPr/>
          </w:p>
        </w:tc>
        <w:tc>
          <w:tcPr>
            <w:tcW w:w="624" w:type="dxa"/>
            <w:gridSpan w:val="2"/>
            <w:vMerge/>
            <w:tcBorders>
              <w:left w:val="single" w:sz="4" w:space="0" w:color="000000"/>
              <w:right w:val="single" w:sz="4" w:space="0" w:color="000000"/>
            </w:tcBorders>
            <w:shd w:val="clear" w:color="auto" w:fill="8DB3E1"/>
          </w:tcPr>
          <w:p>
            <w:pPr/>
          </w:p>
        </w:tc>
        <w:tc>
          <w:tcPr>
            <w:tcW w:w="853" w:type="dxa"/>
            <w:vMerge/>
            <w:tcBorders>
              <w:left w:val="single" w:sz="4" w:space="0" w:color="000000"/>
              <w:right w:val="single" w:sz="4" w:space="0" w:color="000000"/>
            </w:tcBorders>
            <w:shd w:val="clear" w:color="auto" w:fill="8DB3E1"/>
          </w:tcPr>
          <w:p>
            <w:pPr/>
          </w:p>
        </w:tc>
        <w:tc>
          <w:tcPr>
            <w:tcW w:w="1122" w:type="dxa"/>
            <w:vMerge/>
            <w:tcBorders>
              <w:left w:val="single" w:sz="4" w:space="0" w:color="000000"/>
              <w:bottom w:val="nil" w:sz="6" w:space="0" w:color="auto"/>
              <w:right w:val="single" w:sz="4" w:space="0" w:color="000000"/>
            </w:tcBorders>
            <w:shd w:val="clear" w:color="auto" w:fill="8DB3E1"/>
          </w:tcPr>
          <w:p>
            <w:pPr/>
          </w:p>
        </w:tc>
        <w:tc>
          <w:tcPr>
            <w:tcW w:w="785" w:type="dxa"/>
            <w:gridSpan w:val="2"/>
            <w:vMerge w:val="restart"/>
            <w:tcBorders>
              <w:top w:val="nil" w:sz="6" w:space="0" w:color="auto"/>
              <w:left w:val="single" w:sz="4" w:space="0" w:color="000000"/>
              <w:right w:val="single" w:sz="4" w:space="0" w:color="000000"/>
            </w:tcBorders>
            <w:shd w:val="clear" w:color="auto" w:fill="8DB3E1"/>
          </w:tcPr>
          <w:p>
            <w:pPr/>
          </w:p>
        </w:tc>
        <w:tc>
          <w:tcPr>
            <w:tcW w:w="650" w:type="dxa"/>
            <w:vMerge/>
            <w:tcBorders>
              <w:left w:val="single" w:sz="4" w:space="0" w:color="000000"/>
              <w:bottom w:val="nil" w:sz="6" w:space="0" w:color="auto"/>
              <w:right w:val="single" w:sz="4" w:space="0" w:color="000000"/>
            </w:tcBorders>
            <w:shd w:val="clear" w:color="auto" w:fill="8DB3E1"/>
          </w:tcPr>
          <w:p>
            <w:pPr/>
          </w:p>
        </w:tc>
        <w:tc>
          <w:tcPr>
            <w:tcW w:w="856" w:type="dxa"/>
            <w:vMerge/>
            <w:tcBorders>
              <w:left w:val="single" w:sz="4" w:space="0" w:color="000000"/>
              <w:right w:val="single" w:sz="4" w:space="0" w:color="000000"/>
            </w:tcBorders>
            <w:shd w:val="clear" w:color="auto" w:fill="8DB3E1"/>
          </w:tcPr>
          <w:p>
            <w:pPr/>
          </w:p>
        </w:tc>
      </w:tr>
      <w:tr>
        <w:trPr>
          <w:trHeight w:val="156" w:hRule="exact"/>
        </w:trPr>
        <w:tc>
          <w:tcPr>
            <w:tcW w:w="1822" w:type="dxa"/>
            <w:vMerge/>
            <w:tcBorders>
              <w:left w:val="single" w:sz="4" w:space="0" w:color="000000"/>
              <w:right w:val="single" w:sz="4" w:space="0" w:color="000000"/>
            </w:tcBorders>
            <w:shd w:val="clear" w:color="auto" w:fill="8DB3E1"/>
          </w:tcPr>
          <w:p>
            <w:pPr/>
          </w:p>
        </w:tc>
        <w:tc>
          <w:tcPr>
            <w:tcW w:w="559" w:type="dxa"/>
            <w:vMerge/>
            <w:tcBorders>
              <w:left w:val="single" w:sz="4" w:space="0" w:color="000000"/>
              <w:right w:val="single" w:sz="4" w:space="0" w:color="000000"/>
            </w:tcBorders>
            <w:shd w:val="clear" w:color="auto" w:fill="8DB3E1"/>
          </w:tcPr>
          <w:p>
            <w:pPr/>
          </w:p>
        </w:tc>
        <w:tc>
          <w:tcPr>
            <w:tcW w:w="633" w:type="dxa"/>
            <w:vMerge/>
            <w:tcBorders>
              <w:left w:val="single" w:sz="4" w:space="0" w:color="000000"/>
              <w:bottom w:val="nil" w:sz="6" w:space="0" w:color="auto"/>
              <w:right w:val="single" w:sz="4" w:space="0" w:color="000000"/>
            </w:tcBorders>
            <w:shd w:val="clear" w:color="auto" w:fill="8DB3E1"/>
          </w:tcPr>
          <w:p>
            <w:pPr/>
          </w:p>
        </w:tc>
        <w:tc>
          <w:tcPr>
            <w:tcW w:w="966" w:type="dxa"/>
            <w:vMerge/>
            <w:tcBorders>
              <w:left w:val="single" w:sz="4" w:space="0" w:color="000000"/>
              <w:right w:val="single" w:sz="4" w:space="0" w:color="000000"/>
            </w:tcBorders>
            <w:shd w:val="clear" w:color="auto" w:fill="8DB3E1"/>
          </w:tcPr>
          <w:p>
            <w:pPr/>
          </w:p>
        </w:tc>
        <w:tc>
          <w:tcPr>
            <w:tcW w:w="962" w:type="dxa"/>
            <w:vMerge/>
            <w:tcBorders>
              <w:left w:val="single" w:sz="4" w:space="0" w:color="000000"/>
              <w:right w:val="single" w:sz="4" w:space="0" w:color="000000"/>
            </w:tcBorders>
            <w:shd w:val="clear" w:color="auto" w:fill="8DB3E1"/>
          </w:tcPr>
          <w:p>
            <w:pPr/>
          </w:p>
        </w:tc>
        <w:tc>
          <w:tcPr>
            <w:tcW w:w="624" w:type="dxa"/>
            <w:gridSpan w:val="2"/>
            <w:vMerge/>
            <w:tcBorders>
              <w:left w:val="single" w:sz="4" w:space="0" w:color="000000"/>
              <w:bottom w:val="nil" w:sz="6" w:space="0" w:color="auto"/>
              <w:right w:val="single" w:sz="4" w:space="0" w:color="000000"/>
            </w:tcBorders>
            <w:shd w:val="clear" w:color="auto" w:fill="8DB3E1"/>
          </w:tcPr>
          <w:p>
            <w:pPr/>
          </w:p>
        </w:tc>
        <w:tc>
          <w:tcPr>
            <w:tcW w:w="853" w:type="dxa"/>
            <w:vMerge/>
            <w:tcBorders>
              <w:left w:val="single" w:sz="4" w:space="0" w:color="000000"/>
              <w:bottom w:val="nil" w:sz="6" w:space="0" w:color="auto"/>
              <w:right w:val="single" w:sz="4" w:space="0" w:color="000000"/>
            </w:tcBorders>
            <w:shd w:val="clear" w:color="auto" w:fill="8DB3E1"/>
          </w:tcPr>
          <w:p>
            <w:pPr/>
          </w:p>
        </w:tc>
        <w:tc>
          <w:tcPr>
            <w:tcW w:w="1122" w:type="dxa"/>
            <w:vMerge w:val="restart"/>
            <w:tcBorders>
              <w:top w:val="nil" w:sz="6" w:space="0" w:color="auto"/>
              <w:left w:val="single" w:sz="4" w:space="0" w:color="000000"/>
              <w:right w:val="single" w:sz="4" w:space="0" w:color="000000"/>
            </w:tcBorders>
            <w:shd w:val="clear" w:color="auto" w:fill="8DB3E1"/>
          </w:tcPr>
          <w:p>
            <w:pPr/>
          </w:p>
        </w:tc>
        <w:tc>
          <w:tcPr>
            <w:tcW w:w="785" w:type="dxa"/>
            <w:gridSpan w:val="2"/>
            <w:vMerge/>
            <w:tcBorders>
              <w:left w:val="single" w:sz="4" w:space="0" w:color="000000"/>
              <w:right w:val="single" w:sz="4" w:space="0" w:color="000000"/>
            </w:tcBorders>
            <w:shd w:val="clear" w:color="auto" w:fill="8DB3E1"/>
          </w:tcPr>
          <w:p>
            <w:pPr/>
          </w:p>
        </w:tc>
        <w:tc>
          <w:tcPr>
            <w:tcW w:w="650" w:type="dxa"/>
            <w:vMerge w:val="restart"/>
            <w:tcBorders>
              <w:top w:val="nil" w:sz="6" w:space="0" w:color="auto"/>
              <w:left w:val="single" w:sz="4" w:space="0" w:color="000000"/>
              <w:right w:val="single" w:sz="4" w:space="0" w:color="000000"/>
            </w:tcBorders>
            <w:shd w:val="clear" w:color="auto" w:fill="8DB3E1"/>
          </w:tcPr>
          <w:p>
            <w:pPr/>
          </w:p>
        </w:tc>
        <w:tc>
          <w:tcPr>
            <w:tcW w:w="856" w:type="dxa"/>
            <w:vMerge/>
            <w:tcBorders>
              <w:left w:val="single" w:sz="4" w:space="0" w:color="000000"/>
              <w:bottom w:val="nil" w:sz="6" w:space="0" w:color="auto"/>
              <w:right w:val="single" w:sz="4" w:space="0" w:color="000000"/>
            </w:tcBorders>
            <w:shd w:val="clear" w:color="auto" w:fill="8DB3E1"/>
          </w:tcPr>
          <w:p>
            <w:pPr/>
          </w:p>
        </w:tc>
      </w:tr>
      <w:tr>
        <w:trPr>
          <w:trHeight w:val="317" w:hRule="exact"/>
        </w:trPr>
        <w:tc>
          <w:tcPr>
            <w:tcW w:w="1822" w:type="dxa"/>
            <w:vMerge/>
            <w:tcBorders>
              <w:left w:val="single" w:sz="4" w:space="0" w:color="000000"/>
              <w:bottom w:val="single" w:sz="4" w:space="0" w:color="000000"/>
              <w:right w:val="single" w:sz="4" w:space="0" w:color="000000"/>
            </w:tcBorders>
            <w:shd w:val="clear" w:color="auto" w:fill="8DB3E1"/>
          </w:tcPr>
          <w:p>
            <w:pPr/>
          </w:p>
        </w:tc>
        <w:tc>
          <w:tcPr>
            <w:tcW w:w="559" w:type="dxa"/>
            <w:vMerge/>
            <w:tcBorders>
              <w:left w:val="single" w:sz="4" w:space="0" w:color="000000"/>
              <w:bottom w:val="single" w:sz="4" w:space="0" w:color="000000"/>
              <w:right w:val="single" w:sz="4" w:space="0" w:color="000000"/>
            </w:tcBorders>
            <w:shd w:val="clear" w:color="auto" w:fill="8DB3E1"/>
          </w:tcPr>
          <w:p>
            <w:pPr/>
          </w:p>
        </w:tc>
        <w:tc>
          <w:tcPr>
            <w:tcW w:w="633" w:type="dxa"/>
            <w:tcBorders>
              <w:top w:val="nil" w:sz="6" w:space="0" w:color="auto"/>
              <w:left w:val="single" w:sz="4" w:space="0" w:color="000000"/>
              <w:bottom w:val="single" w:sz="4" w:space="0" w:color="000000"/>
              <w:right w:val="single" w:sz="4" w:space="0" w:color="000000"/>
            </w:tcBorders>
            <w:shd w:val="clear" w:color="auto" w:fill="8DB3E1"/>
          </w:tcPr>
          <w:p>
            <w:pPr/>
          </w:p>
        </w:tc>
        <w:tc>
          <w:tcPr>
            <w:tcW w:w="966" w:type="dxa"/>
            <w:vMerge/>
            <w:tcBorders>
              <w:left w:val="single" w:sz="4" w:space="0" w:color="000000"/>
              <w:bottom w:val="single" w:sz="4" w:space="0" w:color="000000"/>
              <w:right w:val="single" w:sz="4" w:space="0" w:color="000000"/>
            </w:tcBorders>
            <w:shd w:val="clear" w:color="auto" w:fill="8DB3E1"/>
          </w:tcPr>
          <w:p>
            <w:pPr/>
          </w:p>
        </w:tc>
        <w:tc>
          <w:tcPr>
            <w:tcW w:w="962" w:type="dxa"/>
            <w:vMerge/>
            <w:tcBorders>
              <w:left w:val="single" w:sz="4" w:space="0" w:color="000000"/>
              <w:bottom w:val="single" w:sz="4" w:space="0" w:color="000000"/>
              <w:right w:val="single" w:sz="4" w:space="0" w:color="000000"/>
            </w:tcBorders>
            <w:shd w:val="clear" w:color="auto" w:fill="8DB3E1"/>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8DB3E1"/>
          </w:tcPr>
          <w:p>
            <w:pPr/>
          </w:p>
        </w:tc>
        <w:tc>
          <w:tcPr>
            <w:tcW w:w="853" w:type="dxa"/>
            <w:tcBorders>
              <w:top w:val="nil" w:sz="6" w:space="0" w:color="auto"/>
              <w:left w:val="single" w:sz="4" w:space="0" w:color="000000"/>
              <w:bottom w:val="single" w:sz="4" w:space="0" w:color="000000"/>
              <w:right w:val="single" w:sz="4" w:space="0" w:color="000000"/>
            </w:tcBorders>
            <w:shd w:val="clear" w:color="auto" w:fill="8DB3E1"/>
          </w:tcPr>
          <w:p>
            <w:pPr/>
          </w:p>
        </w:tc>
        <w:tc>
          <w:tcPr>
            <w:tcW w:w="1122" w:type="dxa"/>
            <w:vMerge/>
            <w:tcBorders>
              <w:left w:val="single" w:sz="4" w:space="0" w:color="000000"/>
              <w:bottom w:val="single" w:sz="4" w:space="0" w:color="000000"/>
              <w:right w:val="single" w:sz="4" w:space="0" w:color="000000"/>
            </w:tcBorders>
            <w:shd w:val="clear" w:color="auto" w:fill="8DB3E1"/>
          </w:tcPr>
          <w:p>
            <w:pPr/>
          </w:p>
        </w:tc>
        <w:tc>
          <w:tcPr>
            <w:tcW w:w="785" w:type="dxa"/>
            <w:gridSpan w:val="2"/>
            <w:vMerge/>
            <w:tcBorders>
              <w:left w:val="single" w:sz="4" w:space="0" w:color="000000"/>
              <w:bottom w:val="single" w:sz="4" w:space="0" w:color="000000"/>
              <w:right w:val="single" w:sz="4" w:space="0" w:color="000000"/>
            </w:tcBorders>
            <w:shd w:val="clear" w:color="auto" w:fill="8DB3E1"/>
          </w:tcPr>
          <w:p>
            <w:pPr/>
          </w:p>
        </w:tc>
        <w:tc>
          <w:tcPr>
            <w:tcW w:w="650" w:type="dxa"/>
            <w:vMerge/>
            <w:tcBorders>
              <w:left w:val="single" w:sz="4" w:space="0" w:color="000000"/>
              <w:bottom w:val="single" w:sz="4" w:space="0" w:color="000000"/>
              <w:right w:val="single" w:sz="4" w:space="0" w:color="000000"/>
            </w:tcBorders>
            <w:shd w:val="clear" w:color="auto" w:fill="8DB3E1"/>
          </w:tcPr>
          <w:p>
            <w:pPr/>
          </w:p>
        </w:tc>
        <w:tc>
          <w:tcPr>
            <w:tcW w:w="856" w:type="dxa"/>
            <w:tcBorders>
              <w:top w:val="nil" w:sz="6" w:space="0" w:color="auto"/>
              <w:left w:val="single" w:sz="4" w:space="0" w:color="000000"/>
              <w:bottom w:val="single" w:sz="4" w:space="0" w:color="000000"/>
              <w:right w:val="single" w:sz="4" w:space="0" w:color="000000"/>
            </w:tcBorders>
            <w:shd w:val="clear" w:color="auto" w:fill="8DB3E1"/>
          </w:tcPr>
          <w:p>
            <w:pP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010" w:type="dxa"/>
            <w:gridSpan w:val="12"/>
            <w:tcBorders>
              <w:top w:val="single" w:sz="4" w:space="0" w:color="000000"/>
              <w:left w:val="single" w:sz="13" w:space="0" w:color="8DB3E1"/>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运营销售服务网络建 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2,690.00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0.00%</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电子支付终端设备运 营项目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5,621.0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5,621.00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0.00%</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电子支付技术产研基 地建设项目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15,306.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15,306.00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0.00%</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23,617.</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23,617.00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1"/>
              <w:ind w:left="24" w:right="-12"/>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24" w:right="-12"/>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23,617.</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23,617.00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812"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4"/>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年公司项目可行性未发生重大变化</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4" w:lineRule="auto" w:before="49"/>
              <w:ind w:left="276" w:right="94"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年公司项目可行性未发生重大变化</w:t>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276" w:right="22"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年公司无发生超募资金的使用情况</w:t>
            </w:r>
          </w:p>
        </w:tc>
      </w:tr>
    </w:tbl>
    <w:p>
      <w:pPr>
        <w:spacing w:after="0" w:line="240" w:lineRule="auto"/>
        <w:jc w:val="left"/>
        <w:rPr>
          <w:rFonts w:ascii="宋体" w:hAnsi="宋体" w:cs="宋体" w:eastAsia="宋体" w:hint="default"/>
          <w:sz w:val="18"/>
          <w:szCs w:val="18"/>
        </w:rPr>
        <w:sectPr>
          <w:pgSz w:w="11910" w:h="16840"/>
          <w:pgMar w:header="877" w:footer="1267" w:top="1060" w:bottom="1460" w:left="9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15" w:firstLine="0"/>
        <w:jc w:val="right"/>
        <w:rPr>
          <w:rFonts w:ascii="宋体" w:hAnsi="宋体" w:cs="宋体" w:eastAsia="宋体" w:hint="default"/>
          <w:sz w:val="18"/>
          <w:szCs w:val="18"/>
        </w:rPr>
      </w:pPr>
      <w:r>
        <w:rPr/>
        <w:pict>
          <v:shape style="position:absolute;margin-left:54.48pt;margin-top:-75.628273pt;width:492.35pt;height:316.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2"/>
                    <w:gridCol w:w="8010"/>
                  </w:tblGrid>
                  <w:tr>
                    <w:trPr>
                      <w:trHeight w:val="771" w:hRule="exact"/>
                    </w:trPr>
                    <w:tc>
                      <w:tcPr>
                        <w:tcW w:w="1822" w:type="dxa"/>
                        <w:tcBorders>
                          <w:top w:val="single" w:sz="15" w:space="0" w:color="000000"/>
                          <w:left w:val="single" w:sz="4" w:space="0" w:color="000000"/>
                          <w:bottom w:val="single" w:sz="4" w:space="0" w:color="000000"/>
                          <w:right w:val="single" w:sz="4" w:space="0" w:color="000000"/>
                        </w:tcBorders>
                        <w:shd w:val="clear" w:color="auto" w:fill="8DB3E1"/>
                      </w:tcPr>
                      <w:p>
                        <w:pPr>
                          <w:pStyle w:val="TableParagraph"/>
                          <w:spacing w:line="319" w:lineRule="auto" w:before="70"/>
                          <w:ind w:left="276" w:right="94"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年公司无募集资金投资项目实施地点变更情况</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4" w:lineRule="auto" w:before="49"/>
                          <w:ind w:left="276" w:right="94"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年公司无募集资金投资项目实施方式调整情况</w:t>
                        </w:r>
                      </w:p>
                    </w:tc>
                  </w:tr>
                  <w:tr>
                    <w:trPr>
                      <w:trHeight w:val="1651"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5" w:right="94"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电子支付技术产研基地建设项目，截止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日公司已利用自筹资金先行投入</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1,293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z w:val="18"/>
                            <w:szCs w:val="18"/>
                          </w:rPr>
                          <w:t>业经立信大华会计师事务所有限公司出具的立信大华核字</w:t>
                        </w:r>
                        <w:r>
                          <w:rPr>
                            <w:rFonts w:ascii="Times New Roman" w:hAnsi="Times New Roman" w:cs="Times New Roman" w:eastAsia="Times New Roman" w:hint="default"/>
                            <w:sz w:val="18"/>
                            <w:szCs w:val="18"/>
                          </w:rPr>
                          <w:t>[2010]2404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号《首次公开发行股票募集资金 投资项目实际自筹资金使用情况专项审核报告》确认，经本公司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日第一届董事会第十四 次会议决议通过，使用募集资金置换公司预先投入募集资金项目建设的自筹资金 </w:t>
                        </w:r>
                        <w:r>
                          <w:rPr>
                            <w:rFonts w:ascii="Times New Roman" w:hAnsi="Times New Roman" w:cs="Times New Roman" w:eastAsia="Times New Roman" w:hint="default"/>
                            <w:sz w:val="18"/>
                            <w:szCs w:val="18"/>
                          </w:rPr>
                          <w:t>1293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电子 支付终端设备运营项目，</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年度公司已使用自筹资金投入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 </w:t>
                        </w:r>
                        <w:r>
                          <w:rPr>
                            <w:rFonts w:ascii="宋体" w:hAnsi="宋体" w:cs="宋体" w:eastAsia="宋体" w:hint="default"/>
                            <w:sz w:val="18"/>
                            <w:szCs w:val="18"/>
                          </w:rPr>
                          <w:t>万开展项目运营。</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185" w:right="94"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年公司未发生闲置募集资金暂时补充流动资金情况</w:t>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96"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年公司无项目实施出现募集资金结余</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4" w:lineRule="auto" w:before="49"/>
                          <w:ind w:left="456" w:right="94"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p>
                    </w:tc>
                  </w:tr>
                  <w:tr>
                    <w:trPr>
                      <w:trHeight w:val="1027" w:hRule="exact"/>
                    </w:trPr>
                    <w:tc>
                      <w:tcPr>
                        <w:tcW w:w="182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95" w:right="94"/>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年公司募集资金使用及披露不存在问题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357" w:lineRule="auto" w:before="26"/>
        <w:ind w:left="722" w:right="786" w:firstLine="479"/>
        <w:jc w:val="both"/>
      </w:pPr>
      <w:r>
        <w:rPr>
          <w:spacing w:val="-1"/>
        </w:rPr>
        <w:t>公司将根据公司的发展规划和市场需求，稳妥安排超募资金的使用，待公司董</w:t>
      </w:r>
      <w:r>
        <w:rPr/>
        <w:t> 事会拟定详细使用计划并履行相关程序后使用。</w:t>
      </w:r>
    </w:p>
    <w:p>
      <w:pPr>
        <w:spacing w:line="240" w:lineRule="auto" w:before="2"/>
        <w:rPr>
          <w:rFonts w:ascii="宋体" w:hAnsi="宋体" w:cs="宋体" w:eastAsia="宋体" w:hint="default"/>
          <w:sz w:val="25"/>
          <w:szCs w:val="25"/>
        </w:rPr>
      </w:pPr>
    </w:p>
    <w:p>
      <w:pPr>
        <w:spacing w:line="552" w:lineRule="auto" w:before="0"/>
        <w:ind w:left="1201" w:right="314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、变更募集资金投资项目的资金使用情况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报告期内，公司未变更募集资金投资项目的资金使用。</w:t>
      </w:r>
    </w:p>
    <w:p>
      <w:pPr>
        <w:pStyle w:val="Heading6"/>
        <w:spacing w:line="240" w:lineRule="auto" w:before="134"/>
        <w:ind w:left="722" w:right="3145"/>
        <w:jc w:val="left"/>
        <w:rPr>
          <w:b w:val="0"/>
          <w:bCs w:val="0"/>
        </w:rPr>
      </w:pPr>
      <w:r>
        <w:rPr>
          <w:rFonts w:ascii="Times New Roman" w:hAnsi="Times New Roman" w:cs="Times New Roman" w:eastAsia="Times New Roman" w:hint="default"/>
        </w:rPr>
        <w:t>5</w:t>
      </w:r>
      <w:r>
        <w:rPr/>
        <w:t>、会计师事务所对募集资金使用情况的专项审核意见</w:t>
      </w:r>
      <w:r>
        <w:rPr>
          <w:b w:val="0"/>
          <w:bCs w:val="0"/>
        </w:rPr>
      </w:r>
    </w:p>
    <w:p>
      <w:pPr>
        <w:spacing w:line="240" w:lineRule="auto" w:before="2"/>
        <w:rPr>
          <w:rFonts w:ascii="宋体" w:hAnsi="宋体" w:cs="宋体" w:eastAsia="宋体" w:hint="default"/>
          <w:b/>
          <w:bCs/>
          <w:sz w:val="33"/>
          <w:szCs w:val="33"/>
        </w:rPr>
      </w:pPr>
    </w:p>
    <w:p>
      <w:pPr>
        <w:pStyle w:val="BodyText"/>
        <w:spacing w:line="340" w:lineRule="auto"/>
        <w:ind w:left="722" w:right="784" w:firstLine="479"/>
        <w:jc w:val="both"/>
      </w:pPr>
      <w:r>
        <w:rPr>
          <w:spacing w:val="-1"/>
        </w:rPr>
        <w:t>立信大华会计师事务所有限公司出具了《关于</w:t>
      </w:r>
      <w:r>
        <w:rPr>
          <w:rFonts w:ascii="Times New Roman" w:hAnsi="Times New Roman" w:cs="Times New Roman" w:eastAsia="Times New Roman" w:hint="default"/>
          <w:spacing w:val="-1"/>
        </w:rPr>
        <w:t>2010</w:t>
      </w:r>
      <w:r>
        <w:rPr>
          <w:spacing w:val="-1"/>
        </w:rPr>
        <w:t>年度募集资金存放与使用情</w:t>
      </w:r>
      <w:r>
        <w:rPr/>
        <w:t> </w:t>
      </w:r>
      <w:r>
        <w:rPr>
          <w:spacing w:val="-2"/>
        </w:rPr>
        <w:t>况鉴证报告》（立信大华核字</w:t>
      </w:r>
      <w:r>
        <w:rPr>
          <w:rFonts w:ascii="Times New Roman" w:hAnsi="Times New Roman" w:cs="Times New Roman" w:eastAsia="Times New Roman" w:hint="default"/>
          <w:spacing w:val="-2"/>
        </w:rPr>
        <w:t>[2011]236</w:t>
      </w:r>
      <w:r>
        <w:rPr>
          <w:spacing w:val="-2"/>
        </w:rPr>
        <w:t>号），认为：公司募集资金专项报告的编制</w:t>
      </w:r>
      <w:r>
        <w:rPr>
          <w:spacing w:val="-103"/>
        </w:rPr>
        <w:t> </w:t>
      </w:r>
      <w:r>
        <w:rPr>
          <w:spacing w:val="-103"/>
        </w:rPr>
      </w:r>
      <w:r>
        <w:rPr>
          <w:spacing w:val="-8"/>
        </w:rPr>
        <w:t>符合深圳证券交易所发布的《深圳证券交易所创业板上市公司规范运作指引》、《深</w:t>
      </w:r>
      <w:r>
        <w:rPr>
          <w:spacing w:val="-88"/>
        </w:rPr>
        <w:t> </w:t>
      </w:r>
      <w:r>
        <w:rPr>
          <w:spacing w:val="-88"/>
        </w:rPr>
      </w:r>
      <w:r>
        <w:rPr>
          <w:spacing w:val="-1"/>
        </w:rPr>
        <w:t>圳证券交易所创业板上市公司信息披露公告格式第</w:t>
      </w:r>
      <w:r>
        <w:rPr>
          <w:rFonts w:ascii="Times New Roman" w:hAnsi="Times New Roman" w:cs="Times New Roman" w:eastAsia="Times New Roman" w:hint="default"/>
          <w:spacing w:val="-1"/>
        </w:rPr>
        <w:t>21</w:t>
      </w:r>
      <w:r>
        <w:rPr>
          <w:spacing w:val="-1"/>
        </w:rPr>
        <w:t>号：上市公司募集资金年度存</w:t>
      </w:r>
      <w:r>
        <w:rPr>
          <w:spacing w:val="-107"/>
        </w:rPr>
        <w:t> </w:t>
      </w:r>
      <w:r>
        <w:rPr>
          <w:spacing w:val="-107"/>
        </w:rPr>
      </w:r>
      <w:r>
        <w:rPr>
          <w:spacing w:val="-1"/>
        </w:rPr>
        <w:t>放与使用情况的专项报告格式》的规定，在所有重大方面如实反映了公司</w:t>
      </w:r>
      <w:r>
        <w:rPr>
          <w:rFonts w:ascii="Times New Roman" w:hAnsi="Times New Roman" w:cs="Times New Roman" w:eastAsia="Times New Roman" w:hint="default"/>
          <w:spacing w:val="-1"/>
        </w:rPr>
        <w:t>2010</w:t>
      </w:r>
      <w:r>
        <w:rPr>
          <w:spacing w:val="-1"/>
        </w:rPr>
        <w:t>年度</w:t>
      </w:r>
      <w:r>
        <w:rPr>
          <w:spacing w:val="-105"/>
        </w:rPr>
        <w:t> </w:t>
      </w:r>
      <w:r>
        <w:rPr/>
        <w:t>募集资金存放与使用情况。</w:t>
      </w:r>
    </w:p>
    <w:p>
      <w:pPr>
        <w:spacing w:after="0" w:line="340" w:lineRule="auto"/>
        <w:jc w:val="both"/>
        <w:sectPr>
          <w:pgSz w:w="11910" w:h="16840"/>
          <w:pgMar w:header="877" w:footer="1267" w:top="1060" w:bottom="1460" w:left="980" w:right="80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4"/>
          <w:szCs w:val="4"/>
        </w:rPr>
      </w:pPr>
    </w:p>
    <w:p>
      <w:pPr>
        <w:pStyle w:val="Heading6"/>
        <w:spacing w:line="240" w:lineRule="auto" w:before="26"/>
        <w:ind w:right="219"/>
        <w:jc w:val="left"/>
        <w:rPr>
          <w:b w:val="0"/>
          <w:bCs w:val="0"/>
        </w:rPr>
      </w:pPr>
      <w:r>
        <w:rPr/>
        <w:t>（二）报告期内公司未发生重大非募集资金投资情况。</w:t>
      </w:r>
      <w:r>
        <w:rPr>
          <w:b w:val="0"/>
          <w:bCs w:val="0"/>
        </w:rPr>
      </w:r>
    </w:p>
    <w:p>
      <w:pPr>
        <w:spacing w:line="240" w:lineRule="auto" w:before="0"/>
        <w:rPr>
          <w:rFonts w:ascii="宋体" w:hAnsi="宋体" w:cs="宋体" w:eastAsia="宋体" w:hint="default"/>
          <w:b/>
          <w:bCs/>
          <w:sz w:val="24"/>
          <w:szCs w:val="24"/>
        </w:rPr>
      </w:pPr>
    </w:p>
    <w:p>
      <w:pPr>
        <w:spacing w:line="412" w:lineRule="auto" w:before="174"/>
        <w:ind w:left="142" w:right="387" w:firstLine="0"/>
        <w:jc w:val="both"/>
        <w:rPr>
          <w:rFonts w:ascii="宋体" w:hAnsi="宋体" w:cs="宋体" w:eastAsia="宋体" w:hint="default"/>
          <w:sz w:val="24"/>
          <w:szCs w:val="24"/>
        </w:rPr>
      </w:pPr>
      <w:r>
        <w:rPr>
          <w:rFonts w:ascii="宋体" w:hAnsi="宋体" w:cs="宋体" w:eastAsia="宋体" w:hint="default"/>
          <w:b/>
          <w:bCs/>
          <w:sz w:val="24"/>
          <w:szCs w:val="24"/>
        </w:rPr>
        <w:t>（三）报告期内，公司没有持有其他上市公司股权、参股商业银行、证券公司、</w:t>
      </w:r>
      <w:r>
        <w:rPr>
          <w:rFonts w:ascii="宋体" w:hAnsi="宋体" w:cs="宋体" w:eastAsia="宋体" w:hint="default"/>
          <w:b/>
          <w:bCs/>
          <w:spacing w:val="-106"/>
          <w:sz w:val="24"/>
          <w:szCs w:val="24"/>
        </w:rPr>
        <w:t> </w:t>
      </w:r>
      <w:r>
        <w:rPr>
          <w:rFonts w:ascii="宋体" w:hAnsi="宋体" w:cs="宋体" w:eastAsia="宋体" w:hint="default"/>
          <w:b/>
          <w:bCs/>
          <w:spacing w:val="-106"/>
          <w:sz w:val="24"/>
          <w:szCs w:val="24"/>
        </w:rPr>
      </w:r>
      <w:r>
        <w:rPr>
          <w:rFonts w:ascii="宋体" w:hAnsi="宋体" w:cs="宋体" w:eastAsia="宋体" w:hint="default"/>
          <w:b/>
          <w:bCs/>
          <w:sz w:val="24"/>
          <w:szCs w:val="24"/>
        </w:rPr>
        <w:t>保险公司、信托公司和期货公司等金融企业股权，没有买卖其他上市公司股份的</w:t>
      </w:r>
      <w:r>
        <w:rPr>
          <w:rFonts w:ascii="宋体" w:hAnsi="宋体" w:cs="宋体" w:eastAsia="宋体" w:hint="default"/>
          <w:b/>
          <w:bCs/>
          <w:spacing w:val="-103"/>
          <w:sz w:val="24"/>
          <w:szCs w:val="24"/>
        </w:rPr>
        <w:t> </w:t>
      </w:r>
      <w:r>
        <w:rPr>
          <w:rFonts w:ascii="宋体" w:hAnsi="宋体" w:cs="宋体" w:eastAsia="宋体" w:hint="default"/>
          <w:b/>
          <w:bCs/>
          <w:spacing w:val="-103"/>
          <w:sz w:val="24"/>
          <w:szCs w:val="24"/>
        </w:rPr>
      </w:r>
      <w:r>
        <w:rPr>
          <w:rFonts w:ascii="宋体" w:hAnsi="宋体" w:cs="宋体" w:eastAsia="宋体" w:hint="default"/>
          <w:b/>
          <w:bCs/>
          <w:sz w:val="24"/>
          <w:szCs w:val="24"/>
        </w:rPr>
        <w:t>情况。</w:t>
      </w:r>
      <w:r>
        <w:rPr>
          <w:rFonts w:ascii="宋体" w:hAnsi="宋体" w:cs="宋体" w:eastAsia="宋体" w:hint="default"/>
          <w:sz w:val="24"/>
          <w:szCs w:val="24"/>
        </w:rPr>
      </w:r>
    </w:p>
    <w:p>
      <w:pPr>
        <w:spacing w:line="240" w:lineRule="auto" w:before="11"/>
        <w:rPr>
          <w:rFonts w:ascii="宋体" w:hAnsi="宋体" w:cs="宋体" w:eastAsia="宋体" w:hint="default"/>
          <w:b/>
          <w:bCs/>
          <w:sz w:val="23"/>
          <w:szCs w:val="23"/>
        </w:rPr>
      </w:pPr>
    </w:p>
    <w:p>
      <w:pPr>
        <w:spacing w:line="612" w:lineRule="auto" w:before="0"/>
        <w:ind w:left="142" w:right="2078" w:firstLine="0"/>
        <w:jc w:val="left"/>
        <w:rPr>
          <w:rFonts w:ascii="宋体" w:hAnsi="宋体" w:cs="宋体" w:eastAsia="宋体" w:hint="default"/>
          <w:sz w:val="24"/>
          <w:szCs w:val="24"/>
        </w:rPr>
      </w:pPr>
      <w:r>
        <w:rPr>
          <w:rFonts w:ascii="宋体" w:hAnsi="宋体" w:cs="宋体" w:eastAsia="宋体" w:hint="default"/>
          <w:b/>
          <w:bCs/>
          <w:sz w:val="24"/>
          <w:szCs w:val="24"/>
        </w:rPr>
        <w:t>（四）报告期内无持有以公允价值计量的金融资产情况。</w:t>
      </w:r>
      <w:r>
        <w:rPr>
          <w:rFonts w:ascii="宋体" w:hAnsi="宋体" w:cs="宋体" w:eastAsia="宋体" w:hint="default"/>
          <w:b/>
          <w:bCs/>
          <w:w w:val="99"/>
          <w:sz w:val="24"/>
          <w:szCs w:val="24"/>
        </w:rPr>
        <w:t> </w:t>
      </w:r>
      <w:r>
        <w:rPr>
          <w:rFonts w:ascii="宋体" w:hAnsi="宋体" w:cs="宋体" w:eastAsia="宋体" w:hint="default"/>
          <w:b/>
          <w:bCs/>
          <w:sz w:val="24"/>
          <w:szCs w:val="24"/>
        </w:rPr>
        <w:t>五、报告期财务会计报告审计情况及会计政策、会计估计变更：</w:t>
      </w:r>
      <w:r>
        <w:rPr>
          <w:rFonts w:ascii="宋体" w:hAnsi="宋体" w:cs="宋体" w:eastAsia="宋体" w:hint="default"/>
          <w:sz w:val="24"/>
          <w:szCs w:val="24"/>
        </w:rPr>
      </w:r>
    </w:p>
    <w:p>
      <w:pPr>
        <w:spacing w:before="115"/>
        <w:ind w:left="142" w:right="219" w:firstLine="0"/>
        <w:jc w:val="left"/>
        <w:rPr>
          <w:rFonts w:ascii="宋体" w:hAnsi="宋体" w:cs="宋体" w:eastAsia="宋体" w:hint="default"/>
          <w:sz w:val="24"/>
          <w:szCs w:val="24"/>
        </w:rPr>
      </w:pPr>
      <w:r>
        <w:rPr>
          <w:rFonts w:ascii="宋体" w:hAnsi="宋体" w:cs="宋体" w:eastAsia="宋体" w:hint="default"/>
          <w:b/>
          <w:bCs/>
          <w:sz w:val="24"/>
          <w:szCs w:val="24"/>
        </w:rPr>
        <w:t>（一）报告期财务会计报告审计情况</w:t>
      </w:r>
      <w:r>
        <w:rPr>
          <w:rFonts w:ascii="宋体" w:hAnsi="宋体" w:cs="宋体" w:eastAsia="宋体" w:hint="default"/>
          <w:sz w:val="24"/>
          <w:szCs w:val="24"/>
        </w:rPr>
      </w:r>
    </w:p>
    <w:p>
      <w:pPr>
        <w:spacing w:line="240" w:lineRule="auto" w:before="2"/>
        <w:rPr>
          <w:rFonts w:ascii="宋体" w:hAnsi="宋体" w:cs="宋体" w:eastAsia="宋体" w:hint="default"/>
          <w:b/>
          <w:bCs/>
          <w:sz w:val="34"/>
          <w:szCs w:val="34"/>
        </w:rPr>
      </w:pPr>
    </w:p>
    <w:p>
      <w:pPr>
        <w:pStyle w:val="BodyText"/>
        <w:spacing w:line="338" w:lineRule="auto"/>
        <w:ind w:right="221" w:firstLine="479"/>
        <w:jc w:val="left"/>
      </w:pPr>
      <w:r>
        <w:rPr>
          <w:spacing w:val="-1"/>
        </w:rPr>
        <w:t>经立信大华会计师事务所有限公司审计，对本公司</w:t>
      </w:r>
      <w:r>
        <w:rPr>
          <w:rFonts w:ascii="Times New Roman" w:hAnsi="Times New Roman" w:cs="Times New Roman" w:eastAsia="Times New Roman" w:hint="default"/>
          <w:spacing w:val="-1"/>
        </w:rPr>
        <w:t>2010</w:t>
      </w:r>
      <w:r>
        <w:rPr>
          <w:spacing w:val="-1"/>
        </w:rPr>
        <w:t>年度财务报告出具了标</w:t>
      </w:r>
      <w:r>
        <w:rPr/>
        <w:t> 准无保留意见的审计报告。</w:t>
      </w:r>
    </w:p>
    <w:p>
      <w:pPr>
        <w:spacing w:line="764" w:lineRule="exact" w:before="22"/>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（二）公司会计政策、会计估计变更情况及对公司的影响说明和分析</w:t>
      </w:r>
      <w:r>
        <w:rPr>
          <w:rFonts w:ascii="宋体" w:hAnsi="宋体" w:cs="宋体" w:eastAsia="宋体" w:hint="default"/>
          <w:b/>
          <w:bCs/>
          <w:w w:val="99"/>
          <w:sz w:val="24"/>
          <w:szCs w:val="24"/>
        </w:rPr>
        <w:t> </w:t>
      </w:r>
      <w:r>
        <w:rPr>
          <w:rFonts w:ascii="宋体" w:hAnsi="宋体" w:cs="宋体" w:eastAsia="宋体" w:hint="default"/>
          <w:sz w:val="24"/>
          <w:szCs w:val="24"/>
        </w:rPr>
        <w:t>报告期内，公司没有重大会计政策变化、会计估计变更情况，未发生重大会</w:t>
      </w:r>
    </w:p>
    <w:p>
      <w:pPr>
        <w:pStyle w:val="Heading6"/>
        <w:spacing w:line="537" w:lineRule="auto" w:before="35"/>
        <w:ind w:right="3282"/>
        <w:jc w:val="left"/>
        <w:rPr>
          <w:b w:val="0"/>
          <w:bCs w:val="0"/>
        </w:rPr>
      </w:pPr>
      <w:r>
        <w:rPr>
          <w:rFonts w:ascii="宋体" w:hAnsi="宋体" w:cs="宋体" w:eastAsia="宋体" w:hint="default"/>
          <w:b w:val="0"/>
          <w:bCs w:val="0"/>
        </w:rPr>
        <w:t>计差错。 </w:t>
      </w:r>
      <w:r>
        <w:rPr/>
        <w:t>六、董事会本次利润分配或资本公积金转增股本预案</w:t>
      </w:r>
      <w:r>
        <w:rPr>
          <w:b w:val="0"/>
          <w:bCs w:val="0"/>
        </w:rPr>
      </w:r>
    </w:p>
    <w:p>
      <w:pPr>
        <w:spacing w:line="764" w:lineRule="exact" w:before="56"/>
        <w:ind w:left="741" w:right="305" w:hanging="600"/>
        <w:jc w:val="left"/>
        <w:rPr>
          <w:rFonts w:ascii="宋体" w:hAnsi="宋体" w:cs="宋体" w:eastAsia="宋体" w:hint="default"/>
          <w:sz w:val="24"/>
          <w:szCs w:val="24"/>
        </w:rPr>
      </w:pP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2010 </w:t>
      </w:r>
      <w:r>
        <w:rPr>
          <w:rFonts w:ascii="宋体" w:hAnsi="宋体" w:cs="宋体" w:eastAsia="宋体" w:hint="default"/>
          <w:b/>
          <w:bCs/>
          <w:sz w:val="24"/>
          <w:szCs w:val="24"/>
        </w:rPr>
        <w:t>年利润分配及资本公积金转增股本的预案</w:t>
      </w:r>
      <w:r>
        <w:rPr>
          <w:rFonts w:ascii="宋体" w:hAnsi="宋体" w:cs="宋体" w:eastAsia="宋体" w:hint="default"/>
          <w:b/>
          <w:bCs/>
          <w:w w:val="99"/>
          <w:sz w:val="24"/>
          <w:szCs w:val="24"/>
        </w:rPr>
        <w:t> </w:t>
      </w:r>
      <w:r>
        <w:rPr>
          <w:rFonts w:ascii="宋体" w:hAnsi="宋体" w:cs="宋体" w:eastAsia="宋体" w:hint="default"/>
          <w:sz w:val="24"/>
          <w:szCs w:val="24"/>
        </w:rPr>
        <w:t>经立信大华会计师事务所有限公司审计，公司</w:t>
      </w:r>
      <w:r>
        <w:rPr>
          <w:rFonts w:ascii="Times New Roman" w:hAnsi="Times New Roman" w:cs="Times New Roman" w:eastAsia="Times New Roman" w:hint="default"/>
          <w:sz w:val="24"/>
          <w:szCs w:val="24"/>
        </w:rPr>
        <w:t>2010</w:t>
      </w:r>
      <w:r>
        <w:rPr>
          <w:rFonts w:ascii="宋体" w:hAnsi="宋体" w:cs="宋体" w:eastAsia="宋体" w:hint="default"/>
          <w:sz w:val="24"/>
          <w:szCs w:val="24"/>
        </w:rPr>
        <w:t>年度实现归属于上市公司</w:t>
      </w:r>
    </w:p>
    <w:p>
      <w:pPr>
        <w:pStyle w:val="BodyText"/>
        <w:spacing w:line="338" w:lineRule="auto" w:before="35"/>
        <w:ind w:right="100"/>
        <w:jc w:val="left"/>
      </w:pPr>
      <w:r>
        <w:rPr>
          <w:spacing w:val="-3"/>
        </w:rPr>
        <w:t>股东的净利润</w:t>
      </w:r>
      <w:r>
        <w:rPr>
          <w:rFonts w:ascii="Times New Roman" w:hAnsi="Times New Roman" w:cs="Times New Roman" w:eastAsia="Times New Roman" w:hint="default"/>
          <w:spacing w:val="-3"/>
        </w:rPr>
        <w:t>57,894,445.26</w:t>
      </w:r>
      <w:r>
        <w:rPr>
          <w:spacing w:val="-3"/>
        </w:rPr>
        <w:t>元，其中，母公司实现净利润</w:t>
      </w:r>
      <w:r>
        <w:rPr>
          <w:rFonts w:ascii="Times New Roman" w:hAnsi="Times New Roman" w:cs="Times New Roman" w:eastAsia="Times New Roman" w:hint="default"/>
          <w:spacing w:val="-3"/>
        </w:rPr>
        <w:t>26,440,382.38</w:t>
      </w:r>
      <w:r>
        <w:rPr>
          <w:spacing w:val="-3"/>
        </w:rPr>
        <w:t>元。根据《公</w:t>
      </w:r>
      <w:r>
        <w:rPr>
          <w:spacing w:val="-112"/>
        </w:rPr>
        <w:t> </w:t>
      </w:r>
      <w:r>
        <w:rPr>
          <w:spacing w:val="-112"/>
        </w:rPr>
      </w:r>
      <w:r>
        <w:rPr>
          <w:spacing w:val="-4"/>
        </w:rPr>
        <w:t>司法》和《公司章程》的有关规定，母公司提取</w:t>
      </w:r>
      <w:r>
        <w:rPr>
          <w:rFonts w:ascii="Times New Roman" w:hAnsi="Times New Roman" w:cs="Times New Roman" w:eastAsia="Times New Roman" w:hint="default"/>
          <w:spacing w:val="-4"/>
        </w:rPr>
        <w:t>10%</w:t>
      </w:r>
      <w:r>
        <w:rPr>
          <w:spacing w:val="-4"/>
        </w:rPr>
        <w:t>法定盈余公积金</w:t>
      </w:r>
      <w:r>
        <w:rPr>
          <w:rFonts w:ascii="Times New Roman" w:hAnsi="Times New Roman" w:cs="Times New Roman" w:eastAsia="Times New Roman" w:hint="default"/>
          <w:spacing w:val="-4"/>
        </w:rPr>
        <w:t>2,644,038.24</w:t>
      </w:r>
      <w:r>
        <w:rPr>
          <w:spacing w:val="-4"/>
        </w:rPr>
        <w:t>元，</w:t>
      </w:r>
      <w:r>
        <w:rPr>
          <w:spacing w:val="-105"/>
        </w:rPr>
        <w:t> </w:t>
      </w:r>
      <w:r>
        <w:rPr/>
        <w:t>本年度可供股东分配的利润为</w:t>
      </w:r>
      <w:r>
        <w:rPr>
          <w:rFonts w:ascii="Times New Roman" w:hAnsi="Times New Roman" w:cs="Times New Roman" w:eastAsia="Times New Roman" w:hint="default"/>
        </w:rPr>
        <w:t>55,250,407.02</w:t>
      </w:r>
      <w:r>
        <w:rPr/>
        <w:t>元；加上以前年度未分配利润 </w:t>
      </w:r>
      <w:r>
        <w:rPr>
          <w:rFonts w:ascii="Times New Roman" w:hAnsi="Times New Roman" w:cs="Times New Roman" w:eastAsia="Times New Roman" w:hint="default"/>
        </w:rPr>
        <w:t>53,513,503.59</w:t>
      </w:r>
      <w:r>
        <w:rPr/>
        <w:t>元，公司可供股东分配的利润为</w:t>
      </w:r>
      <w:r>
        <w:rPr>
          <w:rFonts w:ascii="Times New Roman" w:hAnsi="Times New Roman" w:cs="Times New Roman" w:eastAsia="Times New Roman" w:hint="default"/>
        </w:rPr>
        <w:t>108,763,910.61</w:t>
      </w:r>
      <w:r>
        <w:rPr/>
        <w:t>元。</w:t>
      </w:r>
    </w:p>
    <w:p>
      <w:pPr>
        <w:pStyle w:val="BodyText"/>
        <w:spacing w:line="240" w:lineRule="auto" w:before="27"/>
        <w:ind w:left="621" w:right="100"/>
        <w:jc w:val="left"/>
      </w:pPr>
      <w:r>
        <w:rPr/>
        <w:t>公司拟以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6350</w:t>
      </w:r>
      <w:r>
        <w:rPr/>
        <w:t>万股为基数，按每</w:t>
      </w:r>
      <w:r>
        <w:rPr>
          <w:rFonts w:ascii="Times New Roman" w:hAnsi="Times New Roman" w:cs="Times New Roman" w:eastAsia="Times New Roman" w:hint="default"/>
        </w:rPr>
        <w:t>10</w:t>
      </w:r>
      <w:r>
        <w:rPr/>
        <w:t>股派发现金红利</w:t>
      </w:r>
    </w:p>
    <w:p>
      <w:pPr>
        <w:pStyle w:val="BodyText"/>
        <w:spacing w:line="338" w:lineRule="auto" w:before="135"/>
        <w:ind w:left="621" w:right="219" w:hanging="480"/>
        <w:jc w:val="left"/>
      </w:pPr>
      <w:r>
        <w:rPr>
          <w:rFonts w:ascii="Times New Roman" w:hAnsi="Times New Roman" w:cs="Times New Roman" w:eastAsia="Times New Roman" w:hint="default"/>
        </w:rPr>
        <w:t>2</w:t>
      </w:r>
      <w:r>
        <w:rPr/>
        <w:t>元（含税），共分配现金股利</w:t>
      </w:r>
      <w:r>
        <w:rPr>
          <w:rFonts w:ascii="Times New Roman" w:hAnsi="Times New Roman" w:cs="Times New Roman" w:eastAsia="Times New Roman" w:hint="default"/>
        </w:rPr>
        <w:t>1270</w:t>
      </w:r>
      <w:r>
        <w:rPr/>
        <w:t>万元，剩余未分配利润结转以后年度。 </w:t>
      </w:r>
      <w:r>
        <w:rPr>
          <w:spacing w:val="-1"/>
        </w:rPr>
        <w:t>同时，拟以</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6350</w:t>
      </w:r>
      <w:r>
        <w:rPr>
          <w:spacing w:val="-1"/>
        </w:rPr>
        <w:t>万股为基数，由资本公积金向全体</w:t>
      </w:r>
    </w:p>
    <w:p>
      <w:pPr>
        <w:pStyle w:val="BodyText"/>
        <w:spacing w:line="240" w:lineRule="auto" w:before="27"/>
        <w:ind w:right="100"/>
        <w:jc w:val="left"/>
        <w:rPr>
          <w:rFonts w:ascii="Times New Roman" w:hAnsi="Times New Roman" w:cs="Times New Roman" w:eastAsia="Times New Roman" w:hint="default"/>
        </w:rPr>
      </w:pPr>
      <w:r>
        <w:rPr/>
        <w:t>股东每</w:t>
      </w: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spacing w:val="-4"/>
        </w:rPr>
        <w:t>股转增</w:t>
      </w:r>
      <w:r>
        <w:rPr>
          <w:rFonts w:ascii="Times New Roman" w:hAnsi="Times New Roman" w:cs="Times New Roman" w:eastAsia="Times New Roman" w:hint="default"/>
          <w:spacing w:val="-4"/>
        </w:rPr>
        <w:t>8</w:t>
      </w:r>
      <w:r>
        <w:rPr>
          <w:spacing w:val="-4"/>
        </w:rPr>
        <w:t>股，合计转增股本</w:t>
      </w:r>
      <w:r>
        <w:rPr>
          <w:rFonts w:ascii="Times New Roman" w:hAnsi="Times New Roman" w:cs="Times New Roman" w:eastAsia="Times New Roman" w:hint="default"/>
          <w:spacing w:val="-4"/>
        </w:rPr>
        <w:t>5080</w:t>
      </w:r>
      <w:r>
        <w:rPr>
          <w:spacing w:val="-4"/>
        </w:rPr>
        <w:t>万股。转增股本完成后，公司总股本</w:t>
      </w:r>
      <w:r>
        <w:rPr>
          <w:rFonts w:ascii="Times New Roman" w:hAnsi="Times New Roman" w:cs="Times New Roman" w:eastAsia="Times New Roman" w:hint="default"/>
          <w:spacing w:val="-4"/>
        </w:rPr>
        <w:t>11430</w:t>
      </w:r>
    </w:p>
    <w:p>
      <w:pPr>
        <w:spacing w:after="0" w:line="240" w:lineRule="auto"/>
        <w:jc w:val="left"/>
        <w:rPr>
          <w:rFonts w:ascii="Times New Roman" w:hAnsi="Times New Roman" w:cs="Times New Roman" w:eastAsia="Times New Roman" w:hint="default"/>
        </w:rPr>
        <w:sectPr>
          <w:pgSz w:w="11910" w:h="16840"/>
          <w:pgMar w:header="877" w:footer="1267" w:top="1060" w:bottom="1460" w:left="1560" w:right="1360"/>
        </w:sectPr>
      </w:pPr>
    </w:p>
    <w:p>
      <w:pPr>
        <w:pStyle w:val="BodyText"/>
        <w:spacing w:line="240" w:lineRule="auto" w:before="104"/>
        <w:ind w:right="203"/>
        <w:jc w:val="left"/>
      </w:pPr>
      <w:r>
        <w:rPr/>
        <w:t>万股。</w:t>
      </w:r>
    </w:p>
    <w:p>
      <w:pPr>
        <w:pStyle w:val="BodyText"/>
        <w:spacing w:line="240" w:lineRule="auto" w:before="154"/>
        <w:ind w:left="621" w:right="203"/>
        <w:jc w:val="left"/>
      </w:pPr>
      <w:r>
        <w:rPr/>
        <w:t>上述预案尚需提交公司</w:t>
      </w:r>
      <w:r>
        <w:rPr>
          <w:rFonts w:ascii="Times New Roman" w:hAnsi="Times New Roman" w:cs="Times New Roman" w:eastAsia="Times New Roman" w:hint="default"/>
        </w:rPr>
        <w:t>2010</w:t>
      </w:r>
      <w:r>
        <w:rPr/>
        <w:t>年股东大会审议。</w:t>
      </w:r>
    </w:p>
    <w:p>
      <w:pPr>
        <w:spacing w:line="240" w:lineRule="auto" w:before="2"/>
        <w:rPr>
          <w:rFonts w:ascii="宋体" w:hAnsi="宋体" w:cs="宋体" w:eastAsia="宋体" w:hint="default"/>
          <w:sz w:val="33"/>
          <w:szCs w:val="33"/>
        </w:rPr>
      </w:pPr>
    </w:p>
    <w:p>
      <w:pPr>
        <w:pStyle w:val="Heading6"/>
        <w:spacing w:line="240" w:lineRule="auto"/>
        <w:ind w:right="203"/>
        <w:jc w:val="left"/>
        <w:rPr>
          <w:b w:val="0"/>
          <w:bCs w:val="0"/>
        </w:rPr>
      </w:pPr>
      <w:r>
        <w:rPr/>
        <w:t>（二）公司前三年现金分红情况：</w:t>
      </w:r>
      <w:r>
        <w:rPr>
          <w:b w:val="0"/>
          <w:bCs w:val="0"/>
        </w:rPr>
      </w:r>
    </w:p>
    <w:p>
      <w:pPr>
        <w:spacing w:line="240" w:lineRule="auto" w:before="4"/>
        <w:rPr>
          <w:rFonts w:ascii="宋体" w:hAnsi="宋体" w:cs="宋体" w:eastAsia="宋体" w:hint="default"/>
          <w:b/>
          <w:bCs/>
          <w:sz w:val="34"/>
          <w:szCs w:val="34"/>
        </w:rPr>
      </w:pPr>
    </w:p>
    <w:p>
      <w:pPr>
        <w:spacing w:before="0"/>
        <w:ind w:left="621" w:right="203" w:firstLine="0"/>
        <w:jc w:val="left"/>
        <w:rPr>
          <w:rFonts w:ascii="宋体" w:hAnsi="宋体" w:cs="宋体" w:eastAsia="宋体" w:hint="default"/>
          <w:sz w:val="22"/>
          <w:szCs w:val="22"/>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日，公司召开</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年度股东大会，通过</w:t>
      </w:r>
      <w:r>
        <w:rPr>
          <w:rFonts w:ascii="宋体" w:hAnsi="宋体" w:cs="宋体" w:eastAsia="宋体" w:hint="default"/>
          <w:sz w:val="22"/>
          <w:szCs w:val="22"/>
        </w:rPr>
        <w:t>《关于审议</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宋体" w:hAnsi="宋体" w:cs="宋体" w:eastAsia="宋体" w:hint="default"/>
          <w:spacing w:val="-3"/>
          <w:sz w:val="22"/>
          <w:szCs w:val="22"/>
        </w:rPr>
        <w:t>年度</w:t>
      </w:r>
      <w:r>
        <w:rPr>
          <w:rFonts w:ascii="宋体" w:hAnsi="宋体" w:cs="宋体" w:eastAsia="宋体" w:hint="default"/>
          <w:sz w:val="22"/>
          <w:szCs w:val="22"/>
        </w:rPr>
      </w:r>
    </w:p>
    <w:p>
      <w:pPr>
        <w:spacing w:before="135"/>
        <w:ind w:left="142" w:right="203" w:firstLine="0"/>
        <w:jc w:val="left"/>
        <w:rPr>
          <w:rFonts w:ascii="宋体" w:hAnsi="宋体" w:cs="宋体" w:eastAsia="宋体" w:hint="default"/>
          <w:sz w:val="24"/>
          <w:szCs w:val="24"/>
        </w:rPr>
      </w:pPr>
      <w:r>
        <w:rPr>
          <w:rFonts w:ascii="宋体" w:hAnsi="宋体" w:cs="宋体" w:eastAsia="宋体" w:hint="default"/>
          <w:w w:val="100"/>
          <w:sz w:val="22"/>
          <w:szCs w:val="22"/>
        </w:rPr>
        <w:t>利润分</w:t>
      </w:r>
      <w:r>
        <w:rPr>
          <w:rFonts w:ascii="宋体" w:hAnsi="宋体" w:cs="宋体" w:eastAsia="宋体" w:hint="default"/>
          <w:spacing w:val="-3"/>
          <w:w w:val="100"/>
          <w:sz w:val="22"/>
          <w:szCs w:val="22"/>
        </w:rPr>
        <w:t>配</w:t>
      </w:r>
      <w:r>
        <w:rPr>
          <w:rFonts w:ascii="宋体" w:hAnsi="宋体" w:cs="宋体" w:eastAsia="宋体" w:hint="default"/>
          <w:w w:val="100"/>
          <w:sz w:val="22"/>
          <w:szCs w:val="22"/>
        </w:rPr>
        <w:t>方案</w:t>
      </w:r>
      <w:r>
        <w:rPr>
          <w:rFonts w:ascii="宋体" w:hAnsi="宋体" w:cs="宋体" w:eastAsia="宋体" w:hint="default"/>
          <w:spacing w:val="-3"/>
          <w:w w:val="100"/>
          <w:sz w:val="22"/>
          <w:szCs w:val="22"/>
        </w:rPr>
        <w:t>的</w:t>
      </w:r>
      <w:r>
        <w:rPr>
          <w:rFonts w:ascii="宋体" w:hAnsi="宋体" w:cs="宋体" w:eastAsia="宋体" w:hint="default"/>
          <w:w w:val="100"/>
          <w:sz w:val="22"/>
          <w:szCs w:val="22"/>
        </w:rPr>
        <w:t>议案</w:t>
      </w:r>
      <w:r>
        <w:rPr>
          <w:rFonts w:ascii="宋体" w:hAnsi="宋体" w:cs="宋体" w:eastAsia="宋体" w:hint="default"/>
          <w:spacing w:val="-111"/>
          <w:w w:val="100"/>
          <w:sz w:val="22"/>
          <w:szCs w:val="22"/>
        </w:rPr>
        <w:t>》</w:t>
      </w:r>
      <w:r>
        <w:rPr>
          <w:rFonts w:ascii="宋体" w:hAnsi="宋体" w:cs="宋体" w:eastAsia="宋体" w:hint="default"/>
          <w:spacing w:val="-2"/>
          <w:w w:val="100"/>
          <w:sz w:val="22"/>
          <w:szCs w:val="22"/>
        </w:rPr>
        <w:t>，</w:t>
      </w:r>
      <w:r>
        <w:rPr>
          <w:rFonts w:ascii="宋体" w:hAnsi="宋体" w:cs="宋体" w:eastAsia="宋体" w:hint="default"/>
          <w:sz w:val="24"/>
          <w:szCs w:val="24"/>
        </w:rPr>
        <w:t>经广东大华德律会计师事务所审计，公司</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2"/>
          <w:sz w:val="24"/>
          <w:szCs w:val="24"/>
        </w:rPr>
        <w:t>0</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年度实</w:t>
      </w:r>
      <w:r>
        <w:rPr>
          <w:rFonts w:ascii="宋体" w:hAnsi="宋体" w:cs="宋体" w:eastAsia="宋体" w:hint="default"/>
          <w:spacing w:val="-3"/>
          <w:sz w:val="24"/>
          <w:szCs w:val="24"/>
        </w:rPr>
        <w:t>现</w:t>
      </w:r>
      <w:r>
        <w:rPr>
          <w:rFonts w:ascii="宋体" w:hAnsi="宋体" w:cs="宋体" w:eastAsia="宋体" w:hint="default"/>
          <w:sz w:val="24"/>
          <w:szCs w:val="24"/>
        </w:rPr>
        <w:t>净</w:t>
      </w:r>
    </w:p>
    <w:p>
      <w:pPr>
        <w:pStyle w:val="BodyText"/>
        <w:spacing w:line="338" w:lineRule="auto" w:before="135"/>
        <w:ind w:right="203"/>
        <w:jc w:val="left"/>
      </w:pPr>
      <w:r>
        <w:rPr/>
        <w:t>利润</w:t>
      </w:r>
      <w:r>
        <w:rPr>
          <w:spacing w:val="-47"/>
        </w:rPr>
        <w:t> </w:t>
      </w:r>
      <w:r>
        <w:rPr>
          <w:rFonts w:ascii="Times New Roman" w:hAnsi="Times New Roman" w:cs="Times New Roman" w:eastAsia="Times New Roman" w:hint="default"/>
        </w:rPr>
        <w:t>30,840,866.97</w:t>
      </w:r>
      <w:r>
        <w:rPr>
          <w:rFonts w:ascii="Times New Roman" w:hAnsi="Times New Roman" w:cs="Times New Roman" w:eastAsia="Times New Roman" w:hint="default"/>
          <w:spacing w:val="13"/>
        </w:rPr>
        <w:t> </w:t>
      </w:r>
      <w:r>
        <w:rPr/>
        <w:t>元，未分配利润为</w:t>
      </w:r>
      <w:r>
        <w:rPr>
          <w:spacing w:val="-46"/>
        </w:rPr>
        <w:t> </w:t>
      </w:r>
      <w:r>
        <w:rPr>
          <w:rFonts w:ascii="Times New Roman" w:hAnsi="Times New Roman" w:cs="Times New Roman" w:eastAsia="Times New Roman" w:hint="default"/>
        </w:rPr>
        <w:t>20,262,327.91</w:t>
      </w:r>
      <w:r>
        <w:rPr>
          <w:rFonts w:ascii="Times New Roman" w:hAnsi="Times New Roman" w:cs="Times New Roman" w:eastAsia="Times New Roman" w:hint="default"/>
          <w:spacing w:val="13"/>
        </w:rPr>
        <w:t> </w:t>
      </w:r>
      <w:r>
        <w:rPr/>
        <w:t>元。公司以</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7"/>
        </w:rPr>
        <w:t> </w:t>
      </w:r>
      <w:r>
        <w:rPr>
          <w:rFonts w:ascii="Times New Roman" w:hAnsi="Times New Roman" w:cs="Times New Roman" w:eastAsia="Times New Roman" w:hint="default"/>
        </w:rPr>
        <w:t>31 </w:t>
      </w:r>
      <w:r>
        <w:rPr/>
        <w:t>日总股本</w:t>
      </w:r>
      <w:r>
        <w:rPr>
          <w:spacing w:val="-75"/>
        </w:rPr>
        <w:t> </w:t>
      </w:r>
      <w:r>
        <w:rPr>
          <w:rFonts w:ascii="Times New Roman" w:hAnsi="Times New Roman" w:cs="Times New Roman" w:eastAsia="Times New Roman" w:hint="default"/>
        </w:rPr>
        <w:t>4750</w:t>
      </w:r>
      <w:r>
        <w:rPr>
          <w:rFonts w:ascii="Times New Roman" w:hAnsi="Times New Roman" w:cs="Times New Roman" w:eastAsia="Times New Roman" w:hint="default"/>
          <w:spacing w:val="-15"/>
        </w:rPr>
        <w:t> </w:t>
      </w:r>
      <w:r>
        <w:rPr/>
        <w:t>万股为基数</w:t>
      </w:r>
      <w:r>
        <w:rPr>
          <w:rFonts w:ascii="Times New Roman" w:hAnsi="Times New Roman" w:cs="Times New Roman" w:eastAsia="Times New Roman" w:hint="default"/>
        </w:rPr>
        <w:t>,</w:t>
      </w:r>
      <w:r>
        <w:rPr/>
        <w:t>以未分配利润向全体股东每股派发现金</w:t>
      </w:r>
      <w:r>
        <w:rPr>
          <w:spacing w:val="-75"/>
        </w:rPr>
        <w:t> </w:t>
      </w:r>
      <w:r>
        <w:rPr>
          <w:rFonts w:ascii="Times New Roman" w:hAnsi="Times New Roman" w:cs="Times New Roman" w:eastAsia="Times New Roman" w:hint="default"/>
        </w:rPr>
        <w:t>0.20</w:t>
      </w:r>
      <w:r>
        <w:rPr>
          <w:rFonts w:ascii="Times New Roman" w:hAnsi="Times New Roman" w:cs="Times New Roman" w:eastAsia="Times New Roman" w:hint="default"/>
          <w:spacing w:val="-14"/>
        </w:rPr>
        <w:t> </w:t>
      </w:r>
      <w:r>
        <w:rPr>
          <w:spacing w:val="-40"/>
        </w:rPr>
        <w:t>元（含税），</w:t>
      </w:r>
      <w:r>
        <w:rPr/>
        <w:t> 合计</w:t>
      </w:r>
      <w:r>
        <w:rPr>
          <w:spacing w:val="-61"/>
        </w:rPr>
        <w:t> </w:t>
      </w:r>
      <w:r>
        <w:rPr>
          <w:rFonts w:ascii="Times New Roman" w:hAnsi="Times New Roman" w:cs="Times New Roman" w:eastAsia="Times New Roman" w:hint="default"/>
        </w:rPr>
        <w:t>950 </w:t>
      </w:r>
      <w:r>
        <w:rPr/>
        <w:t>万元，公司代扣代缴相应的所得税金。</w:t>
      </w:r>
    </w:p>
    <w:p>
      <w:pPr>
        <w:spacing w:line="240" w:lineRule="auto" w:before="13"/>
        <w:rPr>
          <w:rFonts w:ascii="宋体" w:hAnsi="宋体" w:cs="宋体" w:eastAsia="宋体" w:hint="default"/>
          <w:sz w:val="24"/>
          <w:szCs w:val="24"/>
        </w:rPr>
      </w:pPr>
    </w:p>
    <w:p>
      <w:pPr>
        <w:pStyle w:val="Heading6"/>
        <w:spacing w:line="240" w:lineRule="auto"/>
        <w:ind w:right="203"/>
        <w:jc w:val="left"/>
        <w:rPr>
          <w:b w:val="0"/>
          <w:bCs w:val="0"/>
        </w:rPr>
      </w:pPr>
      <w:r>
        <w:rPr/>
        <w:t>（三）公司最近三年股本变动情况</w:t>
      </w:r>
      <w:r>
        <w:rPr>
          <w:b w:val="0"/>
          <w:bCs w:val="0"/>
        </w:rPr>
      </w:r>
    </w:p>
    <w:p>
      <w:pPr>
        <w:spacing w:line="240" w:lineRule="auto" w:before="2"/>
        <w:rPr>
          <w:rFonts w:ascii="宋体" w:hAnsi="宋体" w:cs="宋体" w:eastAsia="宋体" w:hint="default"/>
          <w:b/>
          <w:bCs/>
          <w:sz w:val="34"/>
          <w:szCs w:val="34"/>
        </w:rPr>
      </w:pPr>
    </w:p>
    <w:p>
      <w:pPr>
        <w:pStyle w:val="BodyText"/>
        <w:spacing w:line="240" w:lineRule="auto"/>
        <w:ind w:right="20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年股本发生变动，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月，公司股本由</w:t>
      </w:r>
      <w:r>
        <w:rPr>
          <w:rFonts w:ascii="Times New Roman" w:hAnsi="Times New Roman" w:cs="Times New Roman" w:eastAsia="Times New Roman" w:hint="default"/>
        </w:rPr>
        <w:t>1500</w:t>
      </w:r>
      <w:r>
        <w:rPr/>
        <w:t>万股增加为</w:t>
      </w:r>
      <w:r>
        <w:rPr>
          <w:rFonts w:ascii="Times New Roman" w:hAnsi="Times New Roman" w:cs="Times New Roman" w:eastAsia="Times New Roman" w:hint="default"/>
        </w:rPr>
        <w:t>4000</w:t>
      </w:r>
      <w:r>
        <w:rPr/>
        <w:t>万股。</w:t>
      </w:r>
    </w:p>
    <w:p>
      <w:pPr>
        <w:pStyle w:val="BodyText"/>
        <w:spacing w:line="338" w:lineRule="auto" w:before="135"/>
        <w:ind w:right="84" w:firstLine="479"/>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日，深圳市新国都技术有限公司（公司前身）全体股东召开了股 东会，一致同意将深圳市新国都技术有限公司的注册资本增加至人民币</w:t>
      </w:r>
      <w:r>
        <w:rPr>
          <w:rFonts w:ascii="Times New Roman" w:hAnsi="Times New Roman" w:cs="Times New Roman" w:eastAsia="Times New Roman" w:hint="default"/>
        </w:rPr>
        <w:t>4,000</w:t>
      </w:r>
      <w:r>
        <w:rPr/>
        <w:t>万元， 新增注册资本人民币</w:t>
      </w:r>
      <w:r>
        <w:rPr>
          <w:rFonts w:ascii="Times New Roman" w:hAnsi="Times New Roman" w:cs="Times New Roman" w:eastAsia="Times New Roman" w:hint="default"/>
        </w:rPr>
        <w:t>2,500</w:t>
      </w:r>
      <w:r>
        <w:rPr/>
        <w:t>万元直接由深圳市新国都技术有限公司截止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 </w:t>
      </w:r>
      <w:r>
        <w:rPr>
          <w:rFonts w:ascii="Times New Roman" w:hAnsi="Times New Roman" w:cs="Times New Roman" w:eastAsia="Times New Roman" w:hint="default"/>
        </w:rPr>
        <w:t>31</w:t>
      </w:r>
      <w:r>
        <w:rPr/>
        <w:t>日经审计的未分配利润转增。根据深圳大华天诚会计师事务所于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 </w:t>
      </w:r>
      <w:r>
        <w:rPr>
          <w:spacing w:val="-3"/>
        </w:rPr>
        <w:t>出具的深华验字</w:t>
      </w:r>
      <w:r>
        <w:rPr>
          <w:rFonts w:ascii="Times New Roman" w:hAnsi="Times New Roman" w:cs="Times New Roman" w:eastAsia="Times New Roman" w:hint="default"/>
          <w:spacing w:val="-3"/>
        </w:rPr>
        <w:t>[2007]152</w:t>
      </w:r>
      <w:r>
        <w:rPr>
          <w:spacing w:val="-3"/>
        </w:rPr>
        <w:t>号《验资报告》，截至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14</w:t>
      </w:r>
      <w:r>
        <w:rPr>
          <w:spacing w:val="-3"/>
        </w:rPr>
        <w:t>日，深圳市新国都技</w:t>
      </w:r>
      <w:r>
        <w:rPr>
          <w:spacing w:val="-106"/>
        </w:rPr>
        <w:t> </w:t>
      </w:r>
      <w:r>
        <w:rPr/>
        <w:t>术有限公司已将基准日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日经审计的未分配利润中的人民币</w:t>
      </w:r>
      <w:r>
        <w:rPr>
          <w:rFonts w:ascii="Times New Roman" w:hAnsi="Times New Roman" w:cs="Times New Roman" w:eastAsia="Times New Roman" w:hint="default"/>
        </w:rPr>
        <w:t>2,500</w:t>
      </w:r>
      <w:r>
        <w:rPr/>
        <w:t>万元 转增实收资本，深圳市新国都技术有限公司累计实收注册资本为人民币</w:t>
      </w:r>
      <w:r>
        <w:rPr>
          <w:rFonts w:ascii="Times New Roman" w:hAnsi="Times New Roman" w:cs="Times New Roman" w:eastAsia="Times New Roman" w:hint="default"/>
        </w:rPr>
        <w:t>4,000</w:t>
      </w:r>
      <w:r>
        <w:rPr/>
        <w:t>万元。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t>年股本变动情况</w:t>
      </w:r>
    </w:p>
    <w:p>
      <w:pPr>
        <w:pStyle w:val="BodyText"/>
        <w:spacing w:line="343" w:lineRule="auto" w:before="27"/>
        <w:ind w:right="180" w:firstLine="479"/>
        <w:jc w:val="left"/>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w:t>
      </w:r>
      <w:r>
        <w:rPr>
          <w:spacing w:val="-1"/>
        </w:rPr>
        <w:t>日，经本公司</w:t>
      </w:r>
      <w:r>
        <w:rPr>
          <w:rFonts w:ascii="Times New Roman" w:hAnsi="Times New Roman" w:cs="Times New Roman" w:eastAsia="Times New Roman" w:hint="default"/>
          <w:spacing w:val="-1"/>
        </w:rPr>
        <w:t>2008</w:t>
      </w:r>
      <w:r>
        <w:rPr>
          <w:spacing w:val="-1"/>
        </w:rPr>
        <w:t>年第一次临时股东大会决议通过，公司增加注册</w:t>
      </w:r>
      <w:r>
        <w:rPr/>
        <w:t> 资本</w:t>
      </w:r>
      <w:r>
        <w:rPr>
          <w:rFonts w:ascii="Times New Roman" w:hAnsi="Times New Roman" w:cs="Times New Roman" w:eastAsia="Times New Roman" w:hint="default"/>
        </w:rPr>
        <w:t>750</w:t>
      </w:r>
      <w:r>
        <w:rPr/>
        <w:t>万元，公司股份总额由</w:t>
      </w:r>
      <w:r>
        <w:rPr>
          <w:rFonts w:ascii="Times New Roman" w:hAnsi="Times New Roman" w:cs="Times New Roman" w:eastAsia="Times New Roman" w:hint="default"/>
        </w:rPr>
        <w:t>4,000</w:t>
      </w:r>
      <w:r>
        <w:rPr/>
        <w:t>万股增加至</w:t>
      </w:r>
      <w:r>
        <w:rPr>
          <w:rFonts w:ascii="Times New Roman" w:hAnsi="Times New Roman" w:cs="Times New Roman" w:eastAsia="Times New Roman" w:hint="default"/>
        </w:rPr>
        <w:t>4,750</w:t>
      </w:r>
      <w:r>
        <w:rPr/>
        <w:t>万股，新增</w:t>
      </w:r>
      <w:r>
        <w:rPr>
          <w:rFonts w:ascii="Times New Roman" w:hAnsi="Times New Roman" w:cs="Times New Roman" w:eastAsia="Times New Roman" w:hint="default"/>
        </w:rPr>
        <w:t>750</w:t>
      </w:r>
      <w:r>
        <w:rPr/>
        <w:t>万股份别由深 </w:t>
      </w:r>
      <w:r>
        <w:rPr>
          <w:spacing w:val="-1"/>
        </w:rPr>
        <w:t>圳市创新投资集团有限公司、北京首创建设有限公司、上海林耐实业投资中心（有</w:t>
      </w:r>
      <w:r>
        <w:rPr>
          <w:spacing w:val="-108"/>
        </w:rPr>
        <w:t> </w:t>
      </w:r>
      <w:r>
        <w:rPr>
          <w:spacing w:val="-108"/>
        </w:rPr>
      </w:r>
      <w:r>
        <w:rPr>
          <w:spacing w:val="-4"/>
        </w:rPr>
        <w:t>限合伙）、深圳市福田创新资本创业投资有限公司、深圳市长润创业投资企业（有</w:t>
      </w:r>
      <w:r>
        <w:rPr>
          <w:spacing w:val="-96"/>
        </w:rPr>
        <w:t> </w:t>
      </w:r>
      <w:r>
        <w:rPr>
          <w:spacing w:val="-96"/>
        </w:rPr>
      </w:r>
      <w:r>
        <w:rPr>
          <w:spacing w:val="-4"/>
        </w:rPr>
        <w:t>限合伙）、蔡衍军、王凌海、陈新华、李妍、许芹、里维宁等</w:t>
      </w:r>
      <w:r>
        <w:rPr>
          <w:rFonts w:ascii="Times New Roman" w:hAnsi="Times New Roman" w:cs="Times New Roman" w:eastAsia="Times New Roman" w:hint="default"/>
          <w:spacing w:val="-4"/>
        </w:rPr>
        <w:t>11</w:t>
      </w:r>
      <w:r>
        <w:rPr>
          <w:spacing w:val="-4"/>
        </w:rPr>
        <w:t>名投资人认购。定</w:t>
      </w:r>
      <w:r>
        <w:rPr>
          <w:spacing w:val="-102"/>
        </w:rPr>
        <w:t> </w:t>
      </w:r>
      <w:r>
        <w:rPr>
          <w:spacing w:val="-7"/>
        </w:rPr>
        <w:t>价依据为以</w:t>
      </w:r>
      <w:r>
        <w:rPr>
          <w:rFonts w:ascii="Times New Roman" w:hAnsi="Times New Roman" w:cs="Times New Roman" w:eastAsia="Times New Roman" w:hint="default"/>
          <w:spacing w:val="-7"/>
        </w:rPr>
        <w:t>2007</w:t>
      </w:r>
      <w:r>
        <w:rPr>
          <w:spacing w:val="-7"/>
        </w:rPr>
        <w:t>年经审计净利润按照</w:t>
      </w:r>
      <w:r>
        <w:rPr>
          <w:rFonts w:ascii="Times New Roman" w:hAnsi="Times New Roman" w:cs="Times New Roman" w:eastAsia="Times New Roman" w:hint="default"/>
          <w:spacing w:val="-7"/>
        </w:rPr>
        <w:t>9.25</w:t>
      </w:r>
      <w:r>
        <w:rPr>
          <w:spacing w:val="-7"/>
        </w:rPr>
        <w:t>倍市盈率</w:t>
      </w:r>
      <w:r>
        <w:rPr>
          <w:rFonts w:ascii="Times New Roman" w:hAnsi="Times New Roman" w:cs="Times New Roman" w:eastAsia="Times New Roman" w:hint="default"/>
          <w:spacing w:val="-7"/>
        </w:rPr>
        <w:t>(</w:t>
      </w:r>
      <w:r>
        <w:rPr>
          <w:spacing w:val="-7"/>
        </w:rPr>
        <w:t>摊薄前）测算，即</w:t>
      </w:r>
      <w:r>
        <w:rPr>
          <w:rFonts w:ascii="Times New Roman" w:hAnsi="Times New Roman" w:cs="Times New Roman" w:eastAsia="Times New Roman" w:hint="default"/>
          <w:spacing w:val="-7"/>
        </w:rPr>
        <w:t>6.67</w:t>
      </w:r>
      <w:r>
        <w:rPr>
          <w:spacing w:val="-7"/>
        </w:rPr>
        <w:t>元</w:t>
      </w:r>
      <w:r>
        <w:rPr>
          <w:rFonts w:ascii="Times New Roman" w:hAnsi="Times New Roman" w:cs="Times New Roman" w:eastAsia="Times New Roman" w:hint="default"/>
          <w:spacing w:val="-7"/>
        </w:rPr>
        <w:t>/</w:t>
      </w:r>
      <w:r>
        <w:rPr>
          <w:spacing w:val="-7"/>
        </w:rPr>
        <w:t>股。</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21"/>
        </w:rPr>
        <w:t> </w:t>
      </w:r>
      <w:r>
        <w:rPr>
          <w:spacing w:val="-1"/>
        </w:rPr>
        <w:t>年</w:t>
      </w:r>
      <w:r>
        <w:rPr>
          <w:rFonts w:ascii="Times New Roman" w:hAnsi="Times New Roman" w:cs="Times New Roman" w:eastAsia="Times New Roman" w:hint="default"/>
          <w:spacing w:val="-1"/>
        </w:rPr>
        <w:t>6</w:t>
      </w:r>
      <w:r>
        <w:rPr>
          <w:spacing w:val="-1"/>
        </w:rPr>
        <w:t>月，公司与上述新增股东分别签订了投资合同书。</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日，大华德律出</w:t>
      </w:r>
      <w:r>
        <w:rPr>
          <w:spacing w:val="-104"/>
        </w:rPr>
        <w:t> </w:t>
      </w:r>
      <w:r>
        <w:rPr>
          <w:spacing w:val="-104"/>
        </w:rPr>
      </w:r>
      <w:r>
        <w:rPr>
          <w:spacing w:val="-2"/>
        </w:rPr>
        <w:t>具了深华验字</w:t>
      </w:r>
      <w:r>
        <w:rPr>
          <w:rFonts w:ascii="Times New Roman" w:hAnsi="Times New Roman" w:cs="Times New Roman" w:eastAsia="Times New Roman" w:hint="default"/>
          <w:spacing w:val="-2"/>
        </w:rPr>
        <w:t>[2008]74</w:t>
      </w:r>
      <w:r>
        <w:rPr>
          <w:spacing w:val="-2"/>
        </w:rPr>
        <w:t>号《验资报告》对本次增资进行了验证。</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日，公</w:t>
      </w:r>
      <w:r>
        <w:rPr>
          <w:spacing w:val="-99"/>
        </w:rPr>
        <w:t> </w:t>
      </w:r>
      <w:r>
        <w:rPr>
          <w:spacing w:val="-99"/>
        </w:rPr>
      </w:r>
      <w:r>
        <w:rPr/>
        <w:t>司完成工商变更登记并领取了新的营业执照。</w:t>
      </w:r>
    </w:p>
    <w:p>
      <w:pPr>
        <w:spacing w:after="0" w:line="343" w:lineRule="auto"/>
        <w:jc w:val="left"/>
        <w:sectPr>
          <w:pgSz w:w="11910" w:h="16840"/>
          <w:pgMar w:header="877" w:footer="1267" w:top="1060" w:bottom="1460" w:left="1560" w:right="1400"/>
        </w:sectPr>
      </w:pPr>
    </w:p>
    <w:p>
      <w:pPr>
        <w:pStyle w:val="BodyText"/>
        <w:spacing w:line="240" w:lineRule="auto" w:before="104"/>
        <w:ind w:right="133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t>年股本未发生变化，</w:t>
      </w:r>
      <w:r>
        <w:rPr>
          <w:rFonts w:ascii="Times New Roman" w:hAnsi="Times New Roman" w:cs="Times New Roman" w:eastAsia="Times New Roman" w:hint="default"/>
        </w:rPr>
        <w:t>2009</w:t>
      </w:r>
      <w:r>
        <w:rPr/>
        <w:t>年末公司股本为</w:t>
      </w:r>
      <w:r>
        <w:rPr>
          <w:rFonts w:ascii="Times New Roman" w:hAnsi="Times New Roman" w:cs="Times New Roman" w:eastAsia="Times New Roman" w:hint="default"/>
        </w:rPr>
        <w:t>4750</w:t>
      </w:r>
      <w:r>
        <w:rPr/>
        <w:t>万股。</w:t>
      </w:r>
    </w:p>
    <w:p>
      <w:pPr>
        <w:pStyle w:val="BodyText"/>
        <w:spacing w:line="340" w:lineRule="auto" w:before="136"/>
        <w:ind w:right="134"/>
        <w:jc w:val="left"/>
      </w:pPr>
      <w:r>
        <w:rPr>
          <w:rFonts w:ascii="Times New Roman" w:hAnsi="Times New Roman" w:cs="Times New Roman" w:eastAsia="Times New Roman" w:hint="default"/>
          <w:spacing w:val="-1"/>
        </w:rPr>
        <w:t>4</w:t>
      </w:r>
      <w:r>
        <w:rPr>
          <w:spacing w:val="-1"/>
        </w:rPr>
        <w:t>、经中国证券监督管理委员会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[2010]1292</w:t>
      </w:r>
      <w:r>
        <w:rPr>
          <w:spacing w:val="-1"/>
        </w:rPr>
        <w:t>号</w:t>
      </w:r>
      <w:r>
        <w:rPr>
          <w:rFonts w:ascii="Times New Roman" w:hAnsi="Times New Roman" w:cs="Times New Roman" w:eastAsia="Times New Roman" w:hint="default"/>
          <w:spacing w:val="-1"/>
        </w:rPr>
        <w:t>”</w:t>
      </w:r>
      <w:r>
        <w:rPr>
          <w:spacing w:val="-1"/>
        </w:rPr>
        <w:t>文核准，本公司公开发行人</w:t>
      </w:r>
      <w:r>
        <w:rPr>
          <w:spacing w:val="-114"/>
        </w:rPr>
        <w:t> </w:t>
      </w:r>
      <w:r>
        <w:rPr>
          <w:spacing w:val="-114"/>
        </w:rPr>
      </w:r>
      <w:r>
        <w:rPr/>
        <w:t>民币普通股</w:t>
      </w:r>
      <w:r>
        <w:rPr>
          <w:rFonts w:ascii="Times New Roman" w:hAnsi="Times New Roman" w:cs="Times New Roman" w:eastAsia="Times New Roman" w:hint="default"/>
        </w:rPr>
        <w:t>1,600</w:t>
      </w:r>
      <w:r>
        <w:rPr>
          <w:rFonts w:ascii="Times New Roman" w:hAnsi="Times New Roman" w:cs="Times New Roman" w:eastAsia="Times New Roman" w:hint="default"/>
          <w:spacing w:val="16"/>
        </w:rPr>
        <w:t> </w:t>
      </w:r>
      <w:r>
        <w:rPr>
          <w:spacing w:val="-3"/>
        </w:rPr>
        <w:t>万股。本次发行采用网下向配售对象询价配售（以下简称</w:t>
      </w:r>
      <w:r>
        <w:rPr>
          <w:rFonts w:ascii="Times New Roman" w:hAnsi="Times New Roman" w:cs="Times New Roman" w:eastAsia="Times New Roman" w:hint="default"/>
          <w:spacing w:val="-3"/>
        </w:rPr>
        <w:t>“</w:t>
      </w:r>
      <w:r>
        <w:rPr>
          <w:spacing w:val="-3"/>
        </w:rPr>
        <w:t>网下配</w:t>
      </w:r>
      <w:r>
        <w:rPr/>
        <w:t> </w:t>
      </w:r>
      <w:r>
        <w:rPr>
          <w:spacing w:val="-3"/>
        </w:rPr>
        <w:t>售</w:t>
      </w:r>
      <w:r>
        <w:rPr>
          <w:rFonts w:ascii="Times New Roman" w:hAnsi="Times New Roman" w:cs="Times New Roman" w:eastAsia="Times New Roman" w:hint="default"/>
          <w:spacing w:val="-3"/>
        </w:rPr>
        <w:t>”</w:t>
      </w:r>
      <w:r>
        <w:rPr>
          <w:spacing w:val="-3"/>
        </w:rPr>
        <w:t>）和网上向社会公众投资者定价发行（以下简称</w:t>
      </w:r>
      <w:r>
        <w:rPr>
          <w:rFonts w:ascii="Times New Roman" w:hAnsi="Times New Roman" w:cs="Times New Roman" w:eastAsia="Times New Roman" w:hint="default"/>
          <w:spacing w:val="-3"/>
        </w:rPr>
        <w:t>“</w:t>
      </w:r>
      <w:r>
        <w:rPr>
          <w:spacing w:val="-3"/>
        </w:rPr>
        <w:t>网上发行</w:t>
      </w:r>
      <w:r>
        <w:rPr>
          <w:rFonts w:ascii="Times New Roman" w:hAnsi="Times New Roman" w:cs="Times New Roman" w:eastAsia="Times New Roman" w:hint="default"/>
          <w:spacing w:val="-3"/>
        </w:rPr>
        <w:t>”</w:t>
      </w:r>
      <w:r>
        <w:rPr>
          <w:spacing w:val="-3"/>
        </w:rPr>
        <w:t>）相结合的方式，其</w:t>
      </w:r>
      <w:r>
        <w:rPr>
          <w:spacing w:val="-113"/>
        </w:rPr>
        <w:t> </w:t>
      </w:r>
      <w:r>
        <w:rPr>
          <w:spacing w:val="-113"/>
        </w:rPr>
      </w:r>
      <w:r>
        <w:rPr>
          <w:spacing w:val="-3"/>
        </w:rPr>
        <w:t>中，网下配售</w:t>
      </w:r>
      <w:r>
        <w:rPr>
          <w:rFonts w:ascii="Times New Roman" w:hAnsi="Times New Roman" w:cs="Times New Roman" w:eastAsia="Times New Roman" w:hint="default"/>
          <w:spacing w:val="-3"/>
        </w:rPr>
        <w:t>320</w:t>
      </w:r>
      <w:r>
        <w:rPr>
          <w:spacing w:val="-3"/>
        </w:rPr>
        <w:t>万股，网上发行</w:t>
      </w:r>
      <w:r>
        <w:rPr>
          <w:rFonts w:ascii="Times New Roman" w:hAnsi="Times New Roman" w:cs="Times New Roman" w:eastAsia="Times New Roman" w:hint="default"/>
          <w:spacing w:val="-3"/>
        </w:rPr>
        <w:t>1,280</w:t>
      </w:r>
      <w:r>
        <w:rPr>
          <w:spacing w:val="-3"/>
        </w:rPr>
        <w:t>万股，发行价格为</w:t>
      </w:r>
      <w:r>
        <w:rPr>
          <w:rFonts w:ascii="Times New Roman" w:hAnsi="Times New Roman" w:cs="Times New Roman" w:eastAsia="Times New Roman" w:hint="default"/>
          <w:spacing w:val="-3"/>
        </w:rPr>
        <w:t>43.33</w:t>
      </w:r>
      <w:r>
        <w:rPr>
          <w:spacing w:val="-3"/>
        </w:rPr>
        <w:t>元</w:t>
      </w:r>
      <w:r>
        <w:rPr>
          <w:rFonts w:ascii="Times New Roman" w:hAnsi="Times New Roman" w:cs="Times New Roman" w:eastAsia="Times New Roman" w:hint="default"/>
          <w:spacing w:val="-3"/>
        </w:rPr>
        <w:t>/</w:t>
      </w:r>
      <w:r>
        <w:rPr>
          <w:spacing w:val="-3"/>
        </w:rPr>
        <w:t>股。经深圳证券交</w:t>
      </w:r>
      <w:r>
        <w:rPr>
          <w:spacing w:val="-79"/>
        </w:rPr>
        <w:t> </w:t>
      </w:r>
      <w:r>
        <w:rPr>
          <w:spacing w:val="-79"/>
        </w:rPr>
      </w:r>
      <w:r>
        <w:rPr/>
        <w:t>易所《关于深圳市新国都技术股份有限公司人民币普通股股票在创业板上市的通 </w:t>
      </w:r>
      <w:r>
        <w:rPr>
          <w:spacing w:val="-2"/>
        </w:rPr>
        <w:t>知》（深证上</w:t>
      </w:r>
      <w:r>
        <w:rPr>
          <w:rFonts w:ascii="Times New Roman" w:hAnsi="Times New Roman" w:cs="Times New Roman" w:eastAsia="Times New Roman" w:hint="default"/>
          <w:spacing w:val="-2"/>
        </w:rPr>
        <w:t>[2010]332</w:t>
      </w:r>
      <w:r>
        <w:rPr>
          <w:spacing w:val="-2"/>
        </w:rPr>
        <w:t>号）同意，本公司发行的人民币普通股股票在深圳证券交易</w:t>
      </w:r>
      <w:r>
        <w:rPr>
          <w:spacing w:val="-102"/>
        </w:rPr>
        <w:t> </w:t>
      </w:r>
      <w:r>
        <w:rPr>
          <w:spacing w:val="-102"/>
        </w:rPr>
      </w:r>
      <w:r>
        <w:rPr/>
        <w:t>所创业板上市，股票简称</w:t>
      </w:r>
      <w:r>
        <w:rPr>
          <w:rFonts w:ascii="Times New Roman" w:hAnsi="Times New Roman" w:cs="Times New Roman" w:eastAsia="Times New Roman" w:hint="default"/>
        </w:rPr>
        <w:t>“</w:t>
      </w:r>
      <w:r>
        <w:rPr/>
        <w:t>新国都</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“300130”</w:t>
      </w:r>
      <w:r>
        <w:rPr/>
        <w:t>。</w:t>
      </w:r>
    </w:p>
    <w:p>
      <w:pPr>
        <w:spacing w:line="240" w:lineRule="auto" w:before="8"/>
        <w:rPr>
          <w:rFonts w:ascii="宋体" w:hAnsi="宋体" w:cs="宋体" w:eastAsia="宋体" w:hint="default"/>
          <w:sz w:val="24"/>
          <w:szCs w:val="24"/>
        </w:rPr>
      </w:pPr>
    </w:p>
    <w:p>
      <w:pPr>
        <w:pStyle w:val="Heading6"/>
        <w:spacing w:line="240" w:lineRule="auto"/>
        <w:ind w:right="1334"/>
        <w:jc w:val="left"/>
        <w:rPr>
          <w:b w:val="0"/>
          <w:bCs w:val="0"/>
        </w:rPr>
      </w:pPr>
      <w:r>
        <w:rPr/>
        <w:t>七、其它需要披露的事项</w:t>
      </w:r>
      <w:r>
        <w:rPr>
          <w:b w:val="0"/>
          <w:bCs w:val="0"/>
        </w:rPr>
      </w:r>
    </w:p>
    <w:p>
      <w:pPr>
        <w:spacing w:line="760" w:lineRule="atLeast" w:before="41"/>
        <w:ind w:left="621" w:right="139" w:hanging="480"/>
        <w:jc w:val="left"/>
        <w:rPr>
          <w:rFonts w:ascii="宋体" w:hAnsi="宋体" w:cs="宋体" w:eastAsia="宋体" w:hint="default"/>
          <w:sz w:val="24"/>
          <w:szCs w:val="24"/>
        </w:rPr>
      </w:pPr>
      <w:r>
        <w:rPr>
          <w:rFonts w:ascii="宋体" w:hAnsi="宋体" w:cs="宋体" w:eastAsia="宋体" w:hint="default"/>
          <w:b/>
          <w:bCs/>
          <w:sz w:val="24"/>
          <w:szCs w:val="24"/>
        </w:rPr>
        <w:t>（一）公司投资者关系管理</w:t>
      </w:r>
      <w:r>
        <w:rPr>
          <w:rFonts w:ascii="宋体" w:hAnsi="宋体" w:cs="宋体" w:eastAsia="宋体" w:hint="default"/>
          <w:b/>
          <w:bCs/>
          <w:w w:val="99"/>
          <w:sz w:val="24"/>
          <w:szCs w:val="24"/>
        </w:rPr>
        <w:t> </w:t>
      </w:r>
      <w:r>
        <w:rPr>
          <w:rFonts w:ascii="宋体" w:hAnsi="宋体" w:cs="宋体" w:eastAsia="宋体" w:hint="default"/>
          <w:spacing w:val="-1"/>
          <w:sz w:val="24"/>
          <w:szCs w:val="24"/>
        </w:rPr>
        <w:t>公司始终高度重视投资者关系，已经建立了《信息披露管理制度》、《投资者</w:t>
      </w:r>
    </w:p>
    <w:p>
      <w:pPr>
        <w:pStyle w:val="BodyText"/>
        <w:spacing w:line="357" w:lineRule="auto" w:before="154"/>
        <w:ind w:right="140"/>
        <w:jc w:val="left"/>
      </w:pPr>
      <w:r>
        <w:rPr>
          <w:spacing w:val="-1"/>
        </w:rPr>
        <w:t>关系管理制度》等相关制度以及相应细则，公司董事会秘书为投资者关系管理负责</w:t>
      </w:r>
      <w:r>
        <w:rPr>
          <w:spacing w:val="-108"/>
        </w:rPr>
        <w:t> </w:t>
      </w:r>
      <w:r>
        <w:rPr>
          <w:spacing w:val="-108"/>
        </w:rPr>
      </w:r>
      <w:r>
        <w:rPr/>
        <w:t>人，公司证券部负责投资者关系管理的日常事务。</w:t>
      </w:r>
    </w:p>
    <w:p>
      <w:pPr>
        <w:pStyle w:val="BodyText"/>
        <w:spacing w:line="352" w:lineRule="auto" w:before="36"/>
        <w:ind w:right="121" w:firstLine="479"/>
        <w:jc w:val="both"/>
      </w:pPr>
      <w:r>
        <w:rPr/>
        <w:t>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日公司在深圳证券交易所上市以来，以投资者关系管理专栏、 </w:t>
      </w:r>
      <w:r>
        <w:rPr>
          <w:spacing w:val="-1"/>
        </w:rPr>
        <w:t>投资者关系邮箱、投资者热线电话、接受投资者来访等多种形式与广大投资者进行</w:t>
      </w:r>
      <w:r>
        <w:rPr>
          <w:spacing w:val="-109"/>
        </w:rPr>
        <w:t> </w:t>
      </w:r>
      <w:r>
        <w:rPr>
          <w:spacing w:val="-109"/>
        </w:rPr>
      </w:r>
      <w:r>
        <w:rPr>
          <w:spacing w:val="-1"/>
        </w:rPr>
        <w:t>联系与沟通，关注各类媒体关于公司的相关报道，及时澄清市场上的不实传闻，对</w:t>
      </w:r>
      <w:r>
        <w:rPr>
          <w:spacing w:val="-108"/>
        </w:rPr>
        <w:t> </w:t>
      </w:r>
      <w:r>
        <w:rPr>
          <w:spacing w:val="-108"/>
        </w:rPr>
      </w:r>
      <w:r>
        <w:rPr>
          <w:spacing w:val="-1"/>
        </w:rPr>
        <w:t>市场舆论、研究机构分析员的分析报告进行正确引导。同时，积极做好投资者关系</w:t>
      </w:r>
      <w:r>
        <w:rPr>
          <w:spacing w:val="-108"/>
        </w:rPr>
        <w:t> </w:t>
      </w:r>
      <w:r>
        <w:rPr>
          <w:spacing w:val="-108"/>
        </w:rPr>
      </w:r>
      <w:r>
        <w:rPr/>
        <w:t>活动档案的建立和保管，并切实做好相关信息的保密工作。</w:t>
      </w:r>
    </w:p>
    <w:p>
      <w:pPr>
        <w:spacing w:line="240" w:lineRule="auto" w:before="12"/>
        <w:rPr>
          <w:rFonts w:ascii="宋体" w:hAnsi="宋体" w:cs="宋体" w:eastAsia="宋体" w:hint="default"/>
          <w:sz w:val="25"/>
          <w:szCs w:val="25"/>
        </w:rPr>
      </w:pPr>
    </w:p>
    <w:p>
      <w:pPr>
        <w:pStyle w:val="Heading6"/>
        <w:spacing w:line="240" w:lineRule="auto"/>
        <w:ind w:right="1334"/>
        <w:jc w:val="left"/>
        <w:rPr>
          <w:b w:val="0"/>
          <w:bCs w:val="0"/>
        </w:rPr>
      </w:pPr>
      <w:r>
        <w:rPr/>
        <w:t>（二）信息披露媒体</w:t>
      </w:r>
      <w:r>
        <w:rPr>
          <w:b w:val="0"/>
          <w:bCs w:val="0"/>
        </w:rPr>
      </w:r>
    </w:p>
    <w:p>
      <w:pPr>
        <w:spacing w:line="240" w:lineRule="auto" w:before="4"/>
        <w:rPr>
          <w:rFonts w:ascii="宋体" w:hAnsi="宋体" w:cs="宋体" w:eastAsia="宋体" w:hint="default"/>
          <w:b/>
          <w:bCs/>
          <w:sz w:val="28"/>
          <w:szCs w:val="28"/>
        </w:rPr>
      </w:pPr>
    </w:p>
    <w:p>
      <w:pPr>
        <w:pStyle w:val="BodyText"/>
        <w:spacing w:line="313" w:lineRule="exact"/>
        <w:ind w:left="621" w:right="176"/>
        <w:jc w:val="left"/>
      </w:pPr>
      <w:r>
        <w:rPr/>
        <w:t>报</w:t>
      </w:r>
      <w:r>
        <w:rPr>
          <w:spacing w:val="-85"/>
        </w:rPr>
        <w:t> </w:t>
      </w:r>
      <w:r>
        <w:rPr/>
        <w:t>告</w:t>
      </w:r>
      <w:r>
        <w:rPr>
          <w:spacing w:val="-85"/>
        </w:rPr>
        <w:t> </w:t>
      </w:r>
      <w:r>
        <w:rPr/>
        <w:t>期</w:t>
      </w:r>
      <w:r>
        <w:rPr>
          <w:spacing w:val="-85"/>
        </w:rPr>
        <w:t> </w:t>
      </w:r>
      <w:r>
        <w:rPr/>
        <w:t>内</w:t>
      </w:r>
      <w:r>
        <w:rPr>
          <w:spacing w:val="-85"/>
        </w:rPr>
        <w:t> </w:t>
      </w:r>
      <w:r>
        <w:rPr/>
        <w:t>，</w:t>
      </w:r>
      <w:r>
        <w:rPr>
          <w:spacing w:val="-85"/>
        </w:rPr>
        <w:t> </w:t>
      </w:r>
      <w:r>
        <w:rPr/>
        <w:t>公</w:t>
      </w:r>
      <w:r>
        <w:rPr>
          <w:spacing w:val="-85"/>
        </w:rPr>
        <w:t> </w:t>
      </w:r>
      <w:r>
        <w:rPr/>
        <w:t>司</w:t>
      </w:r>
      <w:r>
        <w:rPr>
          <w:spacing w:val="-82"/>
        </w:rPr>
        <w:t> </w:t>
      </w:r>
      <w:r>
        <w:rPr/>
        <w:t>指</w:t>
      </w:r>
      <w:r>
        <w:rPr>
          <w:spacing w:val="-82"/>
        </w:rPr>
        <w:t> </w:t>
      </w:r>
      <w:r>
        <w:rPr/>
        <w:t>定</w:t>
      </w:r>
      <w:r>
        <w:rPr>
          <w:spacing w:val="-85"/>
        </w:rPr>
        <w:t> </w:t>
      </w:r>
      <w:r>
        <w:rPr/>
        <w:t>信</w:t>
      </w:r>
      <w:r>
        <w:rPr>
          <w:spacing w:val="-85"/>
        </w:rPr>
        <w:t> </w:t>
      </w:r>
      <w:r>
        <w:rPr/>
        <w:t>息</w:t>
      </w:r>
      <w:r>
        <w:rPr>
          <w:spacing w:val="-85"/>
        </w:rPr>
        <w:t> </w:t>
      </w:r>
      <w:r>
        <w:rPr/>
        <w:t>披</w:t>
      </w:r>
      <w:r>
        <w:rPr>
          <w:spacing w:val="-85"/>
        </w:rPr>
        <w:t> </w:t>
      </w:r>
      <w:r>
        <w:rPr/>
        <w:t>露</w:t>
      </w:r>
      <w:r>
        <w:rPr>
          <w:spacing w:val="-85"/>
        </w:rPr>
        <w:t> </w:t>
      </w:r>
      <w:r>
        <w:rPr/>
        <w:t>媒</w:t>
      </w:r>
      <w:r>
        <w:rPr>
          <w:spacing w:val="-85"/>
        </w:rPr>
        <w:t> </w:t>
      </w:r>
      <w:r>
        <w:rPr/>
        <w:t>体</w:t>
      </w:r>
      <w:r>
        <w:rPr>
          <w:spacing w:val="-82"/>
        </w:rPr>
        <w:t> </w:t>
      </w:r>
      <w:r>
        <w:rPr/>
        <w:t>为</w:t>
      </w:r>
      <w:r>
        <w:rPr>
          <w:spacing w:val="-82"/>
        </w:rPr>
        <w:t> </w:t>
      </w:r>
      <w:r>
        <w:rPr/>
        <w:t>《</w:t>
      </w:r>
      <w:r>
        <w:rPr>
          <w:spacing w:val="-85"/>
        </w:rPr>
        <w:t> </w:t>
      </w:r>
      <w:r>
        <w:rPr/>
        <w:t>中</w:t>
      </w:r>
      <w:r>
        <w:rPr>
          <w:spacing w:val="-85"/>
        </w:rPr>
        <w:t> </w:t>
      </w:r>
      <w:r>
        <w:rPr/>
        <w:t>国</w:t>
      </w:r>
      <w:r>
        <w:rPr>
          <w:spacing w:val="-85"/>
        </w:rPr>
        <w:t> </w:t>
      </w:r>
      <w:r>
        <w:rPr/>
        <w:t>证</w:t>
      </w:r>
      <w:r>
        <w:rPr>
          <w:spacing w:val="-85"/>
        </w:rPr>
        <w:t> </w:t>
      </w:r>
      <w:r>
        <w:rPr/>
        <w:t>券</w:t>
      </w:r>
      <w:r>
        <w:rPr>
          <w:spacing w:val="-85"/>
        </w:rPr>
        <w:t> </w:t>
      </w:r>
      <w:r>
        <w:rPr/>
        <w:t>报</w:t>
      </w:r>
      <w:r>
        <w:rPr>
          <w:spacing w:val="-85"/>
        </w:rPr>
        <w:t> </w:t>
      </w:r>
      <w:r>
        <w:rPr/>
        <w:t>》</w:t>
      </w:r>
      <w:r>
        <w:rPr>
          <w:spacing w:val="-82"/>
        </w:rPr>
        <w:t> </w:t>
      </w:r>
      <w:r>
        <w:rPr/>
        <w:t>、</w:t>
      </w:r>
      <w:r>
        <w:rPr>
          <w:spacing w:val="-82"/>
        </w:rPr>
        <w:t> </w:t>
      </w:r>
      <w:r>
        <w:rPr/>
        <w:t>巨</w:t>
      </w:r>
      <w:r>
        <w:rPr>
          <w:spacing w:val="-85"/>
        </w:rPr>
        <w:t> </w:t>
      </w:r>
      <w:r>
        <w:rPr/>
        <w:t>潮</w:t>
      </w:r>
      <w:r>
        <w:rPr>
          <w:spacing w:val="-85"/>
        </w:rPr>
        <w:t> </w:t>
      </w:r>
      <w:r>
        <w:rPr/>
        <w:t>资</w:t>
      </w:r>
      <w:r>
        <w:rPr>
          <w:spacing w:val="-85"/>
        </w:rPr>
        <w:t> </w:t>
      </w:r>
      <w:r>
        <w:rPr/>
        <w:t>讯</w:t>
      </w:r>
      <w:r>
        <w:rPr>
          <w:spacing w:val="-87"/>
        </w:rPr>
        <w:t> </w:t>
      </w:r>
      <w:r>
        <w:rPr/>
        <w:t>网</w:t>
      </w:r>
    </w:p>
    <w:p>
      <w:pPr>
        <w:pStyle w:val="BodyText"/>
        <w:spacing w:line="331" w:lineRule="exact"/>
        <w:ind w:right="1334"/>
        <w:jc w:val="left"/>
      </w:pPr>
      <w:r>
        <w:rPr/>
        <w:t>（</w:t>
      </w:r>
      <w:hyperlink r:id="rId13">
        <w:r>
          <w:rPr>
            <w:rFonts w:ascii="Times New Roman" w:hAnsi="Times New Roman" w:cs="Times New Roman" w:eastAsia="Times New Roman" w:hint="default"/>
          </w:rPr>
          <w:t>www.cninfo.com.cn</w:t>
        </w:r>
      </w:hyperlink>
      <w:r>
        <w:rPr/>
        <w:t>）。</w:t>
      </w:r>
    </w:p>
    <w:p>
      <w:pPr>
        <w:spacing w:after="0" w:line="331" w:lineRule="exact"/>
        <w:jc w:val="left"/>
        <w:sectPr>
          <w:pgSz w:w="11910" w:h="16840"/>
          <w:pgMar w:header="877" w:footer="1267" w:top="1060" w:bottom="146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3"/>
        <w:tabs>
          <w:tab w:pos="1123" w:val="left" w:leader="none"/>
        </w:tabs>
        <w:spacing w:line="240" w:lineRule="auto"/>
        <w:ind w:right="159"/>
        <w:jc w:val="center"/>
        <w:rPr>
          <w:b w:val="0"/>
          <w:bCs w:val="0"/>
        </w:rPr>
      </w:pPr>
      <w:r>
        <w:rPr>
          <w:w w:val="95"/>
        </w:rPr>
        <w:t>第四节</w:t>
        <w:tab/>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580" w:lineRule="auto" w:before="26"/>
        <w:ind w:left="621" w:right="3705"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报告期内，公司未发生重大诉讼仲裁事项。</w:t>
      </w:r>
    </w:p>
    <w:p>
      <w:pPr>
        <w:spacing w:line="583" w:lineRule="auto" w:before="110"/>
        <w:ind w:left="621" w:right="3465" w:hanging="480"/>
        <w:jc w:val="left"/>
        <w:rPr>
          <w:rFonts w:ascii="宋体" w:hAnsi="宋体" w:cs="宋体" w:eastAsia="宋体" w:hint="default"/>
          <w:sz w:val="24"/>
          <w:szCs w:val="24"/>
        </w:rPr>
      </w:pPr>
      <w:r>
        <w:rPr>
          <w:rFonts w:ascii="宋体" w:hAnsi="宋体" w:cs="宋体" w:eastAsia="宋体" w:hint="default"/>
          <w:b/>
          <w:bCs/>
          <w:sz w:val="24"/>
          <w:szCs w:val="24"/>
        </w:rPr>
        <w:t>二、破产相关事项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报告期内，公司未发生破产重组等相关事项。</w:t>
      </w:r>
    </w:p>
    <w:p>
      <w:pPr>
        <w:spacing w:line="583" w:lineRule="auto" w:before="108"/>
        <w:ind w:left="621" w:right="1785" w:hanging="480"/>
        <w:jc w:val="left"/>
        <w:rPr>
          <w:rFonts w:ascii="宋体" w:hAnsi="宋体" w:cs="宋体" w:eastAsia="宋体" w:hint="default"/>
          <w:sz w:val="24"/>
          <w:szCs w:val="24"/>
        </w:rPr>
      </w:pPr>
      <w:r>
        <w:rPr>
          <w:rFonts w:ascii="宋体" w:hAnsi="宋体" w:cs="宋体" w:eastAsia="宋体" w:hint="default"/>
          <w:b/>
          <w:bCs/>
          <w:sz w:val="24"/>
          <w:szCs w:val="24"/>
        </w:rPr>
        <w:t>三、收购及出售资产、企业合并事项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报告期内，公司未发生重大资产收购、出售及资产重组事项。</w:t>
      </w:r>
    </w:p>
    <w:p>
      <w:pPr>
        <w:spacing w:line="583" w:lineRule="auto" w:before="108"/>
        <w:ind w:left="621" w:right="4425" w:hanging="480"/>
        <w:jc w:val="left"/>
        <w:rPr>
          <w:rFonts w:ascii="宋体" w:hAnsi="宋体" w:cs="宋体" w:eastAsia="宋体" w:hint="default"/>
          <w:sz w:val="24"/>
          <w:szCs w:val="24"/>
        </w:rPr>
      </w:pPr>
      <w:r>
        <w:rPr>
          <w:rFonts w:ascii="宋体" w:hAnsi="宋体" w:cs="宋体" w:eastAsia="宋体" w:hint="default"/>
          <w:b/>
          <w:bCs/>
          <w:sz w:val="24"/>
          <w:szCs w:val="24"/>
        </w:rPr>
        <w:t>四、股权激励计划</w:t>
      </w:r>
      <w:r>
        <w:rPr>
          <w:rFonts w:ascii="宋体" w:hAnsi="宋体" w:cs="宋体" w:eastAsia="宋体" w:hint="default"/>
          <w:b/>
          <w:bCs/>
          <w:w w:val="99"/>
          <w:sz w:val="24"/>
          <w:szCs w:val="24"/>
        </w:rPr>
        <w:t> </w:t>
      </w:r>
      <w:r>
        <w:rPr>
          <w:rFonts w:ascii="宋体" w:hAnsi="宋体" w:cs="宋体" w:eastAsia="宋体" w:hint="default"/>
          <w:sz w:val="24"/>
          <w:szCs w:val="24"/>
        </w:rPr>
        <w:t>报告期内，公司未有股权激励事项。</w:t>
      </w:r>
    </w:p>
    <w:p>
      <w:pPr>
        <w:pStyle w:val="Heading6"/>
        <w:spacing w:line="240" w:lineRule="auto" w:before="108"/>
        <w:ind w:right="1334"/>
        <w:jc w:val="left"/>
        <w:rPr>
          <w:b w:val="0"/>
          <w:bCs w:val="0"/>
        </w:rPr>
      </w:pPr>
      <w:r>
        <w:rPr/>
        <w:t>五、重大关联交易事项</w:t>
      </w:r>
      <w:r>
        <w:rPr>
          <w:b w:val="0"/>
          <w:bCs w:val="0"/>
        </w:rPr>
      </w:r>
    </w:p>
    <w:p>
      <w:pPr>
        <w:spacing w:line="240" w:lineRule="auto" w:before="4"/>
        <w:rPr>
          <w:rFonts w:ascii="宋体" w:hAnsi="宋体" w:cs="宋体" w:eastAsia="宋体" w:hint="default"/>
          <w:b/>
          <w:bCs/>
          <w:sz w:val="34"/>
          <w:szCs w:val="34"/>
        </w:rPr>
      </w:pPr>
    </w:p>
    <w:p>
      <w:pPr>
        <w:pStyle w:val="BodyText"/>
        <w:spacing w:line="338" w:lineRule="auto"/>
        <w:ind w:right="144" w:firstLine="479"/>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日，公司与泰德信签订</w:t>
      </w:r>
      <w:r>
        <w:rPr>
          <w:rFonts w:ascii="Times New Roman" w:hAnsi="Times New Roman" w:cs="Times New Roman" w:eastAsia="Times New Roman" w:hint="default"/>
          <w:spacing w:val="-1"/>
        </w:rPr>
        <w:t>2009</w:t>
      </w:r>
      <w:r>
        <w:rPr>
          <w:spacing w:val="-1"/>
        </w:rPr>
        <w:t>年房屋租赁合同，泰德信将其于深圳</w:t>
      </w:r>
      <w:r>
        <w:rPr/>
        <w:t> </w:t>
      </w:r>
      <w:r>
        <w:rPr>
          <w:spacing w:val="-1"/>
        </w:rPr>
        <w:t>市福田区泰然大道东路泰然劲松大厦</w:t>
      </w:r>
      <w:r>
        <w:rPr>
          <w:rFonts w:ascii="Times New Roman" w:hAnsi="Times New Roman" w:cs="Times New Roman" w:eastAsia="Times New Roman" w:hint="default"/>
          <w:spacing w:val="-1"/>
        </w:rPr>
        <w:t>17A</w:t>
      </w:r>
      <w:r>
        <w:rPr>
          <w:spacing w:val="-1"/>
        </w:rPr>
        <w:t>、</w:t>
      </w:r>
      <w:r>
        <w:rPr>
          <w:rFonts w:ascii="Times New Roman" w:hAnsi="Times New Roman" w:cs="Times New Roman" w:eastAsia="Times New Roman" w:hint="default"/>
          <w:spacing w:val="-1"/>
        </w:rPr>
        <w:t>17B</w:t>
      </w:r>
      <w:r>
        <w:rPr>
          <w:spacing w:val="-1"/>
        </w:rPr>
        <w:t>、</w:t>
      </w:r>
      <w:r>
        <w:rPr>
          <w:rFonts w:ascii="Times New Roman" w:hAnsi="Times New Roman" w:cs="Times New Roman" w:eastAsia="Times New Roman" w:hint="default"/>
          <w:spacing w:val="-1"/>
        </w:rPr>
        <w:t>17C</w:t>
      </w:r>
      <w:r>
        <w:rPr>
          <w:spacing w:val="-1"/>
        </w:rPr>
        <w:t>、</w:t>
      </w:r>
      <w:r>
        <w:rPr>
          <w:rFonts w:ascii="Times New Roman" w:hAnsi="Times New Roman" w:cs="Times New Roman" w:eastAsia="Times New Roman" w:hint="default"/>
          <w:spacing w:val="-1"/>
        </w:rPr>
        <w:t>17D</w:t>
      </w:r>
      <w:r>
        <w:rPr>
          <w:spacing w:val="-1"/>
        </w:rPr>
        <w:t>建筑面积</w:t>
      </w:r>
      <w:r>
        <w:rPr>
          <w:rFonts w:ascii="Times New Roman" w:hAnsi="Times New Roman" w:cs="Times New Roman" w:eastAsia="Times New Roman" w:hint="default"/>
          <w:spacing w:val="-1"/>
        </w:rPr>
        <w:t>886.6</w:t>
      </w:r>
      <w:r>
        <w:rPr>
          <w:spacing w:val="-1"/>
        </w:rPr>
        <w:t>平方米的</w:t>
      </w:r>
      <w:r>
        <w:rPr>
          <w:spacing w:val="-110"/>
        </w:rPr>
        <w:t> </w:t>
      </w:r>
      <w:r>
        <w:rPr>
          <w:spacing w:val="-1"/>
        </w:rPr>
        <w:t>房屋租赁给本公司使用，租赁期自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日止，月租金为</w:t>
      </w:r>
      <w:r>
        <w:rPr>
          <w:spacing w:val="-101"/>
        </w:rPr>
        <w:t> </w:t>
      </w:r>
      <w:r>
        <w:rPr>
          <w:spacing w:val="-101"/>
        </w:rPr>
      </w:r>
      <w:r>
        <w:rPr>
          <w:rFonts w:ascii="Times New Roman" w:hAnsi="Times New Roman" w:cs="Times New Roman" w:eastAsia="Times New Roman" w:hint="default"/>
        </w:rPr>
        <w:t>70,928.00</w:t>
      </w:r>
      <w:r>
        <w:rPr/>
        <w:t>元，租金率</w:t>
      </w:r>
      <w:r>
        <w:rPr>
          <w:rFonts w:ascii="Times New Roman" w:hAnsi="Times New Roman" w:cs="Times New Roman" w:eastAsia="Times New Roman" w:hint="default"/>
        </w:rPr>
        <w:t>80</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w:t>
      </w:r>
    </w:p>
    <w:p>
      <w:pPr>
        <w:pStyle w:val="BodyText"/>
        <w:spacing w:line="338" w:lineRule="auto" w:before="67"/>
        <w:ind w:right="139" w:firstLine="479"/>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日，公司与泰德信签订</w:t>
      </w:r>
      <w:r>
        <w:rPr>
          <w:rFonts w:ascii="Times New Roman" w:hAnsi="Times New Roman" w:cs="Times New Roman" w:eastAsia="Times New Roman" w:hint="default"/>
        </w:rPr>
        <w:t>2009</w:t>
      </w:r>
      <w:r>
        <w:rPr/>
        <w:t>年房屋租赁合同的补充合同，由于租 </w:t>
      </w:r>
      <w:r>
        <w:rPr>
          <w:spacing w:val="-1"/>
        </w:rPr>
        <w:t>金市场价格下降，补充合同规定自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日起月租金由原来的</w:t>
      </w:r>
      <w:r>
        <w:rPr>
          <w:rFonts w:ascii="Times New Roman" w:hAnsi="Times New Roman" w:cs="Times New Roman" w:eastAsia="Times New Roman" w:hint="default"/>
          <w:spacing w:val="-1"/>
        </w:rPr>
        <w:t>70,928.00</w:t>
      </w:r>
      <w:r>
        <w:rPr>
          <w:spacing w:val="-1"/>
        </w:rPr>
        <w:t>元变更</w:t>
      </w:r>
      <w:r>
        <w:rPr>
          <w:spacing w:val="-100"/>
        </w:rPr>
        <w:t> </w:t>
      </w:r>
      <w:r>
        <w:rPr/>
        <w:t>为</w:t>
      </w:r>
      <w:r>
        <w:rPr>
          <w:rFonts w:ascii="Times New Roman" w:hAnsi="Times New Roman" w:cs="Times New Roman" w:eastAsia="Times New Roman" w:hint="default"/>
        </w:rPr>
        <w:t>63,835.00</w:t>
      </w:r>
      <w:r>
        <w:rPr/>
        <w:t>元，租金率为</w:t>
      </w:r>
      <w:r>
        <w:rPr>
          <w:rFonts w:ascii="Times New Roman" w:hAnsi="Times New Roman" w:cs="Times New Roman" w:eastAsia="Times New Roman" w:hint="default"/>
        </w:rPr>
        <w:t>72</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平方米，其余条款仍按原合同执行。</w:t>
      </w:r>
    </w:p>
    <w:p>
      <w:pPr>
        <w:spacing w:line="585" w:lineRule="auto" w:before="67"/>
        <w:ind w:left="142" w:right="825" w:firstLine="479"/>
        <w:jc w:val="left"/>
        <w:rPr>
          <w:rFonts w:ascii="宋体" w:hAnsi="宋体" w:cs="宋体" w:eastAsia="宋体" w:hint="default"/>
          <w:sz w:val="24"/>
          <w:szCs w:val="24"/>
        </w:rPr>
      </w:pPr>
      <w:r>
        <w:rPr>
          <w:rFonts w:ascii="宋体" w:hAnsi="宋体" w:cs="宋体" w:eastAsia="宋体" w:hint="default"/>
          <w:sz w:val="24"/>
          <w:szCs w:val="24"/>
        </w:rPr>
        <w:t>除上述经常性关联交易外，报告期内，公司无重大关联交易情况发生。 </w:t>
      </w:r>
      <w:r>
        <w:rPr>
          <w:rFonts w:ascii="宋体" w:hAnsi="宋体" w:cs="宋体" w:eastAsia="宋体" w:hint="default"/>
          <w:b/>
          <w:bCs/>
          <w:sz w:val="24"/>
          <w:szCs w:val="24"/>
        </w:rPr>
        <w:t>六、报告期内，公司关联方资金占用情况。</w:t>
      </w:r>
      <w:r>
        <w:rPr>
          <w:rFonts w:ascii="宋体" w:hAnsi="宋体" w:cs="宋体" w:eastAsia="宋体" w:hint="default"/>
          <w:sz w:val="24"/>
          <w:szCs w:val="24"/>
        </w:rPr>
      </w:r>
    </w:p>
    <w:p>
      <w:pPr>
        <w:pStyle w:val="BodyText"/>
        <w:spacing w:line="240" w:lineRule="auto" w:before="104"/>
        <w:ind w:left="621" w:right="0"/>
        <w:jc w:val="left"/>
      </w:pPr>
      <w:r>
        <w:rPr/>
        <w:t>报告期内，公司不存在控股股东及其它关联方非经营性占用公司资金的情况。</w:t>
      </w:r>
    </w:p>
    <w:p>
      <w:pPr>
        <w:spacing w:after="0" w:line="240" w:lineRule="auto"/>
        <w:jc w:val="left"/>
        <w:sectPr>
          <w:pgSz w:w="11910" w:h="16840"/>
          <w:pgMar w:header="877" w:footer="1267" w:top="1060" w:bottom="1460" w:left="1560" w:right="1440"/>
        </w:sectPr>
      </w:pPr>
    </w:p>
    <w:p>
      <w:pPr>
        <w:spacing w:line="240" w:lineRule="auto" w:before="12"/>
        <w:rPr>
          <w:rFonts w:ascii="宋体" w:hAnsi="宋体" w:cs="宋体" w:eastAsia="宋体" w:hint="default"/>
          <w:sz w:val="8"/>
          <w:szCs w:val="8"/>
        </w:rPr>
      </w:pPr>
    </w:p>
    <w:p>
      <w:pPr>
        <w:pStyle w:val="Heading6"/>
        <w:spacing w:line="415" w:lineRule="auto" w:before="26"/>
        <w:ind w:right="176"/>
        <w:jc w:val="left"/>
        <w:rPr>
          <w:b w:val="0"/>
          <w:bCs w:val="0"/>
        </w:rPr>
      </w:pPr>
      <w:r>
        <w:rPr>
          <w:spacing w:val="-2"/>
          <w:w w:val="95"/>
        </w:rPr>
        <w:t>七、报告期内，公司未持有其他上市公司、参股商业银行、证券公司、保险公司、</w:t>
      </w:r>
      <w:r>
        <w:rPr>
          <w:spacing w:val="62"/>
          <w:w w:val="95"/>
        </w:rPr>
        <w:t> </w:t>
      </w:r>
      <w:r>
        <w:rPr>
          <w:spacing w:val="62"/>
          <w:w w:val="95"/>
        </w:rPr>
      </w:r>
      <w:r>
        <w:rPr/>
        <w:t>信托公司和期货公司等金融企业股权，也无买卖其他上市公司股份情况。</w:t>
      </w:r>
      <w:r>
        <w:rPr>
          <w:b w:val="0"/>
          <w:bCs w:val="0"/>
        </w:rPr>
      </w:r>
    </w:p>
    <w:p>
      <w:pPr>
        <w:spacing w:line="240" w:lineRule="auto" w:before="9"/>
        <w:rPr>
          <w:rFonts w:ascii="宋体" w:hAnsi="宋体" w:cs="宋体" w:eastAsia="宋体" w:hint="default"/>
          <w:b/>
          <w:bCs/>
          <w:sz w:val="23"/>
          <w:szCs w:val="23"/>
        </w:rPr>
      </w:pPr>
    </w:p>
    <w:p>
      <w:pPr>
        <w:spacing w:before="0"/>
        <w:ind w:left="142" w:right="1334" w:firstLine="0"/>
        <w:jc w:val="left"/>
        <w:rPr>
          <w:rFonts w:ascii="宋体" w:hAnsi="宋体" w:cs="宋体" w:eastAsia="宋体" w:hint="default"/>
          <w:sz w:val="24"/>
          <w:szCs w:val="24"/>
        </w:rPr>
      </w:pPr>
      <w:r>
        <w:rPr>
          <w:rFonts w:ascii="宋体" w:hAnsi="宋体" w:cs="宋体" w:eastAsia="宋体" w:hint="default"/>
          <w:b/>
          <w:bCs/>
          <w:sz w:val="24"/>
          <w:szCs w:val="24"/>
        </w:rPr>
        <w:t>八、重大合同及其履行情况</w:t>
      </w:r>
      <w:r>
        <w:rPr>
          <w:rFonts w:ascii="宋体" w:hAnsi="宋体" w:cs="宋体" w:eastAsia="宋体" w:hint="default"/>
          <w:sz w:val="24"/>
          <w:szCs w:val="24"/>
        </w:rPr>
      </w:r>
    </w:p>
    <w:p>
      <w:pPr>
        <w:spacing w:line="240" w:lineRule="auto" w:before="4"/>
        <w:rPr>
          <w:rFonts w:ascii="宋体" w:hAnsi="宋体" w:cs="宋体" w:eastAsia="宋体" w:hint="default"/>
          <w:b/>
          <w:bCs/>
          <w:sz w:val="34"/>
          <w:szCs w:val="34"/>
        </w:rPr>
      </w:pPr>
    </w:p>
    <w:p>
      <w:pPr>
        <w:pStyle w:val="BodyText"/>
        <w:spacing w:line="357" w:lineRule="auto"/>
        <w:ind w:right="105" w:firstLine="479"/>
        <w:jc w:val="left"/>
      </w:pPr>
      <w:r>
        <w:rPr/>
        <w:t>（一）报告期内，公司未发生或以前期间发生但延续到报告期的托管、承包、 租赁其他公司资产或其他公司托管、承包、租赁公司资产的重大事项。</w:t>
      </w:r>
    </w:p>
    <w:p>
      <w:pPr>
        <w:pStyle w:val="BodyText"/>
        <w:spacing w:line="240" w:lineRule="auto" w:before="36"/>
        <w:ind w:left="621" w:right="1334"/>
        <w:jc w:val="left"/>
      </w:pPr>
      <w:r>
        <w:rPr/>
        <w:t>（二）报告期内，公司未发生对外担保事项</w:t>
      </w:r>
    </w:p>
    <w:p>
      <w:pPr>
        <w:pStyle w:val="BodyText"/>
        <w:spacing w:line="240" w:lineRule="auto" w:before="154"/>
        <w:ind w:left="621" w:right="1334"/>
        <w:jc w:val="left"/>
      </w:pPr>
      <w:r>
        <w:rPr/>
        <w:t>（三）报告期内，公司未发生委托他人进行现金资产管理事项</w:t>
      </w:r>
    </w:p>
    <w:p>
      <w:pPr>
        <w:pStyle w:val="BodyText"/>
        <w:spacing w:line="240" w:lineRule="auto" w:before="154"/>
        <w:ind w:left="621" w:right="1334"/>
        <w:jc w:val="left"/>
      </w:pPr>
      <w:r>
        <w:rPr/>
        <w:t>（四）其他重大合同</w:t>
      </w:r>
    </w:p>
    <w:p>
      <w:pPr>
        <w:pStyle w:val="BodyText"/>
        <w:spacing w:line="367" w:lineRule="auto" w:before="113"/>
        <w:ind w:left="634" w:right="176"/>
        <w:jc w:val="left"/>
      </w:pPr>
      <w:r>
        <w:rPr>
          <w:rFonts w:ascii="Times New Roman" w:hAnsi="Times New Roman" w:cs="Times New Roman" w:eastAsia="Times New Roman" w:hint="default"/>
        </w:rPr>
        <w:t>1</w:t>
      </w:r>
      <w:r>
        <w:rPr/>
        <w:t>、销售合同： 公司主要客户均采用招标采购模式，客户向通过招标选型的合格供应商发出</w:t>
      </w:r>
    </w:p>
    <w:p>
      <w:pPr>
        <w:pStyle w:val="BodyText"/>
        <w:spacing w:line="348" w:lineRule="auto" w:before="26"/>
        <w:ind w:right="176"/>
        <w:jc w:val="left"/>
      </w:pPr>
      <w:r>
        <w:rPr>
          <w:spacing w:val="-2"/>
        </w:rPr>
        <w:t>中标通知书，并签署销售框架合同，框架销售合同不体现采购总量和采购总金额。</w:t>
      </w:r>
      <w:r>
        <w:rPr>
          <w:spacing w:val="-107"/>
        </w:rPr>
        <w:t> </w:t>
      </w:r>
      <w:r>
        <w:rPr>
          <w:spacing w:val="-107"/>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年，公司分别与上海银联商务有限公司、通联支付网络服务股份有限公司等 重要客户签署了销售框架合同。</w:t>
      </w:r>
    </w:p>
    <w:p>
      <w:pPr>
        <w:pStyle w:val="BodyText"/>
        <w:spacing w:line="240" w:lineRule="auto" w:before="164"/>
        <w:ind w:left="621" w:right="1334"/>
        <w:jc w:val="left"/>
      </w:pPr>
      <w:r>
        <w:rPr>
          <w:rFonts w:ascii="Times New Roman" w:hAnsi="Times New Roman" w:cs="Times New Roman" w:eastAsia="Times New Roman" w:hint="default"/>
        </w:rPr>
        <w:t>2</w:t>
      </w:r>
      <w:r>
        <w:rPr/>
        <w:t>、前五大供应商累计采购情况：</w:t>
      </w:r>
    </w:p>
    <w:p>
      <w:pPr>
        <w:spacing w:line="240" w:lineRule="auto" w:before="5"/>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3406"/>
        <w:gridCol w:w="1124"/>
        <w:gridCol w:w="1344"/>
        <w:gridCol w:w="1285"/>
        <w:gridCol w:w="1279"/>
      </w:tblGrid>
      <w:tr>
        <w:trPr>
          <w:trHeight w:val="946" w:hRule="exact"/>
        </w:trPr>
        <w:tc>
          <w:tcPr>
            <w:tcW w:w="340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12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采购类别</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具体原料</w:t>
            </w:r>
            <w:r>
              <w:rPr>
                <w:rFonts w:ascii="宋体" w:hAnsi="宋体" w:cs="宋体" w:eastAsia="宋体" w:hint="default"/>
                <w:sz w:val="21"/>
                <w:szCs w:val="21"/>
              </w:rPr>
            </w:r>
          </w:p>
        </w:tc>
        <w:tc>
          <w:tcPr>
            <w:tcW w:w="128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4"/>
              <w:ind w:left="213" w:right="0"/>
              <w:jc w:val="lef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占比</w:t>
            </w:r>
            <w:r>
              <w:rPr>
                <w:rFonts w:ascii="宋体" w:hAnsi="宋体" w:cs="宋体" w:eastAsia="宋体" w:hint="default"/>
                <w:sz w:val="21"/>
                <w:szCs w:val="21"/>
              </w:rPr>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厦门普瑞特科技有限公司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电子部件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打印机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1088.90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8.40%</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香港艾美斯科技有限公司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电子部件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CPU</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968.14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7.47%</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深圳市赛贝电子有限公司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电子部件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打印机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931.33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7.18%</w:t>
            </w:r>
          </w:p>
        </w:tc>
      </w:tr>
      <w:tr>
        <w:trPr>
          <w:trHeight w:val="48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宋体" w:hAnsi="宋体" w:cs="宋体" w:eastAsia="宋体" w:hint="default"/>
                <w:sz w:val="21"/>
                <w:szCs w:val="21"/>
              </w:rPr>
            </w:pPr>
            <w:r>
              <w:rPr>
                <w:rFonts w:ascii="宋体" w:hAnsi="宋体" w:cs="宋体" w:eastAsia="宋体" w:hint="default"/>
                <w:sz w:val="21"/>
                <w:szCs w:val="21"/>
              </w:rPr>
              <w:t>深圳市宇顺电子股份有限公司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电子部件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21"/>
                <w:szCs w:val="21"/>
              </w:rPr>
            </w:pPr>
            <w:r>
              <w:rPr>
                <w:rFonts w:ascii="Times New Roman"/>
                <w:sz w:val="21"/>
              </w:rPr>
              <w:t>LCD</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21"/>
                <w:szCs w:val="21"/>
              </w:rPr>
            </w:pPr>
            <w:r>
              <w:rPr>
                <w:rFonts w:ascii="Times New Roman"/>
                <w:sz w:val="21"/>
              </w:rPr>
              <w:t>827.86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Times New Roman" w:hAnsi="Times New Roman" w:cs="Times New Roman" w:eastAsia="Times New Roman" w:hint="default"/>
                <w:sz w:val="21"/>
                <w:szCs w:val="21"/>
              </w:rPr>
            </w:pPr>
            <w:r>
              <w:rPr>
                <w:rFonts w:ascii="Times New Roman"/>
                <w:sz w:val="21"/>
              </w:rPr>
              <w:t>6.39%</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深圳市航嘉驰源电气股份有限公司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电子部件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电源适配器</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815.90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6.29%</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4632.13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35.73%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6"/>
        <w:spacing w:line="338" w:lineRule="auto" w:before="26"/>
        <w:ind w:right="282"/>
        <w:jc w:val="left"/>
        <w:rPr>
          <w:b w:val="0"/>
          <w:bCs w:val="0"/>
        </w:rPr>
      </w:pPr>
      <w:r>
        <w:rPr/>
        <w:t>九、公司或持有公司股份</w:t>
      </w:r>
      <w:r>
        <w:rPr>
          <w:spacing w:val="-90"/>
        </w:rPr>
        <w:t> </w:t>
      </w:r>
      <w:r>
        <w:rPr>
          <w:rFonts w:ascii="Times New Roman" w:hAnsi="Times New Roman" w:cs="Times New Roman" w:eastAsia="Times New Roman" w:hint="default"/>
          <w:spacing w:val="-5"/>
        </w:rPr>
        <w:t>5%</w:t>
      </w:r>
      <w:r>
        <w:rPr>
          <w:spacing w:val="-5"/>
        </w:rPr>
        <w:t>以上（含</w:t>
      </w:r>
      <w:r>
        <w:rPr>
          <w:spacing w:val="-90"/>
        </w:rPr>
        <w:t> </w:t>
      </w:r>
      <w:r>
        <w:rPr>
          <w:rFonts w:ascii="Times New Roman" w:hAnsi="Times New Roman" w:cs="Times New Roman" w:eastAsia="Times New Roman" w:hint="default"/>
        </w:rPr>
        <w:t>5%</w:t>
      </w:r>
      <w:r>
        <w:rPr/>
        <w:t>）的股东在报告期内发生或持续到报告</w:t>
      </w:r>
      <w:r>
        <w:rPr>
          <w:w w:val="99"/>
        </w:rPr>
        <w:t> </w:t>
      </w:r>
      <w:r>
        <w:rPr/>
        <w:t>期内的承诺事项。</w:t>
      </w:r>
      <w:r>
        <w:rPr>
          <w:b w:val="0"/>
          <w:bCs w:val="0"/>
        </w:rPr>
      </w:r>
    </w:p>
    <w:p>
      <w:pPr>
        <w:spacing w:line="764" w:lineRule="exact" w:before="22"/>
        <w:ind w:left="621" w:right="284" w:hanging="48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、避免同业竞争承诺</w:t>
      </w:r>
      <w:r>
        <w:rPr>
          <w:rFonts w:ascii="宋体" w:hAnsi="宋体" w:cs="宋体" w:eastAsia="宋体" w:hint="default"/>
          <w:b/>
          <w:bCs/>
          <w:w w:val="99"/>
          <w:sz w:val="24"/>
          <w:szCs w:val="24"/>
        </w:rPr>
        <w:t> </w:t>
      </w:r>
      <w:r>
        <w:rPr>
          <w:rFonts w:ascii="宋体" w:hAnsi="宋体" w:cs="宋体" w:eastAsia="宋体" w:hint="default"/>
          <w:spacing w:val="-3"/>
          <w:sz w:val="24"/>
          <w:szCs w:val="24"/>
        </w:rPr>
        <w:t>为避免同业竞争损害公司及其他股东的利益，公司实际控制人刘祥及持股</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5%</w:t>
      </w:r>
    </w:p>
    <w:p>
      <w:pPr>
        <w:spacing w:after="0" w:line="764" w:lineRule="exact"/>
        <w:jc w:val="left"/>
        <w:rPr>
          <w:rFonts w:ascii="Times New Roman" w:hAnsi="Times New Roman" w:cs="Times New Roman" w:eastAsia="Times New Roman" w:hint="default"/>
          <w:sz w:val="24"/>
          <w:szCs w:val="24"/>
        </w:rPr>
        <w:sectPr>
          <w:footerReference w:type="default" r:id="rId26"/>
          <w:pgSz w:w="11910" w:h="16840"/>
          <w:pgMar w:footer="1267" w:header="877" w:top="1060" w:bottom="1460" w:left="1560" w:right="1440"/>
          <w:pgNumType w:start="59"/>
        </w:sectPr>
      </w:pPr>
    </w:p>
    <w:p>
      <w:pPr>
        <w:pStyle w:val="BodyText"/>
        <w:spacing w:line="240" w:lineRule="auto" w:before="104"/>
        <w:ind w:right="1334"/>
        <w:jc w:val="left"/>
      </w:pPr>
      <w:r>
        <w:rPr/>
        <w:t>以上的股东刘亚、江汉共同做出了以下承诺：</w:t>
      </w:r>
    </w:p>
    <w:p>
      <w:pPr>
        <w:pStyle w:val="BodyText"/>
        <w:spacing w:line="350" w:lineRule="auto" w:before="154"/>
        <w:ind w:right="301" w:firstLine="479"/>
        <w:jc w:val="both"/>
      </w:pPr>
      <w:r>
        <w:rPr>
          <w:spacing w:val="-2"/>
        </w:rPr>
        <w:t>（</w:t>
      </w:r>
      <w:r>
        <w:rPr>
          <w:rFonts w:ascii="Times New Roman" w:hAnsi="Times New Roman" w:cs="Times New Roman" w:eastAsia="Times New Roman" w:hint="default"/>
          <w:spacing w:val="-2"/>
        </w:rPr>
        <w:t>1</w:t>
      </w:r>
      <w:r>
        <w:rPr>
          <w:spacing w:val="-2"/>
        </w:rPr>
        <w:t>）刘祥、刘亚及江汉共同保证，不以自营或以合资、合作等方式经营任何</w:t>
      </w:r>
      <w:r>
        <w:rPr/>
        <w:t> 与发行人现从事的业务有竞争的业务，刘祥、刘亚及江汉现有的或将来成立的全</w:t>
      </w:r>
      <w:r>
        <w:rPr>
          <w:spacing w:val="-67"/>
        </w:rPr>
        <w:t> </w:t>
      </w:r>
      <w:r>
        <w:rPr>
          <w:spacing w:val="-67"/>
        </w:rPr>
      </w:r>
      <w:r>
        <w:rPr/>
        <w:t>资子公司、控股子公司以及其他受刘祥、刘亚及江汉控制的企业亦不会经营与发</w:t>
      </w:r>
      <w:r>
        <w:rPr>
          <w:spacing w:val="-67"/>
        </w:rPr>
        <w:t> </w:t>
      </w:r>
      <w:r>
        <w:rPr>
          <w:spacing w:val="-67"/>
        </w:rPr>
      </w:r>
      <w:r>
        <w:rPr/>
        <w:t>行人现从事的业务有竞争的业务。</w:t>
      </w:r>
    </w:p>
    <w:p>
      <w:pPr>
        <w:pStyle w:val="BodyText"/>
        <w:spacing w:line="240" w:lineRule="auto" w:before="43"/>
        <w:ind w:left="621" w:right="139"/>
        <w:jc w:val="left"/>
      </w:pPr>
      <w:r>
        <w:rPr>
          <w:spacing w:val="-6"/>
        </w:rPr>
        <w:t>（</w:t>
      </w:r>
      <w:r>
        <w:rPr>
          <w:rFonts w:ascii="Times New Roman" w:hAnsi="Times New Roman" w:cs="Times New Roman" w:eastAsia="Times New Roman" w:hint="default"/>
          <w:spacing w:val="-6"/>
        </w:rPr>
        <w:t>2</w:t>
      </w:r>
      <w:r>
        <w:rPr>
          <w:spacing w:val="-6"/>
        </w:rPr>
        <w:t>）如违反上述承诺，刘祥、刘亚及江汉同意承担给发行人造成的全部损失。</w:t>
      </w:r>
    </w:p>
    <w:p>
      <w:pPr>
        <w:pStyle w:val="BodyText"/>
        <w:spacing w:line="338" w:lineRule="auto" w:before="135"/>
        <w:ind w:right="301" w:firstLine="479"/>
        <w:jc w:val="both"/>
      </w:pPr>
      <w:r>
        <w:rPr>
          <w:spacing w:val="-2"/>
        </w:rPr>
        <w:t>（</w:t>
      </w:r>
      <w:r>
        <w:rPr>
          <w:rFonts w:ascii="Times New Roman" w:hAnsi="Times New Roman" w:cs="Times New Roman" w:eastAsia="Times New Roman" w:hint="default"/>
          <w:spacing w:val="-2"/>
        </w:rPr>
        <w:t>3</w:t>
      </w:r>
      <w:r>
        <w:rPr>
          <w:spacing w:val="-2"/>
        </w:rPr>
        <w:t>）本承诺函自出具之日起生效，并在刘祥、刘亚及江汉作为发行人股东或</w:t>
      </w:r>
      <w:r>
        <w:rPr/>
        <w:t> 关联方的整个期间持续有效。</w:t>
      </w:r>
    </w:p>
    <w:p>
      <w:pPr>
        <w:spacing w:line="240" w:lineRule="auto" w:before="0"/>
        <w:rPr>
          <w:rFonts w:ascii="宋体" w:hAnsi="宋体" w:cs="宋体" w:eastAsia="宋体" w:hint="default"/>
          <w:sz w:val="27"/>
          <w:szCs w:val="27"/>
        </w:rPr>
      </w:pPr>
    </w:p>
    <w:p>
      <w:pPr>
        <w:pStyle w:val="Heading6"/>
        <w:spacing w:line="240" w:lineRule="auto"/>
        <w:ind w:right="1334"/>
        <w:jc w:val="left"/>
        <w:rPr>
          <w:b w:val="0"/>
          <w:bCs w:val="0"/>
        </w:rPr>
      </w:pPr>
      <w:r>
        <w:rPr>
          <w:rFonts w:ascii="Times New Roman" w:hAnsi="Times New Roman" w:cs="Times New Roman" w:eastAsia="Times New Roman" w:hint="default"/>
        </w:rPr>
        <w:t>2</w:t>
      </w:r>
      <w:r>
        <w:rPr/>
        <w:t>、关于税务风险的承诺</w:t>
      </w:r>
      <w:r>
        <w:rPr>
          <w:b w:val="0"/>
          <w:bCs w:val="0"/>
        </w:rPr>
      </w:r>
    </w:p>
    <w:p>
      <w:pPr>
        <w:spacing w:line="240" w:lineRule="auto" w:before="12"/>
        <w:rPr>
          <w:rFonts w:ascii="宋体" w:hAnsi="宋体" w:cs="宋体" w:eastAsia="宋体" w:hint="default"/>
          <w:b/>
          <w:bCs/>
          <w:sz w:val="32"/>
          <w:szCs w:val="32"/>
        </w:rPr>
      </w:pPr>
    </w:p>
    <w:p>
      <w:pPr>
        <w:pStyle w:val="BodyText"/>
        <w:spacing w:line="338" w:lineRule="auto"/>
        <w:ind w:right="300" w:firstLine="479"/>
        <w:jc w:val="both"/>
        <w:rPr>
          <w:rFonts w:ascii="Times New Roman" w:hAnsi="Times New Roman" w:cs="Times New Roman" w:eastAsia="Times New Roman" w:hint="default"/>
        </w:rPr>
      </w:pPr>
      <w:r>
        <w:rPr/>
        <w:t>公司实际控制人刘祥及持股</w:t>
      </w:r>
      <w:r>
        <w:rPr>
          <w:spacing w:val="-84"/>
        </w:rPr>
        <w:t> </w:t>
      </w:r>
      <w:r>
        <w:rPr>
          <w:rFonts w:ascii="Times New Roman" w:hAnsi="Times New Roman" w:cs="Times New Roman" w:eastAsia="Times New Roman" w:hint="default"/>
        </w:rPr>
        <w:t>5%</w:t>
      </w:r>
      <w:r>
        <w:rPr/>
        <w:t>以上的股东刘亚和江汉共同承诺：</w:t>
      </w:r>
      <w:r>
        <w:rPr>
          <w:rFonts w:ascii="Times New Roman" w:hAnsi="Times New Roman" w:cs="Times New Roman" w:eastAsia="Times New Roman" w:hint="default"/>
        </w:rPr>
        <w:t>“</w:t>
      </w:r>
      <w:r>
        <w:rPr/>
        <w:t>如公司</w:t>
      </w:r>
      <w:r>
        <w:rPr>
          <w:rFonts w:ascii="Times New Roman" w:hAnsi="Times New Roman" w:cs="Times New Roman" w:eastAsia="Times New Roman" w:hint="default"/>
        </w:rPr>
        <w:t>(</w:t>
      </w:r>
      <w:r>
        <w:rPr/>
        <w:t>含 </w:t>
      </w:r>
      <w:r>
        <w:rPr>
          <w:spacing w:val="-1"/>
        </w:rPr>
        <w:t>下属子公司</w:t>
      </w:r>
      <w:r>
        <w:rPr>
          <w:rFonts w:ascii="Times New Roman" w:hAnsi="Times New Roman" w:cs="Times New Roman" w:eastAsia="Times New Roman" w:hint="default"/>
          <w:spacing w:val="-1"/>
        </w:rPr>
        <w:t>)</w:t>
      </w:r>
      <w:r>
        <w:rPr>
          <w:spacing w:val="-1"/>
        </w:rPr>
        <w:t>因任何违反税收征管的法律、法规而遭受税务主管机关追讨欠税并处</w:t>
      </w:r>
      <w:r>
        <w:rPr>
          <w:spacing w:val="-106"/>
        </w:rPr>
        <w:t> </w:t>
      </w:r>
      <w:r>
        <w:rPr>
          <w:spacing w:val="-106"/>
        </w:rPr>
      </w:r>
      <w:r>
        <w:rPr/>
        <w:t>罚的情况，本人同意全额承担相关的责任。</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28"/>
          <w:szCs w:val="28"/>
        </w:rPr>
      </w:pPr>
    </w:p>
    <w:p>
      <w:pPr>
        <w:pStyle w:val="Heading6"/>
        <w:spacing w:line="240" w:lineRule="auto"/>
        <w:ind w:right="1334"/>
        <w:jc w:val="left"/>
        <w:rPr>
          <w:b w:val="0"/>
          <w:bCs w:val="0"/>
        </w:rPr>
      </w:pPr>
      <w:r>
        <w:rPr>
          <w:rFonts w:ascii="Times New Roman" w:hAnsi="Times New Roman" w:cs="Times New Roman" w:eastAsia="Times New Roman" w:hint="default"/>
        </w:rPr>
        <w:t>3</w:t>
      </w:r>
      <w:r>
        <w:rPr/>
        <w:t>、关于住房公积金风险的承诺</w:t>
      </w:r>
      <w:r>
        <w:rPr>
          <w:b w:val="0"/>
          <w:bCs w:val="0"/>
        </w:rPr>
      </w:r>
    </w:p>
    <w:p>
      <w:pPr>
        <w:spacing w:line="240" w:lineRule="auto" w:before="13"/>
        <w:rPr>
          <w:rFonts w:ascii="宋体" w:hAnsi="宋体" w:cs="宋体" w:eastAsia="宋体" w:hint="default"/>
          <w:b/>
          <w:bCs/>
          <w:sz w:val="32"/>
          <w:szCs w:val="32"/>
        </w:rPr>
      </w:pPr>
    </w:p>
    <w:p>
      <w:pPr>
        <w:pStyle w:val="BodyText"/>
        <w:spacing w:line="348" w:lineRule="auto"/>
        <w:ind w:right="297" w:firstLine="479"/>
        <w:jc w:val="both"/>
      </w:pPr>
      <w:r>
        <w:rPr/>
        <w:t>公司实际控制人及持股</w:t>
      </w:r>
      <w:r>
        <w:rPr>
          <w:spacing w:val="-7"/>
        </w:rPr>
        <w:t> </w:t>
      </w:r>
      <w:r>
        <w:rPr>
          <w:rFonts w:ascii="Times New Roman" w:hAnsi="Times New Roman" w:cs="Times New Roman" w:eastAsia="Times New Roman" w:hint="default"/>
        </w:rPr>
        <w:t>5%</w:t>
      </w:r>
      <w:r>
        <w:rPr/>
        <w:t>以上股东刘亚、江汉出具承诺函：</w:t>
      </w:r>
      <w:r>
        <w:rPr>
          <w:rFonts w:ascii="Times New Roman" w:hAnsi="Times New Roman" w:cs="Times New Roman" w:eastAsia="Times New Roman" w:hint="default"/>
        </w:rPr>
        <w:t>“</w:t>
      </w:r>
      <w:r>
        <w:rPr/>
        <w:t>如今后贵司因 上市前执行住房公积金政策事宜被要求补缴住房公积金、缴纳罚款或因此而遭受</w:t>
      </w:r>
      <w:r>
        <w:rPr>
          <w:spacing w:val="-61"/>
        </w:rPr>
        <w:t> </w:t>
      </w:r>
      <w:r>
        <w:rPr>
          <w:spacing w:val="-61"/>
        </w:rPr>
      </w:r>
      <w:r>
        <w:rPr/>
        <w:t>任何损失时，我们将及时、无条件、全额补偿贵司由此遭受的一切损失</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3"/>
          <w:szCs w:val="23"/>
        </w:rPr>
      </w:pPr>
    </w:p>
    <w:p>
      <w:pPr>
        <w:pStyle w:val="Heading6"/>
        <w:spacing w:line="240" w:lineRule="auto"/>
        <w:ind w:right="1334"/>
        <w:jc w:val="left"/>
        <w:rPr>
          <w:b w:val="0"/>
          <w:bCs w:val="0"/>
        </w:rPr>
      </w:pPr>
      <w:r>
        <w:rPr>
          <w:rFonts w:ascii="Times New Roman" w:hAnsi="Times New Roman" w:cs="Times New Roman" w:eastAsia="Times New Roman" w:hint="default"/>
        </w:rPr>
        <w:t>4</w:t>
      </w:r>
      <w:r>
        <w:rPr/>
        <w:t>、关于生产场地被迫搬迁的补偿承诺</w:t>
      </w:r>
      <w:r>
        <w:rPr>
          <w:b w:val="0"/>
          <w:bCs w:val="0"/>
        </w:rPr>
      </w:r>
    </w:p>
    <w:p>
      <w:pPr>
        <w:spacing w:line="240" w:lineRule="auto" w:before="12"/>
        <w:rPr>
          <w:rFonts w:ascii="宋体" w:hAnsi="宋体" w:cs="宋体" w:eastAsia="宋体" w:hint="default"/>
          <w:b/>
          <w:bCs/>
          <w:sz w:val="32"/>
          <w:szCs w:val="32"/>
        </w:rPr>
      </w:pPr>
    </w:p>
    <w:p>
      <w:pPr>
        <w:pStyle w:val="BodyText"/>
        <w:spacing w:line="352" w:lineRule="auto"/>
        <w:ind w:right="301" w:firstLine="479"/>
        <w:jc w:val="both"/>
        <w:rPr>
          <w:rFonts w:ascii="Times New Roman" w:hAnsi="Times New Roman" w:cs="Times New Roman" w:eastAsia="Times New Roman" w:hint="default"/>
        </w:rPr>
      </w:pPr>
      <w:r>
        <w:rPr>
          <w:spacing w:val="-2"/>
        </w:rPr>
        <w:t>公司实际控制人刘祥及股东刘亚和江汉共同承诺：</w:t>
      </w:r>
      <w:r>
        <w:rPr>
          <w:rFonts w:ascii="Times New Roman" w:hAnsi="Times New Roman" w:cs="Times New Roman" w:eastAsia="Times New Roman" w:hint="default"/>
          <w:spacing w:val="-2"/>
        </w:rPr>
        <w:t>“</w:t>
      </w:r>
      <w:r>
        <w:rPr>
          <w:spacing w:val="-2"/>
        </w:rPr>
        <w:t>在中国证监会核准发行人</w:t>
      </w:r>
      <w:r>
        <w:rPr/>
        <w:t> 本次发行股票并上市，且发行人公开发行的股票在证券交易所正式挂牌后，若因</w:t>
      </w:r>
      <w:r>
        <w:rPr>
          <w:spacing w:val="-67"/>
        </w:rPr>
        <w:t> </w:t>
      </w:r>
      <w:r>
        <w:rPr>
          <w:spacing w:val="-67"/>
        </w:rPr>
      </w:r>
      <w:r>
        <w:rPr/>
        <w:t>公司租赁厂房的产权瑕疵导致发行人被迫搬迁生产场地，承诺人将以连带责任方</w:t>
      </w:r>
      <w:r>
        <w:rPr>
          <w:spacing w:val="-67"/>
        </w:rPr>
        <w:t> </w:t>
      </w:r>
      <w:r>
        <w:rPr>
          <w:spacing w:val="-67"/>
        </w:rPr>
      </w:r>
      <w:r>
        <w:rPr/>
        <w:t>式全额承担补偿深圳市新国都技术股份有限公司的搬迁费用和因生产停滞所造成</w:t>
      </w:r>
      <w:r>
        <w:rPr>
          <w:spacing w:val="-67"/>
        </w:rPr>
        <w:t> </w:t>
      </w:r>
      <w:r>
        <w:rPr>
          <w:spacing w:val="-67"/>
        </w:rPr>
      </w:r>
      <w:r>
        <w:rPr/>
        <w:t>的损失。</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6"/>
          <w:szCs w:val="26"/>
        </w:rPr>
      </w:pPr>
    </w:p>
    <w:p>
      <w:pPr>
        <w:pStyle w:val="Heading6"/>
        <w:spacing w:line="240" w:lineRule="auto"/>
        <w:ind w:right="1334"/>
        <w:jc w:val="left"/>
        <w:rPr>
          <w:b w:val="0"/>
          <w:bCs w:val="0"/>
        </w:rPr>
      </w:pPr>
      <w:r>
        <w:rPr>
          <w:rFonts w:ascii="Times New Roman" w:hAnsi="Times New Roman" w:cs="Times New Roman" w:eastAsia="Times New Roman" w:hint="default"/>
        </w:rPr>
        <w:t>5</w:t>
      </w:r>
      <w:r>
        <w:rPr/>
        <w:t>、关于股份锁定的承诺</w:t>
      </w:r>
      <w:r>
        <w:rPr>
          <w:b w:val="0"/>
          <w:bCs w:val="0"/>
        </w:rPr>
      </w:r>
    </w:p>
    <w:p>
      <w:pPr>
        <w:spacing w:line="240" w:lineRule="auto" w:before="13"/>
        <w:rPr>
          <w:rFonts w:ascii="宋体" w:hAnsi="宋体" w:cs="宋体" w:eastAsia="宋体" w:hint="default"/>
          <w:b/>
          <w:bCs/>
          <w:sz w:val="32"/>
          <w:szCs w:val="32"/>
        </w:rPr>
      </w:pPr>
    </w:p>
    <w:p>
      <w:pPr>
        <w:pStyle w:val="BodyText"/>
        <w:spacing w:line="338" w:lineRule="auto"/>
        <w:ind w:right="299" w:firstLine="479"/>
        <w:jc w:val="both"/>
      </w:pPr>
      <w:r>
        <w:rPr>
          <w:spacing w:val="-2"/>
        </w:rPr>
        <w:t>刘祥、刘亚、江汉承诺：</w:t>
      </w:r>
      <w:r>
        <w:rPr>
          <w:rFonts w:ascii="Times New Roman" w:hAnsi="Times New Roman" w:cs="Times New Roman" w:eastAsia="Times New Roman" w:hint="default"/>
          <w:spacing w:val="-2"/>
        </w:rPr>
        <w:t>“</w:t>
      </w:r>
      <w:r>
        <w:rPr>
          <w:spacing w:val="-2"/>
        </w:rPr>
        <w:t>自公司股票上市之日起三十六个月内，不转让或者</w:t>
      </w:r>
      <w:r>
        <w:rPr/>
        <w:t> 委托他人管理本人直接或间接持有的公司公开发行股票前已发行的股份，也不由</w:t>
      </w:r>
    </w:p>
    <w:p>
      <w:pPr>
        <w:spacing w:after="0" w:line="338" w:lineRule="auto"/>
        <w:jc w:val="both"/>
        <w:sectPr>
          <w:footerReference w:type="default" r:id="rId27"/>
          <w:pgSz w:w="11910" w:h="16840"/>
          <w:pgMar w:footer="1267" w:header="877" w:top="1060" w:bottom="1460" w:left="1560" w:right="1440"/>
          <w:pgNumType w:start="60"/>
        </w:sectPr>
      </w:pPr>
    </w:p>
    <w:p>
      <w:pPr>
        <w:pStyle w:val="BodyText"/>
        <w:spacing w:line="338" w:lineRule="auto" w:before="104"/>
        <w:ind w:left="621" w:right="173" w:hanging="480"/>
        <w:jc w:val="left"/>
      </w:pPr>
      <w:r>
        <w:rPr/>
        <w:t>新国都回购本人直接或间接持有的公司公开发行股票前已发行的股份。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自然人股东李俊、栾承岚、陈希芬、汪洋、韦余红、李林杰、赵辉、徐金芳、</w:t>
      </w:r>
    </w:p>
    <w:p>
      <w:pPr>
        <w:pStyle w:val="BodyText"/>
        <w:spacing w:line="350" w:lineRule="auto" w:before="55"/>
        <w:ind w:right="176"/>
        <w:jc w:val="left"/>
        <w:rPr>
          <w:rFonts w:ascii="Times New Roman" w:hAnsi="Times New Roman" w:cs="Times New Roman" w:eastAsia="Times New Roman" w:hint="default"/>
        </w:rPr>
      </w:pPr>
      <w:r>
        <w:rPr>
          <w:spacing w:val="-2"/>
        </w:rPr>
        <w:t>聂淼、张燕民、蔡衍军、陈新华、李妍、许芹、王巍、里维宁、王凌海、徐兴春、</w:t>
      </w:r>
      <w:r>
        <w:rPr>
          <w:spacing w:val="-114"/>
        </w:rPr>
        <w:t> </w:t>
      </w:r>
      <w:r>
        <w:rPr>
          <w:spacing w:val="-114"/>
        </w:rPr>
      </w:r>
      <w:r>
        <w:rPr/>
        <w:t>钟可颐、谢建龙、黄健生、欧阳伟强承诺：</w:t>
      </w:r>
      <w:r>
        <w:rPr>
          <w:rFonts w:ascii="Times New Roman" w:hAnsi="Times New Roman" w:cs="Times New Roman" w:eastAsia="Times New Roman" w:hint="default"/>
        </w:rPr>
        <w:t>“</w:t>
      </w:r>
      <w:r>
        <w:rPr/>
        <w:t>自公司股票上市之日起十二个月内， 不转让或者委托他人管理本人直接或间接持有的公司公开发行股票前已发行的股</w:t>
      </w:r>
      <w:r>
        <w:rPr>
          <w:spacing w:val="-67"/>
        </w:rPr>
        <w:t> </w:t>
      </w:r>
      <w:r>
        <w:rPr>
          <w:spacing w:val="-67"/>
        </w:rPr>
      </w:r>
      <w:r>
        <w:rPr/>
        <w:t>份，也不由公司回购本人直接或间接持有的公司公开发行股票前已发行的股份。</w:t>
      </w:r>
      <w:r>
        <w:rPr>
          <w:rFonts w:ascii="Times New Roman" w:hAnsi="Times New Roman" w:cs="Times New Roman" w:eastAsia="Times New Roman" w:hint="default"/>
        </w:rPr>
        <w:t>”</w:t>
      </w:r>
    </w:p>
    <w:p>
      <w:pPr>
        <w:pStyle w:val="BodyText"/>
        <w:spacing w:line="350" w:lineRule="auto" w:before="13"/>
        <w:ind w:right="301" w:firstLine="479"/>
        <w:jc w:val="both"/>
        <w:rPr>
          <w:rFonts w:ascii="Times New Roman" w:hAnsi="Times New Roman" w:cs="Times New Roman" w:eastAsia="Times New Roman" w:hint="default"/>
        </w:rPr>
      </w:pPr>
      <w:r>
        <w:rPr>
          <w:spacing w:val="-2"/>
        </w:rPr>
        <w:t>法人股东深创投、福田资本、瑞驰丰和承诺：</w:t>
      </w:r>
      <w:r>
        <w:rPr>
          <w:rFonts w:ascii="Times New Roman" w:hAnsi="Times New Roman" w:cs="Times New Roman" w:eastAsia="Times New Roman" w:hint="default"/>
          <w:spacing w:val="-2"/>
        </w:rPr>
        <w:t>“</w:t>
      </w:r>
      <w:r>
        <w:rPr>
          <w:spacing w:val="-2"/>
        </w:rPr>
        <w:t>自公司股票上市之日起十二个</w:t>
      </w:r>
      <w:r>
        <w:rPr/>
        <w:t> 月内，不转让或者委托他人管理本公司直接或间接持有的公司公开发行股票前已</w:t>
      </w:r>
      <w:r>
        <w:rPr>
          <w:spacing w:val="-67"/>
        </w:rPr>
        <w:t> </w:t>
      </w:r>
      <w:r>
        <w:rPr>
          <w:spacing w:val="-67"/>
        </w:rPr>
      </w:r>
      <w:r>
        <w:rPr/>
        <w:t>发行的股份，也不由公司回购本公司直接或间接持有的公司公开发行股票前已发</w:t>
      </w:r>
      <w:r>
        <w:rPr>
          <w:spacing w:val="-67"/>
        </w:rPr>
        <w:t> </w:t>
      </w:r>
      <w:r>
        <w:rPr>
          <w:spacing w:val="-67"/>
        </w:rPr>
      </w:r>
      <w:r>
        <w:rPr/>
        <w:t>行的股份。</w:t>
      </w:r>
      <w:r>
        <w:rPr>
          <w:rFonts w:ascii="Times New Roman" w:hAnsi="Times New Roman" w:cs="Times New Roman" w:eastAsia="Times New Roman" w:hint="default"/>
        </w:rPr>
        <w:t>”</w:t>
      </w:r>
    </w:p>
    <w:p>
      <w:pPr>
        <w:pStyle w:val="BodyText"/>
        <w:spacing w:line="350" w:lineRule="auto" w:before="13"/>
        <w:ind w:right="299" w:firstLine="479"/>
        <w:jc w:val="right"/>
      </w:pPr>
      <w:r>
        <w:rPr/>
        <w:t>在公司担任董事、监事、高级管理人员的股东刘祥、江汉、汪洋、韦余红、 李林杰、栾承岚、赵辉承诺在其本人及关联方担任董事、监事、高级管理人员职</w:t>
      </w:r>
      <w:r>
        <w:rPr>
          <w:spacing w:val="-82"/>
        </w:rPr>
        <w:t> </w:t>
      </w:r>
      <w:r>
        <w:rPr>
          <w:spacing w:val="-82"/>
        </w:rPr>
      </w:r>
      <w:r>
        <w:rPr/>
        <w:t>务期间，每年转让的公司股份不超过其所持有的股份总数的</w:t>
      </w:r>
      <w:r>
        <w:rPr>
          <w:spacing w:val="-20"/>
        </w:rPr>
        <w:t> </w:t>
      </w:r>
      <w:r>
        <w:rPr>
          <w:rFonts w:ascii="Times New Roman" w:hAnsi="Times New Roman" w:cs="Times New Roman" w:eastAsia="Times New Roman" w:hint="default"/>
        </w:rPr>
        <w:t>25%</w:t>
      </w:r>
      <w:r>
        <w:rPr/>
        <w:t>；离职后半年内 不转让其所持有的公司的股份；在申报离任六个月后的十二月内通过证券交易所</w:t>
      </w:r>
    </w:p>
    <w:p>
      <w:pPr>
        <w:pStyle w:val="BodyText"/>
        <w:spacing w:line="280" w:lineRule="auto" w:before="43"/>
        <w:ind w:left="0" w:right="299"/>
        <w:jc w:val="right"/>
      </w:pPr>
      <w:r>
        <w:rPr>
          <w:spacing w:val="-2"/>
        </w:rPr>
        <w:t>挂牌交易出售公司股票数量占其所持有公司股票总数的比例不超过百分之五十。</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4"/>
        </w:rPr>
        <w:t>月，在公司担任董事、监事、高级管理人员的股东刘祥、江汉、汪</w:t>
      </w:r>
    </w:p>
    <w:p>
      <w:pPr>
        <w:pStyle w:val="BodyText"/>
        <w:spacing w:line="357" w:lineRule="auto" w:before="90"/>
        <w:ind w:right="176"/>
        <w:jc w:val="left"/>
      </w:pPr>
      <w:r>
        <w:rPr/>
        <w:t>洋、韦余红、李林杰、栾承岚、赵辉承诺：若在首次公开发行股票上市之日起六</w:t>
      </w:r>
      <w:r>
        <w:rPr>
          <w:spacing w:val="-63"/>
        </w:rPr>
        <w:t> </w:t>
      </w:r>
      <w:r>
        <w:rPr>
          <w:spacing w:val="-63"/>
        </w:rPr>
      </w:r>
      <w:r>
        <w:rPr>
          <w:spacing w:val="-2"/>
        </w:rPr>
        <w:t>个月内（含第六个月）申报离职，将自申报离职之日起十八个月（含第十八个月）</w:t>
      </w:r>
      <w:r>
        <w:rPr>
          <w:spacing w:val="-108"/>
        </w:rPr>
        <w:t> </w:t>
      </w:r>
      <w:r>
        <w:rPr>
          <w:spacing w:val="-108"/>
        </w:rPr>
      </w:r>
      <w:r>
        <w:rPr/>
        <w:t>内不转让本人直接持有的本公司股份；本人若在首次公开发行股票上市之日起第</w:t>
      </w:r>
      <w:r>
        <w:rPr>
          <w:spacing w:val="-67"/>
        </w:rPr>
        <w:t> </w:t>
      </w:r>
      <w:r>
        <w:rPr>
          <w:spacing w:val="-67"/>
        </w:rPr>
      </w:r>
      <w:r>
        <w:rPr/>
        <w:t>七个月至第十二个月（含第七个月、第十二个月）之间申报离职，将自申报离职</w:t>
      </w:r>
      <w:r>
        <w:rPr>
          <w:spacing w:val="-67"/>
        </w:rPr>
        <w:t> </w:t>
      </w:r>
      <w:r>
        <w:rPr>
          <w:spacing w:val="-67"/>
        </w:rPr>
      </w:r>
      <w:r>
        <w:rPr/>
        <w:t>之日起十二个月内（含第十二个月）不转让本人直接持有的本公司股份。因上市</w:t>
      </w:r>
      <w:r>
        <w:rPr>
          <w:spacing w:val="-67"/>
        </w:rPr>
        <w:t> </w:t>
      </w:r>
      <w:r>
        <w:rPr>
          <w:spacing w:val="-67"/>
        </w:rPr>
      </w:r>
      <w:r>
        <w:rPr/>
        <w:t>公司进行权益分派等导致本人直接持有本公司股份发生变化的，本人仍遵守前款</w:t>
      </w:r>
      <w:r>
        <w:rPr>
          <w:spacing w:val="-60"/>
        </w:rPr>
        <w:t> </w:t>
      </w:r>
      <w:r>
        <w:rPr>
          <w:spacing w:val="-60"/>
        </w:rPr>
      </w:r>
      <w:r>
        <w:rPr/>
        <w:t>承诺。</w:t>
      </w:r>
    </w:p>
    <w:p>
      <w:pPr>
        <w:spacing w:line="556" w:lineRule="auto" w:before="115"/>
        <w:ind w:left="142" w:right="825" w:firstLine="479"/>
        <w:jc w:val="left"/>
        <w:rPr>
          <w:rFonts w:ascii="宋体" w:hAnsi="宋体" w:cs="宋体" w:eastAsia="宋体" w:hint="default"/>
          <w:sz w:val="24"/>
          <w:szCs w:val="24"/>
        </w:rPr>
      </w:pPr>
      <w:r>
        <w:rPr>
          <w:rFonts w:ascii="宋体" w:hAnsi="宋体" w:cs="宋体" w:eastAsia="宋体" w:hint="default"/>
          <w:sz w:val="24"/>
          <w:szCs w:val="24"/>
        </w:rPr>
        <w:t>报告期内，公司股东、董事、监事、高级管理人员均遵守了上述承诺。 </w:t>
      </w:r>
      <w:r>
        <w:rPr>
          <w:rFonts w:ascii="宋体" w:hAnsi="宋体" w:cs="宋体" w:eastAsia="宋体" w:hint="default"/>
          <w:b/>
          <w:bCs/>
          <w:sz w:val="24"/>
          <w:szCs w:val="24"/>
        </w:rPr>
        <w:t>十、解聘、聘任会计师事务所情况及支付报酬情况</w:t>
      </w:r>
      <w:r>
        <w:rPr>
          <w:rFonts w:ascii="宋体" w:hAnsi="宋体" w:cs="宋体" w:eastAsia="宋体" w:hint="default"/>
          <w:sz w:val="24"/>
          <w:szCs w:val="24"/>
        </w:rPr>
      </w:r>
    </w:p>
    <w:p>
      <w:pPr>
        <w:pStyle w:val="BodyText"/>
        <w:spacing w:line="338" w:lineRule="auto" w:before="94"/>
        <w:ind w:right="145" w:firstLine="479"/>
        <w:jc w:val="both"/>
      </w:pPr>
      <w:r>
        <w:rPr>
          <w:spacing w:val="-1"/>
        </w:rPr>
        <w:t>经公司</w:t>
      </w:r>
      <w:r>
        <w:rPr>
          <w:rFonts w:ascii="Times New Roman" w:hAnsi="Times New Roman" w:cs="Times New Roman" w:eastAsia="Times New Roman" w:hint="default"/>
          <w:spacing w:val="-1"/>
        </w:rPr>
        <w:t>2009</w:t>
      </w:r>
      <w:r>
        <w:rPr>
          <w:spacing w:val="-1"/>
        </w:rPr>
        <w:t>年度股东大会审议通过，聘任立信大华会计师事务所有限公司为公</w:t>
      </w:r>
      <w:r>
        <w:rPr/>
        <w:t> </w:t>
      </w:r>
      <w:r>
        <w:rPr>
          <w:spacing w:val="-1"/>
        </w:rPr>
        <w:t>司</w:t>
      </w:r>
      <w:r>
        <w:rPr>
          <w:rFonts w:ascii="Times New Roman" w:hAnsi="Times New Roman" w:cs="Times New Roman" w:eastAsia="Times New Roman" w:hint="default"/>
          <w:spacing w:val="-1"/>
        </w:rPr>
        <w:t>2010</w:t>
      </w:r>
      <w:r>
        <w:rPr>
          <w:spacing w:val="-1"/>
        </w:rPr>
        <w:t>年度审计机构，聘期一年。目前立信大华会计师事务所有限公司已经为公司</w:t>
      </w:r>
      <w:r>
        <w:rPr>
          <w:spacing w:val="-107"/>
        </w:rPr>
        <w:t> </w:t>
      </w:r>
      <w:r>
        <w:rPr>
          <w:spacing w:val="-107"/>
        </w:rPr>
      </w:r>
      <w:r>
        <w:rPr/>
        <w:t>提供</w:t>
      </w:r>
      <w:r>
        <w:rPr>
          <w:rFonts w:ascii="Times New Roman" w:hAnsi="Times New Roman" w:cs="Times New Roman" w:eastAsia="Times New Roman" w:hint="default"/>
        </w:rPr>
        <w:t>3</w:t>
      </w:r>
      <w:r>
        <w:rPr/>
        <w:t>年的审计服务。</w:t>
      </w:r>
    </w:p>
    <w:p>
      <w:pPr>
        <w:spacing w:after="0" w:line="338" w:lineRule="auto"/>
        <w:jc w:val="both"/>
        <w:sectPr>
          <w:pgSz w:w="11910" w:h="16840"/>
          <w:pgMar w:header="877" w:footer="1267" w:top="1060" w:bottom="1460" w:left="1560" w:right="1440"/>
        </w:sectPr>
      </w:pPr>
    </w:p>
    <w:p>
      <w:pPr>
        <w:pStyle w:val="Heading6"/>
        <w:spacing w:line="240" w:lineRule="auto" w:before="107"/>
        <w:ind w:left="282" w:right="0"/>
        <w:jc w:val="both"/>
        <w:rPr>
          <w:b w:val="0"/>
          <w:bCs w:val="0"/>
        </w:rPr>
      </w:pPr>
      <w:r>
        <w:rPr/>
        <w:t>十一、受监管部门处罚、通报批评、公开谴责等情况</w:t>
      </w:r>
      <w:r>
        <w:rPr>
          <w:b w:val="0"/>
          <w:bCs w:val="0"/>
        </w:rPr>
      </w:r>
    </w:p>
    <w:p>
      <w:pPr>
        <w:spacing w:line="240" w:lineRule="auto" w:before="8"/>
        <w:rPr>
          <w:rFonts w:ascii="宋体" w:hAnsi="宋体" w:cs="宋体" w:eastAsia="宋体" w:hint="default"/>
          <w:b/>
          <w:bCs/>
          <w:sz w:val="31"/>
          <w:szCs w:val="31"/>
        </w:rPr>
      </w:pPr>
    </w:p>
    <w:p>
      <w:pPr>
        <w:pStyle w:val="BodyText"/>
        <w:spacing w:line="357" w:lineRule="auto"/>
        <w:ind w:left="282" w:right="283" w:firstLine="479"/>
        <w:jc w:val="both"/>
      </w:pPr>
      <w:r>
        <w:rPr>
          <w:spacing w:val="-1"/>
        </w:rPr>
        <w:t>报告期内，公司及其董事、监事、高级管理人员、公司控股股东、实际控制人</w:t>
      </w:r>
      <w:r>
        <w:rPr/>
        <w:t> </w:t>
      </w:r>
      <w:r>
        <w:rPr>
          <w:spacing w:val="-1"/>
        </w:rPr>
        <w:t>不存在受有权机关调查、司法纪检部门采取强制措施、被移送司法机关或追究刑事</w:t>
      </w:r>
      <w:r>
        <w:rPr>
          <w:spacing w:val="-108"/>
        </w:rPr>
        <w:t> </w:t>
      </w:r>
      <w:r>
        <w:rPr>
          <w:spacing w:val="-108"/>
        </w:rPr>
      </w:r>
      <w:r>
        <w:rPr>
          <w:spacing w:val="-1"/>
        </w:rPr>
        <w:t>责任、中国证监会稽查、中国证监会行政处罚、证券市场禁入、认定为不适当人选</w:t>
      </w:r>
      <w:r>
        <w:rPr>
          <w:spacing w:val="-107"/>
        </w:rPr>
        <w:t> </w:t>
      </w:r>
      <w:r>
        <w:rPr>
          <w:spacing w:val="-107"/>
        </w:rPr>
      </w:r>
      <w:r>
        <w:rPr/>
        <w:t>被其他行政管理部门处罚及证券交易所公开谴责的情形。</w:t>
      </w:r>
    </w:p>
    <w:p>
      <w:pPr>
        <w:spacing w:line="240" w:lineRule="auto" w:before="10"/>
        <w:rPr>
          <w:rFonts w:ascii="宋体" w:hAnsi="宋体" w:cs="宋体" w:eastAsia="宋体" w:hint="default"/>
          <w:sz w:val="22"/>
          <w:szCs w:val="22"/>
        </w:rPr>
      </w:pPr>
    </w:p>
    <w:p>
      <w:pPr>
        <w:pStyle w:val="Heading6"/>
        <w:spacing w:line="240" w:lineRule="auto"/>
        <w:ind w:left="282" w:right="0"/>
        <w:jc w:val="both"/>
        <w:rPr>
          <w:b w:val="0"/>
          <w:bCs w:val="0"/>
        </w:rPr>
      </w:pPr>
      <w:r>
        <w:rPr/>
        <w:t>十二、报告期内，中国证监会及其派出机构未对公司提出的整改意见。</w:t>
      </w:r>
      <w:r>
        <w:rPr>
          <w:b w:val="0"/>
          <w:bCs w:val="0"/>
        </w:rPr>
      </w:r>
    </w:p>
    <w:p>
      <w:pPr>
        <w:spacing w:line="240" w:lineRule="auto" w:before="6"/>
        <w:rPr>
          <w:rFonts w:ascii="宋体" w:hAnsi="宋体" w:cs="宋体" w:eastAsia="宋体" w:hint="default"/>
          <w:b/>
          <w:bCs/>
          <w:sz w:val="31"/>
          <w:szCs w:val="31"/>
        </w:rPr>
      </w:pPr>
    </w:p>
    <w:p>
      <w:pPr>
        <w:spacing w:line="357" w:lineRule="auto" w:before="0"/>
        <w:ind w:left="282" w:right="450" w:firstLine="0"/>
        <w:jc w:val="both"/>
        <w:rPr>
          <w:rFonts w:ascii="宋体" w:hAnsi="宋体" w:cs="宋体" w:eastAsia="宋体" w:hint="default"/>
          <w:sz w:val="24"/>
          <w:szCs w:val="24"/>
        </w:rPr>
      </w:pPr>
      <w:r>
        <w:rPr>
          <w:rFonts w:ascii="宋体" w:hAnsi="宋体" w:cs="宋体" w:eastAsia="宋体" w:hint="default"/>
          <w:b/>
          <w:bCs/>
          <w:sz w:val="24"/>
          <w:szCs w:val="24"/>
        </w:rPr>
        <w:t>十三、报告期内，公司和子公司没有发生《证券法》第六十七条、《上市公司信</w:t>
      </w:r>
      <w:r>
        <w:rPr>
          <w:rFonts w:ascii="宋体" w:hAnsi="宋体" w:cs="宋体" w:eastAsia="宋体" w:hint="default"/>
          <w:b/>
          <w:bCs/>
          <w:spacing w:val="-106"/>
          <w:sz w:val="24"/>
          <w:szCs w:val="24"/>
        </w:rPr>
        <w:t> </w:t>
      </w:r>
      <w:r>
        <w:rPr>
          <w:rFonts w:ascii="宋体" w:hAnsi="宋体" w:cs="宋体" w:eastAsia="宋体" w:hint="default"/>
          <w:b/>
          <w:bCs/>
          <w:spacing w:val="-106"/>
          <w:sz w:val="24"/>
          <w:szCs w:val="24"/>
        </w:rPr>
      </w:r>
      <w:r>
        <w:rPr>
          <w:rFonts w:ascii="宋体" w:hAnsi="宋体" w:cs="宋体" w:eastAsia="宋体" w:hint="default"/>
          <w:b/>
          <w:bCs/>
          <w:sz w:val="24"/>
          <w:szCs w:val="24"/>
        </w:rPr>
        <w:t>息披露管理办法》第三十条所列的重大事件，以及公司董事会判断为重大事件的</w:t>
      </w:r>
      <w:r>
        <w:rPr>
          <w:rFonts w:ascii="宋体" w:hAnsi="宋体" w:cs="宋体" w:eastAsia="宋体" w:hint="default"/>
          <w:b/>
          <w:bCs/>
          <w:spacing w:val="-106"/>
          <w:sz w:val="24"/>
          <w:szCs w:val="24"/>
        </w:rPr>
        <w:t> </w:t>
      </w:r>
      <w:r>
        <w:rPr>
          <w:rFonts w:ascii="宋体" w:hAnsi="宋体" w:cs="宋体" w:eastAsia="宋体" w:hint="default"/>
          <w:b/>
          <w:bCs/>
          <w:spacing w:val="-106"/>
          <w:sz w:val="24"/>
          <w:szCs w:val="24"/>
        </w:rPr>
      </w:r>
      <w:r>
        <w:rPr>
          <w:rFonts w:ascii="宋体" w:hAnsi="宋体" w:cs="宋体" w:eastAsia="宋体" w:hint="default"/>
          <w:b/>
          <w:bCs/>
          <w:sz w:val="24"/>
          <w:szCs w:val="24"/>
        </w:rPr>
        <w:t>事项。</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spacing w:before="0"/>
        <w:ind w:left="282" w:right="0" w:firstLine="0"/>
        <w:jc w:val="both"/>
        <w:rPr>
          <w:rFonts w:ascii="宋体" w:hAnsi="宋体" w:cs="宋体" w:eastAsia="宋体" w:hint="default"/>
          <w:sz w:val="24"/>
          <w:szCs w:val="24"/>
        </w:rPr>
      </w:pPr>
      <w:r>
        <w:rPr>
          <w:rFonts w:ascii="宋体" w:hAnsi="宋体" w:cs="宋体" w:eastAsia="宋体" w:hint="default"/>
          <w:b/>
          <w:bCs/>
          <w:sz w:val="24"/>
          <w:szCs w:val="24"/>
        </w:rPr>
        <w:t>十四、公司内部审计机构的设置、人员安排和内部审计制度的执行情况</w:t>
      </w:r>
      <w:r>
        <w:rPr>
          <w:rFonts w:ascii="宋体" w:hAnsi="宋体" w:cs="宋体" w:eastAsia="宋体" w:hint="default"/>
          <w:sz w:val="24"/>
          <w:szCs w:val="24"/>
        </w:rPr>
      </w:r>
    </w:p>
    <w:p>
      <w:pPr>
        <w:spacing w:line="240" w:lineRule="auto" w:before="5"/>
        <w:rPr>
          <w:rFonts w:ascii="宋体" w:hAnsi="宋体" w:cs="宋体" w:eastAsia="宋体" w:hint="default"/>
          <w:b/>
          <w:bCs/>
          <w:sz w:val="31"/>
          <w:szCs w:val="31"/>
        </w:rPr>
      </w:pPr>
    </w:p>
    <w:p>
      <w:pPr>
        <w:pStyle w:val="BodyText"/>
        <w:spacing w:line="357" w:lineRule="auto"/>
        <w:ind w:left="282" w:right="285" w:firstLine="479"/>
        <w:jc w:val="both"/>
      </w:pPr>
      <w:r>
        <w:rPr>
          <w:spacing w:val="-1"/>
        </w:rPr>
        <w:t>公司根据制定的《内部审计工作制度》设立有独立的内部审计机构，配备了专</w:t>
      </w:r>
      <w:r>
        <w:rPr/>
        <w:t> 职的内部审计人员，严格按制度执行，定期进行了内部审计工作。</w:t>
      </w:r>
    </w:p>
    <w:p>
      <w:pPr>
        <w:spacing w:line="240" w:lineRule="auto" w:before="10"/>
        <w:rPr>
          <w:rFonts w:ascii="宋体" w:hAnsi="宋体" w:cs="宋体" w:eastAsia="宋体" w:hint="default"/>
          <w:sz w:val="22"/>
          <w:szCs w:val="22"/>
        </w:rPr>
      </w:pPr>
    </w:p>
    <w:p>
      <w:pPr>
        <w:pStyle w:val="Heading6"/>
        <w:spacing w:line="240" w:lineRule="auto"/>
        <w:ind w:left="282" w:right="0"/>
        <w:jc w:val="both"/>
        <w:rPr>
          <w:b w:val="0"/>
          <w:bCs w:val="0"/>
        </w:rPr>
      </w:pPr>
      <w:r>
        <w:rPr/>
        <w:t>十五、报告期内重大信息索引</w:t>
      </w:r>
      <w:r>
        <w:rPr>
          <w:b w:val="0"/>
          <w:bCs w:val="0"/>
        </w:rPr>
      </w:r>
    </w:p>
    <w:p>
      <w:pPr>
        <w:spacing w:line="240" w:lineRule="auto" w:before="8"/>
        <w:rPr>
          <w:rFonts w:ascii="宋体" w:hAnsi="宋体" w:cs="宋体" w:eastAsia="宋体" w:hint="default"/>
          <w:b/>
          <w:bCs/>
          <w:sz w:val="28"/>
          <w:szCs w:val="28"/>
        </w:rPr>
      </w:pPr>
    </w:p>
    <w:tbl>
      <w:tblPr>
        <w:tblW w:w="0" w:type="auto"/>
        <w:jc w:val="left"/>
        <w:tblInd w:w="114" w:type="dxa"/>
        <w:tblLayout w:type="fixed"/>
        <w:tblCellMar>
          <w:top w:w="0" w:type="dxa"/>
          <w:left w:w="0" w:type="dxa"/>
          <w:bottom w:w="0" w:type="dxa"/>
          <w:right w:w="0" w:type="dxa"/>
        </w:tblCellMar>
        <w:tblLook w:val="01E0"/>
      </w:tblPr>
      <w:tblGrid>
        <w:gridCol w:w="590"/>
        <w:gridCol w:w="4201"/>
        <w:gridCol w:w="1985"/>
        <w:gridCol w:w="2170"/>
      </w:tblGrid>
      <w:tr>
        <w:trPr>
          <w:trHeight w:val="946" w:hRule="exact"/>
        </w:trPr>
        <w:tc>
          <w:tcPr>
            <w:tcW w:w="59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57" w:lineRule="auto" w:before="39"/>
              <w:ind w:left="168" w:right="170"/>
              <w:jc w:val="left"/>
              <w:rPr>
                <w:rFonts w:ascii="宋体" w:hAnsi="宋体" w:cs="宋体" w:eastAsia="宋体" w:hint="default"/>
                <w:sz w:val="24"/>
                <w:szCs w:val="24"/>
              </w:rPr>
            </w:pPr>
            <w:r>
              <w:rPr>
                <w:rFonts w:ascii="宋体" w:hAnsi="宋体" w:cs="宋体" w:eastAsia="宋体" w:hint="default"/>
                <w:b/>
                <w:bCs/>
                <w:sz w:val="24"/>
                <w:szCs w:val="24"/>
              </w:rPr>
              <w:t>序</w:t>
            </w:r>
            <w:r>
              <w:rPr>
                <w:rFonts w:ascii="宋体" w:hAnsi="宋体" w:cs="宋体" w:eastAsia="宋体" w:hint="default"/>
                <w:b/>
                <w:bCs/>
                <w:w w:val="99"/>
                <w:sz w:val="24"/>
                <w:szCs w:val="24"/>
              </w:rPr>
              <w:t> </w:t>
            </w:r>
            <w:r>
              <w:rPr>
                <w:rFonts w:ascii="宋体" w:hAnsi="宋体" w:cs="宋体" w:eastAsia="宋体" w:hint="default"/>
                <w:b/>
                <w:bCs/>
                <w:sz w:val="24"/>
                <w:szCs w:val="24"/>
              </w:rPr>
              <w:t>号</w:t>
            </w:r>
            <w:r>
              <w:rPr>
                <w:rFonts w:ascii="宋体" w:hAnsi="宋体" w:cs="宋体" w:eastAsia="宋体" w:hint="default"/>
                <w:sz w:val="24"/>
                <w:szCs w:val="24"/>
              </w:rPr>
            </w:r>
          </w:p>
        </w:tc>
        <w:tc>
          <w:tcPr>
            <w:tcW w:w="420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b/>
                <w:bCs/>
                <w:sz w:val="24"/>
                <w:szCs w:val="24"/>
              </w:rPr>
              <w:t>公告内容</w:t>
            </w:r>
            <w:r>
              <w:rPr>
                <w:rFonts w:ascii="宋体" w:hAnsi="宋体" w:cs="宋体" w:eastAsia="宋体" w:hint="default"/>
                <w:sz w:val="24"/>
                <w:szCs w:val="24"/>
              </w:rPr>
            </w:r>
          </w:p>
        </w:tc>
        <w:tc>
          <w:tcPr>
            <w:tcW w:w="198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公告时间</w:t>
            </w:r>
            <w:r>
              <w:rPr>
                <w:rFonts w:ascii="宋体" w:hAnsi="宋体" w:cs="宋体" w:eastAsia="宋体" w:hint="default"/>
                <w:sz w:val="24"/>
                <w:szCs w:val="24"/>
              </w:rPr>
            </w:r>
          </w:p>
        </w:tc>
        <w:tc>
          <w:tcPr>
            <w:tcW w:w="217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媒体</w:t>
            </w:r>
            <w:r>
              <w:rPr>
                <w:rFonts w:ascii="宋体" w:hAnsi="宋体" w:cs="宋体" w:eastAsia="宋体" w:hint="default"/>
                <w:sz w:val="24"/>
                <w:szCs w:val="24"/>
              </w:rPr>
            </w:r>
          </w:p>
        </w:tc>
      </w:tr>
      <w:tr>
        <w:trPr>
          <w:trHeight w:val="478"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4"/>
                <w:szCs w:val="24"/>
              </w:rPr>
            </w:pPr>
            <w:r>
              <w:rPr>
                <w:rFonts w:ascii="Times New Roman"/>
                <w:sz w:val="24"/>
              </w:rPr>
              <w:t>1</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年第三季度报告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478"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4"/>
                <w:szCs w:val="24"/>
              </w:rPr>
            </w:pPr>
            <w:r>
              <w:rPr>
                <w:rFonts w:ascii="Times New Roman"/>
                <w:sz w:val="24"/>
              </w:rPr>
              <w:t>2</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第一届董事会第十一次会议决议公告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478"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24"/>
                <w:szCs w:val="24"/>
              </w:rPr>
            </w:pPr>
            <w:r>
              <w:rPr>
                <w:rFonts w:ascii="Times New Roman"/>
                <w:sz w:val="24"/>
              </w:rPr>
              <w:t>3</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第一届监事会第七次会议决议公告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948"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4</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973" w:right="176" w:hanging="1801"/>
              <w:jc w:val="left"/>
              <w:rPr>
                <w:rFonts w:ascii="宋体" w:hAnsi="宋体" w:cs="宋体" w:eastAsia="宋体" w:hint="default"/>
                <w:sz w:val="24"/>
                <w:szCs w:val="24"/>
              </w:rPr>
            </w:pPr>
            <w:r>
              <w:rPr>
                <w:rFonts w:ascii="宋体" w:hAnsi="宋体" w:cs="宋体" w:eastAsia="宋体" w:hint="default"/>
                <w:sz w:val="24"/>
                <w:szCs w:val="24"/>
              </w:rPr>
              <w:t>关于签署募集资金三方监管协议的公 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9</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478"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4"/>
                <w:szCs w:val="24"/>
              </w:rPr>
            </w:pPr>
            <w:r>
              <w:rPr>
                <w:rFonts w:ascii="Times New Roman"/>
                <w:sz w:val="24"/>
              </w:rPr>
              <w:t>5</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关于完成工商变更登记的公告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1370"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6</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35"/>
                <w:szCs w:val="35"/>
              </w:rPr>
            </w:pPr>
          </w:p>
          <w:p>
            <w:pPr>
              <w:pStyle w:val="TableParagraph"/>
              <w:spacing w:line="357" w:lineRule="auto"/>
              <w:ind w:left="1252" w:right="176" w:hanging="1080"/>
              <w:jc w:val="left"/>
              <w:rPr>
                <w:rFonts w:ascii="宋体" w:hAnsi="宋体" w:cs="宋体" w:eastAsia="宋体" w:hint="default"/>
                <w:sz w:val="24"/>
                <w:szCs w:val="24"/>
              </w:rPr>
            </w:pPr>
            <w:r>
              <w:rPr>
                <w:rFonts w:ascii="宋体" w:hAnsi="宋体" w:cs="宋体" w:eastAsia="宋体" w:hint="default"/>
                <w:sz w:val="24"/>
                <w:szCs w:val="24"/>
              </w:rPr>
              <w:t>关于加强上市公司治理专项活动自查 报告和整改计划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946"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7</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492" w:right="176" w:hanging="1320"/>
              <w:jc w:val="left"/>
              <w:rPr>
                <w:rFonts w:ascii="宋体" w:hAnsi="宋体" w:cs="宋体" w:eastAsia="宋体" w:hint="default"/>
                <w:sz w:val="24"/>
                <w:szCs w:val="24"/>
              </w:rPr>
            </w:pPr>
            <w:r>
              <w:rPr>
                <w:rFonts w:ascii="宋体" w:hAnsi="宋体" w:cs="宋体" w:eastAsia="宋体" w:hint="default"/>
                <w:sz w:val="24"/>
                <w:szCs w:val="24"/>
              </w:rPr>
              <w:t>关于加强上市公司治理专项活动的自 查事项报告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bl>
    <w:p>
      <w:pPr>
        <w:spacing w:after="0" w:line="240" w:lineRule="auto"/>
        <w:jc w:val="center"/>
        <w:rPr>
          <w:rFonts w:ascii="Times New Roman" w:hAnsi="Times New Roman" w:cs="Times New Roman" w:eastAsia="Times New Roman" w:hint="default"/>
          <w:sz w:val="24"/>
          <w:szCs w:val="24"/>
        </w:rPr>
        <w:sectPr>
          <w:pgSz w:w="11910" w:h="16840"/>
          <w:pgMar w:header="877" w:footer="1267" w:top="1060" w:bottom="1460" w:left="1420" w:right="1300"/>
        </w:sectPr>
      </w:pPr>
    </w:p>
    <w:p>
      <w:pPr>
        <w:spacing w:line="240" w:lineRule="auto" w:before="11"/>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90"/>
        <w:gridCol w:w="4201"/>
        <w:gridCol w:w="1985"/>
        <w:gridCol w:w="2170"/>
      </w:tblGrid>
      <w:tr>
        <w:trPr>
          <w:trHeight w:val="495" w:hRule="exact"/>
        </w:trPr>
        <w:tc>
          <w:tcPr>
            <w:tcW w:w="5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8</w:t>
            </w:r>
          </w:p>
        </w:tc>
        <w:tc>
          <w:tcPr>
            <w:tcW w:w="42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24"/>
                <w:szCs w:val="24"/>
              </w:rPr>
            </w:pPr>
            <w:r>
              <w:rPr>
                <w:rFonts w:ascii="宋体" w:hAnsi="宋体" w:cs="宋体" w:eastAsia="宋体" w:hint="default"/>
                <w:sz w:val="24"/>
                <w:szCs w:val="24"/>
              </w:rPr>
              <w:t>第一届董事会第十二次会议决议公告</w:t>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w:t>
            </w:r>
          </w:p>
        </w:tc>
        <w:tc>
          <w:tcPr>
            <w:tcW w:w="21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r>
        <w:trPr>
          <w:trHeight w:val="478" w:hRule="exact"/>
        </w:trPr>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4"/>
                <w:szCs w:val="24"/>
              </w:rPr>
            </w:pPr>
            <w:r>
              <w:rPr>
                <w:rFonts w:ascii="Times New Roman"/>
                <w:sz w:val="24"/>
              </w:rPr>
              <w:t>9</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第一届监事会第八次会议决议公告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hyperlink r:id="rId13">
              <w:r>
                <w:rPr>
                  <w:rFonts w:ascii="Times New Roman"/>
                  <w:sz w:val="24"/>
                </w:rPr>
                <w:t>www.cninfo.com.cn</w:t>
              </w:r>
            </w:hyperlink>
          </w:p>
        </w:tc>
      </w:tr>
    </w:tbl>
    <w:p>
      <w:pPr>
        <w:pStyle w:val="BodyText"/>
        <w:spacing w:line="357" w:lineRule="auto" w:before="39"/>
        <w:ind w:left="282" w:right="279" w:firstLine="479"/>
        <w:jc w:val="left"/>
      </w:pPr>
      <w:r>
        <w:rPr>
          <w:spacing w:val="-1"/>
        </w:rPr>
        <w:t>公司指定信息披露报纸为《证券时报》、《中国证券报》、《证券日报》，指</w:t>
      </w:r>
      <w:r>
        <w:rPr>
          <w:spacing w:val="-3"/>
        </w:rPr>
        <w:t> </w:t>
      </w:r>
      <w:r>
        <w:rPr/>
        <w:t>定信息披露网站为巨潮资讯</w:t>
      </w:r>
      <w:hyperlink r:id="rId13">
        <w:r>
          <w:rPr>
            <w:rFonts w:ascii="Times New Roman" w:hAnsi="Times New Roman" w:cs="Times New Roman" w:eastAsia="Times New Roman" w:hint="default"/>
          </w:rPr>
          <w:t>http://www.cninfo.com.cn</w:t>
        </w:r>
      </w:hyperlink>
      <w:r>
        <w:rPr/>
        <w:t>。</w:t>
      </w:r>
    </w:p>
    <w:p>
      <w:pPr>
        <w:spacing w:after="0" w:line="357" w:lineRule="auto"/>
        <w:jc w:val="left"/>
        <w:sectPr>
          <w:pgSz w:w="11910" w:h="16840"/>
          <w:pgMar w:header="877" w:footer="1267" w:top="1060" w:bottom="1460" w:left="1420" w:right="1300"/>
        </w:sectPr>
      </w:pPr>
    </w:p>
    <w:p>
      <w:pPr>
        <w:spacing w:line="240" w:lineRule="auto" w:before="11"/>
        <w:rPr>
          <w:rFonts w:ascii="宋体" w:hAnsi="宋体" w:cs="宋体" w:eastAsia="宋体" w:hint="default"/>
          <w:sz w:val="2"/>
          <w:szCs w:val="2"/>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3"/>
        <w:tabs>
          <w:tab w:pos="4228" w:val="left" w:leader="none"/>
        </w:tabs>
        <w:spacing w:line="240" w:lineRule="auto" w:before="145"/>
        <w:ind w:left="3105" w:right="0"/>
        <w:jc w:val="left"/>
        <w:rPr>
          <w:b w:val="0"/>
          <w:bCs w:val="0"/>
        </w:rPr>
      </w:pPr>
      <w:r>
        <w:rPr>
          <w:w w:val="95"/>
        </w:rPr>
        <w:t>第五节</w:t>
        <w:tab/>
      </w:r>
      <w:r>
        <w:rPr/>
        <w:t>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Heading6"/>
        <w:spacing w:line="240" w:lineRule="auto" w:before="26"/>
        <w:ind w:left="702" w:right="0"/>
        <w:jc w:val="left"/>
        <w:rPr>
          <w:b w:val="0"/>
          <w:bCs w:val="0"/>
        </w:rPr>
      </w:pPr>
      <w:r>
        <w:rPr/>
        <w:t>一、股份变动情况表</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before="0"/>
        <w:ind w:left="702"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、股份变动情况表</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spacing w:before="44"/>
        <w:ind w:left="0" w:right="88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16"/>
        <w:gridCol w:w="922"/>
        <w:gridCol w:w="910"/>
        <w:gridCol w:w="912"/>
        <w:gridCol w:w="910"/>
        <w:gridCol w:w="910"/>
        <w:gridCol w:w="910"/>
        <w:gridCol w:w="910"/>
        <w:gridCol w:w="910"/>
        <w:gridCol w:w="912"/>
      </w:tblGrid>
      <w:tr>
        <w:trPr>
          <w:trHeight w:val="401" w:hRule="exact"/>
        </w:trPr>
        <w:tc>
          <w:tcPr>
            <w:tcW w:w="1616" w:type="dxa"/>
            <w:tcBorders>
              <w:top w:val="single" w:sz="4" w:space="0" w:color="000000"/>
              <w:left w:val="single" w:sz="4" w:space="0" w:color="000000"/>
              <w:bottom w:val="nil" w:sz="6" w:space="0" w:color="auto"/>
              <w:right w:val="single" w:sz="4" w:space="0" w:color="000000"/>
            </w:tcBorders>
            <w:shd w:val="clear" w:color="auto" w:fill="8DB3E1"/>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37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8DB3E1"/>
          </w:tcPr>
          <w:p>
            <w:pPr/>
          </w:p>
        </w:tc>
        <w:tc>
          <w:tcPr>
            <w:tcW w:w="922" w:type="dxa"/>
            <w:tcBorders>
              <w:top w:val="single" w:sz="4" w:space="0" w:color="000000"/>
              <w:left w:val="single" w:sz="4" w:space="0" w:color="000000"/>
              <w:bottom w:val="nil" w:sz="6" w:space="0" w:color="auto"/>
              <w:right w:val="single" w:sz="4" w:space="0" w:color="000000"/>
            </w:tcBorders>
            <w:shd w:val="clear" w:color="auto" w:fill="8DB3E1"/>
          </w:tcPr>
          <w:p>
            <w:pPr/>
          </w:p>
        </w:tc>
        <w:tc>
          <w:tcPr>
            <w:tcW w:w="910" w:type="dxa"/>
            <w:tcBorders>
              <w:top w:val="single" w:sz="4" w:space="0" w:color="000000"/>
              <w:left w:val="single" w:sz="4" w:space="0" w:color="000000"/>
              <w:bottom w:val="nil" w:sz="6" w:space="0" w:color="auto"/>
              <w:right w:val="single" w:sz="4" w:space="0" w:color="000000"/>
            </w:tcBorders>
            <w:shd w:val="clear" w:color="auto" w:fill="8DB3E1"/>
          </w:tcPr>
          <w:p>
            <w:pPr/>
          </w:p>
        </w:tc>
        <w:tc>
          <w:tcPr>
            <w:tcW w:w="912" w:type="dxa"/>
            <w:tcBorders>
              <w:top w:val="single" w:sz="4" w:space="0" w:color="000000"/>
              <w:left w:val="single" w:sz="4" w:space="0" w:color="000000"/>
              <w:bottom w:val="nil" w:sz="6" w:space="0" w:color="auto"/>
              <w:right w:val="single" w:sz="4" w:space="0" w:color="000000"/>
            </w:tcBorders>
            <w:shd w:val="clear" w:color="auto" w:fill="8DB3E1"/>
          </w:tcPr>
          <w:p>
            <w:pPr/>
          </w:p>
        </w:tc>
        <w:tc>
          <w:tcPr>
            <w:tcW w:w="910" w:type="dxa"/>
            <w:tcBorders>
              <w:top w:val="single" w:sz="4" w:space="0" w:color="000000"/>
              <w:left w:val="single" w:sz="4" w:space="0" w:color="000000"/>
              <w:bottom w:val="nil" w:sz="6" w:space="0" w:color="auto"/>
              <w:right w:val="single" w:sz="4" w:space="0" w:color="000000"/>
            </w:tcBorders>
            <w:shd w:val="clear" w:color="auto" w:fill="8DB3E1"/>
          </w:tcPr>
          <w:p>
            <w:pPr/>
          </w:p>
        </w:tc>
        <w:tc>
          <w:tcPr>
            <w:tcW w:w="910" w:type="dxa"/>
            <w:vMerge w:val="restart"/>
            <w:tcBorders>
              <w:top w:val="single" w:sz="4" w:space="0" w:color="000000"/>
              <w:left w:val="single" w:sz="4" w:space="0" w:color="000000"/>
              <w:right w:val="single" w:sz="4" w:space="0" w:color="000000"/>
            </w:tcBorders>
            <w:shd w:val="clear" w:color="auto" w:fill="8DB3E1"/>
          </w:tcPr>
          <w:p>
            <w:pPr>
              <w:pStyle w:val="TableParagraph"/>
              <w:spacing w:line="316" w:lineRule="auto" w:before="49"/>
              <w:ind w:left="357" w:right="89"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nil" w:sz="6" w:space="0" w:color="auto"/>
              <w:right w:val="single" w:sz="4" w:space="0" w:color="000000"/>
            </w:tcBorders>
            <w:shd w:val="clear" w:color="auto" w:fill="8DB3E1"/>
          </w:tcPr>
          <w:p>
            <w:pPr/>
          </w:p>
        </w:tc>
        <w:tc>
          <w:tcPr>
            <w:tcW w:w="910" w:type="dxa"/>
            <w:tcBorders>
              <w:top w:val="single" w:sz="4" w:space="0" w:color="000000"/>
              <w:left w:val="single" w:sz="4" w:space="0" w:color="000000"/>
              <w:bottom w:val="nil" w:sz="6" w:space="0" w:color="auto"/>
              <w:right w:val="single" w:sz="4" w:space="0" w:color="000000"/>
            </w:tcBorders>
            <w:shd w:val="clear" w:color="auto" w:fill="8DB3E1"/>
          </w:tcPr>
          <w:p>
            <w:pPr/>
          </w:p>
        </w:tc>
        <w:tc>
          <w:tcPr>
            <w:tcW w:w="910" w:type="dxa"/>
            <w:tcBorders>
              <w:top w:val="single" w:sz="4" w:space="0" w:color="000000"/>
              <w:left w:val="single" w:sz="4" w:space="0" w:color="000000"/>
              <w:bottom w:val="nil" w:sz="6" w:space="0" w:color="auto"/>
              <w:right w:val="single" w:sz="4" w:space="0" w:color="000000"/>
            </w:tcBorders>
            <w:shd w:val="clear" w:color="auto" w:fill="8DB3E1"/>
          </w:tcPr>
          <w:p>
            <w:pPr/>
          </w:p>
        </w:tc>
        <w:tc>
          <w:tcPr>
            <w:tcW w:w="912" w:type="dxa"/>
            <w:tcBorders>
              <w:top w:val="single" w:sz="4" w:space="0" w:color="000000"/>
              <w:left w:val="single" w:sz="4" w:space="0" w:color="000000"/>
              <w:bottom w:val="nil" w:sz="6" w:space="0" w:color="auto"/>
              <w:right w:val="single" w:sz="4" w:space="0" w:color="000000"/>
            </w:tcBorders>
            <w:shd w:val="clear" w:color="auto" w:fill="8DB3E1"/>
          </w:tcPr>
          <w:p>
            <w:pPr/>
          </w:p>
        </w:tc>
      </w:tr>
      <w:tr>
        <w:trPr>
          <w:trHeight w:val="192" w:hRule="exact"/>
        </w:trPr>
        <w:tc>
          <w:tcPr>
            <w:tcW w:w="1616" w:type="dxa"/>
            <w:vMerge/>
            <w:tcBorders>
              <w:left w:val="single" w:sz="4" w:space="0" w:color="000000"/>
              <w:bottom w:val="nil" w:sz="6" w:space="0" w:color="auto"/>
              <w:right w:val="single" w:sz="4" w:space="0" w:color="000000"/>
            </w:tcBorders>
            <w:shd w:val="clear" w:color="auto" w:fill="8DB3E1"/>
          </w:tcPr>
          <w:p>
            <w:pPr/>
          </w:p>
        </w:tc>
        <w:tc>
          <w:tcPr>
            <w:tcW w:w="922"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2"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8DB3E1"/>
          </w:tcPr>
          <w:p>
            <w:pPr/>
          </w:p>
        </w:tc>
        <w:tc>
          <w:tcPr>
            <w:tcW w:w="910"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0"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2" w:type="dxa"/>
            <w:vMerge w:val="restart"/>
            <w:tcBorders>
              <w:top w:val="nil" w:sz="6" w:space="0" w:color="auto"/>
              <w:left w:val="single" w:sz="4" w:space="0" w:color="000000"/>
              <w:right w:val="single" w:sz="4" w:space="0" w:color="000000"/>
            </w:tcBorders>
            <w:shd w:val="clear" w:color="auto" w:fill="8DB3E1"/>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16" w:type="dxa"/>
            <w:vMerge w:val="restart"/>
            <w:tcBorders>
              <w:top w:val="nil" w:sz="6" w:space="0" w:color="auto"/>
              <w:left w:val="single" w:sz="4" w:space="0" w:color="000000"/>
              <w:right w:val="single" w:sz="4" w:space="0" w:color="000000"/>
            </w:tcBorders>
            <w:shd w:val="clear" w:color="auto" w:fill="8DB3E1"/>
          </w:tcPr>
          <w:p>
            <w:pPr/>
          </w:p>
        </w:tc>
        <w:tc>
          <w:tcPr>
            <w:tcW w:w="922" w:type="dxa"/>
            <w:vMerge/>
            <w:tcBorders>
              <w:left w:val="single" w:sz="4" w:space="0" w:color="000000"/>
              <w:bottom w:val="nil" w:sz="6" w:space="0" w:color="auto"/>
              <w:right w:val="single" w:sz="4" w:space="0" w:color="000000"/>
            </w:tcBorders>
            <w:shd w:val="clear" w:color="auto" w:fill="8DB3E1"/>
          </w:tcPr>
          <w:p>
            <w:pPr/>
          </w:p>
        </w:tc>
        <w:tc>
          <w:tcPr>
            <w:tcW w:w="910" w:type="dxa"/>
            <w:vMerge/>
            <w:tcBorders>
              <w:left w:val="single" w:sz="4" w:space="0" w:color="000000"/>
              <w:bottom w:val="nil" w:sz="6" w:space="0" w:color="auto"/>
              <w:right w:val="single" w:sz="4" w:space="0" w:color="000000"/>
            </w:tcBorders>
            <w:shd w:val="clear" w:color="auto" w:fill="8DB3E1"/>
          </w:tcPr>
          <w:p>
            <w:pPr/>
          </w:p>
        </w:tc>
        <w:tc>
          <w:tcPr>
            <w:tcW w:w="912" w:type="dxa"/>
            <w:vMerge/>
            <w:tcBorders>
              <w:left w:val="single" w:sz="4" w:space="0" w:color="000000"/>
              <w:bottom w:val="nil" w:sz="6" w:space="0" w:color="auto"/>
              <w:right w:val="single" w:sz="4" w:space="0" w:color="000000"/>
            </w:tcBorders>
            <w:shd w:val="clear" w:color="auto" w:fill="8DB3E1"/>
          </w:tcPr>
          <w:p>
            <w:pPr/>
          </w:p>
        </w:tc>
        <w:tc>
          <w:tcPr>
            <w:tcW w:w="910" w:type="dxa"/>
            <w:vMerge/>
            <w:tcBorders>
              <w:left w:val="single" w:sz="4" w:space="0" w:color="000000"/>
              <w:bottom w:val="nil" w:sz="6" w:space="0" w:color="auto"/>
              <w:right w:val="single" w:sz="4" w:space="0" w:color="000000"/>
            </w:tcBorders>
            <w:shd w:val="clear" w:color="auto" w:fill="8DB3E1"/>
          </w:tcPr>
          <w:p>
            <w:pPr/>
          </w:p>
        </w:tc>
        <w:tc>
          <w:tcPr>
            <w:tcW w:w="910" w:type="dxa"/>
            <w:vMerge/>
            <w:tcBorders>
              <w:left w:val="single" w:sz="4" w:space="0" w:color="000000"/>
              <w:right w:val="single" w:sz="4" w:space="0" w:color="000000"/>
            </w:tcBorders>
            <w:shd w:val="clear" w:color="auto" w:fill="8DB3E1"/>
          </w:tcPr>
          <w:p>
            <w:pPr/>
          </w:p>
        </w:tc>
        <w:tc>
          <w:tcPr>
            <w:tcW w:w="910" w:type="dxa"/>
            <w:vMerge/>
            <w:tcBorders>
              <w:left w:val="single" w:sz="4" w:space="0" w:color="000000"/>
              <w:bottom w:val="nil" w:sz="6" w:space="0" w:color="auto"/>
              <w:right w:val="single" w:sz="4" w:space="0" w:color="000000"/>
            </w:tcBorders>
            <w:shd w:val="clear" w:color="auto" w:fill="8DB3E1"/>
          </w:tcPr>
          <w:p>
            <w:pPr/>
          </w:p>
        </w:tc>
        <w:tc>
          <w:tcPr>
            <w:tcW w:w="910" w:type="dxa"/>
            <w:vMerge/>
            <w:tcBorders>
              <w:left w:val="single" w:sz="4" w:space="0" w:color="000000"/>
              <w:bottom w:val="nil" w:sz="6" w:space="0" w:color="auto"/>
              <w:right w:val="single" w:sz="4" w:space="0" w:color="000000"/>
            </w:tcBorders>
            <w:shd w:val="clear" w:color="auto" w:fill="8DB3E1"/>
          </w:tcPr>
          <w:p>
            <w:pPr/>
          </w:p>
        </w:tc>
        <w:tc>
          <w:tcPr>
            <w:tcW w:w="910" w:type="dxa"/>
            <w:vMerge/>
            <w:tcBorders>
              <w:left w:val="single" w:sz="4" w:space="0" w:color="000000"/>
              <w:bottom w:val="nil" w:sz="6" w:space="0" w:color="auto"/>
              <w:right w:val="single" w:sz="4" w:space="0" w:color="000000"/>
            </w:tcBorders>
            <w:shd w:val="clear" w:color="auto" w:fill="8DB3E1"/>
          </w:tcPr>
          <w:p>
            <w:pPr/>
          </w:p>
        </w:tc>
        <w:tc>
          <w:tcPr>
            <w:tcW w:w="912" w:type="dxa"/>
            <w:vMerge/>
            <w:tcBorders>
              <w:left w:val="single" w:sz="4" w:space="0" w:color="000000"/>
              <w:bottom w:val="nil" w:sz="6" w:space="0" w:color="auto"/>
              <w:right w:val="single" w:sz="4" w:space="0" w:color="000000"/>
            </w:tcBorders>
            <w:shd w:val="clear" w:color="auto" w:fill="8DB3E1"/>
          </w:tcPr>
          <w:p>
            <w:pP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8DB3E1"/>
          </w:tcPr>
          <w:p>
            <w:pPr/>
          </w:p>
        </w:tc>
        <w:tc>
          <w:tcPr>
            <w:tcW w:w="922" w:type="dxa"/>
            <w:tcBorders>
              <w:top w:val="nil" w:sz="6" w:space="0" w:color="auto"/>
              <w:left w:val="single" w:sz="4" w:space="0" w:color="000000"/>
              <w:bottom w:val="single" w:sz="4" w:space="0" w:color="000000"/>
              <w:right w:val="single" w:sz="4" w:space="0" w:color="000000"/>
            </w:tcBorders>
            <w:shd w:val="clear" w:color="auto" w:fill="8DB3E1"/>
          </w:tcPr>
          <w:p>
            <w:pPr/>
          </w:p>
        </w:tc>
        <w:tc>
          <w:tcPr>
            <w:tcW w:w="910" w:type="dxa"/>
            <w:tcBorders>
              <w:top w:val="nil" w:sz="6" w:space="0" w:color="auto"/>
              <w:left w:val="single" w:sz="4" w:space="0" w:color="000000"/>
              <w:bottom w:val="single" w:sz="4" w:space="0" w:color="000000"/>
              <w:right w:val="single" w:sz="4" w:space="0" w:color="000000"/>
            </w:tcBorders>
            <w:shd w:val="clear" w:color="auto" w:fill="8DB3E1"/>
          </w:tcPr>
          <w:p>
            <w:pPr/>
          </w:p>
        </w:tc>
        <w:tc>
          <w:tcPr>
            <w:tcW w:w="912" w:type="dxa"/>
            <w:tcBorders>
              <w:top w:val="nil" w:sz="6" w:space="0" w:color="auto"/>
              <w:left w:val="single" w:sz="4" w:space="0" w:color="000000"/>
              <w:bottom w:val="single" w:sz="4" w:space="0" w:color="000000"/>
              <w:right w:val="single" w:sz="4" w:space="0" w:color="000000"/>
            </w:tcBorders>
            <w:shd w:val="clear" w:color="auto" w:fill="8DB3E1"/>
          </w:tcPr>
          <w:p>
            <w:pPr/>
          </w:p>
        </w:tc>
        <w:tc>
          <w:tcPr>
            <w:tcW w:w="910" w:type="dxa"/>
            <w:tcBorders>
              <w:top w:val="nil" w:sz="6" w:space="0" w:color="auto"/>
              <w:left w:val="single" w:sz="4" w:space="0" w:color="000000"/>
              <w:bottom w:val="single" w:sz="4" w:space="0" w:color="000000"/>
              <w:right w:val="single" w:sz="4" w:space="0" w:color="000000"/>
            </w:tcBorders>
            <w:shd w:val="clear" w:color="auto" w:fill="8DB3E1"/>
          </w:tcPr>
          <w:p>
            <w:pPr/>
          </w:p>
        </w:tc>
        <w:tc>
          <w:tcPr>
            <w:tcW w:w="910" w:type="dxa"/>
            <w:vMerge/>
            <w:tcBorders>
              <w:left w:val="single" w:sz="4" w:space="0" w:color="000000"/>
              <w:bottom w:val="single" w:sz="4" w:space="0" w:color="000000"/>
              <w:right w:val="single" w:sz="4" w:space="0" w:color="000000"/>
            </w:tcBorders>
            <w:shd w:val="clear" w:color="auto" w:fill="8DB3E1"/>
          </w:tcPr>
          <w:p>
            <w:pPr/>
          </w:p>
        </w:tc>
        <w:tc>
          <w:tcPr>
            <w:tcW w:w="910" w:type="dxa"/>
            <w:tcBorders>
              <w:top w:val="nil" w:sz="6" w:space="0" w:color="auto"/>
              <w:left w:val="single" w:sz="4" w:space="0" w:color="000000"/>
              <w:bottom w:val="single" w:sz="4" w:space="0" w:color="000000"/>
              <w:right w:val="single" w:sz="4" w:space="0" w:color="000000"/>
            </w:tcBorders>
            <w:shd w:val="clear" w:color="auto" w:fill="8DB3E1"/>
          </w:tcPr>
          <w:p>
            <w:pPr/>
          </w:p>
        </w:tc>
        <w:tc>
          <w:tcPr>
            <w:tcW w:w="910" w:type="dxa"/>
            <w:tcBorders>
              <w:top w:val="nil" w:sz="6" w:space="0" w:color="auto"/>
              <w:left w:val="single" w:sz="4" w:space="0" w:color="000000"/>
              <w:bottom w:val="single" w:sz="4" w:space="0" w:color="000000"/>
              <w:right w:val="single" w:sz="4" w:space="0" w:color="000000"/>
            </w:tcBorders>
            <w:shd w:val="clear" w:color="auto" w:fill="8DB3E1"/>
          </w:tcPr>
          <w:p>
            <w:pPr/>
          </w:p>
        </w:tc>
        <w:tc>
          <w:tcPr>
            <w:tcW w:w="910" w:type="dxa"/>
            <w:tcBorders>
              <w:top w:val="nil" w:sz="6" w:space="0" w:color="auto"/>
              <w:left w:val="single" w:sz="4" w:space="0" w:color="000000"/>
              <w:bottom w:val="single" w:sz="4" w:space="0" w:color="000000"/>
              <w:right w:val="single" w:sz="4" w:space="0" w:color="000000"/>
            </w:tcBorders>
            <w:shd w:val="clear" w:color="auto" w:fill="8DB3E1"/>
          </w:tcPr>
          <w:p>
            <w:pPr/>
          </w:p>
        </w:tc>
        <w:tc>
          <w:tcPr>
            <w:tcW w:w="912" w:type="dxa"/>
            <w:tcBorders>
              <w:top w:val="nil" w:sz="6" w:space="0" w:color="auto"/>
              <w:left w:val="single" w:sz="4" w:space="0" w:color="000000"/>
              <w:bottom w:val="single" w:sz="4" w:space="0" w:color="000000"/>
              <w:right w:val="single" w:sz="4" w:space="0" w:color="000000"/>
            </w:tcBorders>
            <w:shd w:val="clear" w:color="auto" w:fill="8DB3E1"/>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47,500,000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3,200,000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79.84%</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17,000,000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3,200,000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31.81%</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9" w:lineRule="auto" w:before="49"/>
              <w:ind w:left="11" w:right="60"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3,200,000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14,800,000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31.16%</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23.31%</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16" w:lineRule="auto" w:before="49"/>
              <w:ind w:left="11" w:right="60"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30,500,000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64.21%</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48.03%</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12,800,000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20.16%</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12,800,000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20.16%</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00" w:lineRule="auto" w:before="49"/>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300" w:lineRule="auto" w:before="49"/>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8DB3E1"/>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tcBorders>
              <w:top w:val="single" w:sz="4" w:space="0" w:color="000000"/>
              <w:left w:val="single" w:sz="13" w:space="0" w:color="8DB3E1"/>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47,500,000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060" w:bottom="1460" w:left="1000" w:right="860"/>
        </w:sectPr>
      </w:pPr>
    </w:p>
    <w:p>
      <w:pPr>
        <w:pStyle w:val="Heading6"/>
        <w:spacing w:line="240" w:lineRule="auto" w:before="104"/>
        <w:ind w:left="402" w:right="0"/>
        <w:jc w:val="left"/>
        <w:rPr>
          <w:b w:val="0"/>
          <w:bCs w:val="0"/>
        </w:rPr>
      </w:pPr>
      <w:r>
        <w:rPr>
          <w:rFonts w:ascii="Times New Roman" w:hAnsi="Times New Roman" w:cs="Times New Roman" w:eastAsia="Times New Roman" w:hint="default"/>
        </w:rPr>
        <w:t>2</w:t>
      </w:r>
      <w:r>
        <w:rPr/>
        <w:t>、限售股份变动情况表</w:t>
      </w:r>
      <w:r>
        <w:rPr>
          <w:b w:val="0"/>
          <w:bCs w:val="0"/>
        </w:rPr>
      </w:r>
    </w:p>
    <w:p>
      <w:pPr>
        <w:spacing w:line="240" w:lineRule="auto" w:before="9"/>
        <w:rPr>
          <w:rFonts w:ascii="宋体" w:hAnsi="宋体" w:cs="宋体" w:eastAsia="宋体" w:hint="default"/>
          <w:b/>
          <w:bCs/>
          <w:sz w:val="10"/>
          <w:szCs w:val="10"/>
        </w:rPr>
      </w:pPr>
    </w:p>
    <w:p>
      <w:pPr>
        <w:spacing w:before="44"/>
        <w:ind w:left="0" w:right="38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268"/>
        <w:gridCol w:w="1181"/>
        <w:gridCol w:w="1104"/>
        <w:gridCol w:w="1104"/>
        <w:gridCol w:w="1162"/>
        <w:gridCol w:w="697"/>
        <w:gridCol w:w="1493"/>
      </w:tblGrid>
      <w:tr>
        <w:trPr>
          <w:trHeight w:val="947" w:hRule="exact"/>
        </w:trPr>
        <w:tc>
          <w:tcPr>
            <w:tcW w:w="226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18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65"/>
              <w:ind w:left="375" w:right="161" w:hanging="212"/>
              <w:jc w:val="left"/>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65"/>
              <w:ind w:left="122" w:right="125"/>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b/>
                <w:bCs/>
                <w:w w:val="100"/>
                <w:sz w:val="21"/>
                <w:szCs w:val="21"/>
              </w:rPr>
              <w:t> </w:t>
            </w:r>
            <w:r>
              <w:rPr>
                <w:rFonts w:ascii="宋体" w:hAnsi="宋体" w:cs="宋体" w:eastAsia="宋体" w:hint="default"/>
                <w:b/>
                <w:bCs/>
                <w:sz w:val="21"/>
                <w:szCs w:val="21"/>
              </w:rPr>
              <w:t>限售股数</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65"/>
              <w:ind w:left="122" w:right="125"/>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b/>
                <w:bCs/>
                <w:w w:val="100"/>
                <w:sz w:val="21"/>
                <w:szCs w:val="21"/>
              </w:rPr>
              <w:t> </w:t>
            </w:r>
            <w:r>
              <w:rPr>
                <w:rFonts w:ascii="宋体" w:hAnsi="宋体" w:cs="宋体" w:eastAsia="宋体" w:hint="default"/>
                <w:b/>
                <w:bCs/>
                <w:sz w:val="21"/>
                <w:szCs w:val="21"/>
              </w:rPr>
              <w:t>限售股数</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65"/>
              <w:ind w:left="362" w:right="155" w:hanging="212"/>
              <w:jc w:val="left"/>
              <w:rPr>
                <w:rFonts w:ascii="宋体" w:hAnsi="宋体" w:cs="宋体" w:eastAsia="宋体" w:hint="default"/>
                <w:sz w:val="21"/>
                <w:szCs w:val="21"/>
              </w:rPr>
            </w:pPr>
            <w:r>
              <w:rPr>
                <w:rFonts w:ascii="宋体" w:hAnsi="宋体" w:cs="宋体" w:eastAsia="宋体" w:hint="default"/>
                <w:b/>
                <w:bCs/>
                <w:sz w:val="21"/>
                <w:szCs w:val="21"/>
              </w:rPr>
              <w:t>年末限售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69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65"/>
              <w:ind w:left="129" w:right="134"/>
              <w:jc w:val="left"/>
              <w:rPr>
                <w:rFonts w:ascii="宋体" w:hAnsi="宋体" w:cs="宋体" w:eastAsia="宋体" w:hint="default"/>
                <w:sz w:val="21"/>
                <w:szCs w:val="21"/>
              </w:rPr>
            </w:pPr>
            <w:r>
              <w:rPr>
                <w:rFonts w:ascii="宋体" w:hAnsi="宋体" w:cs="宋体" w:eastAsia="宋体" w:hint="default"/>
                <w:b/>
                <w:bCs/>
                <w:sz w:val="21"/>
                <w:szCs w:val="21"/>
              </w:rPr>
              <w:t>限售</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705" w:right="182" w:hanging="526"/>
              <w:jc w:val="left"/>
              <w:rPr>
                <w:rFonts w:ascii="宋体" w:hAnsi="宋体" w:cs="宋体" w:eastAsia="宋体" w:hint="default"/>
                <w:sz w:val="21"/>
                <w:szCs w:val="21"/>
              </w:rPr>
            </w:pPr>
            <w:r>
              <w:rPr>
                <w:rFonts w:ascii="宋体" w:hAnsi="宋体" w:cs="宋体" w:eastAsia="宋体" w:hint="default"/>
                <w:sz w:val="21"/>
                <w:szCs w:val="21"/>
              </w:rPr>
              <w:t>深圳市创新投资集团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285" w:right="182" w:hanging="106"/>
              <w:jc w:val="left"/>
              <w:rPr>
                <w:rFonts w:ascii="宋体" w:hAnsi="宋体" w:cs="宋体" w:eastAsia="宋体" w:hint="default"/>
                <w:sz w:val="21"/>
                <w:szCs w:val="21"/>
              </w:rPr>
            </w:pPr>
            <w:r>
              <w:rPr>
                <w:rFonts w:ascii="宋体" w:hAnsi="宋体" w:cs="宋体" w:eastAsia="宋体" w:hint="default"/>
                <w:sz w:val="21"/>
                <w:szCs w:val="21"/>
              </w:rPr>
              <w:t>深圳市福田创新资本</w:t>
            </w:r>
            <w:r>
              <w:rPr>
                <w:rFonts w:ascii="宋体" w:hAnsi="宋体" w:cs="宋体" w:eastAsia="宋体" w:hint="default"/>
                <w:w w:val="100"/>
                <w:sz w:val="21"/>
                <w:szCs w:val="21"/>
              </w:rPr>
              <w:t> </w:t>
            </w:r>
            <w:r>
              <w:rPr>
                <w:rFonts w:ascii="宋体" w:hAnsi="宋体" w:cs="宋体" w:eastAsia="宋体" w:hint="default"/>
                <w:sz w:val="21"/>
                <w:szCs w:val="21"/>
              </w:rPr>
              <w:t>创业投资有限公司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391" w:right="182" w:hanging="212"/>
              <w:jc w:val="left"/>
              <w:rPr>
                <w:rFonts w:ascii="宋体" w:hAnsi="宋体" w:cs="宋体" w:eastAsia="宋体" w:hint="default"/>
                <w:sz w:val="21"/>
                <w:szCs w:val="21"/>
              </w:rPr>
            </w:pPr>
            <w:r>
              <w:rPr>
                <w:rFonts w:ascii="宋体" w:hAnsi="宋体" w:cs="宋体" w:eastAsia="宋体" w:hint="default"/>
                <w:sz w:val="21"/>
                <w:szCs w:val="21"/>
              </w:rPr>
              <w:t>湖南瑞驰丰和创业投</w:t>
            </w:r>
            <w:r>
              <w:rPr>
                <w:rFonts w:ascii="宋体" w:hAnsi="宋体" w:cs="宋体" w:eastAsia="宋体" w:hint="default"/>
                <w:w w:val="100"/>
                <w:sz w:val="21"/>
                <w:szCs w:val="21"/>
              </w:rPr>
              <w:t> </w:t>
            </w:r>
            <w:r>
              <w:rPr>
                <w:rFonts w:ascii="宋体" w:hAnsi="宋体" w:cs="宋体" w:eastAsia="宋体" w:hint="default"/>
                <w:sz w:val="21"/>
                <w:szCs w:val="21"/>
              </w:rPr>
              <w:t>资管理有限公司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里维宁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陈新华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钟可颐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7"/>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聂淼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欧阳伟强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10"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徐金芳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王凌海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蔡衍军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9" w:right="0"/>
              <w:jc w:val="left"/>
              <w:rPr>
                <w:rFonts w:ascii="宋体" w:hAnsi="宋体" w:cs="宋体" w:eastAsia="宋体" w:hint="default"/>
                <w:sz w:val="21"/>
                <w:szCs w:val="21"/>
              </w:rPr>
            </w:pPr>
            <w:r>
              <w:rPr>
                <w:rFonts w:ascii="宋体" w:hAnsi="宋体" w:cs="宋体" w:eastAsia="宋体" w:hint="default"/>
                <w:sz w:val="21"/>
                <w:szCs w:val="21"/>
              </w:rPr>
              <w:t>首发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2011-10-18</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7" w:top="1060" w:bottom="1460" w:left="1300" w:right="1360"/>
        </w:sectPr>
      </w:pPr>
    </w:p>
    <w:p>
      <w:pPr>
        <w:spacing w:line="240" w:lineRule="auto" w:before="2"/>
        <w:rPr>
          <w:rFonts w:ascii="Times New Roman" w:hAnsi="Times New Roman" w:cs="Times New Roman" w:eastAsia="Times New Roman"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268"/>
        <w:gridCol w:w="1181"/>
        <w:gridCol w:w="1104"/>
        <w:gridCol w:w="1104"/>
        <w:gridCol w:w="1162"/>
        <w:gridCol w:w="697"/>
        <w:gridCol w:w="1493"/>
      </w:tblGrid>
      <w:tr>
        <w:trPr>
          <w:trHeight w:val="495" w:hRule="exact"/>
        </w:trPr>
        <w:tc>
          <w:tcPr>
            <w:tcW w:w="2268"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
        </w:tc>
        <w:tc>
          <w:tcPr>
            <w:tcW w:w="1162" w:type="dxa"/>
            <w:tcBorders>
              <w:top w:val="single" w:sz="15" w:space="0" w:color="000000"/>
              <w:left w:val="single" w:sz="4" w:space="0" w:color="000000"/>
              <w:bottom w:val="single" w:sz="4" w:space="0" w:color="000000"/>
              <w:right w:val="single" w:sz="4" w:space="0" w:color="000000"/>
            </w:tcBorders>
          </w:tcPr>
          <w:p>
            <w:pPr/>
          </w:p>
        </w:tc>
        <w:tc>
          <w:tcPr>
            <w:tcW w:w="6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6"/>
              <w:ind w:left="129"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493" w:type="dxa"/>
            <w:tcBorders>
              <w:top w:val="single" w:sz="15" w:space="0" w:color="000000"/>
              <w:left w:val="single" w:sz="4" w:space="0" w:color="000000"/>
              <w:bottom w:val="single" w:sz="4" w:space="0" w:color="000000"/>
              <w:right w:val="single" w:sz="4" w:space="0" w:color="000000"/>
            </w:tcBorders>
          </w:tcPr>
          <w:p>
            <w:pP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张燕民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800,000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800,000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1,000,000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21,150,000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21,150,000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2013-10-18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3" w:right="0"/>
              <w:jc w:val="center"/>
              <w:rPr>
                <w:rFonts w:ascii="Times New Roman" w:hAnsi="Times New Roman" w:cs="Times New Roman" w:eastAsia="Times New Roman" w:hint="default"/>
                <w:sz w:val="21"/>
                <w:szCs w:val="21"/>
              </w:rPr>
            </w:pPr>
            <w:r>
              <w:rPr>
                <w:rFonts w:ascii="Times New Roman"/>
                <w:sz w:val="21"/>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32" w:right="0"/>
              <w:jc w:val="left"/>
              <w:rPr>
                <w:rFonts w:ascii="Times New Roman" w:hAnsi="Times New Roman" w:cs="Times New Roman" w:eastAsia="Times New Roman" w:hint="default"/>
                <w:sz w:val="21"/>
                <w:szCs w:val="21"/>
              </w:rPr>
            </w:pPr>
            <w:r>
              <w:rPr>
                <w:rFonts w:ascii="Times New Roman"/>
                <w:sz w:val="21"/>
              </w:rPr>
              <w:t>600,000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10"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许芹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300,000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32" w:right="0"/>
              <w:jc w:val="left"/>
              <w:rPr>
                <w:rFonts w:ascii="Times New Roman" w:hAnsi="Times New Roman" w:cs="Times New Roman" w:eastAsia="Times New Roman" w:hint="default"/>
                <w:sz w:val="21"/>
                <w:szCs w:val="21"/>
              </w:rPr>
            </w:pPr>
            <w:r>
              <w:rPr>
                <w:rFonts w:ascii="Times New Roman"/>
                <w:sz w:val="21"/>
              </w:rPr>
              <w:t>300,000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7,050,000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53" w:right="0"/>
              <w:jc w:val="left"/>
              <w:rPr>
                <w:rFonts w:ascii="Times New Roman" w:hAnsi="Times New Roman" w:cs="Times New Roman" w:eastAsia="Times New Roman" w:hint="default"/>
                <w:sz w:val="21"/>
                <w:szCs w:val="21"/>
              </w:rPr>
            </w:pPr>
            <w:r>
              <w:rPr>
                <w:rFonts w:ascii="Times New Roman"/>
                <w:sz w:val="21"/>
              </w:rPr>
              <w:t>7,050,000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2013-10-18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汪洋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400,000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陈希芬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栾承岚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32" w:right="0"/>
              <w:jc w:val="left"/>
              <w:rPr>
                <w:rFonts w:ascii="Times New Roman" w:hAnsi="Times New Roman" w:cs="Times New Roman" w:eastAsia="Times New Roman" w:hint="default"/>
                <w:sz w:val="21"/>
                <w:szCs w:val="21"/>
              </w:rPr>
            </w:pPr>
            <w:r>
              <w:rPr>
                <w:rFonts w:ascii="Times New Roman"/>
                <w:sz w:val="21"/>
              </w:rPr>
              <w:t>600,000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江汉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7,050,000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53" w:right="0"/>
              <w:jc w:val="left"/>
              <w:rPr>
                <w:rFonts w:ascii="Times New Roman" w:hAnsi="Times New Roman" w:cs="Times New Roman" w:eastAsia="Times New Roman" w:hint="default"/>
                <w:sz w:val="21"/>
                <w:szCs w:val="21"/>
              </w:rPr>
            </w:pPr>
            <w:r>
              <w:rPr>
                <w:rFonts w:ascii="Times New Roman"/>
                <w:sz w:val="21"/>
              </w:rPr>
              <w:t>7,050,000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2013-10-18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李林杰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32" w:right="0"/>
              <w:jc w:val="left"/>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5"/>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韦余红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400,000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32" w:right="0"/>
              <w:jc w:val="left"/>
              <w:rPr>
                <w:rFonts w:ascii="Times New Roman" w:hAnsi="Times New Roman" w:cs="Times New Roman" w:eastAsia="Times New Roman" w:hint="default"/>
                <w:sz w:val="21"/>
                <w:szCs w:val="21"/>
              </w:rPr>
            </w:pPr>
            <w:r>
              <w:rPr>
                <w:rFonts w:ascii="Times New Roman"/>
                <w:sz w:val="21"/>
              </w:rPr>
              <w:t>400,000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徐兴春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600,000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黄健生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200,000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2011-10-18</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7" w:top="1060" w:bottom="1460" w:left="1300" w:right="1360"/>
        </w:sectPr>
      </w:pPr>
    </w:p>
    <w:p>
      <w:pPr>
        <w:spacing w:line="240" w:lineRule="auto" w:before="2"/>
        <w:rPr>
          <w:rFonts w:ascii="Times New Roman" w:hAnsi="Times New Roman" w:cs="Times New Roman" w:eastAsia="Times New Roman" w:hint="default"/>
          <w:sz w:val="3"/>
          <w:szCs w:val="3"/>
        </w:rPr>
      </w:pPr>
    </w:p>
    <w:tbl>
      <w:tblPr>
        <w:tblW w:w="0" w:type="auto"/>
        <w:jc w:val="left"/>
        <w:tblInd w:w="934" w:type="dxa"/>
        <w:tblLayout w:type="fixed"/>
        <w:tblCellMar>
          <w:top w:w="0" w:type="dxa"/>
          <w:left w:w="0" w:type="dxa"/>
          <w:bottom w:w="0" w:type="dxa"/>
          <w:right w:w="0" w:type="dxa"/>
        </w:tblCellMar>
        <w:tblLook w:val="01E0"/>
      </w:tblPr>
      <w:tblGrid>
        <w:gridCol w:w="2268"/>
        <w:gridCol w:w="1181"/>
        <w:gridCol w:w="1104"/>
        <w:gridCol w:w="1104"/>
        <w:gridCol w:w="1162"/>
        <w:gridCol w:w="697"/>
        <w:gridCol w:w="1493"/>
      </w:tblGrid>
      <w:tr>
        <w:trPr>
          <w:trHeight w:val="963" w:hRule="exact"/>
        </w:trPr>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谢建龙</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500,000</w:t>
            </w:r>
          </w:p>
        </w:tc>
        <w:tc>
          <w:tcPr>
            <w:tcW w:w="1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500,000</w:t>
            </w:r>
          </w:p>
        </w:tc>
        <w:tc>
          <w:tcPr>
            <w:tcW w:w="697" w:type="dxa"/>
            <w:tcBorders>
              <w:top w:val="single" w:sz="15" w:space="0" w:color="000000"/>
              <w:left w:val="single" w:sz="4" w:space="0" w:color="000000"/>
              <w:bottom w:val="single" w:sz="4" w:space="0" w:color="000000"/>
              <w:right w:val="single" w:sz="4" w:space="0" w:color="000000"/>
            </w:tcBorders>
          </w:tcPr>
          <w:p>
            <w:pPr>
              <w:pStyle w:val="TableParagraph"/>
              <w:spacing w:line="408" w:lineRule="auto" w:before="66"/>
              <w:ind w:left="129" w:right="134"/>
              <w:jc w:val="left"/>
              <w:rPr>
                <w:rFonts w:ascii="宋体" w:hAnsi="宋体" w:cs="宋体" w:eastAsia="宋体" w:hint="default"/>
                <w:sz w:val="21"/>
                <w:szCs w:val="21"/>
              </w:rPr>
            </w:pPr>
            <w:r>
              <w:rPr>
                <w:rFonts w:ascii="宋体" w:hAnsi="宋体" w:cs="宋体" w:eastAsia="宋体" w:hint="default"/>
                <w:sz w:val="21"/>
                <w:szCs w:val="21"/>
              </w:rPr>
              <w:t>首发</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4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2011-10-18</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811" w:right="182" w:hanging="632"/>
              <w:jc w:val="left"/>
              <w:rPr>
                <w:rFonts w:ascii="宋体" w:hAnsi="宋体" w:cs="宋体" w:eastAsia="宋体" w:hint="default"/>
                <w:sz w:val="21"/>
                <w:szCs w:val="21"/>
              </w:rPr>
            </w:pPr>
            <w:r>
              <w:rPr>
                <w:rFonts w:ascii="宋体" w:hAnsi="宋体" w:cs="宋体" w:eastAsia="宋体" w:hint="default"/>
                <w:sz w:val="21"/>
                <w:szCs w:val="21"/>
              </w:rPr>
              <w:t>首次公开发行网下配</w:t>
            </w:r>
            <w:r>
              <w:rPr>
                <w:rFonts w:ascii="宋体" w:hAnsi="宋体" w:cs="宋体" w:eastAsia="宋体" w:hint="default"/>
                <w:w w:val="100"/>
                <w:sz w:val="21"/>
                <w:szCs w:val="21"/>
              </w:rPr>
              <w:t> </w:t>
            </w:r>
            <w:r>
              <w:rPr>
                <w:rFonts w:ascii="宋体" w:hAnsi="宋体" w:cs="宋体" w:eastAsia="宋体" w:hint="default"/>
                <w:sz w:val="21"/>
                <w:szCs w:val="21"/>
              </w:rPr>
              <w:t>售股份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3,200</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200</w:t>
            </w:r>
            <w:r>
              <w:rPr>
                <w:rFonts w:ascii="宋体" w:hAnsi="宋体" w:cs="宋体" w:eastAsia="宋体" w:hint="default"/>
                <w:spacing w:val="-108"/>
                <w:w w:val="100"/>
                <w:sz w:val="21"/>
                <w:szCs w:val="21"/>
              </w:rPr>
              <w:t>，</w:t>
            </w:r>
            <w:r>
              <w:rPr>
                <w:rFonts w:ascii="Times New Roman" w:hAnsi="Times New Roman" w:cs="Times New Roman" w:eastAsia="Times New Roman" w:hint="default"/>
                <w:w w:val="100"/>
                <w:sz w:val="21"/>
                <w:szCs w:val="21"/>
              </w:rPr>
              <w:t>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134"/>
              <w:jc w:val="left"/>
              <w:rPr>
                <w:rFonts w:ascii="宋体" w:hAnsi="宋体" w:cs="宋体" w:eastAsia="宋体" w:hint="default"/>
                <w:sz w:val="21"/>
                <w:szCs w:val="21"/>
              </w:rPr>
            </w:pPr>
            <w:r>
              <w:rPr>
                <w:rFonts w:ascii="宋体" w:hAnsi="宋体" w:cs="宋体" w:eastAsia="宋体" w:hint="default"/>
                <w:sz w:val="21"/>
                <w:szCs w:val="21"/>
              </w:rPr>
              <w:t>网下</w:t>
            </w:r>
            <w:r>
              <w:rPr>
                <w:rFonts w:ascii="宋体" w:hAnsi="宋体" w:cs="宋体" w:eastAsia="宋体" w:hint="default"/>
                <w:spacing w:val="-103"/>
                <w:sz w:val="21"/>
                <w:szCs w:val="21"/>
              </w:rPr>
              <w:t> </w:t>
            </w:r>
            <w:r>
              <w:rPr>
                <w:rFonts w:ascii="宋体" w:hAnsi="宋体" w:cs="宋体" w:eastAsia="宋体" w:hint="default"/>
                <w:sz w:val="21"/>
                <w:szCs w:val="21"/>
              </w:rPr>
              <w:t>配售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2011-1-20</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50,700,000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50,700,000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
              <w:jc w:val="center"/>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Times New Roman" w:hAnsi="Times New Roman" w:cs="Times New Roman" w:eastAsia="Times New Roman" w:hint="default"/>
          <w:sz w:val="21"/>
          <w:szCs w:val="21"/>
        </w:rPr>
      </w:pPr>
    </w:p>
    <w:p>
      <w:pPr>
        <w:pStyle w:val="Heading6"/>
        <w:spacing w:line="240" w:lineRule="auto" w:before="26"/>
        <w:ind w:left="1222" w:right="1309"/>
        <w:jc w:val="left"/>
        <w:rPr>
          <w:b w:val="0"/>
          <w:bCs w:val="0"/>
        </w:rPr>
      </w:pPr>
      <w:r>
        <w:rPr/>
        <w:t>二、前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名股东、前</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名无限售流通股股东持股情况表</w:t>
      </w:r>
      <w:r>
        <w:rPr>
          <w:b w:val="0"/>
          <w:bCs w:val="0"/>
        </w:rPr>
      </w:r>
    </w:p>
    <w:p>
      <w:pPr>
        <w:spacing w:line="240" w:lineRule="auto" w:before="6"/>
        <w:rPr>
          <w:rFonts w:ascii="宋体" w:hAnsi="宋体" w:cs="宋体" w:eastAsia="宋体" w:hint="default"/>
          <w:b/>
          <w:bCs/>
          <w:sz w:val="28"/>
          <w:szCs w:val="28"/>
        </w:rPr>
      </w:pPr>
    </w:p>
    <w:p>
      <w:pPr>
        <w:spacing w:before="44"/>
        <w:ind w:left="0" w:right="140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392"/>
        <w:gridCol w:w="1342"/>
        <w:gridCol w:w="701"/>
        <w:gridCol w:w="797"/>
        <w:gridCol w:w="1493"/>
        <w:gridCol w:w="1836"/>
        <w:gridCol w:w="788"/>
        <w:gridCol w:w="2504"/>
      </w:tblGrid>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946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8,277</w:t>
            </w:r>
          </w:p>
        </w:tc>
      </w:tr>
      <w:tr>
        <w:trPr>
          <w:trHeight w:val="479" w:hRule="exact"/>
        </w:trPr>
        <w:tc>
          <w:tcPr>
            <w:tcW w:w="108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Times New Roman" w:hAnsi="Times New Roman" w:cs="Times New Roman" w:eastAsia="Times New Roman" w:hint="default"/>
                <w:sz w:val="21"/>
                <w:szCs w:val="21"/>
              </w:rPr>
              <w:t>10</w:t>
            </w:r>
            <w:r>
              <w:rPr>
                <w:rFonts w:ascii="宋体" w:hAnsi="宋体" w:cs="宋体" w:eastAsia="宋体" w:hint="default"/>
                <w:sz w:val="21"/>
                <w:szCs w:val="21"/>
              </w:rPr>
              <w:t>名股东持股情况表</w:t>
            </w:r>
          </w:p>
        </w:tc>
      </w:tr>
      <w:tr>
        <w:trPr>
          <w:trHeight w:val="479" w:hRule="exact"/>
        </w:trPr>
        <w:tc>
          <w:tcPr>
            <w:tcW w:w="139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left="1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9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2624"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left="151" w:right="0"/>
              <w:jc w:val="left"/>
              <w:rPr>
                <w:rFonts w:ascii="宋体" w:hAnsi="宋体" w:cs="宋体" w:eastAsia="宋体" w:hint="default"/>
                <w:sz w:val="21"/>
                <w:szCs w:val="21"/>
              </w:rPr>
            </w:pPr>
            <w:r>
              <w:rPr>
                <w:rFonts w:ascii="宋体" w:hAnsi="宋体" w:cs="宋体" w:eastAsia="宋体" w:hint="default"/>
                <w:sz w:val="21"/>
                <w:szCs w:val="21"/>
              </w:rPr>
              <w:t>持有有限售条件股份数量</w:t>
            </w:r>
          </w:p>
        </w:tc>
        <w:tc>
          <w:tcPr>
            <w:tcW w:w="250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left="194" w:right="0"/>
              <w:jc w:val="left"/>
              <w:rPr>
                <w:rFonts w:ascii="宋体" w:hAnsi="宋体" w:cs="宋体" w:eastAsia="宋体" w:hint="default"/>
                <w:sz w:val="21"/>
                <w:szCs w:val="21"/>
              </w:rPr>
            </w:pPr>
            <w:r>
              <w:rPr>
                <w:rFonts w:ascii="宋体" w:hAnsi="宋体" w:cs="宋体" w:eastAsia="宋体" w:hint="default"/>
                <w:sz w:val="21"/>
                <w:szCs w:val="21"/>
              </w:rPr>
              <w:t>质押或冻结的股份数量</w:t>
            </w: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刘祥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33.31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21,150,000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32" w:right="0"/>
              <w:jc w:val="left"/>
              <w:rPr>
                <w:rFonts w:ascii="Times New Roman" w:hAnsi="Times New Roman" w:cs="Times New Roman" w:eastAsia="Times New Roman" w:hint="default"/>
                <w:sz w:val="21"/>
                <w:szCs w:val="21"/>
              </w:rPr>
            </w:pPr>
            <w:r>
              <w:rPr>
                <w:rFonts w:ascii="Times New Roman"/>
                <w:sz w:val="21"/>
              </w:rPr>
              <w:t>21,150,000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江汉</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11.10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7,050,000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7,050,000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刘亚</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11.10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7,050,000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7,050,000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2"/>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3"/>
                <w:sz w:val="21"/>
                <w:szCs w:val="21"/>
              </w:rPr>
              <w:t> </w:t>
            </w:r>
            <w:r>
              <w:rPr>
                <w:rFonts w:ascii="宋体" w:hAnsi="宋体" w:cs="宋体" w:eastAsia="宋体" w:hint="default"/>
                <w:sz w:val="21"/>
                <w:szCs w:val="21"/>
              </w:rPr>
              <w:t>圳</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创</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spacing w:val="-73"/>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pacing w:val="13"/>
                <w:sz w:val="21"/>
                <w:szCs w:val="21"/>
              </w:rPr>
              <w:t>境内一般法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1,600,000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1,600,000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王巍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1.57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1,000,000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1,000,000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张燕民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1.26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800,000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800,000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徐兴春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600,000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600,000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栾承岚</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600,000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600,000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21"/>
                <w:szCs w:val="21"/>
              </w:rPr>
            </w:pPr>
            <w:r>
              <w:rPr>
                <w:rFonts w:ascii="宋体" w:hAnsi="宋体" w:cs="宋体" w:eastAsia="宋体" w:hint="default"/>
                <w:sz w:val="21"/>
                <w:szCs w:val="21"/>
              </w:rPr>
              <w:t>李俊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600,000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600,000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谢建龙</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0.82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522,200</w:t>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522,200</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08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前</w:t>
            </w:r>
            <w:r>
              <w:rPr>
                <w:rFonts w:ascii="Times New Roman" w:hAnsi="Times New Roman" w:cs="Times New Roman" w:eastAsia="Times New Roman" w:hint="default"/>
                <w:sz w:val="21"/>
                <w:szCs w:val="21"/>
              </w:rPr>
              <w:t>10</w:t>
            </w:r>
            <w:r>
              <w:rPr>
                <w:rFonts w:ascii="宋体" w:hAnsi="宋体" w:cs="宋体" w:eastAsia="宋体" w:hint="default"/>
                <w:sz w:val="21"/>
                <w:szCs w:val="21"/>
              </w:rPr>
              <w:t>名无限售条件股东持股情况</w:t>
            </w:r>
          </w:p>
        </w:tc>
      </w:tr>
      <w:tr>
        <w:trPr>
          <w:trHeight w:val="479" w:hRule="exact"/>
        </w:trPr>
        <w:tc>
          <w:tcPr>
            <w:tcW w:w="3435" w:type="dxa"/>
            <w:gridSpan w:val="3"/>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left="90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291" w:type="dxa"/>
            <w:gridSpan w:val="2"/>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78" w:hRule="exact"/>
        </w:trPr>
        <w:tc>
          <w:tcPr>
            <w:tcW w:w="34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梁欣荣</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129,800</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温淑如</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128,700</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李海怀</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107,800</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魏东</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90,000</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1910" w:h="16840"/>
          <w:pgMar w:header="877" w:footer="1267" w:top="1060" w:bottom="1460" w:left="480" w:right="340"/>
        </w:sectPr>
      </w:pPr>
    </w:p>
    <w:p>
      <w:pPr>
        <w:spacing w:line="240" w:lineRule="auto" w:before="1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76"/>
        <w:gridCol w:w="1059"/>
        <w:gridCol w:w="4126"/>
        <w:gridCol w:w="3291"/>
      </w:tblGrid>
      <w:tr>
        <w:trPr>
          <w:trHeight w:val="495" w:hRule="exact"/>
        </w:trPr>
        <w:tc>
          <w:tcPr>
            <w:tcW w:w="3435" w:type="dxa"/>
            <w:gridSpan w:val="2"/>
            <w:tcBorders>
              <w:top w:val="single" w:sz="6"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hAnsi="宋体" w:cs="宋体" w:eastAsia="宋体" w:hint="default"/>
                <w:sz w:val="21"/>
                <w:szCs w:val="21"/>
              </w:rPr>
              <w:t>朱昭雄</w:t>
            </w:r>
          </w:p>
        </w:tc>
        <w:tc>
          <w:tcPr>
            <w:tcW w:w="4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87,200</w:t>
            </w:r>
          </w:p>
        </w:tc>
        <w:tc>
          <w:tcPr>
            <w:tcW w:w="32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45" w:right="0"/>
              <w:jc w:val="left"/>
              <w:rPr>
                <w:rFonts w:ascii="宋体" w:hAnsi="宋体" w:cs="宋体" w:eastAsia="宋体" w:hint="default"/>
                <w:sz w:val="21"/>
                <w:szCs w:val="21"/>
              </w:rPr>
            </w:pPr>
            <w:r>
              <w:rPr>
                <w:rFonts w:ascii="宋体" w:hAnsi="宋体" w:cs="宋体" w:eastAsia="宋体" w:hint="default"/>
                <w:sz w:val="21"/>
                <w:szCs w:val="21"/>
              </w:rPr>
              <w:t>上海华明电子金属柜有限公司</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82,625</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卓玉华</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68,900</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严俊杰</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67,300</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王华</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65,200</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3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徐寅妹</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60,000</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949"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0" w:right="100"/>
              <w:jc w:val="left"/>
              <w:rPr>
                <w:rFonts w:ascii="宋体" w:hAnsi="宋体" w:cs="宋体" w:eastAsia="宋体" w:hint="default"/>
                <w:sz w:val="21"/>
                <w:szCs w:val="21"/>
              </w:rPr>
            </w:pPr>
            <w:r>
              <w:rPr>
                <w:rFonts w:ascii="宋体" w:hAnsi="宋体" w:cs="宋体" w:eastAsia="宋体" w:hint="default"/>
                <w:spacing w:val="3"/>
                <w:sz w:val="21"/>
                <w:szCs w:val="21"/>
              </w:rPr>
              <w:t>上述股东关联关系或一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致行动的说明</w:t>
            </w:r>
          </w:p>
        </w:tc>
        <w:tc>
          <w:tcPr>
            <w:tcW w:w="8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163"/>
              <w:jc w:val="left"/>
              <w:rPr>
                <w:rFonts w:ascii="宋体" w:hAnsi="宋体" w:cs="宋体" w:eastAsia="宋体" w:hint="default"/>
                <w:sz w:val="21"/>
                <w:szCs w:val="21"/>
              </w:rPr>
            </w:pPr>
            <w:r>
              <w:rPr>
                <w:rFonts w:ascii="宋体" w:hAnsi="宋体" w:cs="宋体" w:eastAsia="宋体" w:hint="default"/>
                <w:spacing w:val="-2"/>
                <w:sz w:val="21"/>
                <w:szCs w:val="21"/>
              </w:rPr>
              <w:t>刘亚先生为刘祥先生弟弟，江汉先生为刘祥先生妹妹之配偶；除此之外，未发现公司股东</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之间存在关联关系或属于《上市公司股东持股变动信息披露管理办法》规定的一致行动人</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1704" w:right="1309" w:hanging="483"/>
        <w:jc w:val="left"/>
        <w:rPr>
          <w:rFonts w:ascii="宋体" w:hAnsi="宋体" w:cs="宋体" w:eastAsia="宋体" w:hint="default"/>
          <w:sz w:val="24"/>
          <w:szCs w:val="24"/>
        </w:rPr>
      </w:pPr>
      <w:r>
        <w:rPr>
          <w:rFonts w:ascii="宋体" w:hAnsi="宋体" w:cs="宋体" w:eastAsia="宋体" w:hint="default"/>
          <w:b/>
          <w:bCs/>
          <w:sz w:val="24"/>
          <w:szCs w:val="24"/>
        </w:rPr>
        <w:t>三、证券发行与上市情况</w:t>
      </w:r>
      <w:r>
        <w:rPr>
          <w:rFonts w:ascii="宋体" w:hAnsi="宋体" w:cs="宋体" w:eastAsia="宋体" w:hint="default"/>
          <w:b/>
          <w:bCs/>
          <w:w w:val="99"/>
          <w:sz w:val="24"/>
          <w:szCs w:val="24"/>
        </w:rPr>
        <w:t> </w:t>
      </w:r>
      <w:r>
        <w:rPr>
          <w:rFonts w:ascii="宋体" w:hAnsi="宋体" w:cs="宋体" w:eastAsia="宋体" w:hint="default"/>
          <w:sz w:val="24"/>
          <w:szCs w:val="24"/>
        </w:rPr>
        <w:t>经中国证券监督管理委员会</w:t>
      </w:r>
      <w:r>
        <w:rPr>
          <w:rFonts w:ascii="Times New Roman" w:hAnsi="Times New Roman" w:cs="Times New Roman" w:eastAsia="Times New Roman" w:hint="default"/>
          <w:sz w:val="24"/>
          <w:szCs w:val="24"/>
        </w:rPr>
        <w:t>“</w:t>
      </w:r>
      <w:r>
        <w:rPr>
          <w:rFonts w:ascii="宋体" w:hAnsi="宋体" w:cs="宋体" w:eastAsia="宋体" w:hint="default"/>
          <w:sz w:val="24"/>
          <w:szCs w:val="24"/>
        </w:rPr>
        <w:t>证监许可</w:t>
      </w:r>
      <w:r>
        <w:rPr>
          <w:rFonts w:ascii="Times New Roman" w:hAnsi="Times New Roman" w:cs="Times New Roman" w:eastAsia="Times New Roman" w:hint="default"/>
          <w:sz w:val="24"/>
          <w:szCs w:val="24"/>
        </w:rPr>
        <w:t>[2010]1292</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文核准，本公司公开发行</w:t>
      </w:r>
    </w:p>
    <w:p>
      <w:pPr>
        <w:pStyle w:val="BodyText"/>
        <w:spacing w:line="338" w:lineRule="auto" w:before="5"/>
        <w:ind w:left="1222" w:right="1124"/>
        <w:jc w:val="left"/>
      </w:pPr>
      <w:r>
        <w:rPr/>
        <w:t>人民币普通股</w:t>
      </w:r>
      <w:r>
        <w:rPr>
          <w:rFonts w:ascii="Times New Roman" w:hAnsi="Times New Roman" w:cs="Times New Roman" w:eastAsia="Times New Roman" w:hint="default"/>
        </w:rPr>
        <w:t>1,600</w:t>
      </w:r>
      <w:r>
        <w:rPr/>
        <w:t>万股。本次发行采用网下向配售对象询价配售（以下简称</w:t>
      </w:r>
      <w:r>
        <w:rPr>
          <w:rFonts w:ascii="Times New Roman" w:hAnsi="Times New Roman" w:cs="Times New Roman" w:eastAsia="Times New Roman" w:hint="default"/>
        </w:rPr>
        <w:t>“</w:t>
      </w:r>
      <w:r>
        <w:rPr/>
        <w:t>网下 配售</w:t>
      </w:r>
      <w:r>
        <w:rPr>
          <w:rFonts w:ascii="Times New Roman" w:hAnsi="Times New Roman" w:cs="Times New Roman" w:eastAsia="Times New Roman" w:hint="default"/>
        </w:rPr>
        <w:t>”</w:t>
      </w:r>
      <w:r>
        <w:rPr/>
        <w:t>）和网上向社会公众投资者定价发行（以下简称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）相结合的方式， 其中，网下配售</w:t>
      </w:r>
      <w:r>
        <w:rPr>
          <w:rFonts w:ascii="Times New Roman" w:hAnsi="Times New Roman" w:cs="Times New Roman" w:eastAsia="Times New Roman" w:hint="default"/>
        </w:rPr>
        <w:t>320</w:t>
      </w:r>
      <w:r>
        <w:rPr/>
        <w:t>万股，网上发行</w:t>
      </w:r>
      <w:r>
        <w:rPr>
          <w:rFonts w:ascii="Times New Roman" w:hAnsi="Times New Roman" w:cs="Times New Roman" w:eastAsia="Times New Roman" w:hint="default"/>
        </w:rPr>
        <w:t>1280</w:t>
      </w:r>
      <w:r>
        <w:rPr/>
        <w:t>万股，发行价格为</w:t>
      </w:r>
      <w:r>
        <w:rPr>
          <w:rFonts w:ascii="Times New Roman" w:hAnsi="Times New Roman" w:cs="Times New Roman" w:eastAsia="Times New Roman" w:hint="default"/>
        </w:rPr>
        <w:t>43.33</w:t>
      </w:r>
      <w:r>
        <w:rPr/>
        <w:t>元</w:t>
      </w:r>
      <w:r>
        <w:rPr>
          <w:rFonts w:ascii="Times New Roman" w:hAnsi="Times New Roman" w:cs="Times New Roman" w:eastAsia="Times New Roman" w:hint="default"/>
        </w:rPr>
        <w:t>/</w:t>
      </w:r>
      <w:r>
        <w:rPr/>
        <w:t>股。</w:t>
      </w:r>
    </w:p>
    <w:p>
      <w:pPr>
        <w:pStyle w:val="BodyText"/>
        <w:spacing w:line="345" w:lineRule="auto" w:before="27"/>
        <w:ind w:left="1222" w:right="1243" w:firstLine="482"/>
        <w:jc w:val="both"/>
      </w:pPr>
      <w:r>
        <w:rPr>
          <w:spacing w:val="-1"/>
        </w:rPr>
        <w:t>经深圳证券交易所《关于深圳市新国都技术股份有限公司人民币普通股股票在</w:t>
      </w:r>
      <w:r>
        <w:rPr/>
        <w:t> </w:t>
      </w:r>
      <w:r>
        <w:rPr>
          <w:spacing w:val="-2"/>
        </w:rPr>
        <w:t>创业板上市的通知》（深证上</w:t>
      </w:r>
      <w:r>
        <w:rPr>
          <w:rFonts w:ascii="Times New Roman" w:hAnsi="Times New Roman" w:cs="Times New Roman" w:eastAsia="Times New Roman" w:hint="default"/>
          <w:spacing w:val="-2"/>
        </w:rPr>
        <w:t>[2010]332</w:t>
      </w:r>
      <w:r>
        <w:rPr>
          <w:spacing w:val="-2"/>
        </w:rPr>
        <w:t>号）同意，本公司发行的人民币普通股股票</w:t>
      </w:r>
      <w:r>
        <w:rPr>
          <w:spacing w:val="-103"/>
        </w:rPr>
        <w:t> </w:t>
      </w:r>
      <w:r>
        <w:rPr>
          <w:spacing w:val="-103"/>
        </w:rPr>
      </w:r>
      <w:r>
        <w:rPr/>
        <w:t>在深圳证券交易所创业板上市，股票简称</w:t>
      </w:r>
      <w:r>
        <w:rPr>
          <w:rFonts w:ascii="Times New Roman" w:hAnsi="Times New Roman" w:cs="Times New Roman" w:eastAsia="Times New Roman" w:hint="default"/>
        </w:rPr>
        <w:t>“</w:t>
      </w:r>
      <w:r>
        <w:rPr/>
        <w:t>新国都</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“300130”</w:t>
      </w:r>
      <w:r>
        <w:rPr/>
        <w:t>；其中，本</w:t>
      </w:r>
      <w:r>
        <w:rPr>
          <w:w w:val="100"/>
        </w:rPr>
        <w:t> </w:t>
      </w:r>
      <w:r>
        <w:rPr/>
        <w:t>次公开发行中网上发行的</w:t>
      </w:r>
      <w:r>
        <w:rPr>
          <w:rFonts w:ascii="Times New Roman" w:hAnsi="Times New Roman" w:cs="Times New Roman" w:eastAsia="Times New Roman" w:hint="default"/>
        </w:rPr>
        <w:t>1,280</w:t>
      </w:r>
      <w:r>
        <w:rPr/>
        <w:t>万股股票将于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日起上市交易。</w:t>
      </w:r>
    </w:p>
    <w:p>
      <w:pPr>
        <w:pStyle w:val="BodyText"/>
        <w:spacing w:line="338" w:lineRule="auto" w:before="19"/>
        <w:ind w:left="1222" w:right="1124" w:firstLine="482"/>
        <w:jc w:val="left"/>
      </w:pPr>
      <w:r>
        <w:rPr>
          <w:spacing w:val="-1"/>
        </w:rPr>
        <w:t>本次发行募集资金总额为</w:t>
      </w:r>
      <w:r>
        <w:rPr>
          <w:rFonts w:ascii="Times New Roman" w:hAnsi="Times New Roman" w:cs="Times New Roman" w:eastAsia="Times New Roman" w:hint="default"/>
          <w:spacing w:val="-1"/>
        </w:rPr>
        <w:t>69,328</w:t>
      </w:r>
      <w:r>
        <w:rPr>
          <w:spacing w:val="-1"/>
        </w:rPr>
        <w:t>万元，扣除发行费用</w:t>
      </w:r>
      <w:r>
        <w:rPr>
          <w:rFonts w:ascii="Times New Roman" w:hAnsi="Times New Roman" w:cs="Times New Roman" w:eastAsia="Times New Roman" w:hint="default"/>
          <w:spacing w:val="-1"/>
        </w:rPr>
        <w:t>4694.5066</w:t>
      </w:r>
      <w:r>
        <w:rPr>
          <w:spacing w:val="-1"/>
        </w:rPr>
        <w:t>万，募集资金净</w:t>
      </w:r>
      <w:r>
        <w:rPr/>
        <w:t> 额为</w:t>
      </w:r>
      <w:r>
        <w:rPr>
          <w:rFonts w:ascii="Times New Roman" w:hAnsi="Times New Roman" w:cs="Times New Roman" w:eastAsia="Times New Roman" w:hint="default"/>
        </w:rPr>
        <w:t>64633.4934</w:t>
      </w:r>
      <w:r>
        <w:rPr/>
        <w:t>万元。立信大华会计师事务所有限公司已于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日对发行 人首次公开发行股票的资金到位情况进行了审验，并出具立信大华验字</w:t>
      </w:r>
      <w:r>
        <w:rPr>
          <w:rFonts w:ascii="Times New Roman" w:hAnsi="Times New Roman" w:cs="Times New Roman" w:eastAsia="Times New Roman" w:hint="default"/>
        </w:rPr>
        <w:t>[2010]124</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t>号《验资报告》。</w:t>
      </w:r>
    </w:p>
    <w:p>
      <w:pPr>
        <w:spacing w:line="700" w:lineRule="exact" w:before="11"/>
        <w:ind w:left="1702" w:right="1309" w:hanging="480"/>
        <w:jc w:val="left"/>
        <w:rPr>
          <w:rFonts w:ascii="宋体" w:hAnsi="宋体" w:cs="宋体" w:eastAsia="宋体" w:hint="default"/>
          <w:sz w:val="24"/>
          <w:szCs w:val="24"/>
        </w:rPr>
      </w:pPr>
      <w:r>
        <w:rPr>
          <w:rFonts w:ascii="宋体" w:hAnsi="宋体" w:cs="宋体" w:eastAsia="宋体" w:hint="default"/>
          <w:b/>
          <w:bCs/>
          <w:sz w:val="24"/>
          <w:szCs w:val="24"/>
        </w:rPr>
        <w:t>四、控股股东及实际控制人情况介绍</w:t>
      </w:r>
      <w:r>
        <w:rPr>
          <w:rFonts w:ascii="宋体" w:hAnsi="宋体" w:cs="宋体" w:eastAsia="宋体" w:hint="default"/>
          <w:b/>
          <w:bCs/>
          <w:w w:val="99"/>
          <w:sz w:val="24"/>
          <w:szCs w:val="24"/>
        </w:rPr>
        <w:t> </w:t>
      </w:r>
      <w:r>
        <w:rPr>
          <w:rFonts w:ascii="宋体" w:hAnsi="宋体" w:cs="宋体" w:eastAsia="宋体" w:hint="default"/>
          <w:sz w:val="24"/>
          <w:szCs w:val="24"/>
        </w:rPr>
        <w:t>报告期内，公司控股股东及实际控制人未发生变化，为刘祥先生。刘祥先生</w:t>
      </w:r>
    </w:p>
    <w:p>
      <w:pPr>
        <w:pStyle w:val="BodyText"/>
        <w:spacing w:line="240" w:lineRule="auto" w:before="47"/>
        <w:ind w:left="1222" w:right="1309"/>
        <w:jc w:val="left"/>
      </w:pPr>
      <w:r>
        <w:rPr/>
        <w:t>相关情况如下：</w:t>
      </w:r>
    </w:p>
    <w:p>
      <w:pPr>
        <w:pStyle w:val="BodyText"/>
        <w:spacing w:line="338" w:lineRule="auto" w:before="154"/>
        <w:ind w:left="1222" w:right="1385" w:firstLine="479"/>
        <w:jc w:val="left"/>
      </w:pPr>
      <w:r>
        <w:rPr/>
        <w:pict>
          <v:shape style="position:absolute;margin-left:206.850006pt;margin-top:105.093567pt;width:235.5pt;height:33.15pt;mso-position-horizontal-relative:page;mso-position-vertical-relative:paragraph;z-index:-681472" type="#_x0000_t202" filled="false" stroked="false">
            <v:textbox inset="0,0,0,0">
              <w:txbxContent>
                <w:p>
                  <w:pPr>
                    <w:spacing w:line="184" w:lineRule="exact" w:before="0"/>
                    <w:ind w:left="0" w:right="960" w:firstLine="0"/>
                    <w:jc w:val="center"/>
                    <w:rPr>
                      <w:rFonts w:ascii="Times New Roman" w:hAnsi="Times New Roman" w:cs="Times New Roman" w:eastAsia="Times New Roman" w:hint="default"/>
                      <w:sz w:val="18"/>
                      <w:szCs w:val="18"/>
                    </w:rPr>
                  </w:pPr>
                  <w:r>
                    <w:rPr>
                      <w:rFonts w:ascii="Times New Roman"/>
                      <w:sz w:val="18"/>
                    </w:rPr>
                    <w:t>68</w:t>
                  </w:r>
                </w:p>
              </w:txbxContent>
            </v:textbox>
            <w10:wrap type="none"/>
          </v:shape>
        </w:pict>
      </w:r>
      <w:r>
        <w:rPr/>
        <w:t>刘祥，男，</w:t>
      </w:r>
      <w:r>
        <w:rPr>
          <w:rFonts w:ascii="Times New Roman" w:hAnsi="Times New Roman" w:cs="Times New Roman" w:eastAsia="Times New Roman" w:hint="default"/>
        </w:rPr>
        <w:t>1967 </w:t>
      </w:r>
      <w:r>
        <w:rPr/>
        <w:t>年生，东南大学无线电专业本科毕业。近五年主要担任公司 董事长、总经理，现兼任深圳市泰德信实业有限公司董事。</w:t>
      </w:r>
    </w:p>
    <w:p>
      <w:pPr>
        <w:spacing w:line="240" w:lineRule="auto" w:before="9"/>
        <w:rPr>
          <w:rFonts w:ascii="宋体" w:hAnsi="宋体" w:cs="宋体" w:eastAsia="宋体" w:hint="default"/>
          <w:sz w:val="2"/>
          <w:szCs w:val="2"/>
        </w:rPr>
      </w:pPr>
    </w:p>
    <w:p>
      <w:pPr>
        <w:spacing w:line="1695" w:lineRule="exact"/>
        <w:ind w:left="3657"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235.5pt;height:84.75pt;mso-position-horizontal-relative:char;mso-position-vertical-relative:line" coordorigin="0,0" coordsize="4710,1695">
            <v:group style="position:absolute;left:0;top:1080;width:4710;height:615" coordorigin="0,1080" coordsize="4710,615">
              <v:shape style="position:absolute;left:0;top:1080;width:4710;height:615" coordorigin="0,1080" coordsize="4710,615" path="m0,1695l4710,1695,4710,1080,0,1080,0,1695xe" filled="true" fillcolor="#ffffff" stroked="false">
                <v:path arrowok="t"/>
                <v:fill type="solid"/>
              </v:shape>
            </v:group>
            <v:group style="position:absolute;left:2295;top:605;width:120;height:475" coordorigin="2295,605" coordsize="120,475">
              <v:shape style="position:absolute;left:2295;top:605;width:120;height:475" coordorigin="2295,605" coordsize="120,475" path="m2345,960l2295,960,2355,1080,2400,990,2349,990,2345,986,2345,960xe" filled="true" fillcolor="#000000" stroked="false">
                <v:path arrowok="t"/>
                <v:fill type="solid"/>
              </v:shape>
              <v:shape style="position:absolute;left:2295;top:605;width:120;height:475" coordorigin="2295,605" coordsize="120,475" path="m2361,605l2349,605,2345,609,2345,986,2349,990,2361,990,2365,986,2365,609,2361,605xe" filled="true" fillcolor="#000000" stroked="false">
                <v:path arrowok="t"/>
                <v:fill type="solid"/>
              </v:shape>
              <v:shape style="position:absolute;left:2295;top:605;width:120;height:475" coordorigin="2295,605" coordsize="120,475" path="m2415,960l2365,960,2365,986,2361,990,2400,990,2415,960xe" filled="true" fillcolor="#000000" stroked="false">
                <v:path arrowok="t"/>
                <v:fill type="solid"/>
              </v:shape>
              <v:shape style="position:absolute;left:1320;top:0;width:2070;height:615" type="#_x0000_t202" filled="false" stroked="true" strokeweight=".75pt" strokecolor="#000000">
                <v:textbox inset="0,0,0,0">
                  <w:txbxContent>
                    <w:p>
                      <w:pPr>
                        <w:tabs>
                          <w:tab w:pos="1208" w:val="left" w:leader="none"/>
                        </w:tabs>
                        <w:spacing w:before="75"/>
                        <w:ind w:left="606" w:right="0" w:firstLine="0"/>
                        <w:jc w:val="left"/>
                        <w:rPr>
                          <w:rFonts w:ascii="宋体" w:hAnsi="宋体" w:cs="宋体" w:eastAsia="宋体" w:hint="default"/>
                          <w:sz w:val="24"/>
                          <w:szCs w:val="24"/>
                        </w:rPr>
                      </w:pPr>
                      <w:r>
                        <w:rPr>
                          <w:rFonts w:ascii="宋体" w:hAnsi="宋体" w:cs="宋体" w:eastAsia="宋体" w:hint="default"/>
                          <w:b/>
                          <w:bCs/>
                          <w:w w:val="95"/>
                          <w:sz w:val="24"/>
                          <w:szCs w:val="24"/>
                        </w:rPr>
                        <w:t>刘</w:t>
                        <w:tab/>
                      </w:r>
                      <w:r>
                        <w:rPr>
                          <w:rFonts w:ascii="宋体" w:hAnsi="宋体" w:cs="宋体" w:eastAsia="宋体" w:hint="default"/>
                          <w:b/>
                          <w:bCs/>
                          <w:sz w:val="24"/>
                          <w:szCs w:val="24"/>
                        </w:rPr>
                        <w:t>祥</w:t>
                      </w:r>
                      <w:r>
                        <w:rPr>
                          <w:rFonts w:ascii="宋体" w:hAnsi="宋体" w:cs="宋体" w:eastAsia="宋体" w:hint="default"/>
                          <w:sz w:val="24"/>
                          <w:szCs w:val="24"/>
                        </w:rPr>
                      </w:r>
                    </w:p>
                  </w:txbxContent>
                </v:textbox>
                <w10:wrap type="none"/>
              </v:shape>
              <v:shape style="position:absolute;left:0;top:1080;width:4710;height:615" type="#_x0000_t202" filled="false" stroked="true" strokeweight=".75pt" strokecolor="#000000">
                <v:textbox inset="0,0,0,0">
                  <w:txbxContent>
                    <w:p>
                      <w:pPr>
                        <w:spacing w:before="75"/>
                        <w:ind w:left="661" w:right="0" w:firstLine="0"/>
                        <w:jc w:val="left"/>
                        <w:rPr>
                          <w:rFonts w:ascii="宋体" w:hAnsi="宋体" w:cs="宋体" w:eastAsia="宋体" w:hint="default"/>
                          <w:sz w:val="24"/>
                          <w:szCs w:val="24"/>
                        </w:rPr>
                      </w:pPr>
                      <w:r>
                        <w:rPr>
                          <w:rFonts w:ascii="宋体" w:hAnsi="宋体" w:cs="宋体" w:eastAsia="宋体" w:hint="default"/>
                          <w:b/>
                          <w:bCs/>
                          <w:sz w:val="24"/>
                          <w:szCs w:val="24"/>
                        </w:rPr>
                        <w:t>深圳市新国都技术股份有限公司</w:t>
                      </w:r>
                      <w:r>
                        <w:rPr>
                          <w:rFonts w:ascii="宋体" w:hAnsi="宋体" w:cs="宋体" w:eastAsia="宋体" w:hint="default"/>
                          <w:sz w:val="24"/>
                          <w:szCs w:val="24"/>
                        </w:rPr>
                      </w:r>
                    </w:p>
                  </w:txbxContent>
                </v:textbox>
                <w10:wrap type="none"/>
              </v:shape>
            </v:group>
          </v:group>
        </w:pict>
      </w:r>
      <w:r>
        <w:rPr>
          <w:rFonts w:ascii="宋体" w:hAnsi="宋体" w:cs="宋体" w:eastAsia="宋体" w:hint="default"/>
          <w:position w:val="-33"/>
          <w:sz w:val="20"/>
          <w:szCs w:val="20"/>
        </w:rPr>
      </w:r>
    </w:p>
    <w:p>
      <w:pPr>
        <w:spacing w:after="0" w:line="1695" w:lineRule="exact"/>
        <w:rPr>
          <w:rFonts w:ascii="宋体" w:hAnsi="宋体" w:cs="宋体" w:eastAsia="宋体" w:hint="default"/>
          <w:sz w:val="20"/>
          <w:szCs w:val="20"/>
        </w:rPr>
        <w:sectPr>
          <w:headerReference w:type="default" r:id="rId28"/>
          <w:footerReference w:type="default" r:id="rId29"/>
          <w:pgSz w:w="11910" w:h="16840"/>
          <w:pgMar w:header="867" w:footer="0" w:top="1060" w:bottom="280" w:left="480" w:right="3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4"/>
        <w:ind w:left="2387" w:right="428"/>
        <w:jc w:val="center"/>
        <w:rPr>
          <w:rFonts w:ascii="Times New Roman" w:hAnsi="Times New Roman" w:cs="Times New Roman" w:eastAsia="Times New Roman" w:hint="default"/>
        </w:rPr>
      </w:pPr>
      <w:r>
        <w:rPr>
          <w:rFonts w:ascii="Times New Roman"/>
        </w:rPr>
        <w:t>33.31%</w:t>
      </w:r>
    </w:p>
    <w:p>
      <w:pPr>
        <w:spacing w:after="0" w:line="240" w:lineRule="auto"/>
        <w:jc w:val="center"/>
        <w:rPr>
          <w:rFonts w:ascii="Times New Roman" w:hAnsi="Times New Roman" w:cs="Times New Roman" w:eastAsia="Times New Roman" w:hint="default"/>
        </w:rPr>
        <w:sectPr>
          <w:footerReference w:type="default" r:id="rId30"/>
          <w:pgSz w:w="11910" w:h="16840"/>
          <w:pgMar w:footer="1267" w:header="867" w:top="1060" w:bottom="1460" w:left="1560" w:right="1440"/>
          <w:pgNumType w:start="69"/>
        </w:sectPr>
      </w:pPr>
    </w:p>
    <w:p>
      <w:pPr>
        <w:spacing w:line="240" w:lineRule="auto" w:before="2"/>
        <w:rPr>
          <w:rFonts w:ascii="Times New Roman" w:hAnsi="Times New Roman" w:cs="Times New Roman" w:eastAsia="Times New Roman" w:hint="default"/>
          <w:sz w:val="3"/>
          <w:szCs w:val="3"/>
        </w:rPr>
      </w:pPr>
    </w:p>
    <w:p>
      <w:pPr>
        <w:spacing w:line="20" w:lineRule="exact"/>
        <w:ind w:left="6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Heading3"/>
        <w:tabs>
          <w:tab w:pos="3122" w:val="left" w:leader="none"/>
        </w:tabs>
        <w:spacing w:line="240" w:lineRule="auto"/>
        <w:ind w:left="1998" w:right="0"/>
        <w:jc w:val="left"/>
        <w:rPr>
          <w:b w:val="0"/>
          <w:bCs w:val="0"/>
        </w:rPr>
      </w:pPr>
      <w:r>
        <w:rPr>
          <w:w w:val="95"/>
        </w:rPr>
        <w:t>第六节</w:t>
        <w:tab/>
      </w:r>
      <w:r>
        <w:rPr/>
        <w:t>董事、监事、高级管理人员和员工情况</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3"/>
          <w:szCs w:val="23"/>
        </w:rPr>
      </w:pPr>
    </w:p>
    <w:p>
      <w:pPr>
        <w:pStyle w:val="Heading6"/>
        <w:spacing w:line="240" w:lineRule="auto"/>
        <w:ind w:left="722" w:right="0"/>
        <w:jc w:val="left"/>
        <w:rPr>
          <w:b w:val="0"/>
          <w:bCs w:val="0"/>
        </w:rPr>
      </w:pPr>
      <w:r>
        <w:rPr/>
        <w:pict>
          <v:group style="position:absolute;margin-left:54.48pt;margin-top:32.375599pt;width:492.1pt;height:547.7pt;mso-position-horizontal-relative:page;mso-position-vertical-relative:paragraph;z-index:-681400" coordorigin="1090,648" coordsize="9842,10954">
            <v:group style="position:absolute;left:1099;top:662;width:771;height:624" coordorigin="1099,662" coordsize="771,624">
              <v:shape style="position:absolute;left:1099;top:662;width:771;height:624" coordorigin="1099,662" coordsize="771,624" path="m1099,1286l1870,1286,1870,662,1099,662,1099,1286xe" filled="true" fillcolor="#8db3e1" stroked="false">
                <v:path arrowok="t"/>
                <v:fill type="solid"/>
              </v:shape>
            </v:group>
            <v:group style="position:absolute;left:1111;top:1286;width:2;height:395" coordorigin="1111,1286" coordsize="2,395">
              <v:shape style="position:absolute;left:1111;top:1286;width:2;height:395" coordorigin="1111,1286" coordsize="0,395" path="m1111,1286l1111,1680e" filled="false" stroked="true" strokeweight="1.2pt" strokecolor="#8db3e1">
                <v:path arrowok="t"/>
              </v:shape>
            </v:group>
            <v:group style="position:absolute;left:1859;top:1286;width:2;height:395" coordorigin="1859,1286" coordsize="2,395">
              <v:shape style="position:absolute;left:1859;top:1286;width:2;height:395" coordorigin="1859,1286" coordsize="0,395" path="m1859,1286l1859,1680e" filled="false" stroked="true" strokeweight="1.08pt" strokecolor="#8db3e1">
                <v:path arrowok="t"/>
              </v:shape>
            </v:group>
            <v:group style="position:absolute;left:1099;top:1680;width:771;height:624" coordorigin="1099,1680" coordsize="771,624">
              <v:shape style="position:absolute;left:1099;top:1680;width:771;height:624" coordorigin="1099,1680" coordsize="771,624" path="m1099,2304l1870,2304,1870,1680,1099,1680,1099,2304xe" filled="true" fillcolor="#8db3e1" stroked="false">
                <v:path arrowok="t"/>
                <v:fill type="solid"/>
              </v:shape>
            </v:group>
            <v:group style="position:absolute;left:1123;top:1286;width:726;height:395" coordorigin="1123,1286" coordsize="726,395">
              <v:shape style="position:absolute;left:1123;top:1286;width:726;height:395" coordorigin="1123,1286" coordsize="726,395" path="m1123,1680l1848,1680,1848,1286,1123,1286,1123,1680xe" filled="true" fillcolor="#8db3e1" stroked="false">
                <v:path arrowok="t"/>
                <v:fill type="solid"/>
              </v:shape>
            </v:group>
            <v:group style="position:absolute;left:1880;top:662;width:1032;height:624" coordorigin="1880,662" coordsize="1032,624">
              <v:shape style="position:absolute;left:1880;top:662;width:1032;height:624" coordorigin="1880,662" coordsize="1032,624" path="m1880,1286l2912,1286,2912,662,1880,662,1880,1286xe" filled="true" fillcolor="#8db3e1" stroked="false">
                <v:path arrowok="t"/>
                <v:fill type="solid"/>
              </v:shape>
            </v:group>
            <v:group style="position:absolute;left:1892;top:1286;width:2;height:395" coordorigin="1892,1286" coordsize="2,395">
              <v:shape style="position:absolute;left:1892;top:1286;width:2;height:395" coordorigin="1892,1286" coordsize="0,395" path="m1892,1286l1892,1680e" filled="false" stroked="true" strokeweight="1.2pt" strokecolor="#8db3e1">
                <v:path arrowok="t"/>
              </v:shape>
            </v:group>
            <v:group style="position:absolute;left:2900;top:1286;width:2;height:395" coordorigin="2900,1286" coordsize="2,395">
              <v:shape style="position:absolute;left:2900;top:1286;width:2;height:395" coordorigin="2900,1286" coordsize="0,395" path="m2900,1286l2900,1680e" filled="false" stroked="true" strokeweight="1.2pt" strokecolor="#8db3e1">
                <v:path arrowok="t"/>
              </v:shape>
            </v:group>
            <v:group style="position:absolute;left:1880;top:1680;width:1032;height:624" coordorigin="1880,1680" coordsize="1032,624">
              <v:shape style="position:absolute;left:1880;top:1680;width:1032;height:624" coordorigin="1880,1680" coordsize="1032,624" path="m1880,2304l2912,2304,2912,1680,1880,1680,1880,2304xe" filled="true" fillcolor="#8db3e1" stroked="false">
                <v:path arrowok="t"/>
                <v:fill type="solid"/>
              </v:shape>
            </v:group>
            <v:group style="position:absolute;left:1904;top:1286;width:984;height:395" coordorigin="1904,1286" coordsize="984,395">
              <v:shape style="position:absolute;left:1904;top:1286;width:984;height:395" coordorigin="1904,1286" coordsize="984,395" path="m1904,1680l2888,1680,2888,1286,1904,1286,1904,1680xe" filled="true" fillcolor="#8db3e1" stroked="false">
                <v:path arrowok="t"/>
                <v:fill type="solid"/>
              </v:shape>
            </v:group>
            <v:group style="position:absolute;left:2921;top:662;width:509;height:624" coordorigin="2921,662" coordsize="509,624">
              <v:shape style="position:absolute;left:2921;top:662;width:509;height:624" coordorigin="2921,662" coordsize="509,624" path="m2921,1286l3430,1286,3430,662,2921,662,2921,1286xe" filled="true" fillcolor="#8db3e1" stroked="false">
                <v:path arrowok="t"/>
                <v:fill type="solid"/>
              </v:shape>
            </v:group>
            <v:group style="position:absolute;left:2932;top:1286;width:2;height:395" coordorigin="2932,1286" coordsize="2,395">
              <v:shape style="position:absolute;left:2932;top:1286;width:2;height:395" coordorigin="2932,1286" coordsize="0,395" path="m2932,1286l2932,1680e" filled="false" stroked="true" strokeweight="1.08pt" strokecolor="#8db3e1">
                <v:path arrowok="t"/>
              </v:shape>
            </v:group>
            <v:group style="position:absolute;left:3419;top:1286;width:2;height:395" coordorigin="3419,1286" coordsize="2,395">
              <v:shape style="position:absolute;left:3419;top:1286;width:2;height:395" coordorigin="3419,1286" coordsize="0,395" path="m3419,1286l3419,1680e" filled="false" stroked="true" strokeweight="1.08pt" strokecolor="#8db3e1">
                <v:path arrowok="t"/>
              </v:shape>
            </v:group>
            <v:group style="position:absolute;left:2921;top:1680;width:509;height:624" coordorigin="2921,1680" coordsize="509,624">
              <v:shape style="position:absolute;left:2921;top:1680;width:509;height:624" coordorigin="2921,1680" coordsize="509,624" path="m2921,2304l3430,2304,3430,1680,2921,1680,2921,2304xe" filled="true" fillcolor="#8db3e1" stroked="false">
                <v:path arrowok="t"/>
                <v:fill type="solid"/>
              </v:shape>
            </v:group>
            <v:group style="position:absolute;left:2943;top:1286;width:466;height:395" coordorigin="2943,1286" coordsize="466,395">
              <v:shape style="position:absolute;left:2943;top:1286;width:466;height:395" coordorigin="2943,1286" coordsize="466,395" path="m2943,1680l3408,1680,3408,1286,2943,1286,2943,1680xe" filled="true" fillcolor="#8db3e1" stroked="false">
                <v:path arrowok="t"/>
                <v:fill type="solid"/>
              </v:shape>
            </v:group>
            <v:group style="position:absolute;left:3440;top:662;width:512;height:624" coordorigin="3440,662" coordsize="512,624">
              <v:shape style="position:absolute;left:3440;top:662;width:512;height:624" coordorigin="3440,662" coordsize="512,624" path="m3440,1286l3951,1286,3951,662,3440,662,3440,1286xe" filled="true" fillcolor="#8db3e1" stroked="false">
                <v:path arrowok="t"/>
                <v:fill type="solid"/>
              </v:shape>
            </v:group>
            <v:group style="position:absolute;left:3452;top:1286;width:2;height:395" coordorigin="3452,1286" coordsize="2,395">
              <v:shape style="position:absolute;left:3452;top:1286;width:2;height:395" coordorigin="3452,1286" coordsize="0,395" path="m3452,1286l3452,1680e" filled="false" stroked="true" strokeweight="1.2pt" strokecolor="#8db3e1">
                <v:path arrowok="t"/>
              </v:shape>
            </v:group>
            <v:group style="position:absolute;left:3939;top:1286;width:2;height:395" coordorigin="3939,1286" coordsize="2,395">
              <v:shape style="position:absolute;left:3939;top:1286;width:2;height:395" coordorigin="3939,1286" coordsize="0,395" path="m3939,1286l3939,1680e" filled="false" stroked="true" strokeweight="1.2pt" strokecolor="#8db3e1">
                <v:path arrowok="t"/>
              </v:shape>
            </v:group>
            <v:group style="position:absolute;left:3440;top:1680;width:512;height:624" coordorigin="3440,1680" coordsize="512,624">
              <v:shape style="position:absolute;left:3440;top:1680;width:512;height:624" coordorigin="3440,1680" coordsize="512,624" path="m3440,2304l3951,2304,3951,1680,3440,1680,3440,2304xe" filled="true" fillcolor="#8db3e1" stroked="false">
                <v:path arrowok="t"/>
                <v:fill type="solid"/>
              </v:shape>
            </v:group>
            <v:group style="position:absolute;left:3464;top:1286;width:464;height:395" coordorigin="3464,1286" coordsize="464,395">
              <v:shape style="position:absolute;left:3464;top:1286;width:464;height:395" coordorigin="3464,1286" coordsize="464,395" path="m3464,1680l3927,1680,3927,1286,3464,1286,3464,1680xe" filled="true" fillcolor="#8db3e1" stroked="false">
                <v:path arrowok="t"/>
                <v:fill type="solid"/>
              </v:shape>
            </v:group>
            <v:group style="position:absolute;left:3961;top:662;width:816;height:468" coordorigin="3961,662" coordsize="816,468">
              <v:shape style="position:absolute;left:3961;top:662;width:816;height:468" coordorigin="3961,662" coordsize="816,468" path="m3961,1130l4777,1130,4777,662,3961,662,3961,1130xe" filled="true" fillcolor="#8db3e1" stroked="false">
                <v:path arrowok="t"/>
                <v:fill type="solid"/>
              </v:shape>
            </v:group>
            <v:group style="position:absolute;left:3973;top:1130;width:2;height:707" coordorigin="3973,1130" coordsize="2,707">
              <v:shape style="position:absolute;left:3973;top:1130;width:2;height:707" coordorigin="3973,1130" coordsize="0,707" path="m3973,1130l3973,1836e" filled="false" stroked="true" strokeweight="1.2pt" strokecolor="#8db3e1">
                <v:path arrowok="t"/>
              </v:shape>
            </v:group>
            <v:group style="position:absolute;left:4765;top:1130;width:2;height:707" coordorigin="4765,1130" coordsize="2,707">
              <v:shape style="position:absolute;left:4765;top:1130;width:2;height:707" coordorigin="4765,1130" coordsize="0,707" path="m4765,1130l4765,1836e" filled="false" stroked="true" strokeweight="1.2pt" strokecolor="#8db3e1">
                <v:path arrowok="t"/>
              </v:shape>
            </v:group>
            <v:group style="position:absolute;left:3961;top:1836;width:816;height:468" coordorigin="3961,1836" coordsize="816,468">
              <v:shape style="position:absolute;left:3961;top:1836;width:816;height:468" coordorigin="3961,1836" coordsize="816,468" path="m3961,2304l4777,2304,4777,1836,3961,1836,3961,2304xe" filled="true" fillcolor="#8db3e1" stroked="false">
                <v:path arrowok="t"/>
                <v:fill type="solid"/>
              </v:shape>
            </v:group>
            <v:group style="position:absolute;left:3985;top:1130;width:768;height:353" coordorigin="3985,1130" coordsize="768,353">
              <v:shape style="position:absolute;left:3985;top:1130;width:768;height:353" coordorigin="3985,1130" coordsize="768,353" path="m3985,1483l4753,1483,4753,1130,3985,1130,3985,1483xe" filled="true" fillcolor="#8db3e1" stroked="false">
                <v:path arrowok="t"/>
                <v:fill type="solid"/>
              </v:shape>
            </v:group>
            <v:group style="position:absolute;left:3985;top:1483;width:768;height:354" coordorigin="3985,1483" coordsize="768,354">
              <v:shape style="position:absolute;left:3985;top:1483;width:768;height:354" coordorigin="3985,1483" coordsize="768,354" path="m3985,1836l4753,1836,4753,1483,3985,1483,3985,1836xe" filled="true" fillcolor="#8db3e1" stroked="false">
                <v:path arrowok="t"/>
                <v:fill type="solid"/>
              </v:shape>
            </v:group>
            <v:group style="position:absolute;left:4787;top:662;width:840;height:468" coordorigin="4787,662" coordsize="840,468">
              <v:shape style="position:absolute;left:4787;top:662;width:840;height:468" coordorigin="4787,662" coordsize="840,468" path="m4787,1130l5627,1130,5627,662,4787,662,4787,1130xe" filled="true" fillcolor="#8db3e1" stroked="false">
                <v:path arrowok="t"/>
                <v:fill type="solid"/>
              </v:shape>
            </v:group>
            <v:group style="position:absolute;left:4799;top:1130;width:2;height:707" coordorigin="4799,1130" coordsize="2,707">
              <v:shape style="position:absolute;left:4799;top:1130;width:2;height:707" coordorigin="4799,1130" coordsize="0,707" path="m4799,1130l4799,1836e" filled="false" stroked="true" strokeweight="1.2pt" strokecolor="#8db3e1">
                <v:path arrowok="t"/>
              </v:shape>
            </v:group>
            <v:group style="position:absolute;left:5616;top:1130;width:2;height:707" coordorigin="5616,1130" coordsize="2,707">
              <v:shape style="position:absolute;left:5616;top:1130;width:2;height:707" coordorigin="5616,1130" coordsize="0,707" path="m5616,1130l5616,1836e" filled="false" stroked="true" strokeweight="1.08pt" strokecolor="#8db3e1">
                <v:path arrowok="t"/>
              </v:shape>
            </v:group>
            <v:group style="position:absolute;left:4787;top:1836;width:840;height:468" coordorigin="4787,1836" coordsize="840,468">
              <v:shape style="position:absolute;left:4787;top:1836;width:840;height:468" coordorigin="4787,1836" coordsize="840,468" path="m4787,2304l5627,2304,5627,1836,4787,1836,4787,2304xe" filled="true" fillcolor="#8db3e1" stroked="false">
                <v:path arrowok="t"/>
                <v:fill type="solid"/>
              </v:shape>
            </v:group>
            <v:group style="position:absolute;left:4811;top:1130;width:795;height:353" coordorigin="4811,1130" coordsize="795,353">
              <v:shape style="position:absolute;left:4811;top:1130;width:795;height:353" coordorigin="4811,1130" coordsize="795,353" path="m4811,1483l5605,1483,5605,1130,4811,1130,4811,1483xe" filled="true" fillcolor="#8db3e1" stroked="false">
                <v:path arrowok="t"/>
                <v:fill type="solid"/>
              </v:shape>
            </v:group>
            <v:group style="position:absolute;left:4811;top:1483;width:795;height:354" coordorigin="4811,1483" coordsize="795,354">
              <v:shape style="position:absolute;left:4811;top:1483;width:795;height:354" coordorigin="4811,1483" coordsize="795,354" path="m4811,1836l5605,1836,5605,1483,4811,1483,4811,1836xe" filled="true" fillcolor="#8db3e1" stroked="false">
                <v:path arrowok="t"/>
                <v:fill type="solid"/>
              </v:shape>
            </v:group>
            <v:group style="position:absolute;left:5636;top:662;width:985;height:449" coordorigin="5636,662" coordsize="985,449">
              <v:shape style="position:absolute;left:5636;top:662;width:985;height:449" coordorigin="5636,662" coordsize="985,449" path="m5636,1111l6621,1111,6621,662,5636,662,5636,1111xe" filled="true" fillcolor="#8db3e1" stroked="false">
                <v:path arrowok="t"/>
                <v:fill type="solid"/>
              </v:shape>
            </v:group>
            <v:group style="position:absolute;left:5648;top:1111;width:2;height:745" coordorigin="5648,1111" coordsize="2,745">
              <v:shape style="position:absolute;left:5648;top:1111;width:2;height:745" coordorigin="5648,1111" coordsize="0,745" path="m5648,1111l5648,1855e" filled="false" stroked="true" strokeweight="1.2pt" strokecolor="#8db3e1">
                <v:path arrowok="t"/>
              </v:shape>
            </v:group>
            <v:group style="position:absolute;left:6609;top:1111;width:2;height:745" coordorigin="6609,1111" coordsize="2,745">
              <v:shape style="position:absolute;left:6609;top:1111;width:2;height:745" coordorigin="6609,1111" coordsize="0,745" path="m6609,1111l6609,1855e" filled="false" stroked="true" strokeweight="1.2pt" strokecolor="#8db3e1">
                <v:path arrowok="t"/>
              </v:shape>
            </v:group>
            <v:group style="position:absolute;left:5636;top:1855;width:985;height:449" coordorigin="5636,1855" coordsize="985,449">
              <v:shape style="position:absolute;left:5636;top:1855;width:985;height:449" coordorigin="5636,1855" coordsize="985,449" path="m5636,2304l6621,2304,6621,1855,5636,1855,5636,2304xe" filled="true" fillcolor="#8db3e1" stroked="false">
                <v:path arrowok="t"/>
                <v:fill type="solid"/>
              </v:shape>
            </v:group>
            <v:group style="position:absolute;left:5660;top:1111;width:937;height:392" coordorigin="5660,1111" coordsize="937,392">
              <v:shape style="position:absolute;left:5660;top:1111;width:937;height:392" coordorigin="5660,1111" coordsize="937,392" path="m5660,1502l6597,1502,6597,1111,5660,1111,5660,1502xe" filled="true" fillcolor="#8db3e1" stroked="false">
                <v:path arrowok="t"/>
                <v:fill type="solid"/>
              </v:shape>
            </v:group>
            <v:group style="position:absolute;left:5660;top:1502;width:937;height:354" coordorigin="5660,1502" coordsize="937,354">
              <v:shape style="position:absolute;left:5660;top:1502;width:937;height:354" coordorigin="5660,1502" coordsize="937,354" path="m5660,1855l6597,1855,6597,1502,5660,1502,5660,1855xe" filled="true" fillcolor="#8db3e1" stroked="false">
                <v:path arrowok="t"/>
                <v:fill type="solid"/>
              </v:shape>
            </v:group>
            <v:group style="position:absolute;left:6630;top:662;width:982;height:449" coordorigin="6630,662" coordsize="982,449">
              <v:shape style="position:absolute;left:6630;top:662;width:982;height:449" coordorigin="6630,662" coordsize="982,449" path="m6630,1111l7612,1111,7612,662,6630,662,6630,1111xe" filled="true" fillcolor="#8db3e1" stroked="false">
                <v:path arrowok="t"/>
                <v:fill type="solid"/>
              </v:shape>
            </v:group>
            <v:group style="position:absolute;left:6642;top:1111;width:2;height:745" coordorigin="6642,1111" coordsize="2,745">
              <v:shape style="position:absolute;left:6642;top:1111;width:2;height:745" coordorigin="6642,1111" coordsize="0,745" path="m6642,1111l6642,1855e" filled="false" stroked="true" strokeweight="1.2pt" strokecolor="#8db3e1">
                <v:path arrowok="t"/>
              </v:shape>
            </v:group>
            <v:group style="position:absolute;left:7601;top:1111;width:2;height:745" coordorigin="7601,1111" coordsize="2,745">
              <v:shape style="position:absolute;left:7601;top:1111;width:2;height:745" coordorigin="7601,1111" coordsize="0,745" path="m7601,1111l7601,1855e" filled="false" stroked="true" strokeweight="1.08pt" strokecolor="#8db3e1">
                <v:path arrowok="t"/>
              </v:shape>
            </v:group>
            <v:group style="position:absolute;left:6630;top:1855;width:982;height:449" coordorigin="6630,1855" coordsize="982,449">
              <v:shape style="position:absolute;left:6630;top:1855;width:982;height:449" coordorigin="6630,1855" coordsize="982,449" path="m6630,2304l7612,2304,7612,1855,6630,1855,6630,2304xe" filled="true" fillcolor="#8db3e1" stroked="false">
                <v:path arrowok="t"/>
                <v:fill type="solid"/>
              </v:shape>
            </v:group>
            <v:group style="position:absolute;left:6654;top:1111;width:936;height:392" coordorigin="6654,1111" coordsize="936,392">
              <v:shape style="position:absolute;left:6654;top:1111;width:936;height:392" coordorigin="6654,1111" coordsize="936,392" path="m6654,1502l7590,1502,7590,1111,6654,1111,6654,1502xe" filled="true" fillcolor="#8db3e1" stroked="false">
                <v:path arrowok="t"/>
                <v:fill type="solid"/>
              </v:shape>
            </v:group>
            <v:group style="position:absolute;left:6654;top:1502;width:936;height:354" coordorigin="6654,1502" coordsize="936,354">
              <v:shape style="position:absolute;left:6654;top:1502;width:936;height:354" coordorigin="6654,1502" coordsize="936,354" path="m6654,1855l7590,1855,7590,1502,6654,1502,6654,1855xe" filled="true" fillcolor="#8db3e1" stroked="false">
                <v:path arrowok="t"/>
                <v:fill type="solid"/>
              </v:shape>
            </v:group>
            <v:group style="position:absolute;left:7621;top:662;width:840;height:624" coordorigin="7621,662" coordsize="840,624">
              <v:shape style="position:absolute;left:7621;top:662;width:840;height:624" coordorigin="7621,662" coordsize="840,624" path="m7621,1286l8461,1286,8461,662,7621,662,7621,1286xe" filled="true" fillcolor="#8db3e1" stroked="false">
                <v:path arrowok="t"/>
                <v:fill type="solid"/>
              </v:shape>
            </v:group>
            <v:group style="position:absolute;left:7633;top:1286;width:2;height:395" coordorigin="7633,1286" coordsize="2,395">
              <v:shape style="position:absolute;left:7633;top:1286;width:2;height:395" coordorigin="7633,1286" coordsize="0,395" path="m7633,1286l7633,1680e" filled="false" stroked="true" strokeweight="1.2pt" strokecolor="#8db3e1">
                <v:path arrowok="t"/>
              </v:shape>
            </v:group>
            <v:group style="position:absolute;left:8451;top:1286;width:2;height:395" coordorigin="8451,1286" coordsize="2,395">
              <v:shape style="position:absolute;left:8451;top:1286;width:2;height:395" coordorigin="8451,1286" coordsize="0,395" path="m8451,1286l8451,1680e" filled="false" stroked="true" strokeweight="1.08pt" strokecolor="#8db3e1">
                <v:path arrowok="t"/>
              </v:shape>
            </v:group>
            <v:group style="position:absolute;left:7621;top:1680;width:840;height:624" coordorigin="7621,1680" coordsize="840,624">
              <v:shape style="position:absolute;left:7621;top:1680;width:840;height:624" coordorigin="7621,1680" coordsize="840,624" path="m7621,2304l8461,2304,8461,1680,7621,1680,7621,2304xe" filled="true" fillcolor="#8db3e1" stroked="false">
                <v:path arrowok="t"/>
                <v:fill type="solid"/>
              </v:shape>
            </v:group>
            <v:group style="position:absolute;left:7645;top:1286;width:795;height:395" coordorigin="7645,1286" coordsize="795,395">
              <v:shape style="position:absolute;left:7645;top:1286;width:795;height:395" coordorigin="7645,1286" coordsize="795,395" path="m7645,1680l8440,1680,8440,1286,7645,1286,7645,1680xe" filled="true" fillcolor="#8db3e1" stroked="false">
                <v:path arrowok="t"/>
                <v:fill type="solid"/>
              </v:shape>
            </v:group>
            <v:group style="position:absolute;left:8473;top:662;width:1640;height:312" coordorigin="8473,662" coordsize="1640,312">
              <v:shape style="position:absolute;left:8473;top:662;width:1640;height:312" coordorigin="8473,662" coordsize="1640,312" path="m8473,974l10113,974,10113,662,8473,662,8473,974xe" filled="true" fillcolor="#8db3e1" stroked="false">
                <v:path arrowok="t"/>
                <v:fill type="solid"/>
              </v:shape>
            </v:group>
            <v:group style="position:absolute;left:8484;top:974;width:2;height:1019" coordorigin="8484,974" coordsize="2,1019">
              <v:shape style="position:absolute;left:8484;top:974;width:2;height:1019" coordorigin="8484,974" coordsize="0,1019" path="m8484,974l8484,1992e" filled="false" stroked="true" strokeweight="1.08pt" strokecolor="#8db3e1">
                <v:path arrowok="t"/>
              </v:shape>
            </v:group>
            <v:group style="position:absolute;left:10102;top:974;width:2;height:1019" coordorigin="10102,974" coordsize="2,1019">
              <v:shape style="position:absolute;left:10102;top:974;width:2;height:1019" coordorigin="10102,974" coordsize="0,1019" path="m10102,974l10102,1992e" filled="false" stroked="true" strokeweight="1.08pt" strokecolor="#8db3e1">
                <v:path arrowok="t"/>
              </v:shape>
            </v:group>
            <v:group style="position:absolute;left:8473;top:1992;width:1640;height:312" coordorigin="8473,1992" coordsize="1640,312">
              <v:shape style="position:absolute;left:8473;top:1992;width:1640;height:312" coordorigin="8473,1992" coordsize="1640,312" path="m8473,2304l10113,2304,10113,1992,8473,1992,8473,2304xe" filled="true" fillcolor="#8db3e1" stroked="false">
                <v:path arrowok="t"/>
                <v:fill type="solid"/>
              </v:shape>
            </v:group>
            <v:group style="position:absolute;left:8495;top:974;width:1597;height:353" coordorigin="8495,974" coordsize="1597,353">
              <v:shape style="position:absolute;left:8495;top:974;width:1597;height:353" coordorigin="8495,974" coordsize="1597,353" path="m8495,1327l10091,1327,10091,974,8495,974,8495,1327xe" filled="true" fillcolor="#8db3e1" stroked="false">
                <v:path arrowok="t"/>
                <v:fill type="solid"/>
              </v:shape>
            </v:group>
            <v:group style="position:absolute;left:8495;top:1327;width:1597;height:313" coordorigin="8495,1327" coordsize="1597,313">
              <v:shape style="position:absolute;left:8495;top:1327;width:1597;height:313" coordorigin="8495,1327" coordsize="1597,313" path="m8495,1639l10091,1639,10091,1327,8495,1327,8495,1639xe" filled="true" fillcolor="#8db3e1" stroked="false">
                <v:path arrowok="t"/>
                <v:fill type="solid"/>
              </v:shape>
            </v:group>
            <v:group style="position:absolute;left:8495;top:1639;width:1597;height:353" coordorigin="8495,1639" coordsize="1597,353">
              <v:shape style="position:absolute;left:8495;top:1639;width:1597;height:353" coordorigin="8495,1639" coordsize="1597,353" path="m8495,1992l10091,1992,10091,1639,8495,1639,8495,1992xe" filled="true" fillcolor="#8db3e1" stroked="false">
                <v:path arrowok="t"/>
                <v:fill type="solid"/>
              </v:shape>
            </v:group>
            <v:group style="position:absolute;left:10136;top:662;width:2;height:1643" coordorigin="10136,662" coordsize="2,1643">
              <v:shape style="position:absolute;left:10136;top:662;width:2;height:1643" coordorigin="10136,662" coordsize="0,1643" path="m10136,662l10136,2304e" filled="false" stroked="true" strokeweight="1.08pt" strokecolor="#8db3e1">
                <v:path arrowok="t"/>
              </v:shape>
            </v:group>
            <v:group style="position:absolute;left:10909;top:662;width:2;height:1643" coordorigin="10909,662" coordsize="2,1643">
              <v:shape style="position:absolute;left:10909;top:662;width:2;height:1643" coordorigin="10909,662" coordsize="0,1643" path="m10909,662l10909,2304e" filled="false" stroked="true" strokeweight="1.08pt" strokecolor="#8db3e1">
                <v:path arrowok="t"/>
              </v:shape>
            </v:group>
            <v:group style="position:absolute;left:10147;top:662;width:752;height:353" coordorigin="10147,662" coordsize="752,353">
              <v:shape style="position:absolute;left:10147;top:662;width:752;height:353" coordorigin="10147,662" coordsize="752,353" path="m10147,1015l10898,1015,10898,662,10147,662,10147,1015xe" filled="true" fillcolor="#8db3e1" stroked="false">
                <v:path arrowok="t"/>
                <v:fill type="solid"/>
              </v:shape>
            </v:group>
            <v:group style="position:absolute;left:10147;top:1015;width:752;height:312" coordorigin="10147,1015" coordsize="752,312">
              <v:shape style="position:absolute;left:10147;top:1015;width:752;height:312" coordorigin="10147,1015" coordsize="752,312" path="m10147,1327l10898,1327,10898,1015,10147,1015,10147,1327xe" filled="true" fillcolor="#8db3e1" stroked="false">
                <v:path arrowok="t"/>
                <v:fill type="solid"/>
              </v:shape>
            </v:group>
            <v:group style="position:absolute;left:10147;top:1327;width:752;height:313" coordorigin="10147,1327" coordsize="752,313">
              <v:shape style="position:absolute;left:10147;top:1327;width:752;height:313" coordorigin="10147,1327" coordsize="752,313" path="m10147,1639l10898,1639,10898,1327,10147,1327,10147,1639xe" filled="true" fillcolor="#8db3e1" stroked="false">
                <v:path arrowok="t"/>
                <v:fill type="solid"/>
              </v:shape>
            </v:group>
            <v:group style="position:absolute;left:10147;top:1639;width:752;height:312" coordorigin="10147,1639" coordsize="752,312">
              <v:shape style="position:absolute;left:10147;top:1639;width:752;height:312" coordorigin="10147,1639" coordsize="752,312" path="m10147,1951l10898,1951,10898,1639,10147,1639,10147,1951xe" filled="true" fillcolor="#8db3e1" stroked="false">
                <v:path arrowok="t"/>
                <v:fill type="solid"/>
              </v:shape>
            </v:group>
            <v:group style="position:absolute;left:10147;top:1951;width:752;height:353" coordorigin="10147,1951" coordsize="752,353">
              <v:shape style="position:absolute;left:10147;top:1951;width:752;height:353" coordorigin="10147,1951" coordsize="752,353" path="m10147,2304l10898,2304,10898,1951,10147,1951,10147,2304xe" filled="true" fillcolor="#8db3e1" stroked="false">
                <v:path arrowok="t"/>
                <v:fill type="solid"/>
              </v:shape>
            </v:group>
            <v:group style="position:absolute;left:1099;top:657;width:774;height:2" coordorigin="1099,657" coordsize="774,2">
              <v:shape style="position:absolute;left:1099;top:657;width:774;height:2" coordorigin="1099,657" coordsize="774,0" path="m1099,657l1872,657e" filled="false" stroked="true" strokeweight=".48001pt" strokecolor="#000000">
                <v:path arrowok="t"/>
              </v:shape>
            </v:group>
            <v:group style="position:absolute;left:1882;top:657;width:1030;height:2" coordorigin="1882,657" coordsize="1030,2">
              <v:shape style="position:absolute;left:1882;top:657;width:1030;height:2" coordorigin="1882,657" coordsize="1030,0" path="m1882,657l2912,657e" filled="false" stroked="true" strokeweight=".48001pt" strokecolor="#000000">
                <v:path arrowok="t"/>
              </v:shape>
            </v:group>
            <v:group style="position:absolute;left:2921;top:657;width:512;height:2" coordorigin="2921,657" coordsize="512,2">
              <v:shape style="position:absolute;left:2921;top:657;width:512;height:2" coordorigin="2921,657" coordsize="512,0" path="m2921,657l3432,657e" filled="false" stroked="true" strokeweight=".48001pt" strokecolor="#000000">
                <v:path arrowok="t"/>
              </v:shape>
            </v:group>
            <v:group style="position:absolute;left:3442;top:657;width:510;height:2" coordorigin="3442,657" coordsize="510,2">
              <v:shape style="position:absolute;left:3442;top:657;width:510;height:2" coordorigin="3442,657" coordsize="510,0" path="m3442,657l3951,657e" filled="false" stroked="true" strokeweight=".48001pt" strokecolor="#000000">
                <v:path arrowok="t"/>
              </v:shape>
            </v:group>
            <v:group style="position:absolute;left:3961;top:657;width:816;height:2" coordorigin="3961,657" coordsize="816,2">
              <v:shape style="position:absolute;left:3961;top:657;width:816;height:2" coordorigin="3961,657" coordsize="816,0" path="m3961,657l4777,657e" filled="false" stroked="true" strokeweight=".48001pt" strokecolor="#000000">
                <v:path arrowok="t"/>
              </v:shape>
            </v:group>
            <v:group style="position:absolute;left:4787;top:657;width:843;height:2" coordorigin="4787,657" coordsize="843,2">
              <v:shape style="position:absolute;left:4787;top:657;width:843;height:2" coordorigin="4787,657" coordsize="843,0" path="m4787,657l5629,657e" filled="false" stroked="true" strokeweight=".48001pt" strokecolor="#000000">
                <v:path arrowok="t"/>
              </v:shape>
            </v:group>
            <v:group style="position:absolute;left:5639;top:657;width:983;height:2" coordorigin="5639,657" coordsize="983,2">
              <v:shape style="position:absolute;left:5639;top:657;width:983;height:2" coordorigin="5639,657" coordsize="983,0" path="m5639,657l6621,657e" filled="false" stroked="true" strokeweight=".48001pt" strokecolor="#000000">
                <v:path arrowok="t"/>
              </v:shape>
            </v:group>
            <v:group style="position:absolute;left:6630;top:657;width:984;height:2" coordorigin="6630,657" coordsize="984,2">
              <v:shape style="position:absolute;left:6630;top:657;width:984;height:2" coordorigin="6630,657" coordsize="984,0" path="m6630,657l7614,657e" filled="false" stroked="true" strokeweight=".48001pt" strokecolor="#000000">
                <v:path arrowok="t"/>
              </v:shape>
            </v:group>
            <v:group style="position:absolute;left:7624;top:657;width:840;height:2" coordorigin="7624,657" coordsize="840,2">
              <v:shape style="position:absolute;left:7624;top:657;width:840;height:2" coordorigin="7624,657" coordsize="840,0" path="m7624,657l8464,657e" filled="false" stroked="true" strokeweight=".48001pt" strokecolor="#000000">
                <v:path arrowok="t"/>
              </v:shape>
            </v:group>
            <v:group style="position:absolute;left:8473;top:657;width:1643;height:2" coordorigin="8473,657" coordsize="1643,2">
              <v:shape style="position:absolute;left:8473;top:657;width:1643;height:2" coordorigin="8473,657" coordsize="1643,0" path="m8473,657l10115,657e" filled="false" stroked="true" strokeweight=".48001pt" strokecolor="#000000">
                <v:path arrowok="t"/>
              </v:shape>
            </v:group>
            <v:group style="position:absolute;left:10125;top:657;width:797;height:2" coordorigin="10125,657" coordsize="797,2">
              <v:shape style="position:absolute;left:10125;top:657;width:797;height:2" coordorigin="10125,657" coordsize="797,0" path="m10125,657l10922,657e" filled="false" stroked="true" strokeweight=".48001pt" strokecolor="#000000">
                <v:path arrowok="t"/>
              </v:shape>
            </v:group>
            <v:group style="position:absolute;left:1099;top:2314;width:771;height:156" coordorigin="1099,2314" coordsize="771,156">
              <v:shape style="position:absolute;left:1099;top:2314;width:771;height:156" coordorigin="1099,2314" coordsize="771,156" path="m1099,2470l1870,2470,1870,2314,1099,2314,1099,2470xe" filled="true" fillcolor="#8db3e1" stroked="false">
                <v:path arrowok="t"/>
                <v:fill type="solid"/>
              </v:shape>
            </v:group>
            <v:group style="position:absolute;left:1111;top:2470;width:2;height:392" coordorigin="1111,2470" coordsize="2,392">
              <v:shape style="position:absolute;left:1111;top:2470;width:2;height:392" coordorigin="1111,2470" coordsize="0,392" path="m1111,2470l1111,2861e" filled="false" stroked="true" strokeweight="1.2pt" strokecolor="#8db3e1">
                <v:path arrowok="t"/>
              </v:shape>
            </v:group>
            <v:group style="position:absolute;left:1859;top:2470;width:2;height:392" coordorigin="1859,2470" coordsize="2,392">
              <v:shape style="position:absolute;left:1859;top:2470;width:2;height:392" coordorigin="1859,2470" coordsize="0,392" path="m1859,2470l1859,2861e" filled="false" stroked="true" strokeweight="1.08pt" strokecolor="#8db3e1">
                <v:path arrowok="t"/>
              </v:shape>
            </v:group>
            <v:group style="position:absolute;left:1099;top:2861;width:771;height:156" coordorigin="1099,2861" coordsize="771,156">
              <v:shape style="position:absolute;left:1099;top:2861;width:771;height:156" coordorigin="1099,2861" coordsize="771,156" path="m1099,3017l1870,3017,1870,2861,1099,2861,1099,3017xe" filled="true" fillcolor="#8db3e1" stroked="false">
                <v:path arrowok="t"/>
                <v:fill type="solid"/>
              </v:shape>
            </v:group>
            <v:group style="position:absolute;left:1123;top:2470;width:726;height:392" coordorigin="1123,2470" coordsize="726,392">
              <v:shape style="position:absolute;left:1123;top:2470;width:726;height:392" coordorigin="1123,2470" coordsize="726,392" path="m1123,2861l1848,2861,1848,2470,1123,2470,1123,2861xe" filled="true" fillcolor="#8db3e1" stroked="false">
                <v:path arrowok="t"/>
                <v:fill type="solid"/>
              </v:shape>
            </v:group>
            <v:group style="position:absolute;left:1099;top:2309;width:774;height:2" coordorigin="1099,2309" coordsize="774,2">
              <v:shape style="position:absolute;left:1099;top:2309;width:774;height:2" coordorigin="1099,2309" coordsize="774,0" path="m1099,2309l1872,2309e" filled="false" stroked="true" strokeweight=".47998pt" strokecolor="#000000">
                <v:path arrowok="t"/>
              </v:shape>
            </v:group>
            <v:group style="position:absolute;left:1882;top:2309;width:1030;height:2" coordorigin="1882,2309" coordsize="1030,2">
              <v:shape style="position:absolute;left:1882;top:2309;width:1030;height:2" coordorigin="1882,2309" coordsize="1030,0" path="m1882,2309l2912,2309e" filled="false" stroked="true" strokeweight=".47998pt" strokecolor="#000000">
                <v:path arrowok="t"/>
              </v:shape>
            </v:group>
            <v:group style="position:absolute;left:2921;top:2309;width:512;height:2" coordorigin="2921,2309" coordsize="512,2">
              <v:shape style="position:absolute;left:2921;top:2309;width:512;height:2" coordorigin="2921,2309" coordsize="512,0" path="m2921,2309l3432,2309e" filled="false" stroked="true" strokeweight=".47998pt" strokecolor="#000000">
                <v:path arrowok="t"/>
              </v:shape>
            </v:group>
            <v:group style="position:absolute;left:3442;top:2309;width:510;height:2" coordorigin="3442,2309" coordsize="510,2">
              <v:shape style="position:absolute;left:3442;top:2309;width:510;height:2" coordorigin="3442,2309" coordsize="510,0" path="m3442,2309l3951,2309e" filled="false" stroked="true" strokeweight=".47998pt" strokecolor="#000000">
                <v:path arrowok="t"/>
              </v:shape>
            </v:group>
            <v:group style="position:absolute;left:3961;top:2309;width:816;height:2" coordorigin="3961,2309" coordsize="816,2">
              <v:shape style="position:absolute;left:3961;top:2309;width:816;height:2" coordorigin="3961,2309" coordsize="816,0" path="m3961,2309l4777,2309e" filled="false" stroked="true" strokeweight=".47998pt" strokecolor="#000000">
                <v:path arrowok="t"/>
              </v:shape>
            </v:group>
            <v:group style="position:absolute;left:4787;top:2309;width:843;height:2" coordorigin="4787,2309" coordsize="843,2">
              <v:shape style="position:absolute;left:4787;top:2309;width:843;height:2" coordorigin="4787,2309" coordsize="843,0" path="m4787,2309l5629,2309e" filled="false" stroked="true" strokeweight=".47998pt" strokecolor="#000000">
                <v:path arrowok="t"/>
              </v:shape>
            </v:group>
            <v:group style="position:absolute;left:5639;top:2309;width:983;height:2" coordorigin="5639,2309" coordsize="983,2">
              <v:shape style="position:absolute;left:5639;top:2309;width:983;height:2" coordorigin="5639,2309" coordsize="983,0" path="m5639,2309l6621,2309e" filled="false" stroked="true" strokeweight=".47998pt" strokecolor="#000000">
                <v:path arrowok="t"/>
              </v:shape>
            </v:group>
            <v:group style="position:absolute;left:6630;top:2309;width:984;height:2" coordorigin="6630,2309" coordsize="984,2">
              <v:shape style="position:absolute;left:6630;top:2309;width:984;height:2" coordorigin="6630,2309" coordsize="984,0" path="m6630,2309l7614,2309e" filled="false" stroked="true" strokeweight=".47998pt" strokecolor="#000000">
                <v:path arrowok="t"/>
              </v:shape>
            </v:group>
            <v:group style="position:absolute;left:7624;top:2309;width:840;height:2" coordorigin="7624,2309" coordsize="840,2">
              <v:shape style="position:absolute;left:7624;top:2309;width:840;height:2" coordorigin="7624,2309" coordsize="840,0" path="m7624,2309l8464,2309e" filled="false" stroked="true" strokeweight=".47998pt" strokecolor="#000000">
                <v:path arrowok="t"/>
              </v:shape>
            </v:group>
            <v:group style="position:absolute;left:8473;top:2309;width:1643;height:2" coordorigin="8473,2309" coordsize="1643,2">
              <v:shape style="position:absolute;left:8473;top:2309;width:1643;height:2" coordorigin="8473,2309" coordsize="1643,0" path="m8473,2309l10115,2309e" filled="false" stroked="true" strokeweight=".47998pt" strokecolor="#000000">
                <v:path arrowok="t"/>
              </v:shape>
            </v:group>
            <v:group style="position:absolute;left:10125;top:2309;width:797;height:2" coordorigin="10125,2309" coordsize="797,2">
              <v:shape style="position:absolute;left:10125;top:2309;width:797;height:2" coordorigin="10125,2309" coordsize="797,0" path="m10125,2309l10922,2309e" filled="false" stroked="true" strokeweight=".47998pt" strokecolor="#000000">
                <v:path arrowok="t"/>
              </v:shape>
            </v:group>
            <v:group style="position:absolute;left:1099;top:3027;width:771;height:156" coordorigin="1099,3027" coordsize="771,156">
              <v:shape style="position:absolute;left:1099;top:3027;width:771;height:156" coordorigin="1099,3027" coordsize="771,156" path="m1099,3183l1870,3183,1870,3027,1099,3027,1099,3183xe" filled="true" fillcolor="#8db3e1" stroked="false">
                <v:path arrowok="t"/>
                <v:fill type="solid"/>
              </v:shape>
            </v:group>
            <v:group style="position:absolute;left:1111;top:3183;width:2;height:394" coordorigin="1111,3183" coordsize="2,394">
              <v:shape style="position:absolute;left:1111;top:3183;width:2;height:394" coordorigin="1111,3183" coordsize="0,394" path="m1111,3183l1111,3576e" filled="false" stroked="true" strokeweight="1.2pt" strokecolor="#8db3e1">
                <v:path arrowok="t"/>
              </v:shape>
            </v:group>
            <v:group style="position:absolute;left:1859;top:3183;width:2;height:394" coordorigin="1859,3183" coordsize="2,394">
              <v:shape style="position:absolute;left:1859;top:3183;width:2;height:394" coordorigin="1859,3183" coordsize="0,394" path="m1859,3183l1859,3576e" filled="false" stroked="true" strokeweight="1.08pt" strokecolor="#8db3e1">
                <v:path arrowok="t"/>
              </v:shape>
            </v:group>
            <v:group style="position:absolute;left:1099;top:3576;width:771;height:156" coordorigin="1099,3576" coordsize="771,156">
              <v:shape style="position:absolute;left:1099;top:3576;width:771;height:156" coordorigin="1099,3576" coordsize="771,156" path="m1099,3732l1870,3732,1870,3576,1099,3576,1099,3732xe" filled="true" fillcolor="#8db3e1" stroked="false">
                <v:path arrowok="t"/>
                <v:fill type="solid"/>
              </v:shape>
            </v:group>
            <v:group style="position:absolute;left:1123;top:3183;width:726;height:394" coordorigin="1123,3183" coordsize="726,394">
              <v:shape style="position:absolute;left:1123;top:3183;width:726;height:394" coordorigin="1123,3183" coordsize="726,394" path="m1123,3576l1848,3576,1848,3183,1123,3183,1123,3576xe" filled="true" fillcolor="#8db3e1" stroked="false">
                <v:path arrowok="t"/>
                <v:fill type="solid"/>
              </v:shape>
            </v:group>
            <v:group style="position:absolute;left:1099;top:3022;width:774;height:2" coordorigin="1099,3022" coordsize="774,2">
              <v:shape style="position:absolute;left:1099;top:3022;width:774;height:2" coordorigin="1099,3022" coordsize="774,0" path="m1099,3022l1872,3022e" filled="false" stroked="true" strokeweight=".48001pt" strokecolor="#000000">
                <v:path arrowok="t"/>
              </v:shape>
            </v:group>
            <v:group style="position:absolute;left:1882;top:3022;width:1030;height:2" coordorigin="1882,3022" coordsize="1030,2">
              <v:shape style="position:absolute;left:1882;top:3022;width:1030;height:2" coordorigin="1882,3022" coordsize="1030,0" path="m1882,3022l2912,3022e" filled="false" stroked="true" strokeweight=".48001pt" strokecolor="#000000">
                <v:path arrowok="t"/>
              </v:shape>
            </v:group>
            <v:group style="position:absolute;left:2921;top:3022;width:512;height:2" coordorigin="2921,3022" coordsize="512,2">
              <v:shape style="position:absolute;left:2921;top:3022;width:512;height:2" coordorigin="2921,3022" coordsize="512,0" path="m2921,3022l3432,3022e" filled="false" stroked="true" strokeweight=".48001pt" strokecolor="#000000">
                <v:path arrowok="t"/>
              </v:shape>
            </v:group>
            <v:group style="position:absolute;left:3442;top:3022;width:510;height:2" coordorigin="3442,3022" coordsize="510,2">
              <v:shape style="position:absolute;left:3442;top:3022;width:510;height:2" coordorigin="3442,3022" coordsize="510,0" path="m3442,3022l3951,3022e" filled="false" stroked="true" strokeweight=".48001pt" strokecolor="#000000">
                <v:path arrowok="t"/>
              </v:shape>
            </v:group>
            <v:group style="position:absolute;left:3961;top:3022;width:816;height:2" coordorigin="3961,3022" coordsize="816,2">
              <v:shape style="position:absolute;left:3961;top:3022;width:816;height:2" coordorigin="3961,3022" coordsize="816,0" path="m3961,3022l4777,3022e" filled="false" stroked="true" strokeweight=".48001pt" strokecolor="#000000">
                <v:path arrowok="t"/>
              </v:shape>
            </v:group>
            <v:group style="position:absolute;left:4787;top:3022;width:843;height:2" coordorigin="4787,3022" coordsize="843,2">
              <v:shape style="position:absolute;left:4787;top:3022;width:843;height:2" coordorigin="4787,3022" coordsize="843,0" path="m4787,3022l5629,3022e" filled="false" stroked="true" strokeweight=".48001pt" strokecolor="#000000">
                <v:path arrowok="t"/>
              </v:shape>
            </v:group>
            <v:group style="position:absolute;left:5639;top:3022;width:983;height:2" coordorigin="5639,3022" coordsize="983,2">
              <v:shape style="position:absolute;left:5639;top:3022;width:983;height:2" coordorigin="5639,3022" coordsize="983,0" path="m5639,3022l6621,3022e" filled="false" stroked="true" strokeweight=".48001pt" strokecolor="#000000">
                <v:path arrowok="t"/>
              </v:shape>
            </v:group>
            <v:group style="position:absolute;left:6630;top:3022;width:984;height:2" coordorigin="6630,3022" coordsize="984,2">
              <v:shape style="position:absolute;left:6630;top:3022;width:984;height:2" coordorigin="6630,3022" coordsize="984,0" path="m6630,3022l7614,3022e" filled="false" stroked="true" strokeweight=".48001pt" strokecolor="#000000">
                <v:path arrowok="t"/>
              </v:shape>
            </v:group>
            <v:group style="position:absolute;left:7624;top:3022;width:840;height:2" coordorigin="7624,3022" coordsize="840,2">
              <v:shape style="position:absolute;left:7624;top:3022;width:840;height:2" coordorigin="7624,3022" coordsize="840,0" path="m7624,3022l8464,3022e" filled="false" stroked="true" strokeweight=".48001pt" strokecolor="#000000">
                <v:path arrowok="t"/>
              </v:shape>
            </v:group>
            <v:group style="position:absolute;left:8473;top:3022;width:1643;height:2" coordorigin="8473,3022" coordsize="1643,2">
              <v:shape style="position:absolute;left:8473;top:3022;width:1643;height:2" coordorigin="8473,3022" coordsize="1643,0" path="m8473,3022l10115,3022e" filled="false" stroked="true" strokeweight=".48001pt" strokecolor="#000000">
                <v:path arrowok="t"/>
              </v:shape>
            </v:group>
            <v:group style="position:absolute;left:10125;top:3022;width:797;height:2" coordorigin="10125,3022" coordsize="797,2">
              <v:shape style="position:absolute;left:10125;top:3022;width:797;height:2" coordorigin="10125,3022" coordsize="797,0" path="m10125,3022l10922,3022e" filled="false" stroked="true" strokeweight=".48001pt" strokecolor="#000000">
                <v:path arrowok="t"/>
              </v:shape>
            </v:group>
            <v:group style="position:absolute;left:1099;top:3742;width:771;height:156" coordorigin="1099,3742" coordsize="771,156">
              <v:shape style="position:absolute;left:1099;top:3742;width:771;height:156" coordorigin="1099,3742" coordsize="771,156" path="m1099,3898l1870,3898,1870,3742,1099,3742,1099,3898xe" filled="true" fillcolor="#8db3e1" stroked="false">
                <v:path arrowok="t"/>
                <v:fill type="solid"/>
              </v:shape>
            </v:group>
            <v:group style="position:absolute;left:1111;top:3898;width:2;height:392" coordorigin="1111,3898" coordsize="2,392">
              <v:shape style="position:absolute;left:1111;top:3898;width:2;height:392" coordorigin="1111,3898" coordsize="0,392" path="m1111,3898l1111,4289e" filled="false" stroked="true" strokeweight="1.2pt" strokecolor="#8db3e1">
                <v:path arrowok="t"/>
              </v:shape>
            </v:group>
            <v:group style="position:absolute;left:1859;top:3898;width:2;height:392" coordorigin="1859,3898" coordsize="2,392">
              <v:shape style="position:absolute;left:1859;top:3898;width:2;height:392" coordorigin="1859,3898" coordsize="0,392" path="m1859,3898l1859,4289e" filled="false" stroked="true" strokeweight="1.08pt" strokecolor="#8db3e1">
                <v:path arrowok="t"/>
              </v:shape>
            </v:group>
            <v:group style="position:absolute;left:1099;top:4289;width:771;height:156" coordorigin="1099,4289" coordsize="771,156">
              <v:shape style="position:absolute;left:1099;top:4289;width:771;height:156" coordorigin="1099,4289" coordsize="771,156" path="m1099,4445l1870,4445,1870,4289,1099,4289,1099,4445xe" filled="true" fillcolor="#8db3e1" stroked="false">
                <v:path arrowok="t"/>
                <v:fill type="solid"/>
              </v:shape>
            </v:group>
            <v:group style="position:absolute;left:1123;top:3898;width:726;height:392" coordorigin="1123,3898" coordsize="726,392">
              <v:shape style="position:absolute;left:1123;top:3898;width:726;height:392" coordorigin="1123,3898" coordsize="726,392" path="m1123,4289l1848,4289,1848,3898,1123,3898,1123,4289xe" filled="true" fillcolor="#8db3e1" stroked="false">
                <v:path arrowok="t"/>
                <v:fill type="solid"/>
              </v:shape>
            </v:group>
            <v:group style="position:absolute;left:1099;top:3737;width:774;height:2" coordorigin="1099,3737" coordsize="774,2">
              <v:shape style="position:absolute;left:1099;top:3737;width:774;height:2" coordorigin="1099,3737" coordsize="774,0" path="m1099,3737l1872,3737e" filled="false" stroked="true" strokeweight=".48001pt" strokecolor="#000000">
                <v:path arrowok="t"/>
              </v:shape>
            </v:group>
            <v:group style="position:absolute;left:1882;top:3737;width:1030;height:2" coordorigin="1882,3737" coordsize="1030,2">
              <v:shape style="position:absolute;left:1882;top:3737;width:1030;height:2" coordorigin="1882,3737" coordsize="1030,0" path="m1882,3737l2912,3737e" filled="false" stroked="true" strokeweight=".48001pt" strokecolor="#000000">
                <v:path arrowok="t"/>
              </v:shape>
            </v:group>
            <v:group style="position:absolute;left:2921;top:3737;width:512;height:2" coordorigin="2921,3737" coordsize="512,2">
              <v:shape style="position:absolute;left:2921;top:3737;width:512;height:2" coordorigin="2921,3737" coordsize="512,0" path="m2921,3737l3432,3737e" filled="false" stroked="true" strokeweight=".48001pt" strokecolor="#000000">
                <v:path arrowok="t"/>
              </v:shape>
            </v:group>
            <v:group style="position:absolute;left:3442;top:3737;width:510;height:2" coordorigin="3442,3737" coordsize="510,2">
              <v:shape style="position:absolute;left:3442;top:3737;width:510;height:2" coordorigin="3442,3737" coordsize="510,0" path="m3442,3737l3951,3737e" filled="false" stroked="true" strokeweight=".48001pt" strokecolor="#000000">
                <v:path arrowok="t"/>
              </v:shape>
            </v:group>
            <v:group style="position:absolute;left:3961;top:3737;width:816;height:2" coordorigin="3961,3737" coordsize="816,2">
              <v:shape style="position:absolute;left:3961;top:3737;width:816;height:2" coordorigin="3961,3737" coordsize="816,0" path="m3961,3737l4777,3737e" filled="false" stroked="true" strokeweight=".48001pt" strokecolor="#000000">
                <v:path arrowok="t"/>
              </v:shape>
            </v:group>
            <v:group style="position:absolute;left:4787;top:3737;width:843;height:2" coordorigin="4787,3737" coordsize="843,2">
              <v:shape style="position:absolute;left:4787;top:3737;width:843;height:2" coordorigin="4787,3737" coordsize="843,0" path="m4787,3737l5629,3737e" filled="false" stroked="true" strokeweight=".48001pt" strokecolor="#000000">
                <v:path arrowok="t"/>
              </v:shape>
            </v:group>
            <v:group style="position:absolute;left:5639;top:3737;width:983;height:2" coordorigin="5639,3737" coordsize="983,2">
              <v:shape style="position:absolute;left:5639;top:3737;width:983;height:2" coordorigin="5639,3737" coordsize="983,0" path="m5639,3737l6621,3737e" filled="false" stroked="true" strokeweight=".48001pt" strokecolor="#000000">
                <v:path arrowok="t"/>
              </v:shape>
            </v:group>
            <v:group style="position:absolute;left:6630;top:3737;width:984;height:2" coordorigin="6630,3737" coordsize="984,2">
              <v:shape style="position:absolute;left:6630;top:3737;width:984;height:2" coordorigin="6630,3737" coordsize="984,0" path="m6630,3737l7614,3737e" filled="false" stroked="true" strokeweight=".48001pt" strokecolor="#000000">
                <v:path arrowok="t"/>
              </v:shape>
            </v:group>
            <v:group style="position:absolute;left:7624;top:3737;width:840;height:2" coordorigin="7624,3737" coordsize="840,2">
              <v:shape style="position:absolute;left:7624;top:3737;width:840;height:2" coordorigin="7624,3737" coordsize="840,0" path="m7624,3737l8464,3737e" filled="false" stroked="true" strokeweight=".48001pt" strokecolor="#000000">
                <v:path arrowok="t"/>
              </v:shape>
            </v:group>
            <v:group style="position:absolute;left:8473;top:3737;width:1643;height:2" coordorigin="8473,3737" coordsize="1643,2">
              <v:shape style="position:absolute;left:8473;top:3737;width:1643;height:2" coordorigin="8473,3737" coordsize="1643,0" path="m8473,3737l10115,3737e" filled="false" stroked="true" strokeweight=".48001pt" strokecolor="#000000">
                <v:path arrowok="t"/>
              </v:shape>
            </v:group>
            <v:group style="position:absolute;left:10125;top:3737;width:797;height:2" coordorigin="10125,3737" coordsize="797,2">
              <v:shape style="position:absolute;left:10125;top:3737;width:797;height:2" coordorigin="10125,3737" coordsize="797,0" path="m10125,3737l10922,3737e" filled="false" stroked="true" strokeweight=".48001pt" strokecolor="#000000">
                <v:path arrowok="t"/>
              </v:shape>
            </v:group>
            <v:group style="position:absolute;left:1099;top:4455;width:771;height:156" coordorigin="1099,4455" coordsize="771,156">
              <v:shape style="position:absolute;left:1099;top:4455;width:771;height:156" coordorigin="1099,4455" coordsize="771,156" path="m1099,4611l1870,4611,1870,4455,1099,4455,1099,4611xe" filled="true" fillcolor="#8db3e1" stroked="false">
                <v:path arrowok="t"/>
                <v:fill type="solid"/>
              </v:shape>
            </v:group>
            <v:group style="position:absolute;left:1111;top:4610;width:2;height:395" coordorigin="1111,4610" coordsize="2,395">
              <v:shape style="position:absolute;left:1111;top:4610;width:2;height:395" coordorigin="1111,4610" coordsize="0,395" path="m1111,4610l1111,5005e" filled="false" stroked="true" strokeweight="1.2pt" strokecolor="#8db3e1">
                <v:path arrowok="t"/>
              </v:shape>
            </v:group>
            <v:group style="position:absolute;left:1859;top:4610;width:2;height:395" coordorigin="1859,4610" coordsize="2,395">
              <v:shape style="position:absolute;left:1859;top:4610;width:2;height:395" coordorigin="1859,4610" coordsize="0,395" path="m1859,4610l1859,5005e" filled="false" stroked="true" strokeweight="1.08pt" strokecolor="#8db3e1">
                <v:path arrowok="t"/>
              </v:shape>
            </v:group>
            <v:group style="position:absolute;left:1099;top:5005;width:771;height:156" coordorigin="1099,5005" coordsize="771,156">
              <v:shape style="position:absolute;left:1099;top:5005;width:771;height:156" coordorigin="1099,5005" coordsize="771,156" path="m1099,5161l1870,5161,1870,5005,1099,5005,1099,5161xe" filled="true" fillcolor="#8db3e1" stroked="false">
                <v:path arrowok="t"/>
                <v:fill type="solid"/>
              </v:shape>
            </v:group>
            <v:group style="position:absolute;left:1123;top:4610;width:726;height:395" coordorigin="1123,4610" coordsize="726,395">
              <v:shape style="position:absolute;left:1123;top:4610;width:726;height:395" coordorigin="1123,4610" coordsize="726,395" path="m1123,5005l1848,5005,1848,4610,1123,4610,1123,5005xe" filled="true" fillcolor="#8db3e1" stroked="false">
                <v:path arrowok="t"/>
                <v:fill type="solid"/>
              </v:shape>
            </v:group>
            <v:group style="position:absolute;left:1099;top:4450;width:774;height:2" coordorigin="1099,4450" coordsize="774,2">
              <v:shape style="position:absolute;left:1099;top:4450;width:774;height:2" coordorigin="1099,4450" coordsize="774,0" path="m1099,4450l1872,4450e" filled="false" stroked="true" strokeweight=".48001pt" strokecolor="#000000">
                <v:path arrowok="t"/>
              </v:shape>
            </v:group>
            <v:group style="position:absolute;left:1882;top:4450;width:1030;height:2" coordorigin="1882,4450" coordsize="1030,2">
              <v:shape style="position:absolute;left:1882;top:4450;width:1030;height:2" coordorigin="1882,4450" coordsize="1030,0" path="m1882,4450l2912,4450e" filled="false" stroked="true" strokeweight=".48001pt" strokecolor="#000000">
                <v:path arrowok="t"/>
              </v:shape>
            </v:group>
            <v:group style="position:absolute;left:2921;top:4450;width:512;height:2" coordorigin="2921,4450" coordsize="512,2">
              <v:shape style="position:absolute;left:2921;top:4450;width:512;height:2" coordorigin="2921,4450" coordsize="512,0" path="m2921,4450l3432,4450e" filled="false" stroked="true" strokeweight=".48001pt" strokecolor="#000000">
                <v:path arrowok="t"/>
              </v:shape>
            </v:group>
            <v:group style="position:absolute;left:3442;top:4450;width:510;height:2" coordorigin="3442,4450" coordsize="510,2">
              <v:shape style="position:absolute;left:3442;top:4450;width:510;height:2" coordorigin="3442,4450" coordsize="510,0" path="m3442,4450l3951,4450e" filled="false" stroked="true" strokeweight=".48001pt" strokecolor="#000000">
                <v:path arrowok="t"/>
              </v:shape>
            </v:group>
            <v:group style="position:absolute;left:3961;top:4450;width:816;height:2" coordorigin="3961,4450" coordsize="816,2">
              <v:shape style="position:absolute;left:3961;top:4450;width:816;height:2" coordorigin="3961,4450" coordsize="816,0" path="m3961,4450l4777,4450e" filled="false" stroked="true" strokeweight=".48001pt" strokecolor="#000000">
                <v:path arrowok="t"/>
              </v:shape>
            </v:group>
            <v:group style="position:absolute;left:4787;top:4450;width:843;height:2" coordorigin="4787,4450" coordsize="843,2">
              <v:shape style="position:absolute;left:4787;top:4450;width:843;height:2" coordorigin="4787,4450" coordsize="843,0" path="m4787,4450l5629,4450e" filled="false" stroked="true" strokeweight=".48001pt" strokecolor="#000000">
                <v:path arrowok="t"/>
              </v:shape>
            </v:group>
            <v:group style="position:absolute;left:5639;top:4450;width:983;height:2" coordorigin="5639,4450" coordsize="983,2">
              <v:shape style="position:absolute;left:5639;top:4450;width:983;height:2" coordorigin="5639,4450" coordsize="983,0" path="m5639,4450l6621,4450e" filled="false" stroked="true" strokeweight=".48001pt" strokecolor="#000000">
                <v:path arrowok="t"/>
              </v:shape>
            </v:group>
            <v:group style="position:absolute;left:6630;top:4450;width:984;height:2" coordorigin="6630,4450" coordsize="984,2">
              <v:shape style="position:absolute;left:6630;top:4450;width:984;height:2" coordorigin="6630,4450" coordsize="984,0" path="m6630,4450l7614,4450e" filled="false" stroked="true" strokeweight=".48001pt" strokecolor="#000000">
                <v:path arrowok="t"/>
              </v:shape>
            </v:group>
            <v:group style="position:absolute;left:7624;top:4450;width:840;height:2" coordorigin="7624,4450" coordsize="840,2">
              <v:shape style="position:absolute;left:7624;top:4450;width:840;height:2" coordorigin="7624,4450" coordsize="840,0" path="m7624,4450l8464,4450e" filled="false" stroked="true" strokeweight=".48001pt" strokecolor="#000000">
                <v:path arrowok="t"/>
              </v:shape>
            </v:group>
            <v:group style="position:absolute;left:8473;top:4450;width:1643;height:2" coordorigin="8473,4450" coordsize="1643,2">
              <v:shape style="position:absolute;left:8473;top:4450;width:1643;height:2" coordorigin="8473,4450" coordsize="1643,0" path="m8473,4450l10115,4450e" filled="false" stroked="true" strokeweight=".48001pt" strokecolor="#000000">
                <v:path arrowok="t"/>
              </v:shape>
            </v:group>
            <v:group style="position:absolute;left:10125;top:4450;width:797;height:2" coordorigin="10125,4450" coordsize="797,2">
              <v:shape style="position:absolute;left:10125;top:4450;width:797;height:2" coordorigin="10125,4450" coordsize="797,0" path="m10125,4450l10922,4450e" filled="false" stroked="true" strokeweight=".48001pt" strokecolor="#000000">
                <v:path arrowok="t"/>
              </v:shape>
            </v:group>
            <v:group style="position:absolute;left:1099;top:5170;width:771;height:156" coordorigin="1099,5170" coordsize="771,156">
              <v:shape style="position:absolute;left:1099;top:5170;width:771;height:156" coordorigin="1099,5170" coordsize="771,156" path="m1099,5326l1870,5326,1870,5170,1099,5170,1099,5326xe" filled="true" fillcolor="#8db3e1" stroked="false">
                <v:path arrowok="t"/>
                <v:fill type="solid"/>
              </v:shape>
            </v:group>
            <v:group style="position:absolute;left:1111;top:5326;width:2;height:392" coordorigin="1111,5326" coordsize="2,392">
              <v:shape style="position:absolute;left:1111;top:5326;width:2;height:392" coordorigin="1111,5326" coordsize="0,392" path="m1111,5326l1111,5717e" filled="false" stroked="true" strokeweight="1.2pt" strokecolor="#8db3e1">
                <v:path arrowok="t"/>
              </v:shape>
            </v:group>
            <v:group style="position:absolute;left:1859;top:5326;width:2;height:392" coordorigin="1859,5326" coordsize="2,392">
              <v:shape style="position:absolute;left:1859;top:5326;width:2;height:392" coordorigin="1859,5326" coordsize="0,392" path="m1859,5326l1859,5717e" filled="false" stroked="true" strokeweight="1.08pt" strokecolor="#8db3e1">
                <v:path arrowok="t"/>
              </v:shape>
            </v:group>
            <v:group style="position:absolute;left:1099;top:5717;width:771;height:156" coordorigin="1099,5717" coordsize="771,156">
              <v:shape style="position:absolute;left:1099;top:5717;width:771;height:156" coordorigin="1099,5717" coordsize="771,156" path="m1099,5873l1870,5873,1870,5717,1099,5717,1099,5873xe" filled="true" fillcolor="#8db3e1" stroked="false">
                <v:path arrowok="t"/>
                <v:fill type="solid"/>
              </v:shape>
            </v:group>
            <v:group style="position:absolute;left:1123;top:5326;width:726;height:392" coordorigin="1123,5326" coordsize="726,392">
              <v:shape style="position:absolute;left:1123;top:5326;width:726;height:392" coordorigin="1123,5326" coordsize="726,392" path="m1123,5717l1848,5717,1848,5326,1123,5326,1123,5717xe" filled="true" fillcolor="#8db3e1" stroked="false">
                <v:path arrowok="t"/>
                <v:fill type="solid"/>
              </v:shape>
            </v:group>
            <v:group style="position:absolute;left:1099;top:5165;width:774;height:2" coordorigin="1099,5165" coordsize="774,2">
              <v:shape style="position:absolute;left:1099;top:5165;width:774;height:2" coordorigin="1099,5165" coordsize="774,0" path="m1099,5165l1872,5165e" filled="false" stroked="true" strokeweight=".47998pt" strokecolor="#000000">
                <v:path arrowok="t"/>
              </v:shape>
            </v:group>
            <v:group style="position:absolute;left:1882;top:5165;width:1030;height:2" coordorigin="1882,5165" coordsize="1030,2">
              <v:shape style="position:absolute;left:1882;top:5165;width:1030;height:2" coordorigin="1882,5165" coordsize="1030,0" path="m1882,5165l2912,5165e" filled="false" stroked="true" strokeweight=".47998pt" strokecolor="#000000">
                <v:path arrowok="t"/>
              </v:shape>
            </v:group>
            <v:group style="position:absolute;left:2921;top:5165;width:512;height:2" coordorigin="2921,5165" coordsize="512,2">
              <v:shape style="position:absolute;left:2921;top:5165;width:512;height:2" coordorigin="2921,5165" coordsize="512,0" path="m2921,5165l3432,5165e" filled="false" stroked="true" strokeweight=".47998pt" strokecolor="#000000">
                <v:path arrowok="t"/>
              </v:shape>
            </v:group>
            <v:group style="position:absolute;left:3442;top:5165;width:510;height:2" coordorigin="3442,5165" coordsize="510,2">
              <v:shape style="position:absolute;left:3442;top:5165;width:510;height:2" coordorigin="3442,5165" coordsize="510,0" path="m3442,5165l3951,5165e" filled="false" stroked="true" strokeweight=".47998pt" strokecolor="#000000">
                <v:path arrowok="t"/>
              </v:shape>
            </v:group>
            <v:group style="position:absolute;left:3961;top:5165;width:816;height:2" coordorigin="3961,5165" coordsize="816,2">
              <v:shape style="position:absolute;left:3961;top:5165;width:816;height:2" coordorigin="3961,5165" coordsize="816,0" path="m3961,5165l4777,5165e" filled="false" stroked="true" strokeweight=".47998pt" strokecolor="#000000">
                <v:path arrowok="t"/>
              </v:shape>
            </v:group>
            <v:group style="position:absolute;left:4787;top:5165;width:843;height:2" coordorigin="4787,5165" coordsize="843,2">
              <v:shape style="position:absolute;left:4787;top:5165;width:843;height:2" coordorigin="4787,5165" coordsize="843,0" path="m4787,5165l5629,5165e" filled="false" stroked="true" strokeweight=".47998pt" strokecolor="#000000">
                <v:path arrowok="t"/>
              </v:shape>
            </v:group>
            <v:group style="position:absolute;left:5639;top:5165;width:983;height:2" coordorigin="5639,5165" coordsize="983,2">
              <v:shape style="position:absolute;left:5639;top:5165;width:983;height:2" coordorigin="5639,5165" coordsize="983,0" path="m5639,5165l6621,5165e" filled="false" stroked="true" strokeweight=".47998pt" strokecolor="#000000">
                <v:path arrowok="t"/>
              </v:shape>
            </v:group>
            <v:group style="position:absolute;left:6630;top:5165;width:984;height:2" coordorigin="6630,5165" coordsize="984,2">
              <v:shape style="position:absolute;left:6630;top:5165;width:984;height:2" coordorigin="6630,5165" coordsize="984,0" path="m6630,5165l7614,5165e" filled="false" stroked="true" strokeweight=".47998pt" strokecolor="#000000">
                <v:path arrowok="t"/>
              </v:shape>
            </v:group>
            <v:group style="position:absolute;left:7624;top:5165;width:840;height:2" coordorigin="7624,5165" coordsize="840,2">
              <v:shape style="position:absolute;left:7624;top:5165;width:840;height:2" coordorigin="7624,5165" coordsize="840,0" path="m7624,5165l8464,5165e" filled="false" stroked="true" strokeweight=".47998pt" strokecolor="#000000">
                <v:path arrowok="t"/>
              </v:shape>
            </v:group>
            <v:group style="position:absolute;left:8473;top:5165;width:1643;height:2" coordorigin="8473,5165" coordsize="1643,2">
              <v:shape style="position:absolute;left:8473;top:5165;width:1643;height:2" coordorigin="8473,5165" coordsize="1643,0" path="m8473,5165l10115,5165e" filled="false" stroked="true" strokeweight=".47998pt" strokecolor="#000000">
                <v:path arrowok="t"/>
              </v:shape>
            </v:group>
            <v:group style="position:absolute;left:10125;top:5165;width:797;height:2" coordorigin="10125,5165" coordsize="797,2">
              <v:shape style="position:absolute;left:10125;top:5165;width:797;height:2" coordorigin="10125,5165" coordsize="797,0" path="m10125,5165l10922,5165e" filled="false" stroked="true" strokeweight=".47998pt" strokecolor="#000000">
                <v:path arrowok="t"/>
              </v:shape>
            </v:group>
            <v:group style="position:absolute;left:1099;top:5883;width:771;height:156" coordorigin="1099,5883" coordsize="771,156">
              <v:shape style="position:absolute;left:1099;top:5883;width:771;height:156" coordorigin="1099,5883" coordsize="771,156" path="m1099,6039l1870,6039,1870,5883,1099,5883,1099,6039xe" filled="true" fillcolor="#8db3e1" stroked="false">
                <v:path arrowok="t"/>
                <v:fill type="solid"/>
              </v:shape>
            </v:group>
            <v:group style="position:absolute;left:1111;top:6039;width:2;height:394" coordorigin="1111,6039" coordsize="2,394">
              <v:shape style="position:absolute;left:1111;top:6039;width:2;height:394" coordorigin="1111,6039" coordsize="0,394" path="m1111,6039l1111,6433e" filled="false" stroked="true" strokeweight="1.2pt" strokecolor="#8db3e1">
                <v:path arrowok="t"/>
              </v:shape>
            </v:group>
            <v:group style="position:absolute;left:1859;top:6039;width:2;height:394" coordorigin="1859,6039" coordsize="2,394">
              <v:shape style="position:absolute;left:1859;top:6039;width:2;height:394" coordorigin="1859,6039" coordsize="0,394" path="m1859,6039l1859,6433e" filled="false" stroked="true" strokeweight="1.08pt" strokecolor="#8db3e1">
                <v:path arrowok="t"/>
              </v:shape>
            </v:group>
            <v:group style="position:absolute;left:1099;top:6433;width:771;height:156" coordorigin="1099,6433" coordsize="771,156">
              <v:shape style="position:absolute;left:1099;top:6433;width:771;height:156" coordorigin="1099,6433" coordsize="771,156" path="m1099,6589l1870,6589,1870,6433,1099,6433,1099,6589xe" filled="true" fillcolor="#8db3e1" stroked="false">
                <v:path arrowok="t"/>
                <v:fill type="solid"/>
              </v:shape>
            </v:group>
            <v:group style="position:absolute;left:1123;top:6039;width:726;height:394" coordorigin="1123,6039" coordsize="726,394">
              <v:shape style="position:absolute;left:1123;top:6039;width:726;height:394" coordorigin="1123,6039" coordsize="726,394" path="m1123,6433l1848,6433,1848,6039,1123,6039,1123,6433xe" filled="true" fillcolor="#8db3e1" stroked="false">
                <v:path arrowok="t"/>
                <v:fill type="solid"/>
              </v:shape>
            </v:group>
            <v:group style="position:absolute;left:1099;top:5878;width:774;height:2" coordorigin="1099,5878" coordsize="774,2">
              <v:shape style="position:absolute;left:1099;top:5878;width:774;height:2" coordorigin="1099,5878" coordsize="774,0" path="m1099,5878l1872,5878e" filled="false" stroked="true" strokeweight=".48001pt" strokecolor="#000000">
                <v:path arrowok="t"/>
              </v:shape>
            </v:group>
            <v:group style="position:absolute;left:1882;top:5878;width:1030;height:2" coordorigin="1882,5878" coordsize="1030,2">
              <v:shape style="position:absolute;left:1882;top:5878;width:1030;height:2" coordorigin="1882,5878" coordsize="1030,0" path="m1882,5878l2912,5878e" filled="false" stroked="true" strokeweight=".48001pt" strokecolor="#000000">
                <v:path arrowok="t"/>
              </v:shape>
            </v:group>
            <v:group style="position:absolute;left:2921;top:5878;width:512;height:2" coordorigin="2921,5878" coordsize="512,2">
              <v:shape style="position:absolute;left:2921;top:5878;width:512;height:2" coordorigin="2921,5878" coordsize="512,0" path="m2921,5878l3432,5878e" filled="false" stroked="true" strokeweight=".48001pt" strokecolor="#000000">
                <v:path arrowok="t"/>
              </v:shape>
            </v:group>
            <v:group style="position:absolute;left:3442;top:5878;width:510;height:2" coordorigin="3442,5878" coordsize="510,2">
              <v:shape style="position:absolute;left:3442;top:5878;width:510;height:2" coordorigin="3442,5878" coordsize="510,0" path="m3442,5878l3951,5878e" filled="false" stroked="true" strokeweight=".48001pt" strokecolor="#000000">
                <v:path arrowok="t"/>
              </v:shape>
            </v:group>
            <v:group style="position:absolute;left:3961;top:5878;width:816;height:2" coordorigin="3961,5878" coordsize="816,2">
              <v:shape style="position:absolute;left:3961;top:5878;width:816;height:2" coordorigin="3961,5878" coordsize="816,0" path="m3961,5878l4777,5878e" filled="false" stroked="true" strokeweight=".48001pt" strokecolor="#000000">
                <v:path arrowok="t"/>
              </v:shape>
            </v:group>
            <v:group style="position:absolute;left:4787;top:5878;width:843;height:2" coordorigin="4787,5878" coordsize="843,2">
              <v:shape style="position:absolute;left:4787;top:5878;width:843;height:2" coordorigin="4787,5878" coordsize="843,0" path="m4787,5878l5629,5878e" filled="false" stroked="true" strokeweight=".48001pt" strokecolor="#000000">
                <v:path arrowok="t"/>
              </v:shape>
            </v:group>
            <v:group style="position:absolute;left:5639;top:5878;width:983;height:2" coordorigin="5639,5878" coordsize="983,2">
              <v:shape style="position:absolute;left:5639;top:5878;width:983;height:2" coordorigin="5639,5878" coordsize="983,0" path="m5639,5878l6621,5878e" filled="false" stroked="true" strokeweight=".48001pt" strokecolor="#000000">
                <v:path arrowok="t"/>
              </v:shape>
            </v:group>
            <v:group style="position:absolute;left:6630;top:5878;width:984;height:2" coordorigin="6630,5878" coordsize="984,2">
              <v:shape style="position:absolute;left:6630;top:5878;width:984;height:2" coordorigin="6630,5878" coordsize="984,0" path="m6630,5878l7614,5878e" filled="false" stroked="true" strokeweight=".48001pt" strokecolor="#000000">
                <v:path arrowok="t"/>
              </v:shape>
            </v:group>
            <v:group style="position:absolute;left:7624;top:5878;width:840;height:2" coordorigin="7624,5878" coordsize="840,2">
              <v:shape style="position:absolute;left:7624;top:5878;width:840;height:2" coordorigin="7624,5878" coordsize="840,0" path="m7624,5878l8464,5878e" filled="false" stroked="true" strokeweight=".48001pt" strokecolor="#000000">
                <v:path arrowok="t"/>
              </v:shape>
            </v:group>
            <v:group style="position:absolute;left:8473;top:5878;width:1643;height:2" coordorigin="8473,5878" coordsize="1643,2">
              <v:shape style="position:absolute;left:8473;top:5878;width:1643;height:2" coordorigin="8473,5878" coordsize="1643,0" path="m8473,5878l10115,5878e" filled="false" stroked="true" strokeweight=".48001pt" strokecolor="#000000">
                <v:path arrowok="t"/>
              </v:shape>
            </v:group>
            <v:group style="position:absolute;left:10125;top:5878;width:797;height:2" coordorigin="10125,5878" coordsize="797,2">
              <v:shape style="position:absolute;left:10125;top:5878;width:797;height:2" coordorigin="10125,5878" coordsize="797,0" path="m10125,5878l10922,5878e" filled="false" stroked="true" strokeweight=".48001pt" strokecolor="#000000">
                <v:path arrowok="t"/>
              </v:shape>
            </v:group>
            <v:group style="position:absolute;left:1099;top:6598;width:771;height:156" coordorigin="1099,6598" coordsize="771,156">
              <v:shape style="position:absolute;left:1099;top:6598;width:771;height:156" coordorigin="1099,6598" coordsize="771,156" path="m1099,6754l1870,6754,1870,6598,1099,6598,1099,6754xe" filled="true" fillcolor="#8db3e1" stroked="false">
                <v:path arrowok="t"/>
                <v:fill type="solid"/>
              </v:shape>
            </v:group>
            <v:group style="position:absolute;left:1111;top:6754;width:2;height:392" coordorigin="1111,6754" coordsize="2,392">
              <v:shape style="position:absolute;left:1111;top:6754;width:2;height:392" coordorigin="1111,6754" coordsize="0,392" path="m1111,6754l1111,7145e" filled="false" stroked="true" strokeweight="1.2pt" strokecolor="#8db3e1">
                <v:path arrowok="t"/>
              </v:shape>
            </v:group>
            <v:group style="position:absolute;left:1859;top:6754;width:2;height:392" coordorigin="1859,6754" coordsize="2,392">
              <v:shape style="position:absolute;left:1859;top:6754;width:2;height:392" coordorigin="1859,6754" coordsize="0,392" path="m1859,6754l1859,7145e" filled="false" stroked="true" strokeweight="1.08pt" strokecolor="#8db3e1">
                <v:path arrowok="t"/>
              </v:shape>
            </v:group>
            <v:group style="position:absolute;left:1099;top:7145;width:771;height:156" coordorigin="1099,7145" coordsize="771,156">
              <v:shape style="position:absolute;left:1099;top:7145;width:771;height:156" coordorigin="1099,7145" coordsize="771,156" path="m1099,7301l1870,7301,1870,7145,1099,7145,1099,7301xe" filled="true" fillcolor="#8db3e1" stroked="false">
                <v:path arrowok="t"/>
                <v:fill type="solid"/>
              </v:shape>
            </v:group>
            <v:group style="position:absolute;left:1123;top:6754;width:726;height:392" coordorigin="1123,6754" coordsize="726,392">
              <v:shape style="position:absolute;left:1123;top:6754;width:726;height:392" coordorigin="1123,6754" coordsize="726,392" path="m1123,7145l1848,7145,1848,6754,1123,6754,1123,7145xe" filled="true" fillcolor="#8db3e1" stroked="false">
                <v:path arrowok="t"/>
                <v:fill type="solid"/>
              </v:shape>
            </v:group>
            <v:group style="position:absolute;left:1099;top:6593;width:774;height:2" coordorigin="1099,6593" coordsize="774,2">
              <v:shape style="position:absolute;left:1099;top:6593;width:774;height:2" coordorigin="1099,6593" coordsize="774,0" path="m1099,6593l1872,6593e" filled="false" stroked="true" strokeweight=".47998pt" strokecolor="#000000">
                <v:path arrowok="t"/>
              </v:shape>
            </v:group>
            <v:group style="position:absolute;left:1882;top:6593;width:1030;height:2" coordorigin="1882,6593" coordsize="1030,2">
              <v:shape style="position:absolute;left:1882;top:6593;width:1030;height:2" coordorigin="1882,6593" coordsize="1030,0" path="m1882,6593l2912,6593e" filled="false" stroked="true" strokeweight=".47998pt" strokecolor="#000000">
                <v:path arrowok="t"/>
              </v:shape>
            </v:group>
            <v:group style="position:absolute;left:2921;top:6593;width:512;height:2" coordorigin="2921,6593" coordsize="512,2">
              <v:shape style="position:absolute;left:2921;top:6593;width:512;height:2" coordorigin="2921,6593" coordsize="512,0" path="m2921,6593l3432,6593e" filled="false" stroked="true" strokeweight=".47998pt" strokecolor="#000000">
                <v:path arrowok="t"/>
              </v:shape>
            </v:group>
            <v:group style="position:absolute;left:3442;top:6593;width:510;height:2" coordorigin="3442,6593" coordsize="510,2">
              <v:shape style="position:absolute;left:3442;top:6593;width:510;height:2" coordorigin="3442,6593" coordsize="510,0" path="m3442,6593l3951,6593e" filled="false" stroked="true" strokeweight=".47998pt" strokecolor="#000000">
                <v:path arrowok="t"/>
              </v:shape>
            </v:group>
            <v:group style="position:absolute;left:3961;top:6593;width:816;height:2" coordorigin="3961,6593" coordsize="816,2">
              <v:shape style="position:absolute;left:3961;top:6593;width:816;height:2" coordorigin="3961,6593" coordsize="816,0" path="m3961,6593l4777,6593e" filled="false" stroked="true" strokeweight=".47998pt" strokecolor="#000000">
                <v:path arrowok="t"/>
              </v:shape>
            </v:group>
            <v:group style="position:absolute;left:4787;top:6593;width:843;height:2" coordorigin="4787,6593" coordsize="843,2">
              <v:shape style="position:absolute;left:4787;top:6593;width:843;height:2" coordorigin="4787,6593" coordsize="843,0" path="m4787,6593l5629,6593e" filled="false" stroked="true" strokeweight=".47998pt" strokecolor="#000000">
                <v:path arrowok="t"/>
              </v:shape>
            </v:group>
            <v:group style="position:absolute;left:5639;top:6593;width:983;height:2" coordorigin="5639,6593" coordsize="983,2">
              <v:shape style="position:absolute;left:5639;top:6593;width:983;height:2" coordorigin="5639,6593" coordsize="983,0" path="m5639,6593l6621,6593e" filled="false" stroked="true" strokeweight=".47998pt" strokecolor="#000000">
                <v:path arrowok="t"/>
              </v:shape>
            </v:group>
            <v:group style="position:absolute;left:6630;top:6593;width:984;height:2" coordorigin="6630,6593" coordsize="984,2">
              <v:shape style="position:absolute;left:6630;top:6593;width:984;height:2" coordorigin="6630,6593" coordsize="984,0" path="m6630,6593l7614,6593e" filled="false" stroked="true" strokeweight=".47998pt" strokecolor="#000000">
                <v:path arrowok="t"/>
              </v:shape>
            </v:group>
            <v:group style="position:absolute;left:7624;top:6593;width:840;height:2" coordorigin="7624,6593" coordsize="840,2">
              <v:shape style="position:absolute;left:7624;top:6593;width:840;height:2" coordorigin="7624,6593" coordsize="840,0" path="m7624,6593l8464,6593e" filled="false" stroked="true" strokeweight=".47998pt" strokecolor="#000000">
                <v:path arrowok="t"/>
              </v:shape>
            </v:group>
            <v:group style="position:absolute;left:8473;top:6593;width:1643;height:2" coordorigin="8473,6593" coordsize="1643,2">
              <v:shape style="position:absolute;left:8473;top:6593;width:1643;height:2" coordorigin="8473,6593" coordsize="1643,0" path="m8473,6593l10115,6593e" filled="false" stroked="true" strokeweight=".47998pt" strokecolor="#000000">
                <v:path arrowok="t"/>
              </v:shape>
            </v:group>
            <v:group style="position:absolute;left:10125;top:6593;width:797;height:2" coordorigin="10125,6593" coordsize="797,2">
              <v:shape style="position:absolute;left:10125;top:6593;width:797;height:2" coordorigin="10125,6593" coordsize="797,0" path="m10125,6593l10922,6593e" filled="false" stroked="true" strokeweight=".47998pt" strokecolor="#000000">
                <v:path arrowok="t"/>
              </v:shape>
            </v:group>
            <v:group style="position:absolute;left:1099;top:7311;width:771;height:156" coordorigin="1099,7311" coordsize="771,156">
              <v:shape style="position:absolute;left:1099;top:7311;width:771;height:156" coordorigin="1099,7311" coordsize="771,156" path="m1099,7467l1870,7467,1870,7311,1099,7311,1099,7467xe" filled="true" fillcolor="#8db3e1" stroked="false">
                <v:path arrowok="t"/>
                <v:fill type="solid"/>
              </v:shape>
            </v:group>
            <v:group style="position:absolute;left:1111;top:7467;width:2;height:394" coordorigin="1111,7467" coordsize="2,394">
              <v:shape style="position:absolute;left:1111;top:7467;width:2;height:394" coordorigin="1111,7467" coordsize="0,394" path="m1111,7467l1111,7861e" filled="false" stroked="true" strokeweight="1.2pt" strokecolor="#8db3e1">
                <v:path arrowok="t"/>
              </v:shape>
            </v:group>
            <v:group style="position:absolute;left:1859;top:7467;width:2;height:394" coordorigin="1859,7467" coordsize="2,394">
              <v:shape style="position:absolute;left:1859;top:7467;width:2;height:394" coordorigin="1859,7467" coordsize="0,394" path="m1859,7467l1859,7861e" filled="false" stroked="true" strokeweight="1.08pt" strokecolor="#8db3e1">
                <v:path arrowok="t"/>
              </v:shape>
            </v:group>
            <v:group style="position:absolute;left:1099;top:7861;width:771;height:157" coordorigin="1099,7861" coordsize="771,157">
              <v:shape style="position:absolute;left:1099;top:7861;width:771;height:157" coordorigin="1099,7861" coordsize="771,157" path="m1099,8017l1870,8017,1870,7861,1099,7861,1099,8017xe" filled="true" fillcolor="#8db3e1" stroked="false">
                <v:path arrowok="t"/>
                <v:fill type="solid"/>
              </v:shape>
            </v:group>
            <v:group style="position:absolute;left:1123;top:7467;width:726;height:394" coordorigin="1123,7467" coordsize="726,394">
              <v:shape style="position:absolute;left:1123;top:7467;width:726;height:394" coordorigin="1123,7467" coordsize="726,394" path="m1123,7861l1848,7861,1848,7467,1123,7467,1123,7861xe" filled="true" fillcolor="#8db3e1" stroked="false">
                <v:path arrowok="t"/>
                <v:fill type="solid"/>
              </v:shape>
            </v:group>
            <v:group style="position:absolute;left:1099;top:7306;width:774;height:2" coordorigin="1099,7306" coordsize="774,2">
              <v:shape style="position:absolute;left:1099;top:7306;width:774;height:2" coordorigin="1099,7306" coordsize="774,0" path="m1099,7306l1872,7306e" filled="false" stroked="true" strokeweight=".47998pt" strokecolor="#000000">
                <v:path arrowok="t"/>
              </v:shape>
            </v:group>
            <v:group style="position:absolute;left:1882;top:7306;width:1030;height:2" coordorigin="1882,7306" coordsize="1030,2">
              <v:shape style="position:absolute;left:1882;top:7306;width:1030;height:2" coordorigin="1882,7306" coordsize="1030,0" path="m1882,7306l2912,7306e" filled="false" stroked="true" strokeweight=".47998pt" strokecolor="#000000">
                <v:path arrowok="t"/>
              </v:shape>
            </v:group>
            <v:group style="position:absolute;left:2921;top:7306;width:512;height:2" coordorigin="2921,7306" coordsize="512,2">
              <v:shape style="position:absolute;left:2921;top:7306;width:512;height:2" coordorigin="2921,7306" coordsize="512,0" path="m2921,7306l3432,7306e" filled="false" stroked="true" strokeweight=".47998pt" strokecolor="#000000">
                <v:path arrowok="t"/>
              </v:shape>
            </v:group>
            <v:group style="position:absolute;left:3442;top:7306;width:510;height:2" coordorigin="3442,7306" coordsize="510,2">
              <v:shape style="position:absolute;left:3442;top:7306;width:510;height:2" coordorigin="3442,7306" coordsize="510,0" path="m3442,7306l3951,7306e" filled="false" stroked="true" strokeweight=".47998pt" strokecolor="#000000">
                <v:path arrowok="t"/>
              </v:shape>
            </v:group>
            <v:group style="position:absolute;left:3961;top:7306;width:816;height:2" coordorigin="3961,7306" coordsize="816,2">
              <v:shape style="position:absolute;left:3961;top:7306;width:816;height:2" coordorigin="3961,7306" coordsize="816,0" path="m3961,7306l4777,7306e" filled="false" stroked="true" strokeweight=".47998pt" strokecolor="#000000">
                <v:path arrowok="t"/>
              </v:shape>
            </v:group>
            <v:group style="position:absolute;left:4787;top:7306;width:843;height:2" coordorigin="4787,7306" coordsize="843,2">
              <v:shape style="position:absolute;left:4787;top:7306;width:843;height:2" coordorigin="4787,7306" coordsize="843,0" path="m4787,7306l5629,7306e" filled="false" stroked="true" strokeweight=".47998pt" strokecolor="#000000">
                <v:path arrowok="t"/>
              </v:shape>
            </v:group>
            <v:group style="position:absolute;left:5639;top:7306;width:983;height:2" coordorigin="5639,7306" coordsize="983,2">
              <v:shape style="position:absolute;left:5639;top:7306;width:983;height:2" coordorigin="5639,7306" coordsize="983,0" path="m5639,7306l6621,7306e" filled="false" stroked="true" strokeweight=".47998pt" strokecolor="#000000">
                <v:path arrowok="t"/>
              </v:shape>
            </v:group>
            <v:group style="position:absolute;left:6630;top:7306;width:984;height:2" coordorigin="6630,7306" coordsize="984,2">
              <v:shape style="position:absolute;left:6630;top:7306;width:984;height:2" coordorigin="6630,7306" coordsize="984,0" path="m6630,7306l7614,7306e" filled="false" stroked="true" strokeweight=".47998pt" strokecolor="#000000">
                <v:path arrowok="t"/>
              </v:shape>
            </v:group>
            <v:group style="position:absolute;left:7624;top:7306;width:840;height:2" coordorigin="7624,7306" coordsize="840,2">
              <v:shape style="position:absolute;left:7624;top:7306;width:840;height:2" coordorigin="7624,7306" coordsize="840,0" path="m7624,7306l8464,7306e" filled="false" stroked="true" strokeweight=".47998pt" strokecolor="#000000">
                <v:path arrowok="t"/>
              </v:shape>
            </v:group>
            <v:group style="position:absolute;left:8473;top:7306;width:1643;height:2" coordorigin="8473,7306" coordsize="1643,2">
              <v:shape style="position:absolute;left:8473;top:7306;width:1643;height:2" coordorigin="8473,7306" coordsize="1643,0" path="m8473,7306l10115,7306e" filled="false" stroked="true" strokeweight=".47998pt" strokecolor="#000000">
                <v:path arrowok="t"/>
              </v:shape>
            </v:group>
            <v:group style="position:absolute;left:10125;top:7306;width:797;height:2" coordorigin="10125,7306" coordsize="797,2">
              <v:shape style="position:absolute;left:10125;top:7306;width:797;height:2" coordorigin="10125,7306" coordsize="797,0" path="m10125,7306l10922,7306e" filled="false" stroked="true" strokeweight=".47998pt" strokecolor="#000000">
                <v:path arrowok="t"/>
              </v:shape>
            </v:group>
            <v:group style="position:absolute;left:1099;top:8027;width:771;height:156" coordorigin="1099,8027" coordsize="771,156">
              <v:shape style="position:absolute;left:1099;top:8027;width:771;height:156" coordorigin="1099,8027" coordsize="771,156" path="m1099,8183l1870,8183,1870,8027,1099,8027,1099,8183xe" filled="true" fillcolor="#8db3e1" stroked="false">
                <v:path arrowok="t"/>
                <v:fill type="solid"/>
              </v:shape>
            </v:group>
            <v:group style="position:absolute;left:1111;top:8183;width:2;height:392" coordorigin="1111,8183" coordsize="2,392">
              <v:shape style="position:absolute;left:1111;top:8183;width:2;height:392" coordorigin="1111,8183" coordsize="0,392" path="m1111,8183l1111,8574e" filled="false" stroked="true" strokeweight="1.2pt" strokecolor="#8db3e1">
                <v:path arrowok="t"/>
              </v:shape>
            </v:group>
            <v:group style="position:absolute;left:1859;top:8183;width:2;height:392" coordorigin="1859,8183" coordsize="2,392">
              <v:shape style="position:absolute;left:1859;top:8183;width:2;height:392" coordorigin="1859,8183" coordsize="0,392" path="m1859,8183l1859,8574e" filled="false" stroked="true" strokeweight="1.08pt" strokecolor="#8db3e1">
                <v:path arrowok="t"/>
              </v:shape>
            </v:group>
            <v:group style="position:absolute;left:1099;top:8574;width:771;height:156" coordorigin="1099,8574" coordsize="771,156">
              <v:shape style="position:absolute;left:1099;top:8574;width:771;height:156" coordorigin="1099,8574" coordsize="771,156" path="m1099,8730l1870,8730,1870,8574,1099,8574,1099,8730xe" filled="true" fillcolor="#8db3e1" stroked="false">
                <v:path arrowok="t"/>
                <v:fill type="solid"/>
              </v:shape>
            </v:group>
            <v:group style="position:absolute;left:1123;top:8183;width:726;height:392" coordorigin="1123,8183" coordsize="726,392">
              <v:shape style="position:absolute;left:1123;top:8183;width:726;height:392" coordorigin="1123,8183" coordsize="726,392" path="m1123,8574l1848,8574,1848,8183,1123,8183,1123,8574xe" filled="true" fillcolor="#8db3e1" stroked="false">
                <v:path arrowok="t"/>
                <v:fill type="solid"/>
              </v:shape>
            </v:group>
            <v:group style="position:absolute;left:1099;top:8022;width:774;height:2" coordorigin="1099,8022" coordsize="774,2">
              <v:shape style="position:absolute;left:1099;top:8022;width:774;height:2" coordorigin="1099,8022" coordsize="774,0" path="m1099,8022l1872,8022e" filled="false" stroked="true" strokeweight=".48004pt" strokecolor="#000000">
                <v:path arrowok="t"/>
              </v:shape>
            </v:group>
            <v:group style="position:absolute;left:1882;top:8022;width:1030;height:2" coordorigin="1882,8022" coordsize="1030,2">
              <v:shape style="position:absolute;left:1882;top:8022;width:1030;height:2" coordorigin="1882,8022" coordsize="1030,0" path="m1882,8022l2912,8022e" filled="false" stroked="true" strokeweight=".48004pt" strokecolor="#000000">
                <v:path arrowok="t"/>
              </v:shape>
            </v:group>
            <v:group style="position:absolute;left:2921;top:8022;width:512;height:2" coordorigin="2921,8022" coordsize="512,2">
              <v:shape style="position:absolute;left:2921;top:8022;width:512;height:2" coordorigin="2921,8022" coordsize="512,0" path="m2921,8022l3432,8022e" filled="false" stroked="true" strokeweight=".48004pt" strokecolor="#000000">
                <v:path arrowok="t"/>
              </v:shape>
            </v:group>
            <v:group style="position:absolute;left:3442;top:8022;width:510;height:2" coordorigin="3442,8022" coordsize="510,2">
              <v:shape style="position:absolute;left:3442;top:8022;width:510;height:2" coordorigin="3442,8022" coordsize="510,0" path="m3442,8022l3951,8022e" filled="false" stroked="true" strokeweight=".48004pt" strokecolor="#000000">
                <v:path arrowok="t"/>
              </v:shape>
            </v:group>
            <v:group style="position:absolute;left:3961;top:8022;width:816;height:2" coordorigin="3961,8022" coordsize="816,2">
              <v:shape style="position:absolute;left:3961;top:8022;width:816;height:2" coordorigin="3961,8022" coordsize="816,0" path="m3961,8022l4777,8022e" filled="false" stroked="true" strokeweight=".48004pt" strokecolor="#000000">
                <v:path arrowok="t"/>
              </v:shape>
            </v:group>
            <v:group style="position:absolute;left:4787;top:8022;width:843;height:2" coordorigin="4787,8022" coordsize="843,2">
              <v:shape style="position:absolute;left:4787;top:8022;width:843;height:2" coordorigin="4787,8022" coordsize="843,0" path="m4787,8022l5629,8022e" filled="false" stroked="true" strokeweight=".48004pt" strokecolor="#000000">
                <v:path arrowok="t"/>
              </v:shape>
            </v:group>
            <v:group style="position:absolute;left:5639;top:8022;width:983;height:2" coordorigin="5639,8022" coordsize="983,2">
              <v:shape style="position:absolute;left:5639;top:8022;width:983;height:2" coordorigin="5639,8022" coordsize="983,0" path="m5639,8022l6621,8022e" filled="false" stroked="true" strokeweight=".48004pt" strokecolor="#000000">
                <v:path arrowok="t"/>
              </v:shape>
            </v:group>
            <v:group style="position:absolute;left:6630;top:8022;width:984;height:2" coordorigin="6630,8022" coordsize="984,2">
              <v:shape style="position:absolute;left:6630;top:8022;width:984;height:2" coordorigin="6630,8022" coordsize="984,0" path="m6630,8022l7614,8022e" filled="false" stroked="true" strokeweight=".48004pt" strokecolor="#000000">
                <v:path arrowok="t"/>
              </v:shape>
            </v:group>
            <v:group style="position:absolute;left:7624;top:8022;width:840;height:2" coordorigin="7624,8022" coordsize="840,2">
              <v:shape style="position:absolute;left:7624;top:8022;width:840;height:2" coordorigin="7624,8022" coordsize="840,0" path="m7624,8022l8464,8022e" filled="false" stroked="true" strokeweight=".48004pt" strokecolor="#000000">
                <v:path arrowok="t"/>
              </v:shape>
            </v:group>
            <v:group style="position:absolute;left:8473;top:8022;width:1643;height:2" coordorigin="8473,8022" coordsize="1643,2">
              <v:shape style="position:absolute;left:8473;top:8022;width:1643;height:2" coordorigin="8473,8022" coordsize="1643,0" path="m8473,8022l10115,8022e" filled="false" stroked="true" strokeweight=".48004pt" strokecolor="#000000">
                <v:path arrowok="t"/>
              </v:shape>
            </v:group>
            <v:group style="position:absolute;left:10125;top:8022;width:797;height:2" coordorigin="10125,8022" coordsize="797,2">
              <v:shape style="position:absolute;left:10125;top:8022;width:797;height:2" coordorigin="10125,8022" coordsize="797,0" path="m10125,8022l10922,8022e" filled="false" stroked="true" strokeweight=".48004pt" strokecolor="#000000">
                <v:path arrowok="t"/>
              </v:shape>
            </v:group>
            <v:group style="position:absolute;left:1099;top:8740;width:771;height:156" coordorigin="1099,8740" coordsize="771,156">
              <v:shape style="position:absolute;left:1099;top:8740;width:771;height:156" coordorigin="1099,8740" coordsize="771,156" path="m1099,8896l1870,8896,1870,8740,1099,8740,1099,8896xe" filled="true" fillcolor="#8db3e1" stroked="false">
                <v:path arrowok="t"/>
                <v:fill type="solid"/>
              </v:shape>
            </v:group>
            <v:group style="position:absolute;left:1111;top:8896;width:2;height:394" coordorigin="1111,8896" coordsize="2,394">
              <v:shape style="position:absolute;left:1111;top:8896;width:2;height:394" coordorigin="1111,8896" coordsize="0,394" path="m1111,8896l1111,9289e" filled="false" stroked="true" strokeweight="1.2pt" strokecolor="#8db3e1">
                <v:path arrowok="t"/>
              </v:shape>
            </v:group>
            <v:group style="position:absolute;left:1859;top:8896;width:2;height:394" coordorigin="1859,8896" coordsize="2,394">
              <v:shape style="position:absolute;left:1859;top:8896;width:2;height:394" coordorigin="1859,8896" coordsize="0,394" path="m1859,8896l1859,9289e" filled="false" stroked="true" strokeweight="1.08pt" strokecolor="#8db3e1">
                <v:path arrowok="t"/>
              </v:shape>
            </v:group>
            <v:group style="position:absolute;left:1099;top:9289;width:771;height:156" coordorigin="1099,9289" coordsize="771,156">
              <v:shape style="position:absolute;left:1099;top:9289;width:771;height:156" coordorigin="1099,9289" coordsize="771,156" path="m1099,9445l1870,9445,1870,9289,1099,9289,1099,9445xe" filled="true" fillcolor="#8db3e1" stroked="false">
                <v:path arrowok="t"/>
                <v:fill type="solid"/>
              </v:shape>
            </v:group>
            <v:group style="position:absolute;left:1123;top:8896;width:726;height:394" coordorigin="1123,8896" coordsize="726,394">
              <v:shape style="position:absolute;left:1123;top:8896;width:726;height:394" coordorigin="1123,8896" coordsize="726,394" path="m1123,9289l1848,9289,1848,8896,1123,8896,1123,9289xe" filled="true" fillcolor="#8db3e1" stroked="false">
                <v:path arrowok="t"/>
                <v:fill type="solid"/>
              </v:shape>
            </v:group>
            <v:group style="position:absolute;left:1099;top:8735;width:774;height:2" coordorigin="1099,8735" coordsize="774,2">
              <v:shape style="position:absolute;left:1099;top:8735;width:774;height:2" coordorigin="1099,8735" coordsize="774,0" path="m1099,8735l1872,8735e" filled="false" stroked="true" strokeweight=".47998pt" strokecolor="#000000">
                <v:path arrowok="t"/>
              </v:shape>
            </v:group>
            <v:group style="position:absolute;left:1882;top:8735;width:1030;height:2" coordorigin="1882,8735" coordsize="1030,2">
              <v:shape style="position:absolute;left:1882;top:8735;width:1030;height:2" coordorigin="1882,8735" coordsize="1030,0" path="m1882,8735l2912,8735e" filled="false" stroked="true" strokeweight=".47998pt" strokecolor="#000000">
                <v:path arrowok="t"/>
              </v:shape>
            </v:group>
            <v:group style="position:absolute;left:2921;top:8735;width:512;height:2" coordorigin="2921,8735" coordsize="512,2">
              <v:shape style="position:absolute;left:2921;top:8735;width:512;height:2" coordorigin="2921,8735" coordsize="512,0" path="m2921,8735l3432,8735e" filled="false" stroked="true" strokeweight=".47998pt" strokecolor="#000000">
                <v:path arrowok="t"/>
              </v:shape>
            </v:group>
            <v:group style="position:absolute;left:3442;top:8735;width:510;height:2" coordorigin="3442,8735" coordsize="510,2">
              <v:shape style="position:absolute;left:3442;top:8735;width:510;height:2" coordorigin="3442,8735" coordsize="510,0" path="m3442,8735l3951,8735e" filled="false" stroked="true" strokeweight=".47998pt" strokecolor="#000000">
                <v:path arrowok="t"/>
              </v:shape>
            </v:group>
            <v:group style="position:absolute;left:3961;top:8735;width:816;height:2" coordorigin="3961,8735" coordsize="816,2">
              <v:shape style="position:absolute;left:3961;top:8735;width:816;height:2" coordorigin="3961,8735" coordsize="816,0" path="m3961,8735l4777,8735e" filled="false" stroked="true" strokeweight=".47998pt" strokecolor="#000000">
                <v:path arrowok="t"/>
              </v:shape>
            </v:group>
            <v:group style="position:absolute;left:4787;top:8735;width:843;height:2" coordorigin="4787,8735" coordsize="843,2">
              <v:shape style="position:absolute;left:4787;top:8735;width:843;height:2" coordorigin="4787,8735" coordsize="843,0" path="m4787,8735l5629,8735e" filled="false" stroked="true" strokeweight=".47998pt" strokecolor="#000000">
                <v:path arrowok="t"/>
              </v:shape>
            </v:group>
            <v:group style="position:absolute;left:5639;top:8735;width:983;height:2" coordorigin="5639,8735" coordsize="983,2">
              <v:shape style="position:absolute;left:5639;top:8735;width:983;height:2" coordorigin="5639,8735" coordsize="983,0" path="m5639,8735l6621,8735e" filled="false" stroked="true" strokeweight=".47998pt" strokecolor="#000000">
                <v:path arrowok="t"/>
              </v:shape>
            </v:group>
            <v:group style="position:absolute;left:6630;top:8735;width:984;height:2" coordorigin="6630,8735" coordsize="984,2">
              <v:shape style="position:absolute;left:6630;top:8735;width:984;height:2" coordorigin="6630,8735" coordsize="984,0" path="m6630,8735l7614,8735e" filled="false" stroked="true" strokeweight=".47998pt" strokecolor="#000000">
                <v:path arrowok="t"/>
              </v:shape>
            </v:group>
            <v:group style="position:absolute;left:7624;top:8735;width:840;height:2" coordorigin="7624,8735" coordsize="840,2">
              <v:shape style="position:absolute;left:7624;top:8735;width:840;height:2" coordorigin="7624,8735" coordsize="840,0" path="m7624,8735l8464,8735e" filled="false" stroked="true" strokeweight=".47998pt" strokecolor="#000000">
                <v:path arrowok="t"/>
              </v:shape>
            </v:group>
            <v:group style="position:absolute;left:8473;top:8735;width:1643;height:2" coordorigin="8473,8735" coordsize="1643,2">
              <v:shape style="position:absolute;left:8473;top:8735;width:1643;height:2" coordorigin="8473,8735" coordsize="1643,0" path="m8473,8735l10115,8735e" filled="false" stroked="true" strokeweight=".47998pt" strokecolor="#000000">
                <v:path arrowok="t"/>
              </v:shape>
            </v:group>
            <v:group style="position:absolute;left:10125;top:8735;width:797;height:2" coordorigin="10125,8735" coordsize="797,2">
              <v:shape style="position:absolute;left:10125;top:8735;width:797;height:2" coordorigin="10125,8735" coordsize="797,0" path="m10125,8735l10922,8735e" filled="false" stroked="true" strokeweight=".47998pt" strokecolor="#000000">
                <v:path arrowok="t"/>
              </v:shape>
            </v:group>
            <v:group style="position:absolute;left:1099;top:9455;width:771;height:156" coordorigin="1099,9455" coordsize="771,156">
              <v:shape style="position:absolute;left:1099;top:9455;width:771;height:156" coordorigin="1099,9455" coordsize="771,156" path="m1099,9611l1870,9611,1870,9455,1099,9455,1099,9611xe" filled="true" fillcolor="#8db3e1" stroked="false">
                <v:path arrowok="t"/>
                <v:fill type="solid"/>
              </v:shape>
            </v:group>
            <v:group style="position:absolute;left:1111;top:9611;width:2;height:392" coordorigin="1111,9611" coordsize="2,392">
              <v:shape style="position:absolute;left:1111;top:9611;width:2;height:392" coordorigin="1111,9611" coordsize="0,392" path="m1111,9611l1111,10002e" filled="false" stroked="true" strokeweight="1.2pt" strokecolor="#8db3e1">
                <v:path arrowok="t"/>
              </v:shape>
            </v:group>
            <v:group style="position:absolute;left:1859;top:9611;width:2;height:392" coordorigin="1859,9611" coordsize="2,392">
              <v:shape style="position:absolute;left:1859;top:9611;width:2;height:392" coordorigin="1859,9611" coordsize="0,392" path="m1859,9611l1859,10002e" filled="false" stroked="true" strokeweight="1.08pt" strokecolor="#8db3e1">
                <v:path arrowok="t"/>
              </v:shape>
            </v:group>
            <v:group style="position:absolute;left:1099;top:10002;width:771;height:156" coordorigin="1099,10002" coordsize="771,156">
              <v:shape style="position:absolute;left:1099;top:10002;width:771;height:156" coordorigin="1099,10002" coordsize="771,156" path="m1099,10158l1870,10158,1870,10002,1099,10002,1099,10158xe" filled="true" fillcolor="#8db3e1" stroked="false">
                <v:path arrowok="t"/>
                <v:fill type="solid"/>
              </v:shape>
            </v:group>
            <v:group style="position:absolute;left:1123;top:9611;width:726;height:392" coordorigin="1123,9611" coordsize="726,392">
              <v:shape style="position:absolute;left:1123;top:9611;width:726;height:392" coordorigin="1123,9611" coordsize="726,392" path="m1123,10002l1848,10002,1848,9611,1123,9611,1123,10002xe" filled="true" fillcolor="#8db3e1" stroked="false">
                <v:path arrowok="t"/>
                <v:fill type="solid"/>
              </v:shape>
            </v:group>
            <v:group style="position:absolute;left:1099;top:9450;width:774;height:2" coordorigin="1099,9450" coordsize="774,2">
              <v:shape style="position:absolute;left:1099;top:9450;width:774;height:2" coordorigin="1099,9450" coordsize="774,0" path="m1099,9450l1872,9450e" filled="false" stroked="true" strokeweight=".47998pt" strokecolor="#000000">
                <v:path arrowok="t"/>
              </v:shape>
            </v:group>
            <v:group style="position:absolute;left:1882;top:9450;width:1030;height:2" coordorigin="1882,9450" coordsize="1030,2">
              <v:shape style="position:absolute;left:1882;top:9450;width:1030;height:2" coordorigin="1882,9450" coordsize="1030,0" path="m1882,9450l2912,9450e" filled="false" stroked="true" strokeweight=".47998pt" strokecolor="#000000">
                <v:path arrowok="t"/>
              </v:shape>
            </v:group>
            <v:group style="position:absolute;left:2921;top:9450;width:512;height:2" coordorigin="2921,9450" coordsize="512,2">
              <v:shape style="position:absolute;left:2921;top:9450;width:512;height:2" coordorigin="2921,9450" coordsize="512,0" path="m2921,9450l3432,9450e" filled="false" stroked="true" strokeweight=".47998pt" strokecolor="#000000">
                <v:path arrowok="t"/>
              </v:shape>
            </v:group>
            <v:group style="position:absolute;left:3442;top:9450;width:510;height:2" coordorigin="3442,9450" coordsize="510,2">
              <v:shape style="position:absolute;left:3442;top:9450;width:510;height:2" coordorigin="3442,9450" coordsize="510,0" path="m3442,9450l3951,9450e" filled="false" stroked="true" strokeweight=".47998pt" strokecolor="#000000">
                <v:path arrowok="t"/>
              </v:shape>
            </v:group>
            <v:group style="position:absolute;left:3961;top:9450;width:816;height:2" coordorigin="3961,9450" coordsize="816,2">
              <v:shape style="position:absolute;left:3961;top:9450;width:816;height:2" coordorigin="3961,9450" coordsize="816,0" path="m3961,9450l4777,9450e" filled="false" stroked="true" strokeweight=".47998pt" strokecolor="#000000">
                <v:path arrowok="t"/>
              </v:shape>
            </v:group>
            <v:group style="position:absolute;left:4787;top:9450;width:843;height:2" coordorigin="4787,9450" coordsize="843,2">
              <v:shape style="position:absolute;left:4787;top:9450;width:843;height:2" coordorigin="4787,9450" coordsize="843,0" path="m4787,9450l5629,9450e" filled="false" stroked="true" strokeweight=".47998pt" strokecolor="#000000">
                <v:path arrowok="t"/>
              </v:shape>
            </v:group>
            <v:group style="position:absolute;left:5639;top:9450;width:983;height:2" coordorigin="5639,9450" coordsize="983,2">
              <v:shape style="position:absolute;left:5639;top:9450;width:983;height:2" coordorigin="5639,9450" coordsize="983,0" path="m5639,9450l6621,9450e" filled="false" stroked="true" strokeweight=".47998pt" strokecolor="#000000">
                <v:path arrowok="t"/>
              </v:shape>
            </v:group>
            <v:group style="position:absolute;left:6630;top:9450;width:984;height:2" coordorigin="6630,9450" coordsize="984,2">
              <v:shape style="position:absolute;left:6630;top:9450;width:984;height:2" coordorigin="6630,9450" coordsize="984,0" path="m6630,9450l7614,9450e" filled="false" stroked="true" strokeweight=".47998pt" strokecolor="#000000">
                <v:path arrowok="t"/>
              </v:shape>
            </v:group>
            <v:group style="position:absolute;left:7624;top:9450;width:840;height:2" coordorigin="7624,9450" coordsize="840,2">
              <v:shape style="position:absolute;left:7624;top:9450;width:840;height:2" coordorigin="7624,9450" coordsize="840,0" path="m7624,9450l8464,9450e" filled="false" stroked="true" strokeweight=".47998pt" strokecolor="#000000">
                <v:path arrowok="t"/>
              </v:shape>
            </v:group>
            <v:group style="position:absolute;left:8473;top:9450;width:1643;height:2" coordorigin="8473,9450" coordsize="1643,2">
              <v:shape style="position:absolute;left:8473;top:9450;width:1643;height:2" coordorigin="8473,9450" coordsize="1643,0" path="m8473,9450l10115,9450e" filled="false" stroked="true" strokeweight=".47998pt" strokecolor="#000000">
                <v:path arrowok="t"/>
              </v:shape>
            </v:group>
            <v:group style="position:absolute;left:10125;top:9450;width:797;height:2" coordorigin="10125,9450" coordsize="797,2">
              <v:shape style="position:absolute;left:10125;top:9450;width:797;height:2" coordorigin="10125,9450" coordsize="797,0" path="m10125,9450l10922,9450e" filled="false" stroked="true" strokeweight=".47998pt" strokecolor="#000000">
                <v:path arrowok="t"/>
              </v:shape>
            </v:group>
            <v:group style="position:absolute;left:1099;top:10168;width:771;height:156" coordorigin="1099,10168" coordsize="771,156">
              <v:shape style="position:absolute;left:1099;top:10168;width:771;height:156" coordorigin="1099,10168" coordsize="771,156" path="m1099,10324l1870,10324,1870,10168,1099,10168,1099,10324xe" filled="true" fillcolor="#8db3e1" stroked="false">
                <v:path arrowok="t"/>
                <v:fill type="solid"/>
              </v:shape>
            </v:group>
            <v:group style="position:absolute;left:1111;top:10324;width:2;height:392" coordorigin="1111,10324" coordsize="2,392">
              <v:shape style="position:absolute;left:1111;top:10324;width:2;height:392" coordorigin="1111,10324" coordsize="0,392" path="m1111,10324l1111,10715e" filled="false" stroked="true" strokeweight="1.2pt" strokecolor="#8db3e1">
                <v:path arrowok="t"/>
              </v:shape>
            </v:group>
            <v:group style="position:absolute;left:1859;top:10324;width:2;height:392" coordorigin="1859,10324" coordsize="2,392">
              <v:shape style="position:absolute;left:1859;top:10324;width:2;height:392" coordorigin="1859,10324" coordsize="0,392" path="m1859,10324l1859,10715e" filled="false" stroked="true" strokeweight="1.08pt" strokecolor="#8db3e1">
                <v:path arrowok="t"/>
              </v:shape>
            </v:group>
            <v:group style="position:absolute;left:1099;top:10715;width:771;height:156" coordorigin="1099,10715" coordsize="771,156">
              <v:shape style="position:absolute;left:1099;top:10715;width:771;height:156" coordorigin="1099,10715" coordsize="771,156" path="m1099,10871l1870,10871,1870,10715,1099,10715,1099,10871xe" filled="true" fillcolor="#8db3e1" stroked="false">
                <v:path arrowok="t"/>
                <v:fill type="solid"/>
              </v:shape>
            </v:group>
            <v:group style="position:absolute;left:1123;top:10324;width:726;height:392" coordorigin="1123,10324" coordsize="726,392">
              <v:shape style="position:absolute;left:1123;top:10324;width:726;height:392" coordorigin="1123,10324" coordsize="726,392" path="m1123,10715l1848,10715,1848,10324,1123,10324,1123,10715xe" filled="true" fillcolor="#8db3e1" stroked="false">
                <v:path arrowok="t"/>
                <v:fill type="solid"/>
              </v:shape>
            </v:group>
            <v:group style="position:absolute;left:1099;top:10163;width:774;height:2" coordorigin="1099,10163" coordsize="774,2">
              <v:shape style="position:absolute;left:1099;top:10163;width:774;height:2" coordorigin="1099,10163" coordsize="774,0" path="m1099,10163l1872,10163e" filled="false" stroked="true" strokeweight=".47998pt" strokecolor="#000000">
                <v:path arrowok="t"/>
              </v:shape>
            </v:group>
            <v:group style="position:absolute;left:1882;top:10163;width:1030;height:2" coordorigin="1882,10163" coordsize="1030,2">
              <v:shape style="position:absolute;left:1882;top:10163;width:1030;height:2" coordorigin="1882,10163" coordsize="1030,0" path="m1882,10163l2912,10163e" filled="false" stroked="true" strokeweight=".47998pt" strokecolor="#000000">
                <v:path arrowok="t"/>
              </v:shape>
            </v:group>
            <v:group style="position:absolute;left:2921;top:10163;width:512;height:2" coordorigin="2921,10163" coordsize="512,2">
              <v:shape style="position:absolute;left:2921;top:10163;width:512;height:2" coordorigin="2921,10163" coordsize="512,0" path="m2921,10163l3432,10163e" filled="false" stroked="true" strokeweight=".47998pt" strokecolor="#000000">
                <v:path arrowok="t"/>
              </v:shape>
            </v:group>
            <v:group style="position:absolute;left:3442;top:10163;width:510;height:2" coordorigin="3442,10163" coordsize="510,2">
              <v:shape style="position:absolute;left:3442;top:10163;width:510;height:2" coordorigin="3442,10163" coordsize="510,0" path="m3442,10163l3951,10163e" filled="false" stroked="true" strokeweight=".47998pt" strokecolor="#000000">
                <v:path arrowok="t"/>
              </v:shape>
            </v:group>
            <v:group style="position:absolute;left:3961;top:10163;width:816;height:2" coordorigin="3961,10163" coordsize="816,2">
              <v:shape style="position:absolute;left:3961;top:10163;width:816;height:2" coordorigin="3961,10163" coordsize="816,0" path="m3961,10163l4777,10163e" filled="false" stroked="true" strokeweight=".47998pt" strokecolor="#000000">
                <v:path arrowok="t"/>
              </v:shape>
            </v:group>
            <v:group style="position:absolute;left:4787;top:10163;width:843;height:2" coordorigin="4787,10163" coordsize="843,2">
              <v:shape style="position:absolute;left:4787;top:10163;width:843;height:2" coordorigin="4787,10163" coordsize="843,0" path="m4787,10163l5629,10163e" filled="false" stroked="true" strokeweight=".47998pt" strokecolor="#000000">
                <v:path arrowok="t"/>
              </v:shape>
            </v:group>
            <v:group style="position:absolute;left:5639;top:10163;width:983;height:2" coordorigin="5639,10163" coordsize="983,2">
              <v:shape style="position:absolute;left:5639;top:10163;width:983;height:2" coordorigin="5639,10163" coordsize="983,0" path="m5639,10163l6621,10163e" filled="false" stroked="true" strokeweight=".47998pt" strokecolor="#000000">
                <v:path arrowok="t"/>
              </v:shape>
            </v:group>
            <v:group style="position:absolute;left:6630;top:10163;width:984;height:2" coordorigin="6630,10163" coordsize="984,2">
              <v:shape style="position:absolute;left:6630;top:10163;width:984;height:2" coordorigin="6630,10163" coordsize="984,0" path="m6630,10163l7614,10163e" filled="false" stroked="true" strokeweight=".47998pt" strokecolor="#000000">
                <v:path arrowok="t"/>
              </v:shape>
            </v:group>
            <v:group style="position:absolute;left:7624;top:10163;width:840;height:2" coordorigin="7624,10163" coordsize="840,2">
              <v:shape style="position:absolute;left:7624;top:10163;width:840;height:2" coordorigin="7624,10163" coordsize="840,0" path="m7624,10163l8464,10163e" filled="false" stroked="true" strokeweight=".47998pt" strokecolor="#000000">
                <v:path arrowok="t"/>
              </v:shape>
            </v:group>
            <v:group style="position:absolute;left:8473;top:10163;width:1643;height:2" coordorigin="8473,10163" coordsize="1643,2">
              <v:shape style="position:absolute;left:8473;top:10163;width:1643;height:2" coordorigin="8473,10163" coordsize="1643,0" path="m8473,10163l10115,10163e" filled="false" stroked="true" strokeweight=".47998pt" strokecolor="#000000">
                <v:path arrowok="t"/>
              </v:shape>
            </v:group>
            <v:group style="position:absolute;left:10125;top:10163;width:797;height:2" coordorigin="10125,10163" coordsize="797,2">
              <v:shape style="position:absolute;left:10125;top:10163;width:797;height:2" coordorigin="10125,10163" coordsize="797,0" path="m10125,10163l10922,10163e" filled="false" stroked="true" strokeweight=".47998pt" strokecolor="#000000">
                <v:path arrowok="t"/>
              </v:shape>
            </v:group>
            <v:group style="position:absolute;left:1099;top:10883;width:771;height:156" coordorigin="1099,10883" coordsize="771,156">
              <v:shape style="position:absolute;left:1099;top:10883;width:771;height:156" coordorigin="1099,10883" coordsize="771,156" path="m1099,11039l1870,11039,1870,10883,1099,10883,1099,11039xe" filled="true" fillcolor="#8db3e1" stroked="false">
                <v:path arrowok="t"/>
                <v:fill type="solid"/>
              </v:shape>
            </v:group>
            <v:group style="position:absolute;left:1111;top:11039;width:2;height:392" coordorigin="1111,11039" coordsize="2,392">
              <v:shape style="position:absolute;left:1111;top:11039;width:2;height:392" coordorigin="1111,11039" coordsize="0,392" path="m1111,11039l1111,11430e" filled="false" stroked="true" strokeweight="1.2pt" strokecolor="#8db3e1">
                <v:path arrowok="t"/>
              </v:shape>
            </v:group>
            <v:group style="position:absolute;left:1859;top:11039;width:2;height:392" coordorigin="1859,11039" coordsize="2,392">
              <v:shape style="position:absolute;left:1859;top:11039;width:2;height:392" coordorigin="1859,11039" coordsize="0,392" path="m1859,11039l1859,11430e" filled="false" stroked="true" strokeweight="1.08pt" strokecolor="#8db3e1">
                <v:path arrowok="t"/>
              </v:shape>
            </v:group>
            <v:group style="position:absolute;left:1099;top:11430;width:771;height:156" coordorigin="1099,11430" coordsize="771,156">
              <v:shape style="position:absolute;left:1099;top:11430;width:771;height:156" coordorigin="1099,11430" coordsize="771,156" path="m1099,11586l1870,11586,1870,11430,1099,11430,1099,11586xe" filled="true" fillcolor="#8db3e1" stroked="false">
                <v:path arrowok="t"/>
                <v:fill type="solid"/>
              </v:shape>
            </v:group>
            <v:group style="position:absolute;left:1123;top:11039;width:726;height:392" coordorigin="1123,11039" coordsize="726,392">
              <v:shape style="position:absolute;left:1123;top:11039;width:726;height:392" coordorigin="1123,11039" coordsize="726,392" path="m1123,11430l1848,11430,1848,11039,1123,11039,1123,11430xe" filled="true" fillcolor="#8db3e1" stroked="false">
                <v:path arrowok="t"/>
                <v:fill type="solid"/>
              </v:shape>
            </v:group>
            <v:group style="position:absolute;left:1099;top:10876;width:774;height:2" coordorigin="1099,10876" coordsize="774,2">
              <v:shape style="position:absolute;left:1099;top:10876;width:774;height:2" coordorigin="1099,10876" coordsize="774,0" path="m1099,10876l1872,10876e" filled="false" stroked="true" strokeweight=".48004pt" strokecolor="#000000">
                <v:path arrowok="t"/>
              </v:shape>
            </v:group>
            <v:group style="position:absolute;left:1882;top:10876;width:1030;height:2" coordorigin="1882,10876" coordsize="1030,2">
              <v:shape style="position:absolute;left:1882;top:10876;width:1030;height:2" coordorigin="1882,10876" coordsize="1030,0" path="m1882,10876l2912,10876e" filled="false" stroked="true" strokeweight=".48004pt" strokecolor="#000000">
                <v:path arrowok="t"/>
              </v:shape>
            </v:group>
            <v:group style="position:absolute;left:2921;top:10876;width:512;height:2" coordorigin="2921,10876" coordsize="512,2">
              <v:shape style="position:absolute;left:2921;top:10876;width:512;height:2" coordorigin="2921,10876" coordsize="512,0" path="m2921,10876l3432,10876e" filled="false" stroked="true" strokeweight=".48004pt" strokecolor="#000000">
                <v:path arrowok="t"/>
              </v:shape>
            </v:group>
            <v:group style="position:absolute;left:3442;top:10876;width:510;height:2" coordorigin="3442,10876" coordsize="510,2">
              <v:shape style="position:absolute;left:3442;top:10876;width:510;height:2" coordorigin="3442,10876" coordsize="510,0" path="m3442,10876l3951,10876e" filled="false" stroked="true" strokeweight=".48004pt" strokecolor="#000000">
                <v:path arrowok="t"/>
              </v:shape>
            </v:group>
            <v:group style="position:absolute;left:3961;top:10876;width:816;height:2" coordorigin="3961,10876" coordsize="816,2">
              <v:shape style="position:absolute;left:3961;top:10876;width:816;height:2" coordorigin="3961,10876" coordsize="816,0" path="m3961,10876l4777,10876e" filled="false" stroked="true" strokeweight=".48004pt" strokecolor="#000000">
                <v:path arrowok="t"/>
              </v:shape>
            </v:group>
            <v:group style="position:absolute;left:4787;top:10876;width:843;height:2" coordorigin="4787,10876" coordsize="843,2">
              <v:shape style="position:absolute;left:4787;top:10876;width:843;height:2" coordorigin="4787,10876" coordsize="843,0" path="m4787,10876l5629,10876e" filled="false" stroked="true" strokeweight=".48004pt" strokecolor="#000000">
                <v:path arrowok="t"/>
              </v:shape>
            </v:group>
            <v:group style="position:absolute;left:5639;top:10876;width:983;height:2" coordorigin="5639,10876" coordsize="983,2">
              <v:shape style="position:absolute;left:5639;top:10876;width:983;height:2" coordorigin="5639,10876" coordsize="983,0" path="m5639,10876l6621,10876e" filled="false" stroked="true" strokeweight=".48004pt" strokecolor="#000000">
                <v:path arrowok="t"/>
              </v:shape>
            </v:group>
            <v:group style="position:absolute;left:6630;top:10876;width:984;height:2" coordorigin="6630,10876" coordsize="984,2">
              <v:shape style="position:absolute;left:6630;top:10876;width:984;height:2" coordorigin="6630,10876" coordsize="984,0" path="m6630,10876l7614,10876e" filled="false" stroked="true" strokeweight=".48004pt" strokecolor="#000000">
                <v:path arrowok="t"/>
              </v:shape>
            </v:group>
            <v:group style="position:absolute;left:7624;top:10876;width:840;height:2" coordorigin="7624,10876" coordsize="840,2">
              <v:shape style="position:absolute;left:7624;top:10876;width:840;height:2" coordorigin="7624,10876" coordsize="840,0" path="m7624,10876l8464,10876e" filled="false" stroked="true" strokeweight=".48004pt" strokecolor="#000000">
                <v:path arrowok="t"/>
              </v:shape>
            </v:group>
            <v:group style="position:absolute;left:8473;top:10876;width:1643;height:2" coordorigin="8473,10876" coordsize="1643,2">
              <v:shape style="position:absolute;left:8473;top:10876;width:1643;height:2" coordorigin="8473,10876" coordsize="1643,0" path="m8473,10876l10115,10876e" filled="false" stroked="true" strokeweight=".48004pt" strokecolor="#000000">
                <v:path arrowok="t"/>
              </v:shape>
            </v:group>
            <v:group style="position:absolute;left:10125;top:10876;width:797;height:2" coordorigin="10125,10876" coordsize="797,2">
              <v:shape style="position:absolute;left:10125;top:10876;width:797;height:2" coordorigin="10125,10876" coordsize="797,0" path="m10125,10876l10922,10876e" filled="false" stroked="true" strokeweight=".48004pt" strokecolor="#000000">
                <v:path arrowok="t"/>
              </v:shape>
            </v:group>
            <v:group style="position:absolute;left:1094;top:652;width:2;height:10944" coordorigin="1094,652" coordsize="2,10944">
              <v:shape style="position:absolute;left:1094;top:652;width:2;height:10944" coordorigin="1094,652" coordsize="0,10944" path="m1094,652l1094,11596e" filled="false" stroked="true" strokeweight=".48pt" strokecolor="#000000">
                <v:path arrowok="t"/>
              </v:shape>
            </v:group>
            <v:group style="position:absolute;left:1099;top:11591;width:774;height:2" coordorigin="1099,11591" coordsize="774,2">
              <v:shape style="position:absolute;left:1099;top:11591;width:774;height:2" coordorigin="1099,11591" coordsize="774,0" path="m1099,11591l1872,11591e" filled="false" stroked="true" strokeweight=".48004pt" strokecolor="#000000">
                <v:path arrowok="t"/>
              </v:shape>
            </v:group>
            <v:group style="position:absolute;left:1877;top:652;width:2;height:10944" coordorigin="1877,652" coordsize="2,10944">
              <v:shape style="position:absolute;left:1877;top:652;width:2;height:10944" coordorigin="1877,652" coordsize="0,10944" path="m1877,652l1877,11596e" filled="false" stroked="true" strokeweight=".48pt" strokecolor="#000000">
                <v:path arrowok="t"/>
              </v:shape>
            </v:group>
            <v:group style="position:absolute;left:1882;top:11591;width:1030;height:2" coordorigin="1882,11591" coordsize="1030,2">
              <v:shape style="position:absolute;left:1882;top:11591;width:1030;height:2" coordorigin="1882,11591" coordsize="1030,0" path="m1882,11591l2912,11591e" filled="false" stroked="true" strokeweight=".48004pt" strokecolor="#000000">
                <v:path arrowok="t"/>
              </v:shape>
            </v:group>
            <v:group style="position:absolute;left:2916;top:652;width:2;height:10944" coordorigin="2916,652" coordsize="2,10944">
              <v:shape style="position:absolute;left:2916;top:652;width:2;height:10944" coordorigin="2916,652" coordsize="0,10944" path="m2916,652l2916,11596e" filled="false" stroked="true" strokeweight=".48pt" strokecolor="#000000">
                <v:path arrowok="t"/>
              </v:shape>
            </v:group>
            <v:group style="position:absolute;left:2921;top:11591;width:512;height:2" coordorigin="2921,11591" coordsize="512,2">
              <v:shape style="position:absolute;left:2921;top:11591;width:512;height:2" coordorigin="2921,11591" coordsize="512,0" path="m2921,11591l3432,11591e" filled="false" stroked="true" strokeweight=".48004pt" strokecolor="#000000">
                <v:path arrowok="t"/>
              </v:shape>
            </v:group>
            <v:group style="position:absolute;left:3437;top:652;width:2;height:10944" coordorigin="3437,652" coordsize="2,10944">
              <v:shape style="position:absolute;left:3437;top:652;width:2;height:10944" coordorigin="3437,652" coordsize="0,10944" path="m3437,652l3437,11596e" filled="false" stroked="true" strokeweight=".48pt" strokecolor="#000000">
                <v:path arrowok="t"/>
              </v:shape>
            </v:group>
            <v:group style="position:absolute;left:3442;top:11591;width:510;height:2" coordorigin="3442,11591" coordsize="510,2">
              <v:shape style="position:absolute;left:3442;top:11591;width:510;height:2" coordorigin="3442,11591" coordsize="510,0" path="m3442,11591l3951,11591e" filled="false" stroked="true" strokeweight=".48004pt" strokecolor="#000000">
                <v:path arrowok="t"/>
              </v:shape>
            </v:group>
            <v:group style="position:absolute;left:3956;top:652;width:2;height:10944" coordorigin="3956,652" coordsize="2,10944">
              <v:shape style="position:absolute;left:3956;top:652;width:2;height:10944" coordorigin="3956,652" coordsize="0,10944" path="m3956,652l3956,11596e" filled="false" stroked="true" strokeweight=".48pt" strokecolor="#000000">
                <v:path arrowok="t"/>
              </v:shape>
            </v:group>
            <v:group style="position:absolute;left:3961;top:11591;width:816;height:2" coordorigin="3961,11591" coordsize="816,2">
              <v:shape style="position:absolute;left:3961;top:11591;width:816;height:2" coordorigin="3961,11591" coordsize="816,0" path="m3961,11591l4777,11591e" filled="false" stroked="true" strokeweight=".48004pt" strokecolor="#000000">
                <v:path arrowok="t"/>
              </v:shape>
            </v:group>
            <v:group style="position:absolute;left:4782;top:652;width:2;height:10944" coordorigin="4782,652" coordsize="2,10944">
              <v:shape style="position:absolute;left:4782;top:652;width:2;height:10944" coordorigin="4782,652" coordsize="0,10944" path="m4782,652l4782,11596e" filled="false" stroked="true" strokeweight=".48pt" strokecolor="#000000">
                <v:path arrowok="t"/>
              </v:shape>
            </v:group>
            <v:group style="position:absolute;left:4787;top:11591;width:843;height:2" coordorigin="4787,11591" coordsize="843,2">
              <v:shape style="position:absolute;left:4787;top:11591;width:843;height:2" coordorigin="4787,11591" coordsize="843,0" path="m4787,11591l5629,11591e" filled="false" stroked="true" strokeweight=".48004pt" strokecolor="#000000">
                <v:path arrowok="t"/>
              </v:shape>
            </v:group>
            <v:group style="position:absolute;left:5634;top:652;width:2;height:10944" coordorigin="5634,652" coordsize="2,10944">
              <v:shape style="position:absolute;left:5634;top:652;width:2;height:10944" coordorigin="5634,652" coordsize="0,10944" path="m5634,652l5634,11596e" filled="false" stroked="true" strokeweight=".48001pt" strokecolor="#000000">
                <v:path arrowok="t"/>
              </v:shape>
            </v:group>
            <v:group style="position:absolute;left:5639;top:11591;width:983;height:2" coordorigin="5639,11591" coordsize="983,2">
              <v:shape style="position:absolute;left:5639;top:11591;width:983;height:2" coordorigin="5639,11591" coordsize="983,0" path="m5639,11591l6621,11591e" filled="false" stroked="true" strokeweight=".48004pt" strokecolor="#000000">
                <v:path arrowok="t"/>
              </v:shape>
            </v:group>
            <v:group style="position:absolute;left:6625;top:652;width:2;height:10944" coordorigin="6625,652" coordsize="2,10944">
              <v:shape style="position:absolute;left:6625;top:652;width:2;height:10944" coordorigin="6625,652" coordsize="0,10944" path="m6625,652l6625,11596e" filled="false" stroked="true" strokeweight=".47998pt" strokecolor="#000000">
                <v:path arrowok="t"/>
              </v:shape>
            </v:group>
            <v:group style="position:absolute;left:6630;top:11591;width:984;height:2" coordorigin="6630,11591" coordsize="984,2">
              <v:shape style="position:absolute;left:6630;top:11591;width:984;height:2" coordorigin="6630,11591" coordsize="984,0" path="m6630,11591l7614,11591e" filled="false" stroked="true" strokeweight=".48004pt" strokecolor="#000000">
                <v:path arrowok="t"/>
              </v:shape>
            </v:group>
            <v:group style="position:absolute;left:7619;top:652;width:2;height:10944" coordorigin="7619,652" coordsize="2,10944">
              <v:shape style="position:absolute;left:7619;top:652;width:2;height:10944" coordorigin="7619,652" coordsize="0,10944" path="m7619,652l7619,11596e" filled="false" stroked="true" strokeweight=".48001pt" strokecolor="#000000">
                <v:path arrowok="t"/>
              </v:shape>
            </v:group>
            <v:group style="position:absolute;left:7624;top:11591;width:840;height:2" coordorigin="7624,11591" coordsize="840,2">
              <v:shape style="position:absolute;left:7624;top:11591;width:840;height:2" coordorigin="7624,11591" coordsize="840,0" path="m7624,11591l8464,11591e" filled="false" stroked="true" strokeweight=".48004pt" strokecolor="#000000">
                <v:path arrowok="t"/>
              </v:shape>
            </v:group>
            <v:group style="position:absolute;left:8469;top:652;width:2;height:10944" coordorigin="8469,652" coordsize="2,10944">
              <v:shape style="position:absolute;left:8469;top:652;width:2;height:10944" coordorigin="8469,652" coordsize="0,10944" path="m8469,652l8469,11596e" filled="false" stroked="true" strokeweight=".47998pt" strokecolor="#000000">
                <v:path arrowok="t"/>
              </v:shape>
            </v:group>
            <v:group style="position:absolute;left:8473;top:11591;width:1643;height:2" coordorigin="8473,11591" coordsize="1643,2">
              <v:shape style="position:absolute;left:8473;top:11591;width:1643;height:2" coordorigin="8473,11591" coordsize="1643,0" path="m8473,11591l10115,11591e" filled="false" stroked="true" strokeweight=".48004pt" strokecolor="#000000">
                <v:path arrowok="t"/>
              </v:shape>
            </v:group>
            <v:group style="position:absolute;left:10120;top:652;width:2;height:10944" coordorigin="10120,652" coordsize="2,10944">
              <v:shape style="position:absolute;left:10120;top:652;width:2;height:10944" coordorigin="10120,652" coordsize="0,10944" path="m10120,652l10120,11596e" filled="false" stroked="true" strokeweight=".48001pt" strokecolor="#000000">
                <v:path arrowok="t"/>
              </v:shape>
            </v:group>
            <v:group style="position:absolute;left:10125;top:11591;width:797;height:2" coordorigin="10125,11591" coordsize="797,2">
              <v:shape style="position:absolute;left:10125;top:11591;width:797;height:2" coordorigin="10125,11591" coordsize="797,0" path="m10125,11591l10922,11591e" filled="false" stroked="true" strokeweight=".48004pt" strokecolor="#000000">
                <v:path arrowok="t"/>
              </v:shape>
            </v:group>
            <v:group style="position:absolute;left:10927;top:652;width:2;height:10944" coordorigin="10927,652" coordsize="2,10944">
              <v:shape style="position:absolute;left:10927;top:652;width:2;height:10944" coordorigin="10927,652" coordsize="0,10944" path="m10927,652l10927,11596e" filled="false" stroked="true" strokeweight=".47998pt" strokecolor="#000000">
                <v:path arrowok="t"/>
              </v:shape>
            </v:group>
            <w10:wrap type="none"/>
          </v:group>
        </w:pict>
      </w:r>
      <w:r>
        <w:rPr/>
        <w:pict>
          <v:shape style="position:absolute;margin-left:295.779999pt;margin-top:32.85561pt;width:250.6pt;height:381.5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994"/>
                    <w:gridCol w:w="850"/>
                    <w:gridCol w:w="1652"/>
                    <w:gridCol w:w="806"/>
                  </w:tblGrid>
                  <w:tr>
                    <w:trPr>
                      <w:trHeight w:val="317" w:hRule="exact"/>
                    </w:trPr>
                    <w:tc>
                      <w:tcPr>
                        <w:tcW w:w="2553" w:type="dxa"/>
                        <w:gridSpan w:val="3"/>
                        <w:vMerge w:val="restart"/>
                        <w:tcBorders>
                          <w:top w:val="nil" w:sz="6" w:space="0" w:color="auto"/>
                          <w:left w:val="nil" w:sz="6" w:space="0" w:color="auto"/>
                          <w:right w:val="nil" w:sz="6" w:space="0" w:color="auto"/>
                        </w:tcBorders>
                        <w:shd w:val="clear" w:color="auto" w:fill="8DB3E1"/>
                      </w:tcPr>
                      <w:p>
                        <w:pPr/>
                      </w:p>
                    </w:tc>
                    <w:tc>
                      <w:tcPr>
                        <w:tcW w:w="1652" w:type="dxa"/>
                        <w:tcBorders>
                          <w:top w:val="nil" w:sz="6" w:space="0" w:color="auto"/>
                          <w:left w:val="nil" w:sz="6" w:space="0" w:color="auto"/>
                          <w:bottom w:val="nil" w:sz="6" w:space="0" w:color="auto"/>
                          <w:right w:val="nil" w:sz="6" w:space="0" w:color="auto"/>
                        </w:tcBorders>
                        <w:shd w:val="clear" w:color="auto" w:fill="8DB3E1"/>
                      </w:tcPr>
                      <w:p>
                        <w:pPr/>
                      </w:p>
                    </w:tc>
                    <w:tc>
                      <w:tcPr>
                        <w:tcW w:w="806"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是否在股</w:t>
                        </w:r>
                      </w:p>
                    </w:tc>
                  </w:tr>
                  <w:tr>
                    <w:trPr>
                      <w:trHeight w:val="312" w:hRule="exact"/>
                    </w:trPr>
                    <w:tc>
                      <w:tcPr>
                        <w:tcW w:w="2553" w:type="dxa"/>
                        <w:gridSpan w:val="3"/>
                        <w:vMerge/>
                        <w:tcBorders>
                          <w:left w:val="nil" w:sz="6" w:space="0" w:color="auto"/>
                          <w:bottom w:val="nil" w:sz="6" w:space="0" w:color="auto"/>
                          <w:right w:val="nil" w:sz="6" w:space="0" w:color="auto"/>
                        </w:tcBorders>
                        <w:shd w:val="clear" w:color="auto" w:fill="8DB3E1"/>
                      </w:tcPr>
                      <w:p>
                        <w:pPr/>
                      </w:p>
                    </w:tc>
                    <w:tc>
                      <w:tcPr>
                        <w:tcW w:w="1652"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报告期内从公司领</w:t>
                        </w:r>
                      </w:p>
                    </w:tc>
                    <w:tc>
                      <w:tcPr>
                        <w:tcW w:w="806"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东单位或</w:t>
                        </w:r>
                      </w:p>
                    </w:tc>
                  </w:tr>
                  <w:tr>
                    <w:trPr>
                      <w:trHeight w:val="394" w:hRule="exact"/>
                    </w:trPr>
                    <w:tc>
                      <w:tcPr>
                        <w:tcW w:w="5011" w:type="dxa"/>
                        <w:gridSpan w:val="5"/>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left="1765" w:right="0"/>
                          <w:jc w:val="left"/>
                          <w:rPr>
                            <w:rFonts w:ascii="宋体" w:hAnsi="宋体" w:cs="宋体" w:eastAsia="宋体" w:hint="default"/>
                            <w:sz w:val="18"/>
                            <w:szCs w:val="18"/>
                          </w:rPr>
                        </w:pPr>
                        <w:r>
                          <w:rPr>
                            <w:rFonts w:ascii="宋体" w:hAnsi="宋体" w:cs="宋体" w:eastAsia="宋体" w:hint="default"/>
                            <w:sz w:val="18"/>
                            <w:szCs w:val="18"/>
                          </w:rPr>
                          <w:t>变动原因  取的报酬总额（万</w:t>
                        </w:r>
                        <w:r>
                          <w:rPr>
                            <w:rFonts w:ascii="宋体" w:hAnsi="宋体" w:cs="宋体" w:eastAsia="宋体" w:hint="default"/>
                            <w:spacing w:val="49"/>
                            <w:sz w:val="18"/>
                            <w:szCs w:val="18"/>
                          </w:rPr>
                          <w:t> </w:t>
                        </w:r>
                        <w:r>
                          <w:rPr>
                            <w:rFonts w:ascii="宋体" w:hAnsi="宋体" w:cs="宋体" w:eastAsia="宋体" w:hint="default"/>
                            <w:sz w:val="18"/>
                            <w:szCs w:val="18"/>
                          </w:rPr>
                          <w:t>其他关联</w:t>
                        </w:r>
                      </w:p>
                    </w:tc>
                  </w:tr>
                  <w:tr>
                    <w:trPr>
                      <w:trHeight w:val="312" w:hRule="exact"/>
                    </w:trPr>
                    <w:tc>
                      <w:tcPr>
                        <w:tcW w:w="710" w:type="dxa"/>
                        <w:tcBorders>
                          <w:top w:val="nil" w:sz="6" w:space="0" w:color="auto"/>
                          <w:left w:val="nil" w:sz="6" w:space="0" w:color="auto"/>
                          <w:bottom w:val="nil" w:sz="6" w:space="0" w:color="auto"/>
                          <w:right w:val="nil" w:sz="6" w:space="0" w:color="auto"/>
                        </w:tcBorders>
                        <w:shd w:val="clear" w:color="auto" w:fill="8DB3E1"/>
                      </w:tcPr>
                      <w:p>
                        <w:pPr/>
                      </w:p>
                    </w:tc>
                    <w:tc>
                      <w:tcPr>
                        <w:tcW w:w="994" w:type="dxa"/>
                        <w:tcBorders>
                          <w:top w:val="nil" w:sz="6" w:space="0" w:color="auto"/>
                          <w:left w:val="nil" w:sz="6" w:space="0" w:color="auto"/>
                          <w:bottom w:val="nil" w:sz="6" w:space="0" w:color="auto"/>
                          <w:right w:val="nil" w:sz="6" w:space="0" w:color="auto"/>
                        </w:tcBorders>
                        <w:shd w:val="clear" w:color="auto" w:fill="8DB3E1"/>
                      </w:tcPr>
                      <w:p>
                        <w:pPr/>
                      </w:p>
                    </w:tc>
                    <w:tc>
                      <w:tcPr>
                        <w:tcW w:w="850" w:type="dxa"/>
                        <w:tcBorders>
                          <w:top w:val="nil" w:sz="6" w:space="0" w:color="auto"/>
                          <w:left w:val="nil" w:sz="6" w:space="0" w:color="auto"/>
                          <w:bottom w:val="nil" w:sz="6" w:space="0" w:color="auto"/>
                          <w:right w:val="nil" w:sz="6" w:space="0" w:color="auto"/>
                        </w:tcBorders>
                        <w:shd w:val="clear" w:color="auto" w:fill="8DB3E1"/>
                      </w:tcPr>
                      <w:p>
                        <w:pPr/>
                      </w:p>
                    </w:tc>
                    <w:tc>
                      <w:tcPr>
                        <w:tcW w:w="1652"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（税前）</w:t>
                        </w:r>
                      </w:p>
                    </w:tc>
                    <w:tc>
                      <w:tcPr>
                        <w:tcW w:w="806"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单位领取</w:t>
                        </w:r>
                      </w:p>
                    </w:tc>
                  </w:tr>
                  <w:tr>
                    <w:trPr>
                      <w:trHeight w:val="317" w:hRule="exact"/>
                    </w:trPr>
                    <w:tc>
                      <w:tcPr>
                        <w:tcW w:w="710" w:type="dxa"/>
                        <w:tcBorders>
                          <w:top w:val="nil" w:sz="6" w:space="0" w:color="auto"/>
                          <w:left w:val="nil" w:sz="6" w:space="0" w:color="auto"/>
                          <w:bottom w:val="nil" w:sz="6" w:space="0" w:color="auto"/>
                          <w:right w:val="nil" w:sz="6" w:space="0" w:color="auto"/>
                        </w:tcBorders>
                        <w:shd w:val="clear" w:color="auto" w:fill="8DB3E1"/>
                      </w:tcPr>
                      <w:p>
                        <w:pPr/>
                      </w:p>
                    </w:tc>
                    <w:tc>
                      <w:tcPr>
                        <w:tcW w:w="994" w:type="dxa"/>
                        <w:tcBorders>
                          <w:top w:val="nil" w:sz="6" w:space="0" w:color="auto"/>
                          <w:left w:val="nil" w:sz="6" w:space="0" w:color="auto"/>
                          <w:bottom w:val="nil" w:sz="6" w:space="0" w:color="auto"/>
                          <w:right w:val="nil" w:sz="6" w:space="0" w:color="auto"/>
                        </w:tcBorders>
                        <w:shd w:val="clear" w:color="auto" w:fill="8DB3E1"/>
                      </w:tcPr>
                      <w:p>
                        <w:pPr/>
                      </w:p>
                    </w:tc>
                    <w:tc>
                      <w:tcPr>
                        <w:tcW w:w="850" w:type="dxa"/>
                        <w:tcBorders>
                          <w:top w:val="nil" w:sz="6" w:space="0" w:color="auto"/>
                          <w:left w:val="nil" w:sz="6" w:space="0" w:color="auto"/>
                          <w:bottom w:val="nil" w:sz="6" w:space="0" w:color="auto"/>
                          <w:right w:val="nil" w:sz="6" w:space="0" w:color="auto"/>
                        </w:tcBorders>
                        <w:shd w:val="clear" w:color="auto" w:fill="8DB3E1"/>
                      </w:tcPr>
                      <w:p>
                        <w:pPr/>
                      </w:p>
                    </w:tc>
                    <w:tc>
                      <w:tcPr>
                        <w:tcW w:w="1652" w:type="dxa"/>
                        <w:tcBorders>
                          <w:top w:val="nil" w:sz="6" w:space="0" w:color="auto"/>
                          <w:left w:val="nil" w:sz="6" w:space="0" w:color="auto"/>
                          <w:bottom w:val="nil" w:sz="6" w:space="0" w:color="auto"/>
                          <w:right w:val="nil" w:sz="6" w:space="0" w:color="auto"/>
                        </w:tcBorders>
                        <w:shd w:val="clear" w:color="auto" w:fill="8DB3E1"/>
                      </w:tcPr>
                      <w:p>
                        <w:pPr/>
                      </w:p>
                    </w:tc>
                    <w:tc>
                      <w:tcPr>
                        <w:tcW w:w="806"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薪酬</w:t>
                        </w:r>
                      </w:p>
                    </w:tc>
                  </w:tr>
                  <w:tr>
                    <w:trPr>
                      <w:trHeight w:val="717"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2115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2115</w:t>
                        </w:r>
                      </w:p>
                    </w:tc>
                    <w:tc>
                      <w:tcPr>
                        <w:tcW w:w="85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16.44</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705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705</w:t>
                        </w:r>
                      </w:p>
                    </w:tc>
                    <w:tc>
                      <w:tcPr>
                        <w:tcW w:w="85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24.24</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85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38.58</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33"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850" w:type="dxa"/>
                        <w:tcBorders>
                          <w:top w:val="nil" w:sz="6" w:space="0" w:color="auto"/>
                          <w:left w:val="nil" w:sz="6" w:space="0" w:color="auto"/>
                          <w:bottom w:val="nil" w:sz="6" w:space="0" w:color="auto"/>
                          <w:right w:val="nil" w:sz="6" w:space="0" w:color="auto"/>
                        </w:tcBorders>
                      </w:tcPr>
                      <w:p>
                        <w:pPr/>
                      </w:p>
                    </w:tc>
                    <w:tc>
                      <w:tcPr>
                        <w:tcW w:w="24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1963" w:val="left" w:leader="none"/>
                          </w:tabs>
                          <w:spacing w:line="240" w:lineRule="auto"/>
                          <w:ind w:left="6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48.78</w:t>
                          <w:tab/>
                        </w:r>
                        <w:r>
                          <w:rPr>
                            <w:rFonts w:ascii="宋体" w:hAnsi="宋体" w:cs="宋体" w:eastAsia="宋体" w:hint="default"/>
                            <w:sz w:val="18"/>
                            <w:szCs w:val="18"/>
                          </w:rPr>
                          <w:t>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（董事津贴，税后）是（注）</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tabs>
                            <w:tab w:pos="1963" w:val="left" w:leader="none"/>
                          </w:tabs>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（独董津贴，税后）</w:t>
                          <w:tab/>
                        </w:r>
                        <w:r>
                          <w:rPr>
                            <w:rFonts w:ascii="宋体" w:hAnsi="宋体" w:cs="宋体" w:eastAsia="宋体" w:hint="default"/>
                            <w:sz w:val="18"/>
                            <w:szCs w:val="18"/>
                          </w:rPr>
                          <w:t>否</w:t>
                        </w:r>
                      </w:p>
                      <w:p>
                        <w:pPr>
                          <w:pStyle w:val="TableParagraph"/>
                          <w:spacing w:line="240" w:lineRule="auto" w:before="9"/>
                          <w:ind w:right="0"/>
                          <w:jc w:val="left"/>
                          <w:rPr>
                            <w:rFonts w:ascii="宋体" w:hAnsi="宋体" w:cs="宋体" w:eastAsia="宋体" w:hint="default"/>
                            <w:sz w:val="23"/>
                            <w:szCs w:val="23"/>
                          </w:rPr>
                        </w:pPr>
                      </w:p>
                      <w:p>
                        <w:pPr>
                          <w:pStyle w:val="TableParagraph"/>
                          <w:spacing w:line="203"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（独董津贴，税后）</w:t>
                        </w:r>
                      </w:p>
                      <w:p>
                        <w:pPr>
                          <w:pStyle w:val="TableParagraph"/>
                          <w:spacing w:line="189" w:lineRule="exact"/>
                          <w:ind w:left="196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7"/>
                          <w:ind w:right="0"/>
                          <w:jc w:val="left"/>
                          <w:rPr>
                            <w:rFonts w:ascii="宋体" w:hAnsi="宋体" w:cs="宋体" w:eastAsia="宋体" w:hint="default"/>
                            <w:sz w:val="24"/>
                            <w:szCs w:val="24"/>
                          </w:rPr>
                        </w:pPr>
                      </w:p>
                      <w:p>
                        <w:pPr>
                          <w:pStyle w:val="TableParagraph"/>
                          <w:spacing w:line="203"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（独董津贴，税后）</w:t>
                        </w:r>
                      </w:p>
                      <w:p>
                        <w:pPr>
                          <w:pStyle w:val="TableParagraph"/>
                          <w:spacing w:line="189" w:lineRule="exact"/>
                          <w:ind w:left="196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（独董津贴，税后）</w:t>
                        </w:r>
                      </w:p>
                    </w:tc>
                  </w:tr>
                </w:tbl>
                <w:p>
                  <w:pPr/>
                </w:p>
              </w:txbxContent>
            </v:textbox>
            <w10:wrap type="none"/>
          </v:shape>
        </w:pict>
      </w:r>
      <w:r>
        <w:rPr/>
        <w:t>一、</w:t>
      </w:r>
      <w:r>
        <w:rPr>
          <w:spacing w:val="-3"/>
        </w:rPr>
        <w:t> </w:t>
      </w:r>
      <w:r>
        <w:rPr/>
        <w:t>董事、监事和高级管理人员持股变动及报酬情况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67" w:footer="1267" w:top="1060" w:bottom="1460" w:left="980" w:right="860"/>
        </w:sectPr>
      </w:pPr>
    </w:p>
    <w:p>
      <w:pPr>
        <w:spacing w:line="240" w:lineRule="auto" w:before="10"/>
        <w:rPr>
          <w:rFonts w:ascii="宋体" w:hAnsi="宋体" w:cs="宋体" w:eastAsia="宋体" w:hint="default"/>
          <w:b/>
          <w:bCs/>
          <w:sz w:val="16"/>
          <w:szCs w:val="16"/>
        </w:rPr>
      </w:pPr>
    </w:p>
    <w:p>
      <w:pPr>
        <w:tabs>
          <w:tab w:pos="1235" w:val="left" w:leader="none"/>
          <w:tab w:pos="2013" w:val="left" w:leader="none"/>
        </w:tabs>
        <w:spacing w:line="212" w:lineRule="exact" w:before="0"/>
        <w:ind w:left="326" w:right="-19" w:firstLine="0"/>
        <w:jc w:val="left"/>
        <w:rPr>
          <w:rFonts w:ascii="宋体" w:hAnsi="宋体" w:cs="宋体" w:eastAsia="宋体" w:hint="default"/>
          <w:sz w:val="18"/>
          <w:szCs w:val="18"/>
        </w:rPr>
      </w:pPr>
      <w:r>
        <w:rPr>
          <w:rFonts w:ascii="宋体" w:hAnsi="宋体" w:cs="宋体" w:eastAsia="宋体" w:hint="default"/>
          <w:sz w:val="18"/>
          <w:szCs w:val="18"/>
        </w:rPr>
        <w:t>姓名</w:t>
        <w:tab/>
        <w:t>职务</w:t>
        <w:tab/>
        <w:t>性别</w:t>
      </w:r>
      <w:r>
        <w:rPr>
          <w:rFonts w:ascii="宋体" w:hAnsi="宋体" w:cs="宋体" w:eastAsia="宋体" w:hint="default"/>
          <w:spacing w:val="70"/>
          <w:sz w:val="18"/>
          <w:szCs w:val="18"/>
        </w:rPr>
        <w:t> </w:t>
      </w:r>
      <w:r>
        <w:rPr>
          <w:rFonts w:ascii="宋体" w:hAnsi="宋体" w:cs="宋体" w:eastAsia="宋体" w:hint="default"/>
          <w:sz w:val="18"/>
          <w:szCs w:val="18"/>
        </w:rPr>
        <w:t>年龄</w:t>
      </w:r>
    </w:p>
    <w:p>
      <w:pPr>
        <w:spacing w:before="63"/>
        <w:ind w:left="94"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任期起始</w:t>
      </w:r>
    </w:p>
    <w:p>
      <w:pPr>
        <w:spacing w:before="63"/>
        <w:ind w:left="7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任期终止</w:t>
      </w:r>
    </w:p>
    <w:p>
      <w:pPr>
        <w:spacing w:before="44"/>
        <w:ind w:left="7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年初持股数</w:t>
      </w:r>
      <w:r>
        <w:rPr>
          <w:rFonts w:ascii="宋体" w:hAnsi="宋体" w:cs="宋体" w:eastAsia="宋体" w:hint="default"/>
          <w:spacing w:val="4"/>
          <w:sz w:val="18"/>
          <w:szCs w:val="18"/>
        </w:rPr>
        <w:t> </w:t>
      </w:r>
      <w:r>
        <w:rPr>
          <w:rFonts w:ascii="宋体" w:hAnsi="宋体" w:cs="宋体" w:eastAsia="宋体" w:hint="default"/>
          <w:sz w:val="18"/>
          <w:szCs w:val="18"/>
        </w:rPr>
        <w:t>年末持股数</w:t>
      </w:r>
    </w:p>
    <w:p>
      <w:pPr>
        <w:spacing w:after="0"/>
        <w:jc w:val="left"/>
        <w:rPr>
          <w:rFonts w:ascii="宋体" w:hAnsi="宋体" w:cs="宋体" w:eastAsia="宋体" w:hint="default"/>
          <w:sz w:val="18"/>
          <w:szCs w:val="18"/>
        </w:rPr>
        <w:sectPr>
          <w:type w:val="continuous"/>
          <w:pgSz w:w="11910" w:h="16840"/>
          <w:pgMar w:top="1060" w:bottom="1460" w:left="980" w:right="860"/>
          <w:cols w:num="4" w:equalWidth="0">
            <w:col w:w="2895" w:space="40"/>
            <w:col w:w="816" w:space="40"/>
            <w:col w:w="798" w:space="40"/>
            <w:col w:w="5441"/>
          </w:cols>
        </w:sectPr>
      </w:pPr>
    </w:p>
    <w:p>
      <w:pPr>
        <w:tabs>
          <w:tab w:pos="837" w:val="left" w:leader="none"/>
        </w:tabs>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日期</w:t>
        <w:tab/>
        <w:t>日期</w:t>
      </w:r>
    </w:p>
    <w:p>
      <w:pPr>
        <w:spacing w:line="199" w:lineRule="exact" w:before="0"/>
        <w:ind w:left="3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（万股）</w:t>
      </w:r>
    </w:p>
    <w:p>
      <w:pPr>
        <w:spacing w:line="199" w:lineRule="exact" w:before="0"/>
        <w:ind w:left="23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（万股）</w:t>
      </w:r>
    </w:p>
    <w:p>
      <w:pPr>
        <w:spacing w:after="0" w:line="199" w:lineRule="exact"/>
        <w:jc w:val="left"/>
        <w:rPr>
          <w:rFonts w:ascii="宋体" w:hAnsi="宋体" w:cs="宋体" w:eastAsia="宋体" w:hint="default"/>
          <w:sz w:val="18"/>
          <w:szCs w:val="18"/>
        </w:rPr>
        <w:sectPr>
          <w:type w:val="continuous"/>
          <w:pgSz w:w="11910" w:h="16840"/>
          <w:pgMar w:top="1060" w:bottom="1460" w:left="980" w:right="860"/>
          <w:cols w:num="3" w:equalWidth="0">
            <w:col w:w="4407" w:space="40"/>
            <w:col w:w="1062" w:space="40"/>
            <w:col w:w="4521"/>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460" w:left="980" w:right="860"/>
        </w:sectPr>
      </w:pPr>
    </w:p>
    <w:p>
      <w:pPr>
        <w:spacing w:before="44"/>
        <w:ind w:left="942" w:right="-19" w:firstLine="0"/>
        <w:jc w:val="left"/>
        <w:rPr>
          <w:rFonts w:ascii="宋体" w:hAnsi="宋体" w:cs="宋体" w:eastAsia="宋体" w:hint="default"/>
          <w:sz w:val="18"/>
          <w:szCs w:val="18"/>
        </w:rPr>
      </w:pPr>
      <w:r>
        <w:rPr/>
        <w:pict>
          <v:shape style="position:absolute;margin-left:55.32pt;margin-top:12.777329pt;width:189.9pt;height:101.8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8"/>
                    <w:gridCol w:w="1469"/>
                  </w:tblGrid>
                  <w:tr>
                    <w:trPr>
                      <w:trHeight w:val="287" w:hRule="exact"/>
                    </w:trPr>
                    <w:tc>
                      <w:tcPr>
                        <w:tcW w:w="2328" w:type="dxa"/>
                        <w:tcBorders>
                          <w:top w:val="nil" w:sz="6" w:space="0" w:color="auto"/>
                          <w:left w:val="nil" w:sz="6" w:space="0" w:color="auto"/>
                          <w:bottom w:val="nil" w:sz="6" w:space="0" w:color="auto"/>
                          <w:right w:val="nil" w:sz="6" w:space="0" w:color="auto"/>
                        </w:tcBorders>
                      </w:tcPr>
                      <w:p>
                        <w:pPr>
                          <w:pStyle w:val="TableParagraph"/>
                          <w:tabs>
                            <w:tab w:pos="1977" w:val="left" w:leader="none"/>
                          </w:tabs>
                          <w:spacing w:line="139" w:lineRule="exact"/>
                          <w:ind w:left="199" w:right="0"/>
                          <w:jc w:val="left"/>
                          <w:rPr>
                            <w:rFonts w:ascii="宋体" w:hAnsi="宋体" w:cs="宋体" w:eastAsia="宋体" w:hint="default"/>
                            <w:sz w:val="18"/>
                            <w:szCs w:val="18"/>
                          </w:rPr>
                        </w:pPr>
                        <w:r>
                          <w:rPr>
                            <w:rFonts w:ascii="宋体" w:hAnsi="宋体" w:cs="宋体" w:eastAsia="宋体" w:hint="default"/>
                            <w:sz w:val="18"/>
                            <w:szCs w:val="18"/>
                          </w:rPr>
                          <w:t>刘祥</w:t>
                          <w:tab/>
                          <w:t>男</w:t>
                        </w:r>
                      </w:p>
                      <w:p>
                        <w:pPr>
                          <w:pStyle w:val="TableParagraph"/>
                          <w:spacing w:line="188" w:lineRule="exact"/>
                          <w:ind w:left="247" w:right="0"/>
                          <w:jc w:val="center"/>
                          <w:rPr>
                            <w:rFonts w:ascii="宋体" w:hAnsi="宋体" w:cs="宋体" w:eastAsia="宋体" w:hint="default"/>
                            <w:sz w:val="18"/>
                            <w:szCs w:val="18"/>
                          </w:rPr>
                        </w:pPr>
                        <w:r>
                          <w:rPr>
                            <w:rFonts w:ascii="宋体" w:hAnsi="宋体" w:cs="宋体" w:eastAsia="宋体" w:hint="default"/>
                            <w:sz w:val="18"/>
                            <w:szCs w:val="18"/>
                          </w:rPr>
                          <w:t>长</w:t>
                        </w:r>
                      </w:p>
                    </w:tc>
                    <w:tc>
                      <w:tcPr>
                        <w:tcW w:w="1469" w:type="dxa"/>
                        <w:tcBorders>
                          <w:top w:val="nil" w:sz="6" w:space="0" w:color="auto"/>
                          <w:left w:val="nil" w:sz="6" w:space="0" w:color="auto"/>
                          <w:bottom w:val="nil" w:sz="6" w:space="0" w:color="auto"/>
                          <w:right w:val="nil" w:sz="6" w:space="0" w:color="auto"/>
                        </w:tcBorders>
                      </w:tcPr>
                      <w:p>
                        <w:pPr>
                          <w:pStyle w:val="TableParagraph"/>
                          <w:spacing w:line="146" w:lineRule="exact"/>
                          <w:ind w:left="170" w:right="0"/>
                          <w:jc w:val="left"/>
                          <w:rPr>
                            <w:rFonts w:ascii="Times New Roman" w:hAnsi="Times New Roman" w:cs="Times New Roman" w:eastAsia="Times New Roman" w:hint="default"/>
                            <w:sz w:val="18"/>
                            <w:szCs w:val="18"/>
                          </w:rPr>
                        </w:pPr>
                        <w:r>
                          <w:rPr>
                            <w:rFonts w:ascii="Times New Roman"/>
                            <w:sz w:val="18"/>
                          </w:rPr>
                          <w:t>44</w:t>
                        </w:r>
                      </w:p>
                      <w:p>
                        <w:pPr>
                          <w:pStyle w:val="TableParagraph"/>
                          <w:spacing w:line="181"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2328"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2328"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4"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96" w:lineRule="exact"/>
                          <w:ind w:left="250"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p>
                        <w:pPr>
                          <w:pStyle w:val="TableParagraph"/>
                          <w:tabs>
                            <w:tab w:pos="1977" w:val="left" w:leader="none"/>
                          </w:tabs>
                          <w:spacing w:line="149" w:lineRule="exact"/>
                          <w:ind w:left="199" w:right="0"/>
                          <w:jc w:val="left"/>
                          <w:rPr>
                            <w:rFonts w:ascii="宋体" w:hAnsi="宋体" w:cs="宋体" w:eastAsia="宋体" w:hint="default"/>
                            <w:sz w:val="18"/>
                            <w:szCs w:val="18"/>
                          </w:rPr>
                        </w:pPr>
                        <w:r>
                          <w:rPr>
                            <w:rFonts w:ascii="宋体" w:hAnsi="宋体" w:cs="宋体" w:eastAsia="宋体" w:hint="default"/>
                            <w:sz w:val="18"/>
                            <w:szCs w:val="18"/>
                          </w:rPr>
                          <w:t>江汉</w:t>
                          <w:tab/>
                          <w:t>男</w:t>
                        </w:r>
                      </w:p>
                      <w:p>
                        <w:pPr>
                          <w:pStyle w:val="TableParagraph"/>
                          <w:spacing w:line="189" w:lineRule="exact"/>
                          <w:ind w:left="247" w:right="0"/>
                          <w:jc w:val="center"/>
                          <w:rPr>
                            <w:rFonts w:ascii="宋体" w:hAnsi="宋体" w:cs="宋体" w:eastAsia="宋体" w:hint="default"/>
                            <w:sz w:val="18"/>
                            <w:szCs w:val="18"/>
                          </w:rPr>
                        </w:pPr>
                        <w:r>
                          <w:rPr>
                            <w:rFonts w:ascii="宋体" w:hAnsi="宋体" w:cs="宋体" w:eastAsia="宋体" w:hint="default"/>
                            <w:sz w:val="18"/>
                            <w:szCs w:val="18"/>
                          </w:rPr>
                          <w:t>事</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5" w:lineRule="exact"/>
                          <w:ind w:left="170"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182"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2328"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2328"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1"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96" w:lineRule="exact"/>
                          <w:ind w:left="250"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p>
                        <w:pPr>
                          <w:pStyle w:val="TableParagraph"/>
                          <w:tabs>
                            <w:tab w:pos="1977" w:val="left" w:leader="none"/>
                          </w:tabs>
                          <w:spacing w:line="148" w:lineRule="exact"/>
                          <w:ind w:left="199" w:right="0"/>
                          <w:jc w:val="left"/>
                          <w:rPr>
                            <w:rFonts w:ascii="宋体" w:hAnsi="宋体" w:cs="宋体" w:eastAsia="宋体" w:hint="default"/>
                            <w:sz w:val="18"/>
                            <w:szCs w:val="18"/>
                          </w:rPr>
                        </w:pPr>
                        <w:r>
                          <w:rPr>
                            <w:rFonts w:ascii="宋体" w:hAnsi="宋体" w:cs="宋体" w:eastAsia="宋体" w:hint="default"/>
                            <w:sz w:val="18"/>
                            <w:szCs w:val="18"/>
                          </w:rPr>
                          <w:t>汪洋</w:t>
                          <w:tab/>
                          <w:t>男</w:t>
                        </w:r>
                      </w:p>
                      <w:p>
                        <w:pPr>
                          <w:pStyle w:val="TableParagraph"/>
                          <w:spacing w:line="188" w:lineRule="exact"/>
                          <w:ind w:left="247" w:right="0"/>
                          <w:jc w:val="center"/>
                          <w:rPr>
                            <w:rFonts w:ascii="宋体" w:hAnsi="宋体" w:cs="宋体" w:eastAsia="宋体" w:hint="default"/>
                            <w:sz w:val="18"/>
                            <w:szCs w:val="18"/>
                          </w:rPr>
                        </w:pPr>
                        <w:r>
                          <w:rPr>
                            <w:rFonts w:ascii="宋体" w:hAnsi="宋体" w:cs="宋体" w:eastAsia="宋体" w:hint="default"/>
                            <w:sz w:val="18"/>
                            <w:szCs w:val="18"/>
                          </w:rPr>
                          <w:t>事</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4" w:lineRule="exact"/>
                          <w:ind w:left="170" w:right="0"/>
                          <w:jc w:val="left"/>
                          <w:rPr>
                            <w:rFonts w:ascii="Times New Roman" w:hAnsi="Times New Roman" w:cs="Times New Roman" w:eastAsia="Times New Roman" w:hint="default"/>
                            <w:sz w:val="18"/>
                            <w:szCs w:val="18"/>
                          </w:rPr>
                        </w:pPr>
                        <w:r>
                          <w:rPr>
                            <w:rFonts w:ascii="Times New Roman"/>
                            <w:sz w:val="18"/>
                          </w:rPr>
                          <w:t>48</w:t>
                        </w:r>
                      </w:p>
                      <w:p>
                        <w:pPr>
                          <w:pStyle w:val="TableParagraph"/>
                          <w:spacing w:line="181"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2328"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2328"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p>
    <w:p>
      <w:pPr>
        <w:spacing w:before="44"/>
        <w:ind w:left="942" w:right="-18"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spacing w:before="44"/>
        <w:ind w:left="81"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p>
    <w:p>
      <w:pPr>
        <w:spacing w:before="60"/>
        <w:ind w:left="121"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60" w:bottom="1460" w:left="980" w:right="860"/>
          <w:cols w:num="3" w:equalWidth="0">
            <w:col w:w="1889" w:space="197"/>
            <w:col w:w="1665" w:space="40"/>
            <w:col w:w="6279"/>
          </w:cols>
        </w:sectPr>
      </w:pP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3"/>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460" w:left="980" w:right="860"/>
        </w:sectPr>
      </w:pPr>
    </w:p>
    <w:p>
      <w:pPr>
        <w:spacing w:line="240" w:lineRule="auto" w:before="5"/>
        <w:rPr>
          <w:rFonts w:ascii="宋体" w:hAnsi="宋体" w:cs="宋体" w:eastAsia="宋体" w:hint="default"/>
          <w:sz w:val="15"/>
          <w:szCs w:val="15"/>
        </w:rPr>
      </w:pPr>
    </w:p>
    <w:p>
      <w:pPr>
        <w:spacing w:before="0"/>
        <w:ind w:left="234" w:right="-20" w:firstLine="0"/>
        <w:jc w:val="left"/>
        <w:rPr>
          <w:rFonts w:ascii="宋体" w:hAnsi="宋体" w:cs="宋体" w:eastAsia="宋体" w:hint="default"/>
          <w:sz w:val="18"/>
          <w:szCs w:val="18"/>
        </w:rPr>
      </w:pPr>
      <w:r>
        <w:rPr>
          <w:rFonts w:ascii="宋体" w:hAnsi="宋体" w:cs="宋体" w:eastAsia="宋体" w:hint="default"/>
          <w:sz w:val="18"/>
          <w:szCs w:val="18"/>
        </w:rPr>
        <w:t>韦余红</w:t>
      </w:r>
    </w:p>
    <w:p>
      <w:pPr>
        <w:spacing w:before="44"/>
        <w:ind w:left="12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总工程师</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p>
      <w:pPr>
        <w:spacing w:line="240" w:lineRule="auto" w:before="5"/>
        <w:rPr>
          <w:rFonts w:ascii="宋体" w:hAnsi="宋体" w:cs="宋体" w:eastAsia="宋体" w:hint="default"/>
          <w:sz w:val="15"/>
          <w:szCs w:val="15"/>
        </w:rPr>
      </w:pPr>
      <w:r>
        <w:rPr/>
        <w:br w:type="column"/>
      </w:r>
      <w:r>
        <w:rPr>
          <w:rFonts w:ascii="宋体"/>
          <w:sz w:val="15"/>
        </w:rPr>
      </w:r>
    </w:p>
    <w:p>
      <w:pPr>
        <w:tabs>
          <w:tab w:pos="696" w:val="left" w:leader="none"/>
        </w:tabs>
        <w:spacing w:before="0"/>
        <w:ind w:left="175"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男</w:t>
        <w:tab/>
      </w:r>
      <w:r>
        <w:rPr>
          <w:rFonts w:ascii="Times New Roman" w:hAnsi="Times New Roman" w:cs="Times New Roman" w:eastAsia="Times New Roman" w:hint="default"/>
          <w:sz w:val="18"/>
          <w:szCs w:val="18"/>
        </w:rPr>
        <w:t>42</w:t>
      </w:r>
    </w:p>
    <w:p>
      <w:pPr>
        <w:spacing w:before="44"/>
        <w:ind w:left="181" w:right="-19"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spacing w:before="44"/>
        <w:ind w:left="81"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p>
    <w:p>
      <w:pPr>
        <w:spacing w:before="63"/>
        <w:ind w:left="121" w:right="0" w:firstLine="0"/>
        <w:jc w:val="left"/>
        <w:rPr>
          <w:rFonts w:ascii="宋体" w:hAnsi="宋体" w:cs="宋体" w:eastAsia="宋体" w:hint="default"/>
          <w:sz w:val="18"/>
          <w:szCs w:val="18"/>
        </w:rPr>
      </w:pPr>
      <w:r>
        <w:rPr/>
        <w:pict>
          <v:shape style="position:absolute;margin-left:55.32pt;margin-top:5.927356pt;width:189.9pt;height:33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4"/>
                    <w:gridCol w:w="1094"/>
                    <w:gridCol w:w="470"/>
                    <w:gridCol w:w="1469"/>
                  </w:tblGrid>
                  <w:tr>
                    <w:trPr>
                      <w:trHeight w:val="294" w:hRule="exact"/>
                    </w:trPr>
                    <w:tc>
                      <w:tcPr>
                        <w:tcW w:w="764" w:type="dxa"/>
                        <w:vMerge w:val="restart"/>
                        <w:tcBorders>
                          <w:top w:val="nil" w:sz="6" w:space="0" w:color="auto"/>
                          <w:left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180" w:lineRule="exact"/>
                          <w:ind w:right="43"/>
                          <w:jc w:val="center"/>
                          <w:rPr>
                            <w:rFonts w:ascii="宋体" w:hAnsi="宋体" w:cs="宋体" w:eastAsia="宋体" w:hint="default"/>
                            <w:sz w:val="18"/>
                            <w:szCs w:val="18"/>
                          </w:rPr>
                        </w:pPr>
                        <w:r>
                          <w:rPr>
                            <w:rFonts w:ascii="宋体" w:hAnsi="宋体" w:cs="宋体" w:eastAsia="宋体" w:hint="default"/>
                            <w:sz w:val="18"/>
                            <w:szCs w:val="18"/>
                          </w:rPr>
                          <w:t>事</w:t>
                        </w: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194"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vMerge/>
                        <w:tcBorders>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贾巍</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董事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nil" w:sz="6" w:space="0" w:color="auto"/>
                          <w:left w:val="nil" w:sz="6" w:space="0" w:color="auto"/>
                          <w:bottom w:val="nil" w:sz="6" w:space="0" w:color="auto"/>
                          <w:right w:val="nil" w:sz="6" w:space="0" w:color="auto"/>
                        </w:tcBorders>
                      </w:tcPr>
                      <w:p>
                        <w:pPr>
                          <w:pStyle w:val="TableParagraph"/>
                          <w:spacing w:line="142"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229" w:lineRule="exact" w:before="60"/>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4"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金毅</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42"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229" w:lineRule="exact" w:before="63"/>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许映鹏</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42"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229" w:lineRule="exact" w:before="60"/>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4"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李建辉</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42"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229" w:lineRule="exact" w:before="63"/>
                          <w:ind w:left="6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刘永开</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4" w:lineRule="exact"/>
                          <w:ind w:left="170" w:right="0"/>
                          <w:jc w:val="left"/>
                          <w:rPr>
                            <w:rFonts w:ascii="Times New Roman" w:hAnsi="Times New Roman" w:cs="Times New Roman" w:eastAsia="Times New Roman" w:hint="default"/>
                            <w:sz w:val="18"/>
                            <w:szCs w:val="18"/>
                          </w:rPr>
                        </w:pPr>
                        <w:r>
                          <w:rPr>
                            <w:rFonts w:ascii="Times New Roman"/>
                            <w:sz w:val="18"/>
                          </w:rPr>
                          <w:t>43</w:t>
                        </w:r>
                      </w:p>
                      <w:p>
                        <w:pPr>
                          <w:pStyle w:val="TableParagraph"/>
                          <w:spacing w:line="181"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4"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李林杰</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5" w:lineRule="exact"/>
                          <w:ind w:left="170"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182"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栾承岚</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监事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4" w:lineRule="exact"/>
                          <w:ind w:left="170"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181"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杨星</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5" w:lineRule="exact"/>
                          <w:ind w:left="170" w:right="0"/>
                          <w:jc w:val="left"/>
                          <w:rPr>
                            <w:rFonts w:ascii="Times New Roman" w:hAnsi="Times New Roman" w:cs="Times New Roman" w:eastAsia="Times New Roman" w:hint="default"/>
                            <w:sz w:val="18"/>
                            <w:szCs w:val="18"/>
                          </w:rPr>
                        </w:pPr>
                        <w:r>
                          <w:rPr>
                            <w:rFonts w:ascii="Times New Roman"/>
                            <w:sz w:val="18"/>
                          </w:rPr>
                          <w:t>35</w:t>
                        </w:r>
                      </w:p>
                      <w:p>
                        <w:pPr>
                          <w:pStyle w:val="TableParagraph"/>
                          <w:spacing w:line="180"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63"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2" w:hRule="exact"/>
                    </w:trPr>
                    <w:tc>
                      <w:tcPr>
                        <w:tcW w:w="764" w:type="dxa"/>
                        <w:tcBorders>
                          <w:top w:val="nil" w:sz="6" w:space="0" w:color="auto"/>
                          <w:left w:val="nil" w:sz="6" w:space="0" w:color="auto"/>
                          <w:bottom w:val="nil" w:sz="6" w:space="0" w:color="auto"/>
                          <w:right w:val="nil" w:sz="6" w:space="0" w:color="auto"/>
                        </w:tcBorders>
                        <w:shd w:val="clear" w:color="auto" w:fill="8DB3E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赵辉</w:t>
                        </w:r>
                      </w:p>
                    </w:tc>
                    <w:tc>
                      <w:tcPr>
                        <w:tcW w:w="1094" w:type="dxa"/>
                        <w:tcBorders>
                          <w:top w:val="nil" w:sz="6" w:space="0" w:color="auto"/>
                          <w:left w:val="nil" w:sz="6" w:space="0" w:color="auto"/>
                          <w:bottom w:val="nil" w:sz="6" w:space="0" w:color="auto"/>
                          <w:right w:val="nil" w:sz="6" w:space="0" w:color="auto"/>
                        </w:tcBorders>
                      </w:tcPr>
                      <w:p>
                        <w:pPr>
                          <w:pStyle w:val="TableParagraph"/>
                          <w:spacing w:line="129" w:lineRule="exact"/>
                          <w:ind w:right="43"/>
                          <w:jc w:val="center"/>
                          <w:rPr>
                            <w:rFonts w:ascii="宋体" w:hAnsi="宋体" w:cs="宋体" w:eastAsia="宋体" w:hint="default"/>
                            <w:sz w:val="18"/>
                            <w:szCs w:val="18"/>
                          </w:rPr>
                        </w:pPr>
                        <w:r>
                          <w:rPr>
                            <w:rFonts w:ascii="宋体" w:hAnsi="宋体" w:cs="宋体" w:eastAsia="宋体" w:hint="default"/>
                            <w:sz w:val="18"/>
                            <w:szCs w:val="18"/>
                          </w:rPr>
                          <w:t>董秘、财务</w:t>
                        </w:r>
                      </w:p>
                      <w:p>
                        <w:pPr>
                          <w:pStyle w:val="TableParagraph"/>
                          <w:spacing w:line="229" w:lineRule="exact" w:before="74"/>
                          <w:ind w:right="43"/>
                          <w:jc w:val="center"/>
                          <w:rPr>
                            <w:rFonts w:ascii="宋体" w:hAnsi="宋体" w:cs="宋体" w:eastAsia="宋体" w:hint="default"/>
                            <w:sz w:val="18"/>
                            <w:szCs w:val="18"/>
                          </w:rPr>
                        </w:pPr>
                        <w:r>
                          <w:rPr>
                            <w:rFonts w:ascii="宋体" w:hAnsi="宋体" w:cs="宋体" w:eastAsia="宋体" w:hint="default"/>
                            <w:sz w:val="18"/>
                            <w:szCs w:val="18"/>
                          </w:rPr>
                          <w:t>负责人</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nil" w:sz="6" w:space="0" w:color="auto"/>
                          <w:left w:val="nil" w:sz="6" w:space="0" w:color="auto"/>
                          <w:bottom w:val="nil" w:sz="6" w:space="0" w:color="auto"/>
                          <w:right w:val="nil" w:sz="6" w:space="0" w:color="auto"/>
                        </w:tcBorders>
                      </w:tcPr>
                      <w:p>
                        <w:pPr>
                          <w:pStyle w:val="TableParagraph"/>
                          <w:spacing w:line="117" w:lineRule="exact"/>
                          <w:ind w:left="57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2</w:t>
                        </w:r>
                      </w:p>
                      <w:p>
                        <w:pPr>
                          <w:pStyle w:val="TableParagraph"/>
                          <w:spacing w:line="134" w:lineRule="exact"/>
                          <w:ind w:left="170"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181" w:lineRule="exact"/>
                          <w:ind w:left="6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764" w:type="dxa"/>
                        <w:tcBorders>
                          <w:top w:val="nil" w:sz="6" w:space="0" w:color="auto"/>
                          <w:left w:val="nil" w:sz="6" w:space="0" w:color="auto"/>
                          <w:bottom w:val="nil" w:sz="6" w:space="0" w:color="auto"/>
                          <w:right w:val="nil" w:sz="6" w:space="0" w:color="auto"/>
                        </w:tcBorders>
                        <w:shd w:val="clear" w:color="auto" w:fill="8DB3E1"/>
                      </w:tcPr>
                      <w:p>
                        <w:pPr/>
                      </w:p>
                    </w:tc>
                    <w:tc>
                      <w:tcPr>
                        <w:tcW w:w="1094"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60" w:bottom="1460" w:left="980" w:right="860"/>
          <w:cols w:num="5" w:equalWidth="0">
            <w:col w:w="775" w:space="40"/>
            <w:col w:w="1074" w:space="40"/>
            <w:col w:w="880" w:space="40"/>
            <w:col w:w="903" w:space="40"/>
            <w:col w:w="6278"/>
          </w:cols>
        </w:sectPr>
      </w:pPr>
    </w:p>
    <w:p>
      <w:pPr>
        <w:spacing w:line="240" w:lineRule="auto" w:before="5"/>
        <w:rPr>
          <w:rFonts w:ascii="宋体" w:hAnsi="宋体" w:cs="宋体" w:eastAsia="宋体" w:hint="default"/>
          <w:sz w:val="8"/>
          <w:szCs w:val="8"/>
        </w:rPr>
      </w:pPr>
    </w:p>
    <w:p>
      <w:pPr>
        <w:spacing w:line="224" w:lineRule="exact"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line="134" w:lineRule="exact" w:before="0"/>
        <w:ind w:left="2625" w:right="0" w:firstLine="0"/>
        <w:jc w:val="left"/>
        <w:rPr>
          <w:rFonts w:ascii="Times New Roman" w:hAnsi="Times New Roman" w:cs="Times New Roman" w:eastAsia="Times New Roman" w:hint="default"/>
          <w:sz w:val="18"/>
          <w:szCs w:val="18"/>
        </w:rPr>
      </w:pPr>
      <w:r>
        <w:rPr>
          <w:rFonts w:ascii="Times New Roman"/>
          <w:sz w:val="18"/>
        </w:rPr>
        <w:t>38</w:t>
      </w:r>
    </w:p>
    <w:p>
      <w:pPr>
        <w:spacing w:line="201" w:lineRule="exact" w:before="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line="224" w:lineRule="exact"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line="135" w:lineRule="exact" w:before="0"/>
        <w:ind w:left="2625" w:right="0" w:firstLine="0"/>
        <w:jc w:val="left"/>
        <w:rPr>
          <w:rFonts w:ascii="Times New Roman" w:hAnsi="Times New Roman" w:cs="Times New Roman" w:eastAsia="Times New Roman" w:hint="default"/>
          <w:sz w:val="18"/>
          <w:szCs w:val="18"/>
        </w:rPr>
      </w:pPr>
      <w:r>
        <w:rPr>
          <w:rFonts w:ascii="Times New Roman"/>
          <w:sz w:val="18"/>
        </w:rPr>
        <w:t>43</w:t>
      </w:r>
    </w:p>
    <w:p>
      <w:pPr>
        <w:spacing w:line="203" w:lineRule="exact" w:before="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line="224" w:lineRule="exact"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line="134" w:lineRule="exact" w:before="0"/>
        <w:ind w:left="2625" w:right="0" w:firstLine="0"/>
        <w:jc w:val="left"/>
        <w:rPr>
          <w:rFonts w:ascii="Times New Roman" w:hAnsi="Times New Roman" w:cs="Times New Roman" w:eastAsia="Times New Roman" w:hint="default"/>
          <w:sz w:val="18"/>
          <w:szCs w:val="18"/>
        </w:rPr>
      </w:pPr>
      <w:r>
        <w:rPr>
          <w:rFonts w:ascii="Times New Roman"/>
          <w:sz w:val="18"/>
        </w:rPr>
        <w:t>44</w:t>
      </w:r>
    </w:p>
    <w:p>
      <w:pPr>
        <w:spacing w:line="201" w:lineRule="exact" w:before="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line="224" w:lineRule="exact"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line="135" w:lineRule="exact" w:before="0"/>
        <w:ind w:left="2625" w:right="0" w:firstLine="0"/>
        <w:jc w:val="left"/>
        <w:rPr>
          <w:rFonts w:ascii="Times New Roman" w:hAnsi="Times New Roman" w:cs="Times New Roman" w:eastAsia="Times New Roman" w:hint="default"/>
          <w:sz w:val="18"/>
          <w:szCs w:val="18"/>
        </w:rPr>
      </w:pPr>
      <w:r>
        <w:rPr>
          <w:rFonts w:ascii="Times New Roman"/>
          <w:sz w:val="18"/>
        </w:rPr>
        <w:t>42</w:t>
      </w:r>
    </w:p>
    <w:p>
      <w:pPr>
        <w:spacing w:line="203" w:lineRule="exact" w:before="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pict>
          <v:shape style="position:absolute;margin-left:297.940002pt;margin-top:7.777335pt;width:242.45pt;height:175.2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6"/>
                    <w:gridCol w:w="1527"/>
                    <w:gridCol w:w="1813"/>
                    <w:gridCol w:w="842"/>
                  </w:tblGrid>
                  <w:tr>
                    <w:trPr>
                      <w:trHeight w:val="1265"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50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50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465"/>
                          <w:jc w:val="right"/>
                          <w:rPr>
                            <w:rFonts w:ascii="Times New Roman" w:hAnsi="Times New Roman" w:cs="Times New Roman" w:eastAsia="Times New Roman" w:hint="default"/>
                            <w:sz w:val="18"/>
                            <w:szCs w:val="18"/>
                          </w:rPr>
                        </w:pPr>
                        <w:r>
                          <w:rPr>
                            <w:rFonts w:ascii="Times New Roman"/>
                            <w:sz w:val="18"/>
                          </w:rPr>
                          <w:t>16.23</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60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60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11"/>
                          <w:jc w:val="right"/>
                          <w:rPr>
                            <w:rFonts w:ascii="Times New Roman" w:hAnsi="Times New Roman" w:cs="Times New Roman" w:eastAsia="Times New Roman" w:hint="default"/>
                            <w:sz w:val="18"/>
                            <w:szCs w:val="18"/>
                          </w:rPr>
                        </w:pPr>
                        <w:r>
                          <w:rPr>
                            <w:rFonts w:ascii="Times New Roman"/>
                            <w:spacing w:val="-1"/>
                            <w:sz w:val="18"/>
                          </w:rPr>
                          <w:t>7.70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66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5"/>
                          <w:jc w:val="right"/>
                          <w:rPr>
                            <w:rFonts w:ascii="Times New Roman" w:hAnsi="Times New Roman" w:cs="Times New Roman" w:eastAsia="Times New Roman" w:hint="default"/>
                            <w:sz w:val="18"/>
                            <w:szCs w:val="18"/>
                          </w:rPr>
                        </w:pPr>
                        <w:r>
                          <w:rPr>
                            <w:rFonts w:ascii="Times New Roman"/>
                            <w:sz w:val="18"/>
                          </w:rPr>
                          <w:t>26.10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40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65"/>
                          <w:jc w:val="right"/>
                          <w:rPr>
                            <w:rFonts w:ascii="Times New Roman" w:hAnsi="Times New Roman" w:cs="Times New Roman" w:eastAsia="Times New Roman" w:hint="default"/>
                            <w:sz w:val="18"/>
                            <w:szCs w:val="18"/>
                          </w:rPr>
                        </w:pPr>
                        <w:r>
                          <w:rPr>
                            <w:rFonts w:ascii="Times New Roman"/>
                            <w:sz w:val="18"/>
                          </w:rPr>
                          <w:t>21.92</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3"/>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0"/>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3"/>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8"/>
          <w:szCs w:val="8"/>
        </w:rPr>
      </w:pPr>
    </w:p>
    <w:p>
      <w:pPr>
        <w:spacing w:before="44"/>
        <w:ind w:left="3894" w:right="541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spacing w:before="61"/>
        <w:ind w:left="3854" w:right="546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center"/>
        <w:rPr>
          <w:rFonts w:ascii="宋体" w:hAnsi="宋体" w:cs="宋体" w:eastAsia="宋体" w:hint="default"/>
          <w:sz w:val="18"/>
          <w:szCs w:val="18"/>
        </w:rPr>
        <w:sectPr>
          <w:type w:val="continuous"/>
          <w:pgSz w:w="11910" w:h="16840"/>
          <w:pgMar w:top="1060" w:bottom="1460" w:left="980" w:right="86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before="0"/>
        <w:ind w:left="142" w:right="1334" w:firstLine="0"/>
        <w:jc w:val="left"/>
        <w:rPr>
          <w:rFonts w:ascii="宋体" w:hAnsi="宋体" w:cs="宋体" w:eastAsia="宋体" w:hint="default"/>
          <w:sz w:val="21"/>
          <w:szCs w:val="21"/>
        </w:rPr>
      </w:pPr>
      <w:r>
        <w:rPr>
          <w:rFonts w:ascii="宋体" w:hAnsi="宋体" w:cs="宋体" w:eastAsia="宋体" w:hint="default"/>
          <w:sz w:val="21"/>
          <w:szCs w:val="21"/>
        </w:rPr>
        <w:t>注：董事贾巍在公司股东单位深圳市创新投资集团有限公司领取薪酬。</w:t>
      </w:r>
    </w:p>
    <w:p>
      <w:pPr>
        <w:spacing w:line="240" w:lineRule="auto" w:before="12"/>
        <w:rPr>
          <w:rFonts w:ascii="宋体" w:hAnsi="宋体" w:cs="宋体" w:eastAsia="宋体" w:hint="default"/>
          <w:sz w:val="29"/>
          <w:szCs w:val="29"/>
        </w:rPr>
      </w:pPr>
    </w:p>
    <w:p>
      <w:pPr>
        <w:pStyle w:val="Heading6"/>
        <w:spacing w:line="338" w:lineRule="auto"/>
        <w:ind w:right="287"/>
        <w:jc w:val="left"/>
        <w:rPr>
          <w:b w:val="0"/>
          <w:bCs w:val="0"/>
        </w:rPr>
      </w:pPr>
      <w:r>
        <w:rPr/>
        <w:t>二、董事、监事、高级管理人员最近</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35"/>
        </w:rPr>
        <w:t> </w:t>
      </w:r>
      <w:r>
        <w:rPr/>
        <w:t>年的主要工作经历和在除股东单位外的其</w:t>
      </w:r>
      <w:r>
        <w:rPr>
          <w:w w:val="99"/>
        </w:rPr>
        <w:t> </w:t>
      </w:r>
      <w:r>
        <w:rPr/>
        <w:t>他单位的任职或兼职情况</w:t>
      </w:r>
      <w:r>
        <w:rPr>
          <w:b w:val="0"/>
          <w:bCs w:val="0"/>
        </w:rPr>
      </w:r>
    </w:p>
    <w:p>
      <w:pPr>
        <w:spacing w:line="240" w:lineRule="auto" w:before="3"/>
        <w:rPr>
          <w:rFonts w:ascii="宋体" w:hAnsi="宋体" w:cs="宋体" w:eastAsia="宋体" w:hint="default"/>
          <w:b/>
          <w:bCs/>
          <w:sz w:val="22"/>
          <w:szCs w:val="22"/>
        </w:rPr>
      </w:pPr>
    </w:p>
    <w:p>
      <w:pPr>
        <w:spacing w:before="0"/>
        <w:ind w:left="142" w:right="1334" w:firstLine="0"/>
        <w:jc w:val="left"/>
        <w:rPr>
          <w:rFonts w:ascii="宋体" w:hAnsi="宋体" w:cs="宋体" w:eastAsia="宋体" w:hint="default"/>
          <w:sz w:val="24"/>
          <w:szCs w:val="24"/>
        </w:rPr>
      </w:pPr>
      <w:r>
        <w:rPr>
          <w:rFonts w:ascii="宋体" w:hAnsi="宋体" w:cs="宋体" w:eastAsia="宋体" w:hint="default"/>
          <w:b/>
          <w:bCs/>
          <w:sz w:val="24"/>
          <w:szCs w:val="24"/>
        </w:rPr>
        <w:t>（一）、董事会成员简介：</w:t>
      </w:r>
      <w:r>
        <w:rPr>
          <w:rFonts w:ascii="宋体" w:hAnsi="宋体" w:cs="宋体" w:eastAsia="宋体" w:hint="default"/>
          <w:sz w:val="24"/>
          <w:szCs w:val="24"/>
        </w:rPr>
      </w:r>
    </w:p>
    <w:p>
      <w:pPr>
        <w:spacing w:line="240" w:lineRule="auto" w:before="7"/>
        <w:rPr>
          <w:rFonts w:ascii="宋体" w:hAnsi="宋体" w:cs="宋体" w:eastAsia="宋体" w:hint="default"/>
          <w:b/>
          <w:bCs/>
          <w:sz w:val="23"/>
          <w:szCs w:val="23"/>
        </w:rPr>
      </w:pPr>
    </w:p>
    <w:p>
      <w:pPr>
        <w:pStyle w:val="BodyText"/>
        <w:spacing w:line="338" w:lineRule="auto"/>
        <w:ind w:right="285" w:firstLine="479"/>
        <w:jc w:val="left"/>
      </w:pPr>
      <w:r>
        <w:rPr/>
        <w:t>公司第一届董事会由</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名董事组成，其中独立董事</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名，各位董事最近</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 的主要工作经历和除股东单位外的其他单位任职或兼职情况如下：</w:t>
      </w:r>
    </w:p>
    <w:p>
      <w:pPr>
        <w:pStyle w:val="BodyText"/>
        <w:spacing w:line="240" w:lineRule="auto" w:before="53"/>
        <w:ind w:left="621" w:right="176"/>
        <w:jc w:val="left"/>
      </w:pPr>
      <w:r>
        <w:rPr>
          <w:rFonts w:ascii="Times New Roman" w:hAnsi="Times New Roman" w:cs="Times New Roman" w:eastAsia="Times New Roman" w:hint="default"/>
        </w:rPr>
        <w:t>1</w:t>
      </w:r>
      <w:r>
        <w:rPr/>
        <w:t>、刘祥，详见第五节之“四、控股股东及实际控制人情况介绍</w:t>
      </w:r>
      <w:r>
        <w:rPr>
          <w:spacing w:val="-120"/>
        </w:rPr>
        <w:t>”</w:t>
      </w:r>
      <w:r>
        <w:rPr/>
        <w:t>。</w:t>
      </w:r>
    </w:p>
    <w:p>
      <w:pPr>
        <w:pStyle w:val="BodyText"/>
        <w:spacing w:line="345" w:lineRule="auto" w:before="177"/>
        <w:ind w:right="234" w:firstLine="479"/>
        <w:jc w:val="both"/>
      </w:pPr>
      <w:r>
        <w:rPr>
          <w:rFonts w:ascii="Times New Roman" w:hAnsi="Times New Roman" w:cs="Times New Roman" w:eastAsia="Times New Roman" w:hint="default"/>
        </w:rPr>
        <w:t>2</w:t>
      </w:r>
      <w:r>
        <w:rPr/>
        <w:t>、江汉，男，</w:t>
      </w:r>
      <w:r>
        <w:rPr>
          <w:rFonts w:ascii="Times New Roman" w:hAnsi="Times New Roman" w:cs="Times New Roman" w:eastAsia="Times New Roman" w:hint="default"/>
        </w:rPr>
        <w:t>1971</w:t>
      </w:r>
      <w:r>
        <w:rPr>
          <w:rFonts w:ascii="Times New Roman" w:hAnsi="Times New Roman" w:cs="Times New Roman" w:eastAsia="Times New Roman" w:hint="default"/>
          <w:spacing w:val="7"/>
        </w:rPr>
        <w:t> </w:t>
      </w:r>
      <w:r>
        <w:rPr>
          <w:spacing w:val="-5"/>
          <w:w w:val="99"/>
        </w:rPr>
        <w:t>年生，工商管理硕士（</w:t>
      </w:r>
      <w:r>
        <w:rPr>
          <w:rFonts w:ascii="Times New Roman" w:hAnsi="Times New Roman" w:cs="Times New Roman" w:eastAsia="Times New Roman" w:hint="default"/>
          <w:spacing w:val="-5"/>
          <w:w w:val="99"/>
        </w:rPr>
        <w:t>MBA</w:t>
      </w:r>
      <w:r>
        <w:rPr>
          <w:spacing w:val="-5"/>
          <w:w w:val="99"/>
        </w:rPr>
        <w:t>），公司第一届董事会董事。</w:t>
      </w:r>
      <w:r>
        <w:rPr/>
        <w:t> 近五年主要担任公司董事兼副总经理，主持市场工作。现兼任肇庆市好易联网络</w:t>
      </w:r>
      <w:r>
        <w:rPr>
          <w:spacing w:val="-67"/>
        </w:rPr>
        <w:t> </w:t>
      </w:r>
      <w:r>
        <w:rPr>
          <w:spacing w:val="-67"/>
        </w:rPr>
      </w:r>
      <w:r>
        <w:rPr>
          <w:spacing w:val="-5"/>
        </w:rPr>
        <w:t>有限公司监事，深圳市泰德信实业有限公司董事（法定代表人）。</w:t>
      </w:r>
    </w:p>
    <w:p>
      <w:pPr>
        <w:pStyle w:val="BodyText"/>
        <w:spacing w:line="336" w:lineRule="auto" w:before="89"/>
        <w:ind w:right="292" w:firstLine="479"/>
        <w:jc w:val="left"/>
      </w:pPr>
      <w:r>
        <w:rPr>
          <w:rFonts w:ascii="Times New Roman" w:hAnsi="Times New Roman" w:cs="Times New Roman" w:eastAsia="Times New Roman" w:hint="default"/>
          <w:spacing w:val="-6"/>
        </w:rPr>
        <w:t>3</w:t>
      </w:r>
      <w:r>
        <w:rPr>
          <w:spacing w:val="-6"/>
        </w:rPr>
        <w:t>、汪洋，男，</w:t>
      </w:r>
      <w:r>
        <w:rPr>
          <w:rFonts w:ascii="Times New Roman" w:hAnsi="Times New Roman" w:cs="Times New Roman" w:eastAsia="Times New Roman" w:hint="default"/>
          <w:spacing w:val="-6"/>
        </w:rPr>
        <w:t>1963</w:t>
      </w:r>
      <w:r>
        <w:rPr>
          <w:rFonts w:ascii="Times New Roman" w:hAnsi="Times New Roman" w:cs="Times New Roman" w:eastAsia="Times New Roman" w:hint="default"/>
          <w:spacing w:val="14"/>
        </w:rPr>
        <w:t> </w:t>
      </w:r>
      <w:r>
        <w:rPr>
          <w:spacing w:val="-3"/>
        </w:rPr>
        <w:t>年生，本科学历，公司第一届董事会董事。近五年主要担</w:t>
      </w:r>
      <w:r>
        <w:rPr/>
        <w:t> 任公司董事兼副总经理，主持主持营销工作。</w:t>
      </w:r>
    </w:p>
    <w:p>
      <w:pPr>
        <w:pStyle w:val="BodyText"/>
        <w:spacing w:line="338" w:lineRule="auto" w:before="96"/>
        <w:ind w:right="285" w:firstLine="479"/>
        <w:jc w:val="left"/>
      </w:pPr>
      <w:r>
        <w:rPr>
          <w:rFonts w:ascii="Times New Roman" w:hAnsi="Times New Roman" w:cs="Times New Roman" w:eastAsia="Times New Roman" w:hint="default"/>
          <w:spacing w:val="-6"/>
        </w:rPr>
        <w:t>4</w:t>
      </w:r>
      <w:r>
        <w:rPr>
          <w:spacing w:val="-6"/>
        </w:rPr>
        <w:t>、韦余红，男，</w:t>
      </w:r>
      <w:r>
        <w:rPr>
          <w:rFonts w:ascii="Times New Roman" w:hAnsi="Times New Roman" w:cs="Times New Roman" w:eastAsia="Times New Roman" w:hint="default"/>
          <w:spacing w:val="-6"/>
        </w:rPr>
        <w:t>1969</w:t>
      </w:r>
      <w:r>
        <w:rPr>
          <w:rFonts w:ascii="Times New Roman" w:hAnsi="Times New Roman" w:cs="Times New Roman" w:eastAsia="Times New Roman" w:hint="default"/>
        </w:rPr>
        <w:t> </w:t>
      </w:r>
      <w:r>
        <w:rPr>
          <w:spacing w:val="-2"/>
        </w:rPr>
        <w:t>年生，无线电专业硕士研究生学历，公司第一届董事会</w:t>
      </w:r>
      <w:r>
        <w:rPr/>
        <w:t> 董事。现任公司董事兼总工程师，主持研发工作。</w:t>
      </w:r>
    </w:p>
    <w:p>
      <w:pPr>
        <w:pStyle w:val="BodyText"/>
        <w:spacing w:line="350" w:lineRule="auto" w:before="94"/>
        <w:ind w:right="176" w:firstLine="479"/>
        <w:jc w:val="left"/>
      </w:pPr>
      <w:r>
        <w:rPr>
          <w:rFonts w:ascii="Times New Roman" w:hAnsi="Times New Roman" w:cs="Times New Roman" w:eastAsia="Times New Roman" w:hint="default"/>
          <w:spacing w:val="-6"/>
        </w:rPr>
        <w:t>5</w:t>
      </w:r>
      <w:r>
        <w:rPr>
          <w:spacing w:val="-6"/>
        </w:rPr>
        <w:t>、贾巍，女，</w:t>
      </w:r>
      <w:r>
        <w:rPr>
          <w:rFonts w:ascii="Times New Roman" w:hAnsi="Times New Roman" w:cs="Times New Roman" w:eastAsia="Times New Roman" w:hint="default"/>
          <w:spacing w:val="-6"/>
        </w:rPr>
        <w:t>1973</w:t>
      </w:r>
      <w:r>
        <w:rPr>
          <w:rFonts w:ascii="Times New Roman" w:hAnsi="Times New Roman" w:cs="Times New Roman" w:eastAsia="Times New Roman" w:hint="default"/>
          <w:spacing w:val="5"/>
        </w:rPr>
        <w:t> </w:t>
      </w:r>
      <w:r>
        <w:rPr>
          <w:spacing w:val="-3"/>
        </w:rPr>
        <w:t>年生，硕士学历，中国注册会计师协会非执业会员，公司</w:t>
      </w:r>
      <w:r>
        <w:rPr/>
        <w:t> </w:t>
      </w:r>
      <w:r>
        <w:rPr>
          <w:spacing w:val="-2"/>
        </w:rPr>
        <w:t>第一届董事会董事。近五年主要担任深圳市创新投资集团有限公司高级投资经理，</w:t>
      </w:r>
      <w:r>
        <w:rPr>
          <w:spacing w:val="-108"/>
        </w:rPr>
        <w:t> </w:t>
      </w:r>
      <w:r>
        <w:rPr>
          <w:spacing w:val="-108"/>
        </w:rPr>
      </w:r>
      <w:r>
        <w:rPr/>
        <w:t>兼任深圳市信维通信股份有限公司董事、深圳市兆驰多媒体股份有限公司监事、</w:t>
      </w:r>
      <w:r>
        <w:rPr>
          <w:spacing w:val="-67"/>
        </w:rPr>
        <w:t> </w:t>
      </w:r>
      <w:r>
        <w:rPr>
          <w:spacing w:val="-67"/>
        </w:rPr>
      </w:r>
      <w:r>
        <w:rPr/>
        <w:t>深圳市新国都技术股份有限公司董事。</w:t>
      </w:r>
    </w:p>
    <w:p>
      <w:pPr>
        <w:pStyle w:val="BodyText"/>
        <w:spacing w:line="350" w:lineRule="auto" w:before="161"/>
        <w:ind w:right="168" w:firstLine="479"/>
        <w:jc w:val="left"/>
      </w:pPr>
      <w:r>
        <w:rPr>
          <w:rFonts w:ascii="Times New Roman" w:hAnsi="Times New Roman" w:cs="Times New Roman" w:eastAsia="Times New Roman" w:hint="default"/>
        </w:rPr>
        <w:t>6</w:t>
      </w:r>
      <w:r>
        <w:rPr/>
        <w:t>、刘永开：男，</w:t>
      </w:r>
      <w:r>
        <w:rPr>
          <w:rFonts w:ascii="Times New Roman" w:hAnsi="Times New Roman" w:cs="Times New Roman" w:eastAsia="Times New Roman" w:hint="default"/>
        </w:rPr>
        <w:t>1968 </w:t>
      </w:r>
      <w:r>
        <w:rPr/>
        <w:t>年生，大专学历（</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月参加全国硕士研究生入 </w:t>
      </w:r>
      <w:r>
        <w:rPr>
          <w:spacing w:val="-5"/>
        </w:rPr>
        <w:t>学考试并考入天津大学工商管理硕士专业），会计师、中国注册会计师、中国注册</w:t>
      </w:r>
      <w:r>
        <w:rPr/>
        <w:t> </w:t>
      </w:r>
      <w:r>
        <w:rPr>
          <w:spacing w:val="-6"/>
        </w:rPr>
        <w:t>税务师，</w:t>
      </w:r>
      <w:r>
        <w:rPr>
          <w:rFonts w:ascii="Times New Roman" w:hAnsi="Times New Roman" w:cs="Times New Roman" w:eastAsia="Times New Roman" w:hint="default"/>
          <w:spacing w:val="-6"/>
        </w:rPr>
        <w:t>2003</w:t>
      </w:r>
      <w:r>
        <w:rPr>
          <w:rFonts w:ascii="Times New Roman" w:hAnsi="Times New Roman" w:cs="Times New Roman" w:eastAsia="Times New Roman" w:hint="default"/>
          <w:spacing w:val="14"/>
        </w:rPr>
        <w:t> </w:t>
      </w:r>
      <w:r>
        <w:rPr>
          <w:spacing w:val="-3"/>
        </w:rPr>
        <w:t>年取得独立董事资格证书，公司第一届董事会独立董事。近五年来，</w:t>
      </w:r>
      <w:r>
        <w:rPr/>
        <w:t> </w:t>
      </w:r>
      <w:r>
        <w:rPr>
          <w:spacing w:val="-5"/>
        </w:rPr>
        <w:t>曾任深圳中永华兴会计师事务所主任会计师（所长）；现任深圳市中联岳华税务师</w:t>
      </w:r>
      <w:r>
        <w:rPr>
          <w:spacing w:val="-118"/>
        </w:rPr>
        <w:t> </w:t>
      </w:r>
      <w:r>
        <w:rPr>
          <w:spacing w:val="-118"/>
        </w:rPr>
      </w:r>
      <w:r>
        <w:rPr/>
        <w:t>事务所有限公司合伙人、深圳恒平会计师事务所注册会计师、深圳鹏博实业集团</w:t>
      </w:r>
      <w:r>
        <w:rPr>
          <w:spacing w:val="-67"/>
        </w:rPr>
        <w:t> </w:t>
      </w:r>
      <w:r>
        <w:rPr>
          <w:spacing w:val="-67"/>
        </w:rPr>
      </w:r>
      <w:r>
        <w:rPr/>
        <w:t>有限公司董事。</w:t>
      </w:r>
    </w:p>
    <w:p>
      <w:pPr>
        <w:pStyle w:val="BodyText"/>
        <w:spacing w:line="348" w:lineRule="auto" w:before="2"/>
        <w:ind w:right="176" w:firstLine="479"/>
        <w:jc w:val="left"/>
      </w:pPr>
      <w:r>
        <w:rPr>
          <w:rFonts w:ascii="Times New Roman" w:hAnsi="Times New Roman" w:cs="Times New Roman" w:eastAsia="Times New Roman" w:hint="default"/>
        </w:rPr>
        <w:t>7</w:t>
      </w:r>
      <w:r>
        <w:rPr/>
        <w:t>、金毅，男，</w:t>
      </w:r>
      <w:r>
        <w:rPr>
          <w:rFonts w:ascii="Times New Roman" w:hAnsi="Times New Roman" w:cs="Times New Roman" w:eastAsia="Times New Roman" w:hint="default"/>
        </w:rPr>
        <w:t>1968 </w:t>
      </w:r>
      <w:r>
        <w:rPr/>
        <w:t>年生，自动化专业学士，</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年获得独立董事资格，公 </w:t>
      </w:r>
      <w:r>
        <w:rPr>
          <w:spacing w:val="-2"/>
        </w:rPr>
        <w:t>司第一届董事会独立董事。近五年来，任深圳市同创伟业创业投资有限公司董事。</w:t>
      </w:r>
      <w:r>
        <w:rPr>
          <w:spacing w:val="-109"/>
        </w:rPr>
        <w:t> </w:t>
      </w:r>
      <w:r>
        <w:rPr>
          <w:spacing w:val="-109"/>
        </w:rPr>
      </w:r>
      <w:r>
        <w:rPr/>
        <w:t>曾任深圳市新国都技术股份有限公司第一届董事会独立董事。</w:t>
      </w:r>
    </w:p>
    <w:p>
      <w:pPr>
        <w:pStyle w:val="BodyText"/>
        <w:spacing w:line="240" w:lineRule="auto" w:before="84"/>
        <w:ind w:left="621" w:right="176"/>
        <w:jc w:val="left"/>
      </w:pPr>
      <w:r>
        <w:rPr>
          <w:rFonts w:ascii="Times New Roman" w:hAnsi="Times New Roman" w:cs="Times New Roman" w:eastAsia="Times New Roman" w:hint="default"/>
        </w:rPr>
        <w:t>8</w:t>
      </w:r>
      <w:r>
        <w:rPr/>
        <w:t>、许映鹏，男，</w:t>
      </w:r>
      <w:r>
        <w:rPr>
          <w:rFonts w:ascii="Times New Roman" w:hAnsi="Times New Roman" w:cs="Times New Roman" w:eastAsia="Times New Roman" w:hint="default"/>
        </w:rPr>
        <w:t>1967  </w:t>
      </w:r>
      <w:r>
        <w:rPr/>
        <w:t>年生，通信与电子系统硕士，高级工程师，</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年获</w:t>
      </w:r>
    </w:p>
    <w:p>
      <w:pPr>
        <w:spacing w:after="0" w:line="240" w:lineRule="auto"/>
        <w:jc w:val="left"/>
        <w:sectPr>
          <w:pgSz w:w="11910" w:h="16840"/>
          <w:pgMar w:header="867" w:footer="1267" w:top="1060" w:bottom="1460" w:left="1560" w:right="1440"/>
        </w:sectPr>
      </w:pPr>
    </w:p>
    <w:p>
      <w:pPr>
        <w:pStyle w:val="BodyText"/>
        <w:spacing w:line="240" w:lineRule="auto" w:before="25"/>
        <w:ind w:right="176"/>
        <w:jc w:val="left"/>
      </w:pPr>
      <w:r>
        <w:rPr/>
        <w:pict>
          <v:group style="position:absolute;margin-left:83.664001pt;margin-top:2.185654pt;width:433.75pt;height:.1pt;mso-position-horizontal-relative:page;mso-position-vertical-relative:paragraph;z-index:-681256" coordorigin="1673,44" coordsize="8675,2">
            <v:shape style="position:absolute;left:1673;top:44;width:8675;height:2" coordorigin="1673,44" coordsize="8675,0" path="m1673,44l10348,44e" filled="false" stroked="true" strokeweight=".72pt" strokecolor="#000000">
              <v:path arrowok="t"/>
            </v:shape>
            <w10:wrap type="none"/>
          </v:group>
        </w:pict>
      </w:r>
      <w:r>
        <w:rPr/>
        <w:t>得独立董事资格，公司第一届董事会独立董事。近五年来，任凯斯泰尔通信设备</w:t>
      </w:r>
    </w:p>
    <w:p>
      <w:pPr>
        <w:pStyle w:val="BodyText"/>
        <w:spacing w:line="357" w:lineRule="auto" w:before="154"/>
        <w:ind w:right="176"/>
        <w:jc w:val="left"/>
      </w:pPr>
      <w:r>
        <w:rPr/>
        <w:t>（深圳）有限公司副总经理。曾任深圳市新国都技术股份有限公司第一届董事会</w:t>
      </w:r>
      <w:r>
        <w:rPr>
          <w:spacing w:val="-67"/>
        </w:rPr>
        <w:t> </w:t>
      </w:r>
      <w:r>
        <w:rPr>
          <w:spacing w:val="-67"/>
        </w:rPr>
      </w:r>
      <w:r>
        <w:rPr/>
        <w:t>独立董事。</w:t>
      </w:r>
    </w:p>
    <w:p>
      <w:pPr>
        <w:pStyle w:val="BodyText"/>
        <w:spacing w:line="350" w:lineRule="auto" w:before="74"/>
        <w:ind w:right="298" w:firstLine="479"/>
        <w:jc w:val="both"/>
      </w:pPr>
      <w:r>
        <w:rPr>
          <w:rFonts w:ascii="Times New Roman" w:hAnsi="Times New Roman" w:cs="Times New Roman" w:eastAsia="Times New Roman" w:hint="default"/>
        </w:rPr>
        <w:t>9</w:t>
      </w:r>
      <w:r>
        <w:rPr/>
        <w:t>、李建辉，男，</w:t>
      </w:r>
      <w:r>
        <w:rPr>
          <w:rFonts w:ascii="Times New Roman" w:hAnsi="Times New Roman" w:cs="Times New Roman" w:eastAsia="Times New Roman" w:hint="default"/>
        </w:rPr>
        <w:t>1969 </w:t>
      </w:r>
      <w:r>
        <w:rPr/>
        <w:t>年生，北京大学法学学士，执业律师，</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年取得上 市公司独立董事任职资格，公司第一届董事会独立董事。曾任广东君言律师事务</w:t>
      </w:r>
      <w:r>
        <w:rPr>
          <w:spacing w:val="-67"/>
        </w:rPr>
        <w:t> </w:t>
      </w:r>
      <w:r>
        <w:rPr>
          <w:spacing w:val="-67"/>
        </w:rPr>
      </w:r>
      <w:r>
        <w:rPr/>
        <w:t>所创始合伙人，现任北京市竞天公诚律师事务所合伙人律师、福建实达集团股份</w:t>
      </w:r>
      <w:r>
        <w:rPr>
          <w:spacing w:val="-67"/>
        </w:rPr>
        <w:t> </w:t>
      </w:r>
      <w:r>
        <w:rPr>
          <w:spacing w:val="-67"/>
        </w:rPr>
      </w:r>
      <w:r>
        <w:rPr/>
        <w:t>有限公司（公司代码</w:t>
      </w:r>
      <w:r>
        <w:rPr>
          <w:spacing w:val="-60"/>
        </w:rPr>
        <w:t> </w:t>
      </w:r>
      <w:r>
        <w:rPr>
          <w:rFonts w:ascii="Times New Roman" w:hAnsi="Times New Roman" w:cs="Times New Roman" w:eastAsia="Times New Roman" w:hint="default"/>
        </w:rPr>
        <w:t>600734</w:t>
      </w:r>
      <w:r>
        <w:rPr/>
        <w:t>）独立董事。</w:t>
      </w:r>
    </w:p>
    <w:p>
      <w:pPr>
        <w:spacing w:line="240" w:lineRule="auto" w:before="1"/>
        <w:rPr>
          <w:rFonts w:ascii="宋体" w:hAnsi="宋体" w:cs="宋体" w:eastAsia="宋体" w:hint="default"/>
          <w:sz w:val="25"/>
          <w:szCs w:val="25"/>
        </w:rPr>
      </w:pPr>
    </w:p>
    <w:p>
      <w:pPr>
        <w:pStyle w:val="Heading6"/>
        <w:spacing w:line="240" w:lineRule="auto"/>
        <w:ind w:right="1334"/>
        <w:jc w:val="left"/>
        <w:rPr>
          <w:b w:val="0"/>
          <w:bCs w:val="0"/>
        </w:rPr>
      </w:pPr>
      <w:r>
        <w:rPr/>
        <w:t>（二）、监事会成员简介：</w:t>
      </w:r>
      <w:r>
        <w:rPr>
          <w:b w:val="0"/>
          <w:bCs w:val="0"/>
        </w:rPr>
      </w:r>
    </w:p>
    <w:p>
      <w:pPr>
        <w:spacing w:line="240" w:lineRule="auto" w:before="7"/>
        <w:rPr>
          <w:rFonts w:ascii="宋体" w:hAnsi="宋体" w:cs="宋体" w:eastAsia="宋体" w:hint="default"/>
          <w:b/>
          <w:bCs/>
          <w:sz w:val="23"/>
          <w:szCs w:val="23"/>
        </w:rPr>
      </w:pPr>
    </w:p>
    <w:p>
      <w:pPr>
        <w:pStyle w:val="BodyText"/>
        <w:spacing w:line="336" w:lineRule="auto"/>
        <w:ind w:right="299" w:firstLine="479"/>
        <w:jc w:val="both"/>
      </w:pPr>
      <w:r>
        <w:rPr/>
        <w:t>公司第一届监事会由</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名监事组成。各位监事最近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年的主要工作经历和除 股东单位外的其他单位任职或兼职情况如下：</w:t>
      </w:r>
    </w:p>
    <w:p>
      <w:pPr>
        <w:pStyle w:val="BodyText"/>
        <w:spacing w:line="336" w:lineRule="auto" w:before="98"/>
        <w:ind w:right="299" w:firstLine="479"/>
        <w:jc w:val="both"/>
      </w:pPr>
      <w:r>
        <w:rPr>
          <w:rFonts w:ascii="Times New Roman" w:hAnsi="Times New Roman" w:cs="Times New Roman" w:eastAsia="Times New Roman" w:hint="default"/>
          <w:spacing w:val="-5"/>
        </w:rPr>
        <w:t>1</w:t>
      </w:r>
      <w:r>
        <w:rPr>
          <w:spacing w:val="-5"/>
        </w:rPr>
        <w:t>、李林杰，男，</w:t>
      </w:r>
      <w:r>
        <w:rPr>
          <w:rFonts w:ascii="Times New Roman" w:hAnsi="Times New Roman" w:cs="Times New Roman" w:eastAsia="Times New Roman" w:hint="default"/>
          <w:spacing w:val="-5"/>
        </w:rPr>
        <w:t>1958</w:t>
      </w:r>
      <w:r>
        <w:rPr>
          <w:rFonts w:ascii="Times New Roman" w:hAnsi="Times New Roman" w:cs="Times New Roman" w:eastAsia="Times New Roman" w:hint="default"/>
          <w:spacing w:val="7"/>
        </w:rPr>
        <w:t> </w:t>
      </w:r>
      <w:r>
        <w:rPr>
          <w:spacing w:val="-3"/>
        </w:rPr>
        <w:t>年生，本科学历，公司第一届监事会主席。近五年来在</w:t>
      </w:r>
      <w:r>
        <w:rPr/>
        <w:t> 公司任职，担任行政中心总监，兼任南京新国都及广州新国都监事。</w:t>
      </w:r>
    </w:p>
    <w:p>
      <w:pPr>
        <w:pStyle w:val="BodyText"/>
        <w:spacing w:line="338" w:lineRule="auto" w:before="96"/>
        <w:ind w:right="299" w:firstLine="479"/>
        <w:jc w:val="both"/>
      </w:pPr>
      <w:r>
        <w:rPr>
          <w:rFonts w:ascii="Times New Roman" w:hAnsi="Times New Roman" w:cs="Times New Roman" w:eastAsia="Times New Roman" w:hint="default"/>
          <w:spacing w:val="-5"/>
        </w:rPr>
        <w:t>2</w:t>
      </w:r>
      <w:r>
        <w:rPr>
          <w:spacing w:val="-5"/>
        </w:rPr>
        <w:t>、栾承岚，女，</w:t>
      </w:r>
      <w:r>
        <w:rPr>
          <w:rFonts w:ascii="Times New Roman" w:hAnsi="Times New Roman" w:cs="Times New Roman" w:eastAsia="Times New Roman" w:hint="default"/>
          <w:spacing w:val="-5"/>
        </w:rPr>
        <w:t>1976</w:t>
      </w:r>
      <w:r>
        <w:rPr>
          <w:rFonts w:ascii="Times New Roman" w:hAnsi="Times New Roman" w:cs="Times New Roman" w:eastAsia="Times New Roman" w:hint="default"/>
          <w:spacing w:val="7"/>
        </w:rPr>
        <w:t> </w:t>
      </w:r>
      <w:r>
        <w:rPr>
          <w:spacing w:val="-3"/>
        </w:rPr>
        <w:t>年生，专科学历，公司第一届监事。近五年来在公司工</w:t>
      </w:r>
      <w:r>
        <w:rPr/>
        <w:t> 作，担任计划财务中心副经理。</w:t>
      </w:r>
    </w:p>
    <w:p>
      <w:pPr>
        <w:pStyle w:val="BodyText"/>
        <w:spacing w:line="338" w:lineRule="auto" w:before="53"/>
        <w:ind w:right="299" w:firstLine="479"/>
        <w:jc w:val="both"/>
      </w:pPr>
      <w:r>
        <w:rPr>
          <w:rFonts w:ascii="Times New Roman" w:hAnsi="Times New Roman" w:cs="Times New Roman" w:eastAsia="Times New Roman" w:hint="default"/>
          <w:spacing w:val="-6"/>
        </w:rPr>
        <w:t>3</w:t>
      </w:r>
      <w:r>
        <w:rPr>
          <w:spacing w:val="-6"/>
        </w:rPr>
        <w:t>、杨星，男，</w:t>
      </w:r>
      <w:r>
        <w:rPr>
          <w:rFonts w:ascii="Times New Roman" w:hAnsi="Times New Roman" w:cs="Times New Roman" w:eastAsia="Times New Roman" w:hint="default"/>
          <w:spacing w:val="-6"/>
        </w:rPr>
        <w:t>1976</w:t>
      </w:r>
      <w:r>
        <w:rPr>
          <w:rFonts w:ascii="Times New Roman" w:hAnsi="Times New Roman" w:cs="Times New Roman" w:eastAsia="Times New Roman" w:hint="default"/>
          <w:spacing w:val="14"/>
        </w:rPr>
        <w:t> </w:t>
      </w:r>
      <w:r>
        <w:rPr>
          <w:spacing w:val="-3"/>
        </w:rPr>
        <w:t>年生，本科学历，公司第一届职工监事。近五年在公司从</w:t>
      </w:r>
      <w:r>
        <w:rPr/>
        <w:t> 事研发工作，担任研发中心副总工程师。</w:t>
      </w:r>
    </w:p>
    <w:p>
      <w:pPr>
        <w:spacing w:line="240" w:lineRule="auto" w:before="1"/>
        <w:rPr>
          <w:rFonts w:ascii="宋体" w:hAnsi="宋体" w:cs="宋体" w:eastAsia="宋体" w:hint="default"/>
          <w:sz w:val="28"/>
          <w:szCs w:val="28"/>
        </w:rPr>
      </w:pPr>
    </w:p>
    <w:p>
      <w:pPr>
        <w:pStyle w:val="Heading6"/>
        <w:spacing w:line="240" w:lineRule="auto"/>
        <w:ind w:right="1334"/>
        <w:jc w:val="left"/>
        <w:rPr>
          <w:b w:val="0"/>
          <w:bCs w:val="0"/>
        </w:rPr>
      </w:pPr>
      <w:r>
        <w:rPr/>
        <w:t>（三）、高级管理人员简介：</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621" w:right="176"/>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23 </w:t>
      </w:r>
      <w:r>
        <w:rPr/>
        <w:t>日</w:t>
      </w:r>
      <w:r>
        <w:rPr>
          <w:spacing w:val="-120"/>
        </w:rPr>
        <w:t>，</w:t>
      </w:r>
      <w:r>
        <w:rPr/>
        <w:t>本公司第一届董事会第一次会议选举产生本公司高级管理</w:t>
      </w:r>
    </w:p>
    <w:p>
      <w:pPr>
        <w:pStyle w:val="BodyText"/>
        <w:spacing w:line="338" w:lineRule="auto" w:before="135"/>
        <w:ind w:right="282"/>
        <w:jc w:val="left"/>
      </w:pPr>
      <w:r>
        <w:rPr/>
        <w:t>人员，各位高管最近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年的主要工作经历和除股东单位外的其他单位任职或兼职 情况如下：</w:t>
      </w:r>
    </w:p>
    <w:p>
      <w:pPr>
        <w:pStyle w:val="BodyText"/>
        <w:spacing w:line="240" w:lineRule="auto" w:before="53"/>
        <w:ind w:left="621" w:right="176"/>
        <w:jc w:val="left"/>
      </w:pPr>
      <w:r>
        <w:rPr>
          <w:rFonts w:ascii="Times New Roman" w:hAnsi="Times New Roman" w:cs="Times New Roman" w:eastAsia="Times New Roman" w:hint="default"/>
        </w:rPr>
        <w:t>1</w:t>
      </w:r>
      <w:r>
        <w:rPr/>
        <w:t>、刘祥，本公司总经理，个人简历详见本</w:t>
      </w:r>
      <w:r>
        <w:rPr>
          <w:spacing w:val="1"/>
        </w:rPr>
        <w:t>节</w:t>
      </w:r>
      <w:r>
        <w:rPr>
          <w:rFonts w:ascii="Times New Roman" w:hAnsi="Times New Roman" w:cs="Times New Roman" w:eastAsia="Times New Roman" w:hint="default"/>
          <w:spacing w:val="-1"/>
          <w:w w:val="100"/>
        </w:rPr>
        <w:t>“</w:t>
      </w:r>
      <w:r>
        <w:rPr/>
        <w:t>二</w:t>
      </w:r>
      <w:r>
        <w:rPr>
          <w:spacing w:val="-120"/>
        </w:rPr>
        <w:t>、</w:t>
      </w:r>
      <w:r>
        <w:rPr/>
        <w:t>（一</w:t>
      </w:r>
      <w:r>
        <w:rPr>
          <w:spacing w:val="-120"/>
        </w:rPr>
        <w:t>）</w:t>
      </w:r>
      <w:r>
        <w:rPr/>
        <w:t>、董事会成员简介</w:t>
      </w:r>
      <w:r>
        <w:rPr>
          <w:rFonts w:ascii="Times New Roman" w:hAnsi="Times New Roman" w:cs="Times New Roman" w:eastAsia="Times New Roman" w:hint="default"/>
          <w:spacing w:val="-1"/>
          <w:w w:val="100"/>
        </w:rPr>
        <w:t>”</w:t>
      </w:r>
      <w:r>
        <w:rPr/>
        <w:t>。</w:t>
      </w:r>
    </w:p>
    <w:p>
      <w:pPr>
        <w:pStyle w:val="BodyText"/>
        <w:spacing w:line="240" w:lineRule="auto" w:before="135"/>
        <w:ind w:left="621" w:right="139"/>
        <w:jc w:val="left"/>
      </w:pPr>
      <w:r>
        <w:rPr>
          <w:rFonts w:ascii="Times New Roman" w:hAnsi="Times New Roman" w:cs="Times New Roman" w:eastAsia="Times New Roman" w:hint="default"/>
        </w:rPr>
        <w:t>2</w:t>
      </w:r>
      <w:r>
        <w:rPr>
          <w:spacing w:val="-32"/>
        </w:rPr>
        <w:t>、</w:t>
      </w:r>
      <w:r>
        <w:rPr/>
        <w:t>江汉</w:t>
      </w:r>
      <w:r>
        <w:rPr>
          <w:spacing w:val="-32"/>
        </w:rPr>
        <w:t>，</w:t>
      </w:r>
      <w:r>
        <w:rPr/>
        <w:t>本公司副</w:t>
      </w:r>
      <w:r>
        <w:rPr>
          <w:spacing w:val="2"/>
        </w:rPr>
        <w:t>总</w:t>
      </w:r>
      <w:r>
        <w:rPr/>
        <w:t>经理</w:t>
      </w:r>
      <w:r>
        <w:rPr>
          <w:spacing w:val="-32"/>
        </w:rPr>
        <w:t>，</w:t>
      </w:r>
      <w:r>
        <w:rPr/>
        <w:t>个人简历详见本</w:t>
      </w:r>
      <w:r>
        <w:rPr>
          <w:spacing w:val="1"/>
        </w:rPr>
        <w:t>节</w:t>
      </w:r>
      <w:r>
        <w:rPr>
          <w:rFonts w:ascii="Times New Roman" w:hAnsi="Times New Roman" w:cs="Times New Roman" w:eastAsia="Times New Roman" w:hint="default"/>
          <w:spacing w:val="-1"/>
          <w:w w:val="100"/>
        </w:rPr>
        <w:t>“</w:t>
      </w:r>
      <w:r>
        <w:rPr/>
        <w:t>二</w:t>
      </w:r>
      <w:r>
        <w:rPr>
          <w:spacing w:val="-152"/>
        </w:rPr>
        <w:t>、</w:t>
      </w:r>
      <w:r>
        <w:rPr/>
        <w:t>（一</w:t>
      </w:r>
      <w:r>
        <w:rPr>
          <w:spacing w:val="-120"/>
        </w:rPr>
        <w:t>）</w:t>
      </w:r>
      <w:r>
        <w:rPr>
          <w:spacing w:val="-32"/>
        </w:rPr>
        <w:t>、</w:t>
      </w:r>
      <w:r>
        <w:rPr/>
        <w:t>董事会</w:t>
      </w:r>
      <w:r>
        <w:rPr>
          <w:spacing w:val="2"/>
        </w:rPr>
        <w:t>成</w:t>
      </w:r>
      <w:r>
        <w:rPr/>
        <w:t>员简介</w:t>
      </w:r>
      <w:r>
        <w:rPr>
          <w:rFonts w:ascii="Times New Roman" w:hAnsi="Times New Roman" w:cs="Times New Roman" w:eastAsia="Times New Roman" w:hint="default"/>
          <w:spacing w:val="-1"/>
          <w:w w:val="100"/>
        </w:rPr>
        <w:t>”</w:t>
      </w:r>
      <w:r>
        <w:rPr/>
        <w:t>。</w:t>
      </w:r>
    </w:p>
    <w:p>
      <w:pPr>
        <w:pStyle w:val="BodyText"/>
        <w:spacing w:line="240" w:lineRule="auto" w:before="133"/>
        <w:ind w:left="621" w:right="139"/>
        <w:jc w:val="left"/>
      </w:pPr>
      <w:r>
        <w:rPr>
          <w:rFonts w:ascii="Times New Roman" w:hAnsi="Times New Roman" w:cs="Times New Roman" w:eastAsia="Times New Roman" w:hint="default"/>
        </w:rPr>
        <w:t>3</w:t>
      </w:r>
      <w:r>
        <w:rPr>
          <w:spacing w:val="-32"/>
        </w:rPr>
        <w:t>、</w:t>
      </w:r>
      <w:r>
        <w:rPr/>
        <w:t>汪洋</w:t>
      </w:r>
      <w:r>
        <w:rPr>
          <w:spacing w:val="-32"/>
        </w:rPr>
        <w:t>，</w:t>
      </w:r>
      <w:r>
        <w:rPr/>
        <w:t>本公司副</w:t>
      </w:r>
      <w:r>
        <w:rPr>
          <w:spacing w:val="2"/>
        </w:rPr>
        <w:t>总</w:t>
      </w:r>
      <w:r>
        <w:rPr/>
        <w:t>经理</w:t>
      </w:r>
      <w:r>
        <w:rPr>
          <w:spacing w:val="-32"/>
        </w:rPr>
        <w:t>，</w:t>
      </w:r>
      <w:r>
        <w:rPr/>
        <w:t>个人简历详见本</w:t>
      </w:r>
      <w:r>
        <w:rPr>
          <w:spacing w:val="1"/>
        </w:rPr>
        <w:t>节</w:t>
      </w:r>
      <w:r>
        <w:rPr>
          <w:rFonts w:ascii="Times New Roman" w:hAnsi="Times New Roman" w:cs="Times New Roman" w:eastAsia="Times New Roman" w:hint="default"/>
          <w:spacing w:val="-1"/>
          <w:w w:val="100"/>
        </w:rPr>
        <w:t>“</w:t>
      </w:r>
      <w:r>
        <w:rPr/>
        <w:t>二</w:t>
      </w:r>
      <w:r>
        <w:rPr>
          <w:spacing w:val="-152"/>
        </w:rPr>
        <w:t>、</w:t>
      </w:r>
      <w:r>
        <w:rPr/>
        <w:t>（一</w:t>
      </w:r>
      <w:r>
        <w:rPr>
          <w:spacing w:val="-120"/>
        </w:rPr>
        <w:t>）</w:t>
      </w:r>
      <w:r>
        <w:rPr>
          <w:spacing w:val="-32"/>
        </w:rPr>
        <w:t>、</w:t>
      </w:r>
      <w:r>
        <w:rPr/>
        <w:t>董事会</w:t>
      </w:r>
      <w:r>
        <w:rPr>
          <w:spacing w:val="2"/>
        </w:rPr>
        <w:t>成</w:t>
      </w:r>
      <w:r>
        <w:rPr/>
        <w:t>员简介</w:t>
      </w:r>
      <w:r>
        <w:rPr>
          <w:rFonts w:ascii="Times New Roman" w:hAnsi="Times New Roman" w:cs="Times New Roman" w:eastAsia="Times New Roman" w:hint="default"/>
          <w:spacing w:val="-1"/>
          <w:w w:val="100"/>
        </w:rPr>
        <w:t>”</w:t>
      </w:r>
      <w:r>
        <w:rPr/>
        <w:t>。</w:t>
      </w:r>
    </w:p>
    <w:p>
      <w:pPr>
        <w:pStyle w:val="BodyText"/>
        <w:spacing w:line="336" w:lineRule="auto" w:before="135"/>
        <w:ind w:right="303" w:firstLine="479"/>
        <w:jc w:val="both"/>
      </w:pPr>
      <w:r>
        <w:rPr>
          <w:rFonts w:ascii="Times New Roman" w:hAnsi="Times New Roman" w:cs="Times New Roman" w:eastAsia="Times New Roman" w:hint="default"/>
          <w:spacing w:val="-6"/>
          <w:w w:val="100"/>
        </w:rPr>
        <w:t>4</w:t>
      </w:r>
      <w:r>
        <w:rPr>
          <w:spacing w:val="-6"/>
          <w:w w:val="100"/>
        </w:rPr>
        <w:t>、韦余红，本公司总工程师，个人简历详见本节</w:t>
      </w:r>
      <w:r>
        <w:rPr>
          <w:rFonts w:ascii="Times New Roman" w:hAnsi="Times New Roman" w:cs="Times New Roman" w:eastAsia="Times New Roman" w:hint="default"/>
          <w:spacing w:val="-6"/>
          <w:w w:val="100"/>
        </w:rPr>
        <w:t>“</w:t>
      </w:r>
      <w:r>
        <w:rPr>
          <w:spacing w:val="-6"/>
          <w:w w:val="100"/>
        </w:rPr>
        <w:t>二、（一）、董事会成员简</w:t>
      </w:r>
      <w:r>
        <w:rPr/>
        <w:t> 介</w:t>
      </w:r>
      <w:r>
        <w:rPr>
          <w:rFonts w:ascii="Times New Roman" w:hAnsi="Times New Roman" w:cs="Times New Roman" w:eastAsia="Times New Roman" w:hint="default"/>
        </w:rPr>
        <w:t>”</w:t>
      </w:r>
      <w:r>
        <w:rPr/>
        <w:t>。</w:t>
      </w:r>
    </w:p>
    <w:p>
      <w:pPr>
        <w:pStyle w:val="BodyText"/>
        <w:spacing w:line="348" w:lineRule="auto" w:before="29"/>
        <w:ind w:right="299" w:firstLine="479"/>
        <w:jc w:val="both"/>
      </w:pPr>
      <w:r>
        <w:rPr>
          <w:rFonts w:ascii="Times New Roman" w:hAnsi="Times New Roman" w:cs="Times New Roman" w:eastAsia="Times New Roman" w:hint="default"/>
          <w:spacing w:val="-7"/>
        </w:rPr>
        <w:t>5</w:t>
      </w:r>
      <w:r>
        <w:rPr>
          <w:spacing w:val="-7"/>
        </w:rPr>
        <w:t>、赵辉，男，</w:t>
      </w:r>
      <w:r>
        <w:rPr>
          <w:rFonts w:ascii="Times New Roman" w:hAnsi="Times New Roman" w:cs="Times New Roman" w:eastAsia="Times New Roman" w:hint="default"/>
          <w:spacing w:val="-7"/>
        </w:rPr>
        <w:t>41</w:t>
      </w:r>
      <w:r>
        <w:rPr>
          <w:rFonts w:ascii="Times New Roman" w:hAnsi="Times New Roman" w:cs="Times New Roman" w:eastAsia="Times New Roman" w:hint="default"/>
          <w:spacing w:val="15"/>
        </w:rPr>
        <w:t> </w:t>
      </w:r>
      <w:r>
        <w:rPr>
          <w:spacing w:val="-3"/>
        </w:rPr>
        <w:t>岁，本科学历，现任本公司财务负责人兼董事会秘书。曾任</w:t>
      </w:r>
      <w:r>
        <w:rPr/>
        <w:t> 中国扬子电气集团有限公司扬子客车厂主管会计、国泰君安证券股份有限公司资</w:t>
      </w:r>
      <w:r>
        <w:rPr>
          <w:spacing w:val="-67"/>
        </w:rPr>
        <w:t> </w:t>
      </w:r>
      <w:r>
        <w:rPr>
          <w:spacing w:val="-67"/>
        </w:rPr>
      </w:r>
      <w:r>
        <w:rPr/>
        <w:t>产管理部黑龙江实业财务总监、深圳市彤云科技实业有限公司财务经理、深圳市</w:t>
      </w:r>
    </w:p>
    <w:p>
      <w:pPr>
        <w:spacing w:after="0" w:line="348" w:lineRule="auto"/>
        <w:jc w:val="both"/>
        <w:sectPr>
          <w:footerReference w:type="default" r:id="rId31"/>
          <w:pgSz w:w="11910" w:h="16840"/>
          <w:pgMar w:footer="1267" w:header="867" w:top="1060" w:bottom="1460" w:left="1560" w:right="1440"/>
          <w:pgNumType w:start="72"/>
        </w:sectPr>
      </w:pPr>
    </w:p>
    <w:p>
      <w:pPr>
        <w:pStyle w:val="BodyText"/>
        <w:spacing w:line="240" w:lineRule="auto" w:before="25"/>
        <w:ind w:right="176"/>
        <w:jc w:val="left"/>
      </w:pPr>
      <w:r>
        <w:rPr/>
        <w:pict>
          <v:group style="position:absolute;margin-left:83.664001pt;margin-top:2.185654pt;width:433.75pt;height:.1pt;mso-position-horizontal-relative:page;mso-position-vertical-relative:paragraph;z-index:-681232" coordorigin="1673,44" coordsize="8675,2">
            <v:shape style="position:absolute;left:1673;top:44;width:8675;height:2" coordorigin="1673,44" coordsize="8675,0" path="m1673,44l10348,44e" filled="false" stroked="true" strokeweight=".72pt" strokecolor="#000000">
              <v:path arrowok="t"/>
            </v:shape>
            <w10:wrap type="none"/>
          </v:group>
        </w:pict>
      </w:r>
      <w:r>
        <w:rPr/>
        <w:t>奥格立电子科技有限公司财务经理。</w:t>
      </w:r>
      <w:r>
        <w:rPr>
          <w:rFonts w:ascii="Times New Roman" w:hAnsi="Times New Roman" w:cs="Times New Roman" w:eastAsia="Times New Roman" w:hint="default"/>
        </w:rPr>
        <w:t>2001 </w:t>
      </w:r>
      <w:r>
        <w:rPr/>
        <w:t>年迄今在公司负责财务工作。</w:t>
      </w:r>
    </w:p>
    <w:p>
      <w:pPr>
        <w:spacing w:line="240" w:lineRule="auto" w:before="6"/>
        <w:rPr>
          <w:rFonts w:ascii="宋体" w:hAnsi="宋体" w:cs="宋体" w:eastAsia="宋体" w:hint="default"/>
          <w:sz w:val="34"/>
          <w:szCs w:val="34"/>
        </w:rPr>
      </w:pPr>
    </w:p>
    <w:p>
      <w:pPr>
        <w:spacing w:line="535" w:lineRule="auto" w:before="0"/>
        <w:ind w:left="621" w:right="2985" w:hanging="480"/>
        <w:jc w:val="left"/>
        <w:rPr>
          <w:rFonts w:ascii="宋体" w:hAnsi="宋体" w:cs="宋体" w:eastAsia="宋体" w:hint="default"/>
          <w:sz w:val="24"/>
          <w:szCs w:val="24"/>
        </w:rPr>
      </w:pPr>
      <w:r>
        <w:rPr>
          <w:rFonts w:ascii="宋体" w:hAnsi="宋体" w:cs="宋体" w:eastAsia="宋体" w:hint="default"/>
          <w:b/>
          <w:bCs/>
          <w:sz w:val="24"/>
          <w:szCs w:val="24"/>
        </w:rPr>
        <w:t>（四）、报告期内董事、监事、高管变动情况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报告期内，公司董事、监事、高管没有发生变动。</w:t>
      </w:r>
    </w:p>
    <w:p>
      <w:pPr>
        <w:pStyle w:val="Heading6"/>
        <w:spacing w:line="357" w:lineRule="auto" w:before="170"/>
        <w:ind w:right="176"/>
        <w:jc w:val="left"/>
        <w:rPr>
          <w:b w:val="0"/>
          <w:bCs w:val="0"/>
        </w:rPr>
      </w:pPr>
      <w:r>
        <w:rPr/>
        <w:t>三、报告期内，公司核心技术团队或关键技术人员（非董事、监事、高级管理人</w:t>
      </w:r>
      <w:r>
        <w:rPr>
          <w:spacing w:val="-100"/>
        </w:rPr>
        <w:t> </w:t>
      </w:r>
      <w:r>
        <w:rPr>
          <w:spacing w:val="-100"/>
        </w:rPr>
      </w:r>
      <w:r>
        <w:rPr/>
        <w:t>员）没有发生变动。</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0"/>
          <w:szCs w:val="20"/>
        </w:rPr>
      </w:pPr>
    </w:p>
    <w:p>
      <w:pPr>
        <w:pStyle w:val="BodyText"/>
        <w:spacing w:line="535" w:lineRule="auto"/>
        <w:ind w:left="621" w:right="1665" w:hanging="480"/>
        <w:jc w:val="left"/>
      </w:pPr>
      <w:r>
        <w:rPr>
          <w:rFonts w:ascii="宋体" w:hAnsi="宋体" w:cs="宋体" w:eastAsia="宋体" w:hint="default"/>
          <w:b/>
          <w:bCs/>
        </w:rPr>
        <w:t>四、员工情况：</w:t>
      </w:r>
      <w:r>
        <w:rPr>
          <w:rFonts w:ascii="宋体" w:hAnsi="宋体" w:cs="宋体" w:eastAsia="宋体" w:hint="default"/>
          <w:b/>
          <w:bCs/>
          <w:w w:val="99"/>
        </w:rPr>
        <w:t> </w:t>
      </w: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日，公司员工人数达</w:t>
      </w:r>
      <w:r>
        <w:rPr>
          <w:rFonts w:ascii="Times New Roman" w:hAnsi="Times New Roman" w:cs="Times New Roman" w:eastAsia="Times New Roman" w:hint="default"/>
        </w:rPr>
        <w:t>531</w:t>
      </w:r>
      <w:r>
        <w:rPr/>
        <w:t>人，具体情况如下：</w:t>
      </w:r>
    </w:p>
    <w:p>
      <w:pPr>
        <w:pStyle w:val="Heading6"/>
        <w:spacing w:line="240" w:lineRule="auto" w:before="44"/>
        <w:ind w:right="1334"/>
        <w:jc w:val="left"/>
        <w:rPr>
          <w:b w:val="0"/>
          <w:bCs w:val="0"/>
        </w:rPr>
      </w:pPr>
      <w:r>
        <w:rPr>
          <w:spacing w:val="2"/>
          <w:w w:val="99"/>
        </w:rPr>
        <w:t>（</w:t>
      </w:r>
      <w:r>
        <w:rPr>
          <w:w w:val="99"/>
        </w:rPr>
        <w:t>一</w:t>
      </w:r>
      <w:r>
        <w:rPr>
          <w:spacing w:val="-120"/>
          <w:w w:val="99"/>
        </w:rPr>
        <w:t>）</w:t>
      </w:r>
      <w:r>
        <w:rPr>
          <w:spacing w:val="2"/>
          <w:w w:val="99"/>
        </w:rPr>
        <w:t>、</w:t>
      </w:r>
      <w:r>
        <w:rPr>
          <w:w w:val="99"/>
        </w:rPr>
        <w:t>员</w:t>
      </w:r>
      <w:r>
        <w:rPr>
          <w:spacing w:val="2"/>
          <w:w w:val="99"/>
        </w:rPr>
        <w:t>工</w:t>
      </w:r>
      <w:r>
        <w:rPr>
          <w:w w:val="99"/>
        </w:rPr>
        <w:t>专业</w:t>
      </w:r>
      <w:r>
        <w:rPr>
          <w:spacing w:val="2"/>
          <w:w w:val="99"/>
        </w:rPr>
        <w:t>结</w:t>
      </w:r>
      <w:r>
        <w:rPr>
          <w:w w:val="99"/>
        </w:rPr>
        <w:t>构</w:t>
      </w:r>
      <w:r>
        <w:rPr>
          <w:b w:val="0"/>
          <w:bCs w:val="0"/>
        </w:rPr>
      </w:r>
    </w:p>
    <w:p>
      <w:pPr>
        <w:spacing w:line="240" w:lineRule="auto" w:before="9"/>
        <w:rPr>
          <w:rFonts w:ascii="宋体" w:hAnsi="宋体" w:cs="宋体" w:eastAsia="宋体" w:hint="default"/>
          <w:b/>
          <w:bCs/>
          <w:sz w:val="26"/>
          <w:szCs w:val="26"/>
        </w:rPr>
      </w:pPr>
    </w:p>
    <w:tbl>
      <w:tblPr>
        <w:tblW w:w="0" w:type="auto"/>
        <w:jc w:val="left"/>
        <w:tblInd w:w="319" w:type="dxa"/>
        <w:tblLayout w:type="fixed"/>
        <w:tblCellMar>
          <w:top w:w="0" w:type="dxa"/>
          <w:left w:w="0" w:type="dxa"/>
          <w:bottom w:w="0" w:type="dxa"/>
          <w:right w:w="0" w:type="dxa"/>
        </w:tblCellMar>
        <w:tblLook w:val="01E0"/>
      </w:tblPr>
      <w:tblGrid>
        <w:gridCol w:w="2552"/>
        <w:gridCol w:w="2842"/>
        <w:gridCol w:w="2840"/>
      </w:tblGrid>
      <w:tr>
        <w:trPr>
          <w:trHeight w:val="491" w:hRule="exact"/>
        </w:trPr>
        <w:tc>
          <w:tcPr>
            <w:tcW w:w="2552" w:type="dxa"/>
            <w:tcBorders>
              <w:top w:val="single" w:sz="12" w:space="0" w:color="000000"/>
              <w:left w:val="single" w:sz="12" w:space="0" w:color="000000"/>
              <w:bottom w:val="single" w:sz="6" w:space="0" w:color="000000"/>
              <w:right w:val="single" w:sz="6" w:space="0" w:color="000000"/>
            </w:tcBorders>
            <w:shd w:val="clear" w:color="auto" w:fill="8DB3E1"/>
          </w:tcPr>
          <w:p>
            <w:pPr>
              <w:pStyle w:val="TableParagraph"/>
              <w:tabs>
                <w:tab w:pos="722" w:val="left" w:leader="none"/>
              </w:tabs>
              <w:spacing w:line="240" w:lineRule="auto" w:before="40"/>
              <w:ind w:right="15"/>
              <w:jc w:val="center"/>
              <w:rPr>
                <w:rFonts w:ascii="宋体" w:hAnsi="宋体" w:cs="宋体" w:eastAsia="宋体" w:hint="default"/>
                <w:sz w:val="24"/>
                <w:szCs w:val="24"/>
              </w:rPr>
            </w:pPr>
            <w:r>
              <w:rPr>
                <w:rFonts w:ascii="宋体" w:hAnsi="宋体" w:cs="宋体" w:eastAsia="宋体" w:hint="default"/>
                <w:b/>
                <w:bCs/>
                <w:w w:val="95"/>
                <w:sz w:val="24"/>
                <w:szCs w:val="24"/>
              </w:rPr>
              <w:t>专</w:t>
              <w:tab/>
            </w:r>
            <w:r>
              <w:rPr>
                <w:rFonts w:ascii="宋体" w:hAnsi="宋体" w:cs="宋体" w:eastAsia="宋体" w:hint="default"/>
                <w:b/>
                <w:bCs/>
                <w:sz w:val="24"/>
                <w:szCs w:val="24"/>
              </w:rPr>
              <w:t>业</w:t>
            </w:r>
            <w:r>
              <w:rPr>
                <w:rFonts w:ascii="宋体" w:hAnsi="宋体" w:cs="宋体" w:eastAsia="宋体" w:hint="default"/>
                <w:sz w:val="24"/>
                <w:szCs w:val="24"/>
              </w:rPr>
            </w:r>
          </w:p>
        </w:tc>
        <w:tc>
          <w:tcPr>
            <w:tcW w:w="2842"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40" w:type="dxa"/>
            <w:tcBorders>
              <w:top w:val="single" w:sz="12" w:space="0" w:color="000000"/>
              <w:left w:val="single" w:sz="6" w:space="0" w:color="000000"/>
              <w:bottom w:val="single" w:sz="6" w:space="0" w:color="000000"/>
              <w:right w:val="single" w:sz="12" w:space="0" w:color="000000"/>
            </w:tcBorders>
            <w:shd w:val="clear" w:color="auto" w:fill="8DB3E1"/>
          </w:tcPr>
          <w:p>
            <w:pPr>
              <w:pStyle w:val="TableParagraph"/>
              <w:spacing w:line="240" w:lineRule="auto" w:before="40"/>
              <w:ind w:left="4" w:right="0"/>
              <w:jc w:val="center"/>
              <w:rPr>
                <w:rFonts w:ascii="宋体" w:hAnsi="宋体" w:cs="宋体" w:eastAsia="宋体" w:hint="default"/>
                <w:sz w:val="24"/>
                <w:szCs w:val="24"/>
              </w:rPr>
            </w:pPr>
            <w:r>
              <w:rPr>
                <w:rFonts w:ascii="宋体" w:hAnsi="宋体" w:cs="宋体" w:eastAsia="宋体" w:hint="default"/>
                <w:b/>
                <w:bCs/>
                <w:sz w:val="24"/>
                <w:szCs w:val="24"/>
              </w:rPr>
              <w:t>占总人数的比例（</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482"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4"/>
                <w:szCs w:val="24"/>
              </w:rPr>
            </w:pPr>
            <w:r>
              <w:rPr>
                <w:rFonts w:ascii="宋体" w:hAnsi="宋体" w:cs="宋体" w:eastAsia="宋体" w:hint="default"/>
                <w:sz w:val="24"/>
                <w:szCs w:val="24"/>
              </w:rPr>
              <w:t>生产</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235</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1" w:right="0"/>
              <w:jc w:val="center"/>
              <w:rPr>
                <w:rFonts w:ascii="Times New Roman" w:hAnsi="Times New Roman" w:cs="Times New Roman" w:eastAsia="Times New Roman" w:hint="default"/>
                <w:sz w:val="24"/>
                <w:szCs w:val="24"/>
              </w:rPr>
            </w:pPr>
            <w:r>
              <w:rPr>
                <w:rFonts w:ascii="Times New Roman"/>
                <w:sz w:val="24"/>
              </w:rPr>
              <w:t>44.26</w:t>
            </w:r>
          </w:p>
        </w:tc>
      </w:tr>
      <w:tr>
        <w:trPr>
          <w:trHeight w:val="483"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4"/>
                <w:szCs w:val="24"/>
              </w:rPr>
            </w:pPr>
            <w:r>
              <w:rPr>
                <w:rFonts w:ascii="宋体" w:hAnsi="宋体" w:cs="宋体" w:eastAsia="宋体" w:hint="default"/>
                <w:sz w:val="24"/>
                <w:szCs w:val="24"/>
              </w:rPr>
              <w:t>研发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4"/>
                <w:szCs w:val="24"/>
              </w:rPr>
            </w:pPr>
            <w:r>
              <w:rPr>
                <w:rFonts w:ascii="Times New Roman"/>
                <w:sz w:val="24"/>
              </w:rPr>
              <w:t>129</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24"/>
                <w:szCs w:val="24"/>
              </w:rPr>
            </w:pPr>
            <w:r>
              <w:rPr>
                <w:rFonts w:ascii="Times New Roman"/>
                <w:sz w:val="24"/>
              </w:rPr>
              <w:t>24.29</w:t>
            </w:r>
          </w:p>
        </w:tc>
      </w:tr>
      <w:tr>
        <w:trPr>
          <w:trHeight w:val="482"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4"/>
                <w:szCs w:val="24"/>
              </w:rPr>
            </w:pPr>
            <w:r>
              <w:rPr>
                <w:rFonts w:ascii="宋体" w:hAnsi="宋体" w:cs="宋体" w:eastAsia="宋体" w:hint="default"/>
                <w:sz w:val="24"/>
                <w:szCs w:val="24"/>
              </w:rPr>
              <w:t>销售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110</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1" w:right="0"/>
              <w:jc w:val="center"/>
              <w:rPr>
                <w:rFonts w:ascii="Times New Roman" w:hAnsi="Times New Roman" w:cs="Times New Roman" w:eastAsia="Times New Roman" w:hint="default"/>
                <w:sz w:val="24"/>
                <w:szCs w:val="24"/>
              </w:rPr>
            </w:pPr>
            <w:r>
              <w:rPr>
                <w:rFonts w:ascii="Times New Roman"/>
                <w:sz w:val="24"/>
              </w:rPr>
              <w:t>20.72</w:t>
            </w:r>
          </w:p>
        </w:tc>
      </w:tr>
      <w:tr>
        <w:trPr>
          <w:trHeight w:val="482"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4"/>
                <w:szCs w:val="24"/>
              </w:rPr>
            </w:pPr>
            <w:r>
              <w:rPr>
                <w:rFonts w:ascii="宋体" w:hAnsi="宋体" w:cs="宋体" w:eastAsia="宋体" w:hint="default"/>
                <w:sz w:val="24"/>
                <w:szCs w:val="24"/>
              </w:rPr>
              <w:t>客服</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11</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1" w:right="0"/>
              <w:jc w:val="center"/>
              <w:rPr>
                <w:rFonts w:ascii="Times New Roman" w:hAnsi="Times New Roman" w:cs="Times New Roman" w:eastAsia="Times New Roman" w:hint="default"/>
                <w:sz w:val="24"/>
                <w:szCs w:val="24"/>
              </w:rPr>
            </w:pPr>
            <w:r>
              <w:rPr>
                <w:rFonts w:ascii="Times New Roman"/>
                <w:sz w:val="24"/>
              </w:rPr>
              <w:t>2.07</w:t>
            </w:r>
          </w:p>
        </w:tc>
      </w:tr>
      <w:tr>
        <w:trPr>
          <w:trHeight w:val="485"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13"/>
              <w:jc w:val="center"/>
              <w:rPr>
                <w:rFonts w:ascii="宋体" w:hAnsi="宋体" w:cs="宋体" w:eastAsia="宋体" w:hint="default"/>
                <w:sz w:val="24"/>
                <w:szCs w:val="24"/>
              </w:rPr>
            </w:pPr>
            <w:r>
              <w:rPr>
                <w:rFonts w:ascii="宋体" w:hAnsi="宋体" w:cs="宋体" w:eastAsia="宋体" w:hint="default"/>
                <w:sz w:val="24"/>
                <w:szCs w:val="24"/>
              </w:rPr>
              <w:t>管理</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46</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8.66</w:t>
            </w:r>
          </w:p>
        </w:tc>
      </w:tr>
      <w:tr>
        <w:trPr>
          <w:trHeight w:val="490" w:hRule="exact"/>
        </w:trPr>
        <w:tc>
          <w:tcPr>
            <w:tcW w:w="2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9"/>
              <w:ind w:right="13"/>
              <w:jc w:val="center"/>
              <w:rPr>
                <w:rFonts w:ascii="宋体" w:hAnsi="宋体" w:cs="宋体" w:eastAsia="宋体" w:hint="default"/>
                <w:sz w:val="24"/>
                <w:szCs w:val="24"/>
              </w:rPr>
            </w:pPr>
            <w:r>
              <w:rPr>
                <w:rFonts w:ascii="宋体" w:hAnsi="宋体" w:cs="宋体" w:eastAsia="宋体" w:hint="default"/>
                <w:sz w:val="24"/>
                <w:szCs w:val="24"/>
              </w:rPr>
              <w:t>合计</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531</w:t>
            </w:r>
          </w:p>
        </w:tc>
        <w:tc>
          <w:tcPr>
            <w:tcW w:w="28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2"/>
              <w:ind w:left="1" w:right="0"/>
              <w:jc w:val="center"/>
              <w:rPr>
                <w:rFonts w:ascii="Times New Roman" w:hAnsi="Times New Roman" w:cs="Times New Roman" w:eastAsia="Times New Roman" w:hint="default"/>
                <w:sz w:val="24"/>
                <w:szCs w:val="24"/>
              </w:rPr>
            </w:pPr>
            <w:r>
              <w:rPr>
                <w:rFonts w:ascii="Times New Roman"/>
                <w:sz w:val="24"/>
              </w:rPr>
              <w:t>100.00</w:t>
            </w:r>
          </w:p>
        </w:tc>
      </w:tr>
    </w:tbl>
    <w:p>
      <w:pPr>
        <w:spacing w:line="240" w:lineRule="auto" w:before="13"/>
        <w:rPr>
          <w:rFonts w:ascii="宋体" w:hAnsi="宋体" w:cs="宋体" w:eastAsia="宋体" w:hint="default"/>
          <w:b/>
          <w:bCs/>
          <w:sz w:val="18"/>
          <w:szCs w:val="18"/>
        </w:rPr>
      </w:pPr>
    </w:p>
    <w:p>
      <w:pPr>
        <w:spacing w:before="26"/>
        <w:ind w:left="338" w:right="1334" w:firstLine="0"/>
        <w:jc w:val="left"/>
        <w:rPr>
          <w:rFonts w:ascii="宋体" w:hAnsi="宋体" w:cs="宋体" w:eastAsia="宋体" w:hint="default"/>
          <w:sz w:val="24"/>
          <w:szCs w:val="24"/>
        </w:rPr>
      </w:pPr>
      <w:r>
        <w:rPr>
          <w:rFonts w:ascii="宋体" w:hAnsi="宋体" w:cs="宋体" w:eastAsia="宋体" w:hint="default"/>
          <w:b/>
          <w:bCs/>
          <w:spacing w:val="2"/>
          <w:w w:val="99"/>
          <w:sz w:val="24"/>
          <w:szCs w:val="24"/>
        </w:rPr>
        <w:t>（</w:t>
      </w:r>
      <w:r>
        <w:rPr>
          <w:rFonts w:ascii="宋体" w:hAnsi="宋体" w:cs="宋体" w:eastAsia="宋体" w:hint="default"/>
          <w:b/>
          <w:bCs/>
          <w:w w:val="99"/>
          <w:sz w:val="24"/>
          <w:szCs w:val="24"/>
        </w:rPr>
        <w:t>二</w:t>
      </w:r>
      <w:r>
        <w:rPr>
          <w:rFonts w:ascii="宋体" w:hAnsi="宋体" w:cs="宋体" w:eastAsia="宋体" w:hint="default"/>
          <w:b/>
          <w:bCs/>
          <w:spacing w:val="-120"/>
          <w:w w:val="99"/>
          <w:sz w:val="24"/>
          <w:szCs w:val="24"/>
        </w:rPr>
        <w:t>）</w:t>
      </w:r>
      <w:r>
        <w:rPr>
          <w:rFonts w:ascii="宋体" w:hAnsi="宋体" w:cs="宋体" w:eastAsia="宋体" w:hint="default"/>
          <w:b/>
          <w:bCs/>
          <w:spacing w:val="2"/>
          <w:w w:val="99"/>
          <w:sz w:val="24"/>
          <w:szCs w:val="24"/>
        </w:rPr>
        <w:t>、</w:t>
      </w:r>
      <w:r>
        <w:rPr>
          <w:rFonts w:ascii="宋体" w:hAnsi="宋体" w:cs="宋体" w:eastAsia="宋体" w:hint="default"/>
          <w:b/>
          <w:bCs/>
          <w:w w:val="99"/>
          <w:sz w:val="24"/>
          <w:szCs w:val="24"/>
        </w:rPr>
        <w:t>员</w:t>
      </w:r>
      <w:r>
        <w:rPr>
          <w:rFonts w:ascii="宋体" w:hAnsi="宋体" w:cs="宋体" w:eastAsia="宋体" w:hint="default"/>
          <w:b/>
          <w:bCs/>
          <w:spacing w:val="2"/>
          <w:w w:val="99"/>
          <w:sz w:val="24"/>
          <w:szCs w:val="24"/>
        </w:rPr>
        <w:t>工</w:t>
      </w:r>
      <w:r>
        <w:rPr>
          <w:rFonts w:ascii="宋体" w:hAnsi="宋体" w:cs="宋体" w:eastAsia="宋体" w:hint="default"/>
          <w:b/>
          <w:bCs/>
          <w:w w:val="99"/>
          <w:sz w:val="24"/>
          <w:szCs w:val="24"/>
        </w:rPr>
        <w:t>受教</w:t>
      </w:r>
      <w:r>
        <w:rPr>
          <w:rFonts w:ascii="宋体" w:hAnsi="宋体" w:cs="宋体" w:eastAsia="宋体" w:hint="default"/>
          <w:b/>
          <w:bCs/>
          <w:spacing w:val="2"/>
          <w:w w:val="99"/>
          <w:sz w:val="24"/>
          <w:szCs w:val="24"/>
        </w:rPr>
        <w:t>育</w:t>
      </w:r>
      <w:r>
        <w:rPr>
          <w:rFonts w:ascii="宋体" w:hAnsi="宋体" w:cs="宋体" w:eastAsia="宋体" w:hint="default"/>
          <w:b/>
          <w:bCs/>
          <w:w w:val="99"/>
          <w:sz w:val="24"/>
          <w:szCs w:val="24"/>
        </w:rPr>
        <w:t>程度</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tbl>
      <w:tblPr>
        <w:tblW w:w="0" w:type="auto"/>
        <w:jc w:val="left"/>
        <w:tblInd w:w="295" w:type="dxa"/>
        <w:tblLayout w:type="fixed"/>
        <w:tblCellMar>
          <w:top w:w="0" w:type="dxa"/>
          <w:left w:w="0" w:type="dxa"/>
          <w:bottom w:w="0" w:type="dxa"/>
          <w:right w:w="0" w:type="dxa"/>
        </w:tblCellMar>
        <w:tblLook w:val="01E0"/>
      </w:tblPr>
      <w:tblGrid>
        <w:gridCol w:w="2732"/>
        <w:gridCol w:w="2842"/>
        <w:gridCol w:w="2708"/>
      </w:tblGrid>
      <w:tr>
        <w:trPr>
          <w:trHeight w:val="491" w:hRule="exact"/>
        </w:trPr>
        <w:tc>
          <w:tcPr>
            <w:tcW w:w="2732" w:type="dxa"/>
            <w:tcBorders>
              <w:top w:val="single" w:sz="12" w:space="0" w:color="000000"/>
              <w:left w:val="single" w:sz="12" w:space="0" w:color="000000"/>
              <w:bottom w:val="single" w:sz="6" w:space="0" w:color="000000"/>
              <w:right w:val="single" w:sz="6" w:space="0" w:color="000000"/>
            </w:tcBorders>
            <w:shd w:val="clear" w:color="auto" w:fill="8DB3E1"/>
          </w:tcPr>
          <w:p>
            <w:pPr>
              <w:pStyle w:val="TableParagraph"/>
              <w:tabs>
                <w:tab w:pos="722" w:val="left" w:leader="none"/>
              </w:tabs>
              <w:spacing w:line="240" w:lineRule="auto" w:before="40"/>
              <w:ind w:right="8"/>
              <w:jc w:val="center"/>
              <w:rPr>
                <w:rFonts w:ascii="宋体" w:hAnsi="宋体" w:cs="宋体" w:eastAsia="宋体" w:hint="default"/>
                <w:sz w:val="24"/>
                <w:szCs w:val="24"/>
              </w:rPr>
            </w:pPr>
            <w:r>
              <w:rPr>
                <w:rFonts w:ascii="宋体" w:hAnsi="宋体" w:cs="宋体" w:eastAsia="宋体" w:hint="default"/>
                <w:b/>
                <w:bCs/>
                <w:w w:val="95"/>
                <w:sz w:val="24"/>
                <w:szCs w:val="24"/>
              </w:rPr>
              <w:t>学</w:t>
              <w:tab/>
            </w:r>
            <w:r>
              <w:rPr>
                <w:rFonts w:ascii="宋体" w:hAnsi="宋体" w:cs="宋体" w:eastAsia="宋体" w:hint="default"/>
                <w:b/>
                <w:bCs/>
                <w:sz w:val="24"/>
                <w:szCs w:val="24"/>
              </w:rPr>
              <w:t>历</w:t>
            </w:r>
            <w:r>
              <w:rPr>
                <w:rFonts w:ascii="宋体" w:hAnsi="宋体" w:cs="宋体" w:eastAsia="宋体" w:hint="default"/>
                <w:sz w:val="24"/>
                <w:szCs w:val="24"/>
              </w:rPr>
            </w:r>
          </w:p>
        </w:tc>
        <w:tc>
          <w:tcPr>
            <w:tcW w:w="2842"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40"/>
              <w:ind w:right="3"/>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708" w:type="dxa"/>
            <w:tcBorders>
              <w:top w:val="single" w:sz="12" w:space="0" w:color="000000"/>
              <w:left w:val="single" w:sz="6" w:space="0" w:color="000000"/>
              <w:bottom w:val="single" w:sz="6" w:space="0" w:color="000000"/>
              <w:right w:val="single" w:sz="12" w:space="0" w:color="000000"/>
            </w:tcBorders>
            <w:shd w:val="clear" w:color="auto" w:fill="8DB3E1"/>
          </w:tcPr>
          <w:p>
            <w:pPr>
              <w:pStyle w:val="TableParagraph"/>
              <w:spacing w:line="240" w:lineRule="auto" w:before="40"/>
              <w:ind w:left="2" w:right="0"/>
              <w:jc w:val="center"/>
              <w:rPr>
                <w:rFonts w:ascii="宋体" w:hAnsi="宋体" w:cs="宋体" w:eastAsia="宋体" w:hint="default"/>
                <w:sz w:val="24"/>
                <w:szCs w:val="24"/>
              </w:rPr>
            </w:pPr>
            <w:r>
              <w:rPr>
                <w:rFonts w:ascii="宋体" w:hAnsi="宋体" w:cs="宋体" w:eastAsia="宋体" w:hint="default"/>
                <w:b/>
                <w:bCs/>
                <w:sz w:val="24"/>
                <w:szCs w:val="24"/>
              </w:rPr>
              <w:t>占总人数的比例（</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482" w:hRule="exact"/>
        </w:trPr>
        <w:tc>
          <w:tcPr>
            <w:tcW w:w="2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本科及以上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
              <w:jc w:val="center"/>
              <w:rPr>
                <w:rFonts w:ascii="Times New Roman" w:hAnsi="Times New Roman" w:cs="Times New Roman" w:eastAsia="Times New Roman" w:hint="default"/>
                <w:sz w:val="24"/>
                <w:szCs w:val="24"/>
              </w:rPr>
            </w:pPr>
            <w:r>
              <w:rPr>
                <w:rFonts w:ascii="Times New Roman"/>
                <w:sz w:val="24"/>
              </w:rPr>
              <w:t>171</w:t>
            </w:r>
          </w:p>
        </w:tc>
        <w:tc>
          <w:tcPr>
            <w:tcW w:w="2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32.20</w:t>
            </w:r>
          </w:p>
        </w:tc>
      </w:tr>
      <w:tr>
        <w:trPr>
          <w:trHeight w:val="482" w:hRule="exact"/>
        </w:trPr>
        <w:tc>
          <w:tcPr>
            <w:tcW w:w="2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大专</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
              <w:jc w:val="center"/>
              <w:rPr>
                <w:rFonts w:ascii="Times New Roman" w:hAnsi="Times New Roman" w:cs="Times New Roman" w:eastAsia="Times New Roman" w:hint="default"/>
                <w:sz w:val="24"/>
                <w:szCs w:val="24"/>
              </w:rPr>
            </w:pPr>
            <w:r>
              <w:rPr>
                <w:rFonts w:ascii="Times New Roman"/>
                <w:sz w:val="24"/>
              </w:rPr>
              <w:t>120</w:t>
            </w:r>
          </w:p>
        </w:tc>
        <w:tc>
          <w:tcPr>
            <w:tcW w:w="2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22.60</w:t>
            </w:r>
          </w:p>
        </w:tc>
      </w:tr>
      <w:tr>
        <w:trPr>
          <w:trHeight w:val="485" w:hRule="exact"/>
        </w:trPr>
        <w:tc>
          <w:tcPr>
            <w:tcW w:w="2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5"/>
              <w:jc w:val="center"/>
              <w:rPr>
                <w:rFonts w:ascii="宋体" w:hAnsi="宋体" w:cs="宋体" w:eastAsia="宋体" w:hint="default"/>
                <w:sz w:val="24"/>
                <w:szCs w:val="24"/>
              </w:rPr>
            </w:pPr>
            <w:r>
              <w:rPr>
                <w:rFonts w:ascii="宋体" w:hAnsi="宋体" w:cs="宋体" w:eastAsia="宋体" w:hint="default"/>
                <w:sz w:val="24"/>
                <w:szCs w:val="24"/>
              </w:rPr>
              <w:t>高中及以下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center"/>
              <w:rPr>
                <w:rFonts w:ascii="Times New Roman" w:hAnsi="Times New Roman" w:cs="Times New Roman" w:eastAsia="Times New Roman" w:hint="default"/>
                <w:sz w:val="24"/>
                <w:szCs w:val="24"/>
              </w:rPr>
            </w:pPr>
            <w:r>
              <w:rPr>
                <w:rFonts w:ascii="Times New Roman"/>
                <w:sz w:val="24"/>
              </w:rPr>
              <w:t>240</w:t>
            </w:r>
          </w:p>
        </w:tc>
        <w:tc>
          <w:tcPr>
            <w:tcW w:w="2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45.20</w:t>
            </w:r>
          </w:p>
        </w:tc>
      </w:tr>
      <w:tr>
        <w:trPr>
          <w:trHeight w:val="490" w:hRule="exact"/>
        </w:trPr>
        <w:tc>
          <w:tcPr>
            <w:tcW w:w="273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合计</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3"/>
              <w:jc w:val="center"/>
              <w:rPr>
                <w:rFonts w:ascii="Times New Roman" w:hAnsi="Times New Roman" w:cs="Times New Roman" w:eastAsia="Times New Roman" w:hint="default"/>
                <w:sz w:val="24"/>
                <w:szCs w:val="24"/>
              </w:rPr>
            </w:pPr>
            <w:r>
              <w:rPr>
                <w:rFonts w:ascii="Times New Roman"/>
                <w:sz w:val="24"/>
              </w:rPr>
              <w:t>531</w:t>
            </w:r>
          </w:p>
        </w:tc>
        <w:tc>
          <w:tcPr>
            <w:tcW w:w="27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100.00</w:t>
            </w:r>
          </w:p>
        </w:tc>
      </w:tr>
    </w:tbl>
    <w:p>
      <w:pPr>
        <w:spacing w:line="240" w:lineRule="auto" w:before="13"/>
        <w:rPr>
          <w:rFonts w:ascii="宋体" w:hAnsi="宋体" w:cs="宋体" w:eastAsia="宋体" w:hint="default"/>
          <w:b/>
          <w:bCs/>
          <w:sz w:val="18"/>
          <w:szCs w:val="18"/>
        </w:rPr>
      </w:pPr>
    </w:p>
    <w:p>
      <w:pPr>
        <w:spacing w:before="26"/>
        <w:ind w:left="338" w:right="1334" w:firstLine="0"/>
        <w:jc w:val="left"/>
        <w:rPr>
          <w:rFonts w:ascii="宋体" w:hAnsi="宋体" w:cs="宋体" w:eastAsia="宋体" w:hint="default"/>
          <w:sz w:val="24"/>
          <w:szCs w:val="24"/>
        </w:rPr>
      </w:pPr>
      <w:r>
        <w:rPr>
          <w:rFonts w:ascii="宋体" w:hAnsi="宋体" w:cs="宋体" w:eastAsia="宋体" w:hint="default"/>
          <w:b/>
          <w:bCs/>
          <w:spacing w:val="2"/>
          <w:w w:val="99"/>
          <w:sz w:val="24"/>
          <w:szCs w:val="24"/>
        </w:rPr>
        <w:t>（</w:t>
      </w:r>
      <w:r>
        <w:rPr>
          <w:rFonts w:ascii="宋体" w:hAnsi="宋体" w:cs="宋体" w:eastAsia="宋体" w:hint="default"/>
          <w:b/>
          <w:bCs/>
          <w:w w:val="99"/>
          <w:sz w:val="24"/>
          <w:szCs w:val="24"/>
        </w:rPr>
        <w:t>三</w:t>
      </w:r>
      <w:r>
        <w:rPr>
          <w:rFonts w:ascii="宋体" w:hAnsi="宋体" w:cs="宋体" w:eastAsia="宋体" w:hint="default"/>
          <w:b/>
          <w:bCs/>
          <w:spacing w:val="-120"/>
          <w:w w:val="99"/>
          <w:sz w:val="24"/>
          <w:szCs w:val="24"/>
        </w:rPr>
        <w:t>）</w:t>
      </w:r>
      <w:r>
        <w:rPr>
          <w:rFonts w:ascii="宋体" w:hAnsi="宋体" w:cs="宋体" w:eastAsia="宋体" w:hint="default"/>
          <w:b/>
          <w:bCs/>
          <w:spacing w:val="2"/>
          <w:w w:val="99"/>
          <w:sz w:val="24"/>
          <w:szCs w:val="24"/>
        </w:rPr>
        <w:t>、</w:t>
      </w:r>
      <w:r>
        <w:rPr>
          <w:rFonts w:ascii="宋体" w:hAnsi="宋体" w:cs="宋体" w:eastAsia="宋体" w:hint="default"/>
          <w:b/>
          <w:bCs/>
          <w:w w:val="99"/>
          <w:sz w:val="24"/>
          <w:szCs w:val="24"/>
        </w:rPr>
        <w:t>员</w:t>
      </w:r>
      <w:r>
        <w:rPr>
          <w:rFonts w:ascii="宋体" w:hAnsi="宋体" w:cs="宋体" w:eastAsia="宋体" w:hint="default"/>
          <w:b/>
          <w:bCs/>
          <w:spacing w:val="2"/>
          <w:w w:val="99"/>
          <w:sz w:val="24"/>
          <w:szCs w:val="24"/>
        </w:rPr>
        <w:t>工</w:t>
      </w:r>
      <w:r>
        <w:rPr>
          <w:rFonts w:ascii="宋体" w:hAnsi="宋体" w:cs="宋体" w:eastAsia="宋体" w:hint="default"/>
          <w:b/>
          <w:bCs/>
          <w:w w:val="99"/>
          <w:sz w:val="24"/>
          <w:szCs w:val="24"/>
        </w:rPr>
        <w:t>年龄</w:t>
      </w:r>
      <w:r>
        <w:rPr>
          <w:rFonts w:ascii="宋体" w:hAnsi="宋体" w:cs="宋体" w:eastAsia="宋体" w:hint="default"/>
          <w:b/>
          <w:bCs/>
          <w:spacing w:val="2"/>
          <w:w w:val="99"/>
          <w:sz w:val="24"/>
          <w:szCs w:val="24"/>
        </w:rPr>
        <w:t>分</w:t>
      </w:r>
      <w:r>
        <w:rPr>
          <w:rFonts w:ascii="宋体" w:hAnsi="宋体" w:cs="宋体" w:eastAsia="宋体" w:hint="default"/>
          <w:b/>
          <w:bCs/>
          <w:w w:val="99"/>
          <w:sz w:val="24"/>
          <w:szCs w:val="24"/>
        </w:rPr>
        <w:t>布</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tbl>
      <w:tblPr>
        <w:tblW w:w="0" w:type="auto"/>
        <w:jc w:val="left"/>
        <w:tblInd w:w="250" w:type="dxa"/>
        <w:tblLayout w:type="fixed"/>
        <w:tblCellMar>
          <w:top w:w="0" w:type="dxa"/>
          <w:left w:w="0" w:type="dxa"/>
          <w:bottom w:w="0" w:type="dxa"/>
          <w:right w:w="0" w:type="dxa"/>
        </w:tblCellMar>
        <w:tblLook w:val="01E0"/>
      </w:tblPr>
      <w:tblGrid>
        <w:gridCol w:w="2691"/>
        <w:gridCol w:w="2842"/>
        <w:gridCol w:w="2841"/>
      </w:tblGrid>
      <w:tr>
        <w:trPr>
          <w:trHeight w:val="491" w:hRule="exact"/>
        </w:trPr>
        <w:tc>
          <w:tcPr>
            <w:tcW w:w="2691" w:type="dxa"/>
            <w:tcBorders>
              <w:top w:val="single" w:sz="12" w:space="0" w:color="000000"/>
              <w:left w:val="single" w:sz="12" w:space="0" w:color="000000"/>
              <w:bottom w:val="single" w:sz="6" w:space="0" w:color="000000"/>
              <w:right w:val="single" w:sz="6" w:space="0" w:color="000000"/>
            </w:tcBorders>
            <w:shd w:val="clear" w:color="auto" w:fill="8DB3E1"/>
          </w:tcPr>
          <w:p>
            <w:pPr>
              <w:pStyle w:val="TableParagraph"/>
              <w:tabs>
                <w:tab w:pos="1569" w:val="left" w:leader="none"/>
              </w:tabs>
              <w:spacing w:line="240" w:lineRule="auto" w:before="40"/>
              <w:ind w:left="847" w:right="0"/>
              <w:jc w:val="left"/>
              <w:rPr>
                <w:rFonts w:ascii="宋体" w:hAnsi="宋体" w:cs="宋体" w:eastAsia="宋体" w:hint="default"/>
                <w:sz w:val="24"/>
                <w:szCs w:val="24"/>
              </w:rPr>
            </w:pPr>
            <w:r>
              <w:rPr>
                <w:rFonts w:ascii="宋体" w:hAnsi="宋体" w:cs="宋体" w:eastAsia="宋体" w:hint="default"/>
                <w:b/>
                <w:bCs/>
                <w:w w:val="95"/>
                <w:sz w:val="24"/>
                <w:szCs w:val="24"/>
              </w:rPr>
              <w:t>年</w:t>
              <w:tab/>
            </w:r>
            <w:r>
              <w:rPr>
                <w:rFonts w:ascii="宋体" w:hAnsi="宋体" w:cs="宋体" w:eastAsia="宋体" w:hint="default"/>
                <w:b/>
                <w:bCs/>
                <w:sz w:val="24"/>
                <w:szCs w:val="24"/>
              </w:rPr>
              <w:t>龄</w:t>
            </w:r>
            <w:r>
              <w:rPr>
                <w:rFonts w:ascii="宋体" w:hAnsi="宋体" w:cs="宋体" w:eastAsia="宋体" w:hint="default"/>
                <w:sz w:val="24"/>
                <w:szCs w:val="24"/>
              </w:rPr>
            </w:r>
          </w:p>
        </w:tc>
        <w:tc>
          <w:tcPr>
            <w:tcW w:w="2842" w:type="dxa"/>
            <w:tcBorders>
              <w:top w:val="single" w:sz="12"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40"/>
              <w:ind w:left="811" w:right="0"/>
              <w:jc w:val="left"/>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41" w:type="dxa"/>
            <w:tcBorders>
              <w:top w:val="single" w:sz="12" w:space="0" w:color="000000"/>
              <w:left w:val="single" w:sz="6" w:space="0" w:color="000000"/>
              <w:bottom w:val="single" w:sz="6" w:space="0" w:color="000000"/>
              <w:right w:val="single" w:sz="12" w:space="0" w:color="000000"/>
            </w:tcBorders>
            <w:shd w:val="clear" w:color="auto" w:fill="8DB3E1"/>
          </w:tcPr>
          <w:p>
            <w:pPr>
              <w:pStyle w:val="TableParagraph"/>
              <w:spacing w:line="240" w:lineRule="auto" w:before="40"/>
              <w:ind w:left="208" w:right="0"/>
              <w:jc w:val="left"/>
              <w:rPr>
                <w:rFonts w:ascii="宋体" w:hAnsi="宋体" w:cs="宋体" w:eastAsia="宋体" w:hint="default"/>
                <w:sz w:val="24"/>
                <w:szCs w:val="24"/>
              </w:rPr>
            </w:pPr>
            <w:r>
              <w:rPr>
                <w:rFonts w:ascii="宋体" w:hAnsi="宋体" w:cs="宋体" w:eastAsia="宋体" w:hint="default"/>
                <w:b/>
                <w:bCs/>
                <w:sz w:val="24"/>
                <w:szCs w:val="24"/>
              </w:rPr>
              <w:t>占总人数的比例（</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pgSz w:w="11910" w:h="16840"/>
          <w:pgMar w:header="867" w:footer="1267" w:top="1060" w:bottom="1460" w:left="1560" w:right="1440"/>
        </w:sectPr>
      </w:pPr>
    </w:p>
    <w:p>
      <w:pPr>
        <w:spacing w:line="240" w:lineRule="auto" w:before="11"/>
        <w:rPr>
          <w:rFonts w:ascii="宋体" w:hAnsi="宋体" w:cs="宋体" w:eastAsia="宋体" w:hint="default"/>
          <w:b/>
          <w:bCs/>
          <w:sz w:val="2"/>
          <w:szCs w:val="2"/>
        </w:rPr>
      </w:pPr>
      <w:r>
        <w:rPr/>
        <w:pict>
          <v:group style="position:absolute;margin-left:83.664001pt;margin-top:55.559982pt;width:433.75pt;height:.1pt;mso-position-horizontal-relative:page;mso-position-vertical-relative:page;z-index:-681208" coordorigin="1673,1111" coordsize="8675,2">
            <v:shape style="position:absolute;left:1673;top:1111;width:8675;height:2" coordorigin="1673,1111" coordsize="8675,0" path="m1673,1111l10348,1111e" filled="false" stroked="true" strokeweight=".72pt" strokecolor="#000000">
              <v:path arrowok="t"/>
            </v:shape>
            <w10:wrap type="none"/>
          </v:group>
        </w:pict>
      </w:r>
    </w:p>
    <w:tbl>
      <w:tblPr>
        <w:tblW w:w="0" w:type="auto"/>
        <w:jc w:val="left"/>
        <w:tblInd w:w="250" w:type="dxa"/>
        <w:tblLayout w:type="fixed"/>
        <w:tblCellMar>
          <w:top w:w="0" w:type="dxa"/>
          <w:left w:w="0" w:type="dxa"/>
          <w:bottom w:w="0" w:type="dxa"/>
          <w:right w:w="0" w:type="dxa"/>
        </w:tblCellMar>
        <w:tblLook w:val="01E0"/>
      </w:tblPr>
      <w:tblGrid>
        <w:gridCol w:w="2691"/>
        <w:gridCol w:w="2842"/>
        <w:gridCol w:w="2842"/>
      </w:tblGrid>
      <w:tr>
        <w:trPr>
          <w:trHeight w:val="500" w:hRule="exact"/>
        </w:trPr>
        <w:tc>
          <w:tcPr>
            <w:tcW w:w="2691" w:type="dxa"/>
            <w:tcBorders>
              <w:top w:val="single" w:sz="17" w:space="0" w:color="000000"/>
              <w:left w:val="single" w:sz="12" w:space="0" w:color="000000"/>
              <w:bottom w:val="single" w:sz="6" w:space="0" w:color="000000"/>
              <w:right w:val="single" w:sz="6" w:space="0" w:color="000000"/>
            </w:tcBorders>
          </w:tcPr>
          <w:p>
            <w:pPr>
              <w:pStyle w:val="TableParagraph"/>
              <w:spacing w:line="240" w:lineRule="auto" w:before="41"/>
              <w:ind w:left="93" w:right="-5"/>
              <w:jc w:val="left"/>
              <w:rPr>
                <w:rFonts w:ascii="宋体" w:hAnsi="宋体" w:cs="宋体" w:eastAsia="宋体" w:hint="default"/>
                <w:sz w:val="24"/>
                <w:szCs w:val="24"/>
              </w:rPr>
            </w:pP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岁以下（不含</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岁）</w:t>
            </w:r>
          </w:p>
        </w:tc>
        <w:tc>
          <w:tcPr>
            <w:tcW w:w="284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427</w:t>
            </w:r>
          </w:p>
        </w:tc>
        <w:tc>
          <w:tcPr>
            <w:tcW w:w="2842" w:type="dxa"/>
            <w:tcBorders>
              <w:top w:val="single" w:sz="17" w:space="0" w:color="000000"/>
              <w:left w:val="single" w:sz="6" w:space="0" w:color="000000"/>
              <w:bottom w:val="single" w:sz="6" w:space="0" w:color="000000"/>
              <w:right w:val="single" w:sz="12" w:space="0" w:color="000000"/>
            </w:tcBorders>
          </w:tcPr>
          <w:p>
            <w:pPr>
              <w:pStyle w:val="TableParagraph"/>
              <w:spacing w:line="240" w:lineRule="auto" w:before="95"/>
              <w:ind w:left="4" w:right="0"/>
              <w:jc w:val="center"/>
              <w:rPr>
                <w:rFonts w:ascii="Times New Roman" w:hAnsi="Times New Roman" w:cs="Times New Roman" w:eastAsia="Times New Roman" w:hint="default"/>
                <w:sz w:val="24"/>
                <w:szCs w:val="24"/>
              </w:rPr>
            </w:pPr>
            <w:r>
              <w:rPr>
                <w:rFonts w:ascii="Times New Roman"/>
                <w:sz w:val="24"/>
              </w:rPr>
              <w:t>80.41</w:t>
            </w:r>
          </w:p>
        </w:tc>
      </w:tr>
      <w:tr>
        <w:trPr>
          <w:trHeight w:val="482" w:hRule="exact"/>
        </w:trPr>
        <w:tc>
          <w:tcPr>
            <w:tcW w:w="2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left="1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30-40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岁（不含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岁）</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78</w:t>
            </w:r>
          </w:p>
        </w:tc>
        <w:tc>
          <w:tcPr>
            <w:tcW w:w="28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4" w:right="0"/>
              <w:jc w:val="center"/>
              <w:rPr>
                <w:rFonts w:ascii="Times New Roman" w:hAnsi="Times New Roman" w:cs="Times New Roman" w:eastAsia="Times New Roman" w:hint="default"/>
                <w:sz w:val="24"/>
                <w:szCs w:val="24"/>
              </w:rPr>
            </w:pPr>
            <w:r>
              <w:rPr>
                <w:rFonts w:ascii="Times New Roman"/>
                <w:sz w:val="24"/>
              </w:rPr>
              <w:t>14.69</w:t>
            </w:r>
          </w:p>
        </w:tc>
      </w:tr>
      <w:tr>
        <w:trPr>
          <w:trHeight w:val="482" w:hRule="exact"/>
        </w:trPr>
        <w:tc>
          <w:tcPr>
            <w:tcW w:w="2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left="1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40-50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岁（不含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岁）</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23</w:t>
            </w:r>
          </w:p>
        </w:tc>
        <w:tc>
          <w:tcPr>
            <w:tcW w:w="28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4" w:right="0"/>
              <w:jc w:val="center"/>
              <w:rPr>
                <w:rFonts w:ascii="Times New Roman" w:hAnsi="Times New Roman" w:cs="Times New Roman" w:eastAsia="Times New Roman" w:hint="default"/>
                <w:sz w:val="24"/>
                <w:szCs w:val="24"/>
              </w:rPr>
            </w:pPr>
            <w:r>
              <w:rPr>
                <w:rFonts w:ascii="Times New Roman"/>
                <w:sz w:val="24"/>
              </w:rPr>
              <w:t>4.33</w:t>
            </w:r>
          </w:p>
        </w:tc>
      </w:tr>
      <w:tr>
        <w:trPr>
          <w:trHeight w:val="482" w:hRule="exact"/>
        </w:trPr>
        <w:tc>
          <w:tcPr>
            <w:tcW w:w="2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left="8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50 </w:t>
            </w:r>
            <w:r>
              <w:rPr>
                <w:rFonts w:ascii="宋体" w:hAnsi="宋体" w:cs="宋体" w:eastAsia="宋体" w:hint="default"/>
                <w:sz w:val="24"/>
                <w:szCs w:val="24"/>
              </w:rPr>
              <w:t>岁以上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3</w:t>
            </w:r>
          </w:p>
        </w:tc>
        <w:tc>
          <w:tcPr>
            <w:tcW w:w="28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left="4" w:right="0"/>
              <w:jc w:val="center"/>
              <w:rPr>
                <w:rFonts w:ascii="Times New Roman" w:hAnsi="Times New Roman" w:cs="Times New Roman" w:eastAsia="Times New Roman" w:hint="default"/>
                <w:sz w:val="24"/>
                <w:szCs w:val="24"/>
              </w:rPr>
            </w:pPr>
            <w:r>
              <w:rPr>
                <w:rFonts w:ascii="Times New Roman"/>
                <w:sz w:val="24"/>
              </w:rPr>
              <w:t>0.57</w:t>
            </w:r>
          </w:p>
        </w:tc>
      </w:tr>
      <w:tr>
        <w:trPr>
          <w:trHeight w:val="492" w:hRule="exact"/>
        </w:trPr>
        <w:tc>
          <w:tcPr>
            <w:tcW w:w="2691" w:type="dxa"/>
            <w:tcBorders>
              <w:top w:val="single" w:sz="6" w:space="0" w:color="000000"/>
              <w:left w:val="single" w:sz="12" w:space="0" w:color="000000"/>
              <w:bottom w:val="single" w:sz="12" w:space="0" w:color="000000"/>
              <w:right w:val="single" w:sz="6" w:space="0" w:color="000000"/>
            </w:tcBorders>
          </w:tcPr>
          <w:p>
            <w:pPr>
              <w:pStyle w:val="TableParagraph"/>
              <w:tabs>
                <w:tab w:pos="599" w:val="left" w:leader="none"/>
              </w:tabs>
              <w:spacing w:line="240" w:lineRule="auto" w:before="41"/>
              <w:ind w:right="8"/>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531</w:t>
            </w:r>
          </w:p>
        </w:tc>
        <w:tc>
          <w:tcPr>
            <w:tcW w:w="28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5"/>
              <w:ind w:left="4" w:right="0"/>
              <w:jc w:val="center"/>
              <w:rPr>
                <w:rFonts w:ascii="Times New Roman" w:hAnsi="Times New Roman" w:cs="Times New Roman" w:eastAsia="Times New Roman" w:hint="default"/>
                <w:sz w:val="24"/>
                <w:szCs w:val="24"/>
              </w:rPr>
            </w:pPr>
            <w:r>
              <w:rPr>
                <w:rFonts w:ascii="Times New Roman"/>
                <w:sz w:val="24"/>
              </w:rPr>
              <w:t>100.00</w:t>
            </w:r>
          </w:p>
        </w:tc>
      </w:tr>
    </w:tbl>
    <w:p>
      <w:pPr>
        <w:spacing w:line="240" w:lineRule="auto" w:before="13"/>
        <w:rPr>
          <w:rFonts w:ascii="宋体" w:hAnsi="宋体" w:cs="宋体" w:eastAsia="宋体" w:hint="default"/>
          <w:b/>
          <w:bCs/>
          <w:sz w:val="18"/>
          <w:szCs w:val="18"/>
        </w:rPr>
      </w:pPr>
    </w:p>
    <w:p>
      <w:pPr>
        <w:spacing w:before="26"/>
        <w:ind w:left="142" w:right="176" w:firstLine="0"/>
        <w:jc w:val="left"/>
        <w:rPr>
          <w:rFonts w:ascii="宋体" w:hAnsi="宋体" w:cs="宋体" w:eastAsia="宋体" w:hint="default"/>
          <w:sz w:val="24"/>
          <w:szCs w:val="24"/>
        </w:rPr>
      </w:pPr>
      <w:r>
        <w:rPr>
          <w:rFonts w:ascii="宋体" w:hAnsi="宋体" w:cs="宋体" w:eastAsia="宋体" w:hint="default"/>
          <w:b/>
          <w:bCs/>
          <w:sz w:val="24"/>
          <w:szCs w:val="24"/>
        </w:rPr>
        <w:t>（四）、公司执行深圳市社会保险制度，没有需要公司承担费用的离退休职工。</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67" w:footer="1267" w:top="1060" w:bottom="1460" w:left="1560" w:right="1440"/>
        </w:sectPr>
      </w:pPr>
    </w:p>
    <w:p>
      <w:pPr>
        <w:spacing w:line="240" w:lineRule="auto" w:before="6"/>
        <w:rPr>
          <w:rFonts w:ascii="宋体" w:hAnsi="宋体" w:cs="宋体" w:eastAsia="宋体" w:hint="default"/>
          <w:b/>
          <w:bCs/>
          <w:sz w:val="10"/>
          <w:szCs w:val="10"/>
        </w:rPr>
      </w:pPr>
    </w:p>
    <w:p>
      <w:pPr>
        <w:tabs>
          <w:tab w:pos="4090" w:val="left" w:leader="none"/>
        </w:tabs>
        <w:spacing w:before="14"/>
        <w:ind w:left="2967" w:right="219" w:firstLine="0"/>
        <w:jc w:val="left"/>
        <w:rPr>
          <w:rFonts w:ascii="宋体" w:hAnsi="宋体" w:cs="宋体" w:eastAsia="宋体" w:hint="default"/>
          <w:sz w:val="28"/>
          <w:szCs w:val="28"/>
        </w:rPr>
      </w:pPr>
      <w:r>
        <w:rPr>
          <w:rFonts w:ascii="宋体" w:hAnsi="宋体" w:cs="宋体" w:eastAsia="宋体" w:hint="default"/>
          <w:b/>
          <w:bCs/>
          <w:w w:val="95"/>
          <w:sz w:val="28"/>
          <w:szCs w:val="28"/>
        </w:rPr>
        <w:t>第七节</w:t>
        <w:tab/>
      </w:r>
      <w:r>
        <w:rPr>
          <w:rFonts w:ascii="宋体" w:hAnsi="宋体" w:cs="宋体" w:eastAsia="宋体" w:hint="default"/>
          <w:b/>
          <w:bCs/>
          <w:sz w:val="28"/>
          <w:szCs w:val="28"/>
        </w:rPr>
        <w:t>公司治理结构</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42" w:right="219" w:firstLine="0"/>
        <w:jc w:val="left"/>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sz w:val="24"/>
          <w:szCs w:val="24"/>
        </w:rPr>
      </w:r>
    </w:p>
    <w:p>
      <w:pPr>
        <w:spacing w:line="240" w:lineRule="auto" w:before="4"/>
        <w:rPr>
          <w:rFonts w:ascii="宋体" w:hAnsi="宋体" w:cs="宋体" w:eastAsia="宋体" w:hint="default"/>
          <w:b/>
          <w:bCs/>
          <w:sz w:val="34"/>
          <w:szCs w:val="34"/>
        </w:rPr>
      </w:pPr>
    </w:p>
    <w:p>
      <w:pPr>
        <w:pStyle w:val="BodyText"/>
        <w:spacing w:line="357" w:lineRule="auto"/>
        <w:ind w:right="92" w:firstLine="484"/>
        <w:jc w:val="left"/>
      </w:pPr>
      <w:r>
        <w:rPr>
          <w:spacing w:val="-5"/>
        </w:rPr>
        <w:t>报告期内，公司建立了规范的公司治理结构，股东大会、董事会及专门委员会、</w:t>
      </w:r>
      <w:r>
        <w:rPr/>
        <w:t> </w:t>
      </w:r>
      <w:r>
        <w:rPr>
          <w:spacing w:val="-8"/>
        </w:rPr>
        <w:t>监事会、独立董事、董事会秘书和管理层均严格按照《公司法》、《证券法》、《上</w:t>
      </w:r>
      <w:r>
        <w:rPr>
          <w:spacing w:val="-89"/>
        </w:rPr>
        <w:t> </w:t>
      </w:r>
      <w:r>
        <w:rPr>
          <w:spacing w:val="-89"/>
        </w:rPr>
      </w:r>
      <w:r>
        <w:rPr/>
        <w:t>市公司治理准则》、《深圳证券交易所创业板股票上市规则》、《深圳证券交易所</w:t>
      </w:r>
      <w:r>
        <w:rPr/>
        <w:t> </w:t>
      </w:r>
      <w:r>
        <w:rPr>
          <w:spacing w:val="-4"/>
        </w:rPr>
        <w:t>创业板上市公司规范运作指引》等法律、法规和中国证监会有关法律法规等的要求，</w:t>
      </w:r>
      <w:r>
        <w:rPr>
          <w:spacing w:val="-116"/>
        </w:rPr>
        <w:t> </w:t>
      </w:r>
      <w:r>
        <w:rPr>
          <w:spacing w:val="-116"/>
        </w:rPr>
      </w:r>
      <w:r>
        <w:rPr/>
        <w:t>履行各自的权利和义务，公司重大生产经营决策、投资决策及财务决策均按照《公</w:t>
      </w:r>
      <w:r>
        <w:rPr/>
        <w:t> 司章程》及有关内控制度规定的程序和规则进行，截至报告期末，上述机构和人员 依法运作，未出现违法、违规现象，能够切实履行应尽的职责和义务，公司治理的 实际状况符合《上市公司治理准则》和《深圳证券交易所创业板上市公司规范运作 指引》的要求。</w:t>
      </w:r>
    </w:p>
    <w:p>
      <w:pPr>
        <w:spacing w:line="762" w:lineRule="exact" w:before="7"/>
        <w:ind w:left="626" w:right="214" w:hanging="485"/>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1"/>
          <w:sz w:val="24"/>
          <w:szCs w:val="24"/>
        </w:rPr>
        <w:t>公司严格按照《上市公司股东大会规则》、《公司章程》、《股东大会议事规</w:t>
      </w:r>
    </w:p>
    <w:p>
      <w:pPr>
        <w:pStyle w:val="BodyText"/>
        <w:spacing w:line="357" w:lineRule="auto" w:before="35"/>
        <w:ind w:right="202"/>
        <w:jc w:val="both"/>
      </w:pPr>
      <w:r>
        <w:rPr/>
        <w:t>则》等规定和要求，规范地召集、召开股东大会，对公司的相关事项做出了决策， </w:t>
      </w:r>
      <w:r>
        <w:rPr>
          <w:spacing w:val="-1"/>
        </w:rPr>
        <w:t>程序规范，决策科学，并尽可能为股东参加股东大会提供便利，使其充分行使股东</w:t>
      </w:r>
      <w:r>
        <w:rPr>
          <w:spacing w:val="-108"/>
        </w:rPr>
        <w:t> </w:t>
      </w:r>
      <w:r>
        <w:rPr>
          <w:spacing w:val="-108"/>
        </w:rPr>
      </w:r>
      <w:r>
        <w:rPr/>
        <w:t>权利。</w:t>
      </w:r>
    </w:p>
    <w:p>
      <w:pPr>
        <w:spacing w:line="762" w:lineRule="exact" w:before="7"/>
        <w:ind w:left="626" w:right="214" w:hanging="485"/>
        <w:jc w:val="left"/>
        <w:rPr>
          <w:rFonts w:ascii="宋体" w:hAnsi="宋体" w:cs="宋体" w:eastAsia="宋体" w:hint="default"/>
          <w:sz w:val="24"/>
          <w:szCs w:val="24"/>
        </w:rPr>
      </w:pPr>
      <w:r>
        <w:rPr>
          <w:rFonts w:ascii="宋体" w:hAnsi="宋体" w:cs="宋体" w:eastAsia="宋体" w:hint="default"/>
          <w:b/>
          <w:bCs/>
          <w:sz w:val="24"/>
          <w:szCs w:val="24"/>
        </w:rPr>
        <w:t>（二）关于公司与控股股东</w:t>
      </w:r>
      <w:r>
        <w:rPr>
          <w:rFonts w:ascii="宋体" w:hAnsi="宋体" w:cs="宋体" w:eastAsia="宋体" w:hint="default"/>
          <w:b/>
          <w:bCs/>
          <w:w w:val="99"/>
          <w:sz w:val="24"/>
          <w:szCs w:val="24"/>
        </w:rPr>
        <w:t> </w:t>
      </w:r>
      <w:r>
        <w:rPr>
          <w:rFonts w:ascii="宋体" w:hAnsi="宋体" w:cs="宋体" w:eastAsia="宋体" w:hint="default"/>
          <w:spacing w:val="-1"/>
          <w:sz w:val="24"/>
          <w:szCs w:val="24"/>
        </w:rPr>
        <w:t>公司控股股东严格规范自身行为，没有直接或间接干预公司的决策和经营活动</w:t>
      </w:r>
    </w:p>
    <w:p>
      <w:pPr>
        <w:pStyle w:val="BodyText"/>
        <w:spacing w:line="357" w:lineRule="auto" w:before="35"/>
        <w:ind w:right="226"/>
        <w:jc w:val="both"/>
      </w:pPr>
      <w:r>
        <w:rPr>
          <w:spacing w:val="-1"/>
        </w:rPr>
        <w:t>情况，公司在业务、人员、资产、机构财务独立于控股股东，有独立完整的业务和</w:t>
      </w:r>
      <w:r>
        <w:rPr>
          <w:spacing w:val="-109"/>
        </w:rPr>
        <w:t> </w:t>
      </w:r>
      <w:r>
        <w:rPr>
          <w:spacing w:val="-109"/>
        </w:rPr>
      </w:r>
      <w:r>
        <w:rPr/>
        <w:t>自主经营能力，公司董事会、监事会和内部机构独立运作。</w:t>
      </w:r>
    </w:p>
    <w:p>
      <w:pPr>
        <w:spacing w:line="760" w:lineRule="exact" w:before="8"/>
        <w:ind w:left="626" w:right="215" w:hanging="485"/>
        <w:jc w:val="left"/>
        <w:rPr>
          <w:rFonts w:ascii="宋体" w:hAnsi="宋体" w:cs="宋体" w:eastAsia="宋体" w:hint="default"/>
          <w:sz w:val="24"/>
          <w:szCs w:val="24"/>
        </w:rPr>
      </w:pPr>
      <w:r>
        <w:rPr>
          <w:rFonts w:ascii="宋体" w:hAnsi="宋体" w:cs="宋体" w:eastAsia="宋体" w:hint="default"/>
          <w:b/>
          <w:bCs/>
          <w:sz w:val="24"/>
          <w:szCs w:val="24"/>
        </w:rPr>
        <w:t>（三）关于董事和董事会</w:t>
      </w:r>
      <w:r>
        <w:rPr>
          <w:rFonts w:ascii="宋体" w:hAnsi="宋体" w:cs="宋体" w:eastAsia="宋体" w:hint="default"/>
          <w:b/>
          <w:bCs/>
          <w:w w:val="99"/>
          <w:sz w:val="24"/>
          <w:szCs w:val="24"/>
        </w:rPr>
        <w:t> </w:t>
      </w:r>
      <w:r>
        <w:rPr>
          <w:rFonts w:ascii="宋体" w:hAnsi="宋体" w:cs="宋体" w:eastAsia="宋体" w:hint="default"/>
          <w:spacing w:val="-1"/>
          <w:sz w:val="24"/>
          <w:szCs w:val="24"/>
        </w:rPr>
        <w:t>公司董事会设有董事</w:t>
      </w:r>
      <w:r>
        <w:rPr>
          <w:rFonts w:ascii="Times New Roman" w:hAnsi="Times New Roman" w:cs="Times New Roman" w:eastAsia="Times New Roman" w:hint="default"/>
          <w:spacing w:val="-1"/>
          <w:sz w:val="24"/>
          <w:szCs w:val="24"/>
        </w:rPr>
        <w:t>9</w:t>
      </w:r>
      <w:r>
        <w:rPr>
          <w:rFonts w:ascii="宋体" w:hAnsi="宋体" w:cs="宋体" w:eastAsia="宋体" w:hint="default"/>
          <w:spacing w:val="-1"/>
          <w:sz w:val="24"/>
          <w:szCs w:val="24"/>
        </w:rPr>
        <w:t>名，其中独立董事</w:t>
      </w:r>
      <w:r>
        <w:rPr>
          <w:rFonts w:ascii="Times New Roman" w:hAnsi="Times New Roman" w:cs="Times New Roman" w:eastAsia="Times New Roman" w:hint="default"/>
          <w:spacing w:val="-1"/>
          <w:sz w:val="24"/>
          <w:szCs w:val="24"/>
        </w:rPr>
        <w:t>4</w:t>
      </w:r>
      <w:r>
        <w:rPr>
          <w:rFonts w:ascii="宋体" w:hAnsi="宋体" w:cs="宋体" w:eastAsia="宋体" w:hint="default"/>
          <w:spacing w:val="-1"/>
          <w:sz w:val="24"/>
          <w:szCs w:val="24"/>
        </w:rPr>
        <w:t>名。董事会的人数及人员构成符合法</w:t>
      </w:r>
    </w:p>
    <w:p>
      <w:pPr>
        <w:pStyle w:val="BodyText"/>
        <w:spacing w:line="240" w:lineRule="auto" w:before="35"/>
        <w:ind w:right="100"/>
        <w:jc w:val="left"/>
      </w:pPr>
      <w:r>
        <w:rPr/>
        <w:t>律、法规和《公司章程》的要求。各位董事能够依据《董事会议事规则》、《独立</w:t>
      </w:r>
    </w:p>
    <w:p>
      <w:pPr>
        <w:pStyle w:val="BodyText"/>
        <w:spacing w:line="470" w:lineRule="atLeast"/>
        <w:ind w:right="202"/>
        <w:jc w:val="both"/>
      </w:pPr>
      <w:r>
        <w:rPr/>
        <w:t>董事工作细则》、《深圳证券交易所创业板上市公司规范运作指引》等开展工作， </w:t>
      </w:r>
      <w:r>
        <w:rPr>
          <w:spacing w:val="-1"/>
        </w:rPr>
        <w:t>出席董事会和股东大会，尽责地履行职责和义务。公司董事通过自学熟悉并掌握相</w:t>
      </w:r>
    </w:p>
    <w:p>
      <w:pPr>
        <w:spacing w:after="0" w:line="470" w:lineRule="atLeast"/>
        <w:jc w:val="both"/>
        <w:sectPr>
          <w:pgSz w:w="11910" w:h="16840"/>
          <w:pgMar w:header="867" w:footer="1267" w:top="1060" w:bottom="1460" w:left="1560" w:right="1360"/>
        </w:sectPr>
      </w:pPr>
    </w:p>
    <w:p>
      <w:pPr>
        <w:pStyle w:val="BodyText"/>
        <w:spacing w:line="357" w:lineRule="auto" w:before="104"/>
        <w:ind w:right="223"/>
        <w:jc w:val="both"/>
      </w:pPr>
      <w:r>
        <w:rPr>
          <w:spacing w:val="-1"/>
        </w:rPr>
        <w:t>关法律法规，从根本上保证董事立足于维护公司和全体股东的最大利益，忠实、诚</w:t>
      </w:r>
      <w:r>
        <w:rPr>
          <w:spacing w:val="-108"/>
        </w:rPr>
        <w:t> </w:t>
      </w:r>
      <w:r>
        <w:rPr>
          <w:spacing w:val="-108"/>
        </w:rPr>
      </w:r>
      <w:r>
        <w:rPr>
          <w:spacing w:val="-1"/>
        </w:rPr>
        <w:t>信、勤勉地履行职责，全体董事均能做到以认真负责，勤勉诚信的态度忠实履行职</w:t>
      </w:r>
      <w:r>
        <w:rPr>
          <w:spacing w:val="-108"/>
        </w:rPr>
        <w:t> </w:t>
      </w:r>
      <w:r>
        <w:rPr>
          <w:spacing w:val="-108"/>
        </w:rPr>
      </w:r>
      <w:r>
        <w:rPr/>
        <w:t>责。</w:t>
      </w:r>
    </w:p>
    <w:p>
      <w:pPr>
        <w:spacing w:line="760" w:lineRule="exact" w:before="8"/>
        <w:ind w:left="626" w:right="215" w:hanging="485"/>
        <w:jc w:val="left"/>
        <w:rPr>
          <w:rFonts w:ascii="宋体" w:hAnsi="宋体" w:cs="宋体" w:eastAsia="宋体" w:hint="default"/>
          <w:sz w:val="24"/>
          <w:szCs w:val="24"/>
        </w:rPr>
      </w:pPr>
      <w:r>
        <w:rPr>
          <w:rFonts w:ascii="宋体" w:hAnsi="宋体" w:cs="宋体" w:eastAsia="宋体" w:hint="default"/>
          <w:b/>
          <w:bCs/>
          <w:sz w:val="24"/>
          <w:szCs w:val="24"/>
        </w:rPr>
        <w:t>（四）关于监事和监事会</w:t>
      </w:r>
      <w:r>
        <w:rPr>
          <w:rFonts w:ascii="宋体" w:hAnsi="宋体" w:cs="宋体" w:eastAsia="宋体" w:hint="default"/>
          <w:b/>
          <w:bCs/>
          <w:w w:val="99"/>
          <w:sz w:val="24"/>
          <w:szCs w:val="24"/>
        </w:rPr>
        <w:t> </w:t>
      </w:r>
      <w:r>
        <w:rPr>
          <w:rFonts w:ascii="宋体" w:hAnsi="宋体" w:cs="宋体" w:eastAsia="宋体" w:hint="default"/>
          <w:spacing w:val="-1"/>
          <w:sz w:val="24"/>
          <w:szCs w:val="24"/>
        </w:rPr>
        <w:t>公司监事会设有监事</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名，其中职工监事</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名，人数和人员构成符合法律、法规</w:t>
      </w:r>
    </w:p>
    <w:p>
      <w:pPr>
        <w:pStyle w:val="BodyText"/>
        <w:spacing w:line="357" w:lineRule="auto" w:before="35"/>
        <w:ind w:right="223"/>
        <w:jc w:val="both"/>
      </w:pPr>
      <w:r>
        <w:rPr>
          <w:spacing w:val="-1"/>
        </w:rPr>
        <w:t>和《公司章程》的规定与要求；监事会会议的召集、召开程序，完全按照《监事会</w:t>
      </w:r>
      <w:r>
        <w:rPr>
          <w:spacing w:val="-111"/>
        </w:rPr>
        <w:t> </w:t>
      </w:r>
      <w:r>
        <w:rPr>
          <w:spacing w:val="-111"/>
        </w:rPr>
      </w:r>
      <w:r>
        <w:rPr>
          <w:spacing w:val="-1"/>
        </w:rPr>
        <w:t>议事会议规则》的要求履行，并按照拟定的会议议程进行。公司监事能够认真履行</w:t>
      </w:r>
      <w:r>
        <w:rPr>
          <w:spacing w:val="-108"/>
        </w:rPr>
        <w:t> </w:t>
      </w:r>
      <w:r>
        <w:rPr>
          <w:spacing w:val="-108"/>
        </w:rPr>
      </w:r>
      <w:r>
        <w:rPr>
          <w:spacing w:val="-1"/>
        </w:rPr>
        <w:t>自己的职责，本着对公司和全体股东负责的精神，依法、独立对公司财务及公司董</w:t>
      </w:r>
      <w:r>
        <w:rPr>
          <w:spacing w:val="-108"/>
        </w:rPr>
        <w:t> </w:t>
      </w:r>
      <w:r>
        <w:rPr>
          <w:spacing w:val="-108"/>
        </w:rPr>
      </w:r>
      <w:r>
        <w:rPr/>
        <w:t>事、经理和其他高级管理人员履行职责的合法性、合规性进行监督。</w:t>
      </w:r>
    </w:p>
    <w:p>
      <w:pPr>
        <w:spacing w:line="760" w:lineRule="exact" w:before="8"/>
        <w:ind w:left="626" w:right="214" w:hanging="485"/>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pacing w:val="-1"/>
          <w:sz w:val="24"/>
          <w:szCs w:val="24"/>
        </w:rPr>
        <w:t>公司董事会下设的提名、薪酬和考核委员会负责对公司的董事、监事、高管进</w:t>
      </w:r>
    </w:p>
    <w:p>
      <w:pPr>
        <w:pStyle w:val="BodyText"/>
        <w:spacing w:line="357" w:lineRule="auto" w:before="35"/>
        <w:ind w:right="424"/>
        <w:jc w:val="left"/>
      </w:pPr>
      <w:r>
        <w:rPr/>
        <w:t>行绩效考核，公司现有的考核及激励约束机制符合公司的发展现状并且在不断完 善。</w:t>
      </w:r>
    </w:p>
    <w:p>
      <w:pPr>
        <w:spacing w:line="760" w:lineRule="exact" w:before="8"/>
        <w:ind w:left="626" w:right="100" w:hanging="485"/>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pacing w:val="-5"/>
          <w:sz w:val="24"/>
          <w:szCs w:val="24"/>
        </w:rPr>
        <w:t>公司严格按照有关法律法规以及《信息披露管理制度》、《投资者管理制度》、</w:t>
      </w:r>
    </w:p>
    <w:p>
      <w:pPr>
        <w:pStyle w:val="BodyText"/>
        <w:spacing w:line="352" w:lineRule="auto" w:before="35"/>
        <w:ind w:right="202"/>
        <w:jc w:val="both"/>
      </w:pPr>
      <w:r>
        <w:rPr>
          <w:spacing w:val="-1"/>
        </w:rPr>
        <w:t>《重大信息内部报告和保密制度》等要求，真实、准确、及时、公平、完整地披露</w:t>
      </w:r>
      <w:r>
        <w:rPr>
          <w:spacing w:val="-110"/>
        </w:rPr>
        <w:t> </w:t>
      </w:r>
      <w:r>
        <w:rPr>
          <w:spacing w:val="-110"/>
        </w:rPr>
      </w:r>
      <w:r>
        <w:rPr/>
        <w:t>有关信息；并制定公司董事会秘书负责信息披露工作，协调公司与投资者的关系， </w:t>
      </w:r>
      <w:r>
        <w:rPr>
          <w:spacing w:val="-1"/>
        </w:rPr>
        <w:t>接待股东来访，回答投资者咨询，向投资者提供公司已披露的资料；并指定《中国</w:t>
      </w:r>
      <w:r>
        <w:rPr>
          <w:spacing w:val="-107"/>
        </w:rPr>
        <w:t> </w:t>
      </w:r>
      <w:r>
        <w:rPr>
          <w:spacing w:val="-107"/>
        </w:rPr>
      </w:r>
      <w:r>
        <w:rPr>
          <w:spacing w:val="-2"/>
        </w:rPr>
        <w:t>证券报》、《证券时报》和巨潮网（</w:t>
      </w:r>
      <w:hyperlink r:id="rId13">
        <w:r>
          <w:rPr>
            <w:rFonts w:ascii="Times New Roman" w:hAnsi="Times New Roman" w:cs="Times New Roman" w:eastAsia="Times New Roman" w:hint="default"/>
            <w:spacing w:val="-2"/>
          </w:rPr>
          <w:t>www.cninfo.com.cn</w:t>
        </w:r>
      </w:hyperlink>
      <w:r>
        <w:rPr>
          <w:spacing w:val="-2"/>
        </w:rPr>
        <w:t>）为公司信息披露的指定报</w:t>
      </w:r>
      <w:r>
        <w:rPr>
          <w:spacing w:val="-92"/>
        </w:rPr>
        <w:t> </w:t>
      </w:r>
      <w:r>
        <w:rPr>
          <w:spacing w:val="-92"/>
        </w:rPr>
      </w:r>
      <w:r>
        <w:rPr/>
        <w:t>纸和网站，确保公司所有股东能够以平等的机会获得信息。</w:t>
      </w:r>
    </w:p>
    <w:p>
      <w:pPr>
        <w:spacing w:line="760" w:lineRule="exact" w:before="13"/>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（七）、关于相关利益者</w:t>
      </w:r>
      <w:r>
        <w:rPr>
          <w:rFonts w:ascii="宋体" w:hAnsi="宋体" w:cs="宋体" w:eastAsia="宋体" w:hint="default"/>
          <w:b/>
          <w:bCs/>
          <w:w w:val="99"/>
          <w:sz w:val="24"/>
          <w:szCs w:val="24"/>
        </w:rPr>
        <w:t> </w:t>
      </w:r>
      <w:r>
        <w:rPr>
          <w:rFonts w:ascii="宋体" w:hAnsi="宋体" w:cs="宋体" w:eastAsia="宋体" w:hint="default"/>
          <w:spacing w:val="-1"/>
          <w:sz w:val="24"/>
          <w:szCs w:val="24"/>
        </w:rPr>
        <w:t>公司充分尊重和维护相关利益者的合法权益，实现社会、股东、公司、员工等</w:t>
      </w:r>
    </w:p>
    <w:p>
      <w:pPr>
        <w:pStyle w:val="BodyText"/>
        <w:spacing w:line="357" w:lineRule="auto" w:before="35"/>
        <w:ind w:right="225"/>
        <w:jc w:val="both"/>
      </w:pPr>
      <w:r>
        <w:rPr>
          <w:spacing w:val="-1"/>
        </w:rPr>
        <w:t>各方面利益的协调平衡，诚信对待供应商和客户，坚持与相关利益者互利共赢的原</w:t>
      </w:r>
      <w:r>
        <w:rPr>
          <w:spacing w:val="-108"/>
        </w:rPr>
        <w:t> </w:t>
      </w:r>
      <w:r>
        <w:rPr>
          <w:spacing w:val="-108"/>
        </w:rPr>
      </w:r>
      <w:r>
        <w:rPr/>
        <w:t>则，共同推动公司持续、稳健发展。</w:t>
      </w:r>
    </w:p>
    <w:p>
      <w:pPr>
        <w:spacing w:after="0" w:line="357" w:lineRule="auto"/>
        <w:jc w:val="both"/>
        <w:sectPr>
          <w:pgSz w:w="11910" w:h="16840"/>
          <w:pgMar w:header="867" w:footer="1267" w:top="1060" w:bottom="1460" w:left="1560" w:right="1360"/>
        </w:sectPr>
      </w:pPr>
    </w:p>
    <w:p>
      <w:pPr>
        <w:spacing w:line="240" w:lineRule="auto" w:before="12"/>
        <w:rPr>
          <w:rFonts w:ascii="宋体" w:hAnsi="宋体" w:cs="宋体" w:eastAsia="宋体" w:hint="default"/>
          <w:sz w:val="8"/>
          <w:szCs w:val="8"/>
        </w:rPr>
      </w:pPr>
    </w:p>
    <w:p>
      <w:pPr>
        <w:pStyle w:val="Heading6"/>
        <w:spacing w:line="240" w:lineRule="auto" w:before="26"/>
        <w:ind w:right="0"/>
        <w:jc w:val="both"/>
        <w:rPr>
          <w:b w:val="0"/>
          <w:bCs w:val="0"/>
        </w:rPr>
      </w:pPr>
      <w:r>
        <w:rPr/>
        <w:t>二、公司董事长、独立董事及其他董事履行职责情况</w:t>
      </w:r>
      <w:r>
        <w:rPr>
          <w:b w:val="0"/>
          <w:bCs w:val="0"/>
        </w:rPr>
      </w:r>
    </w:p>
    <w:p>
      <w:pPr>
        <w:spacing w:line="240" w:lineRule="auto" w:before="5"/>
        <w:rPr>
          <w:rFonts w:ascii="宋体" w:hAnsi="宋体" w:cs="宋体" w:eastAsia="宋体" w:hint="default"/>
          <w:b/>
          <w:bCs/>
          <w:sz w:val="34"/>
          <w:szCs w:val="34"/>
        </w:rPr>
      </w:pPr>
    </w:p>
    <w:p>
      <w:pPr>
        <w:pStyle w:val="BodyText"/>
        <w:spacing w:line="338" w:lineRule="auto"/>
        <w:ind w:right="220" w:firstLine="479"/>
        <w:jc w:val="left"/>
      </w:pPr>
      <w:r>
        <w:rPr>
          <w:rFonts w:ascii="Times New Roman" w:hAnsi="Times New Roman" w:cs="Times New Roman" w:eastAsia="Times New Roman" w:hint="default"/>
        </w:rPr>
        <w:t>1</w:t>
      </w:r>
      <w:r>
        <w:rPr/>
        <w:t>、报告期内，公司全体董事严格按照《公司法》、《证券法》、《上市公司 </w:t>
      </w:r>
      <w:r>
        <w:rPr>
          <w:spacing w:val="-1"/>
        </w:rPr>
        <w:t>治理准则》、《深圳证券交易所创业板上市公司规范运作指引》等有关法律法规和</w:t>
      </w:r>
    </w:p>
    <w:p>
      <w:pPr>
        <w:pStyle w:val="BodyText"/>
        <w:spacing w:line="357" w:lineRule="auto" w:before="55"/>
        <w:ind w:right="223"/>
        <w:jc w:val="both"/>
      </w:pPr>
      <w:r>
        <w:rPr>
          <w:spacing w:val="-1"/>
        </w:rPr>
        <w:t>《公司章程》的规定，勤勉尽责地履行董事的职责，持续关注公司经营状况，遵守</w:t>
      </w:r>
      <w:r>
        <w:rPr>
          <w:spacing w:val="-107"/>
        </w:rPr>
        <w:t> </w:t>
      </w:r>
      <w:r>
        <w:rPr>
          <w:spacing w:val="-107"/>
        </w:rPr>
      </w:r>
      <w:r>
        <w:rPr>
          <w:spacing w:val="-1"/>
        </w:rPr>
        <w:t>董事行为规范，积极参加相关培训，提高规范运作水平，发挥各自的专业特长，积</w:t>
      </w:r>
      <w:r>
        <w:rPr>
          <w:spacing w:val="-107"/>
        </w:rPr>
        <w:t> </w:t>
      </w:r>
      <w:r>
        <w:rPr>
          <w:spacing w:val="-107"/>
        </w:rPr>
      </w:r>
      <w:r>
        <w:rPr>
          <w:spacing w:val="-1"/>
        </w:rPr>
        <w:t>极的履行职责。董事在董事会会议投票表决重大事项或其他对公司有重大影响的事</w:t>
      </w:r>
      <w:r>
        <w:rPr>
          <w:spacing w:val="-108"/>
        </w:rPr>
        <w:t> </w:t>
      </w:r>
      <w:r>
        <w:rPr>
          <w:spacing w:val="-108"/>
        </w:rPr>
      </w:r>
      <w:r>
        <w:rPr>
          <w:spacing w:val="-1"/>
        </w:rPr>
        <w:t>项时，严格遵循公司董事会议事规则的有关审议规定，审慎决策，切实保护公司和</w:t>
      </w:r>
      <w:r>
        <w:rPr>
          <w:spacing w:val="-108"/>
        </w:rPr>
        <w:t> </w:t>
      </w:r>
      <w:r>
        <w:rPr>
          <w:spacing w:val="-108"/>
        </w:rPr>
      </w:r>
      <w:r>
        <w:rPr/>
        <w:t>股东特别是社会公众股股东的利益。</w:t>
      </w:r>
    </w:p>
    <w:p>
      <w:pPr>
        <w:pStyle w:val="BodyText"/>
        <w:spacing w:line="352" w:lineRule="auto" w:before="36"/>
        <w:ind w:right="220" w:firstLine="479"/>
        <w:jc w:val="left"/>
      </w:pPr>
      <w:r>
        <w:rPr>
          <w:rFonts w:ascii="Times New Roman" w:hAnsi="Times New Roman" w:cs="Times New Roman" w:eastAsia="Times New Roman" w:hint="default"/>
        </w:rPr>
        <w:t>2</w:t>
      </w:r>
      <w:r>
        <w:rPr/>
        <w:t>、报告期内，公司董事长严格按照法律法规和《公司章程》的要求，依法行 </w:t>
      </w:r>
      <w:r>
        <w:rPr>
          <w:spacing w:val="-1"/>
        </w:rPr>
        <w:t>使权力，履行职责：全力加强董事会建设，依法召集、主持董事会会议并督促董事</w:t>
      </w:r>
      <w:r>
        <w:rPr>
          <w:spacing w:val="-107"/>
        </w:rPr>
        <w:t> </w:t>
      </w:r>
      <w:r>
        <w:rPr>
          <w:spacing w:val="-107"/>
        </w:rPr>
      </w:r>
      <w:r>
        <w:rPr>
          <w:spacing w:val="-1"/>
        </w:rPr>
        <w:t>亲自出席，严格执行董事会集体决策机制，并为独立董事和董事会秘书履行职责创</w:t>
      </w:r>
      <w:r>
        <w:rPr>
          <w:spacing w:val="-108"/>
        </w:rPr>
        <w:t> </w:t>
      </w:r>
      <w:r>
        <w:rPr>
          <w:spacing w:val="-108"/>
        </w:rPr>
      </w:r>
      <w:r>
        <w:rPr>
          <w:spacing w:val="-1"/>
        </w:rPr>
        <w:t>造良好条件。积极推动公司治理工作和内部控制建设，督促执行股东大会和董事会</w:t>
      </w:r>
      <w:r>
        <w:rPr>
          <w:spacing w:val="-108"/>
        </w:rPr>
        <w:t> </w:t>
      </w:r>
      <w:r>
        <w:rPr>
          <w:spacing w:val="-108"/>
        </w:rPr>
      </w:r>
      <w:r>
        <w:rPr/>
        <w:t>各项决议，确保董事会依法正常运作。</w:t>
      </w:r>
    </w:p>
    <w:p>
      <w:pPr>
        <w:pStyle w:val="BodyText"/>
        <w:spacing w:line="355" w:lineRule="auto" w:before="41"/>
        <w:ind w:right="92" w:firstLine="479"/>
        <w:jc w:val="left"/>
      </w:pPr>
      <w:r>
        <w:rPr>
          <w:rFonts w:ascii="Times New Roman" w:hAnsi="Times New Roman" w:cs="Times New Roman" w:eastAsia="Times New Roman" w:hint="default"/>
        </w:rPr>
        <w:t>3</w:t>
      </w:r>
      <w:r>
        <w:rPr/>
        <w:t>、报告期内，公司独立董事李建辉、金毅、许映鹏、刘永开能够严格按照有 关法律法规、《公司章程》、《独立董事制度》等的规定，本着对公司、股东负责 的态度，勤勉尽责，忠实履行职责，积极出席相关会议，认真审议各项议案，客观 </w:t>
      </w:r>
      <w:r>
        <w:rPr>
          <w:spacing w:val="-4"/>
        </w:rPr>
        <w:t>地发表自己的看法及观点，深入了解公司运营状况、内部控制的建设及董事会决议、</w:t>
      </w:r>
      <w:r>
        <w:rPr>
          <w:spacing w:val="-116"/>
        </w:rPr>
        <w:t> </w:t>
      </w:r>
      <w:r>
        <w:rPr>
          <w:spacing w:val="-116"/>
        </w:rPr>
      </w:r>
      <w:r>
        <w:rPr/>
        <w:t>股东会决议的执行情况，并利用自己的专业知识做出独立、公正的判断。在报告期</w:t>
      </w:r>
      <w:r>
        <w:rPr/>
        <w:t> 内，对公司发生的凡需要独立董事发表意见的事项发表独立董事意见，不受公司和 控股股东的影响，切实维护了中小股东的利益。报告期内，公司四名独立董事对公 司董事会的议案及公司其他事项均没有提出异议。</w:t>
      </w:r>
    </w:p>
    <w:p>
      <w:pPr>
        <w:pStyle w:val="BodyText"/>
        <w:spacing w:line="240" w:lineRule="auto" w:before="39"/>
        <w:ind w:left="621" w:right="219"/>
        <w:jc w:val="left"/>
      </w:pPr>
      <w:r>
        <w:rPr>
          <w:rFonts w:ascii="Times New Roman" w:hAnsi="Times New Roman" w:cs="Times New Roman" w:eastAsia="Times New Roman" w:hint="default"/>
        </w:rPr>
        <w:t>4</w:t>
      </w:r>
      <w:r>
        <w:rPr/>
        <w:t>、报告期内，公司独立董事出席董事会情况如下：</w:t>
      </w:r>
    </w:p>
    <w:p>
      <w:pPr>
        <w:spacing w:line="240" w:lineRule="auto" w:before="5"/>
        <w:rPr>
          <w:rFonts w:ascii="宋体" w:hAnsi="宋体" w:cs="宋体" w:eastAsia="宋体" w:hint="default"/>
          <w:sz w:val="7"/>
          <w:szCs w:val="7"/>
        </w:rPr>
      </w:pPr>
    </w:p>
    <w:tbl>
      <w:tblPr>
        <w:tblW w:w="0" w:type="auto"/>
        <w:jc w:val="left"/>
        <w:tblInd w:w="718" w:type="dxa"/>
        <w:tblLayout w:type="fixed"/>
        <w:tblCellMar>
          <w:top w:w="0" w:type="dxa"/>
          <w:left w:w="0" w:type="dxa"/>
          <w:bottom w:w="0" w:type="dxa"/>
          <w:right w:w="0" w:type="dxa"/>
        </w:tblCellMar>
        <w:tblLook w:val="01E0"/>
      </w:tblPr>
      <w:tblGrid>
        <w:gridCol w:w="1248"/>
        <w:gridCol w:w="975"/>
        <w:gridCol w:w="974"/>
        <w:gridCol w:w="1023"/>
        <w:gridCol w:w="641"/>
        <w:gridCol w:w="1887"/>
        <w:gridCol w:w="708"/>
      </w:tblGrid>
      <w:tr>
        <w:trPr>
          <w:trHeight w:val="1027" w:hRule="exact"/>
        </w:trPr>
        <w:tc>
          <w:tcPr>
            <w:tcW w:w="124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sz w:val="21"/>
                <w:szCs w:val="21"/>
              </w:rPr>
            </w:r>
          </w:p>
        </w:tc>
        <w:tc>
          <w:tcPr>
            <w:tcW w:w="97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271" w:right="164" w:hanging="107"/>
              <w:jc w:val="left"/>
              <w:rPr>
                <w:rFonts w:ascii="宋体" w:hAnsi="宋体" w:cs="宋体" w:eastAsia="宋体" w:hint="default"/>
                <w:sz w:val="21"/>
                <w:szCs w:val="21"/>
              </w:rPr>
            </w:pPr>
            <w:r>
              <w:rPr>
                <w:rFonts w:ascii="宋体" w:hAnsi="宋体" w:cs="宋体" w:eastAsia="宋体" w:hint="default"/>
                <w:b/>
                <w:bCs/>
                <w:sz w:val="21"/>
                <w:szCs w:val="21"/>
              </w:rPr>
              <w:t>应出席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97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165" w:right="163"/>
              <w:jc w:val="left"/>
              <w:rPr>
                <w:rFonts w:ascii="宋体" w:hAnsi="宋体" w:cs="宋体" w:eastAsia="宋体" w:hint="default"/>
                <w:sz w:val="21"/>
                <w:szCs w:val="21"/>
              </w:rPr>
            </w:pPr>
            <w:r>
              <w:rPr>
                <w:rFonts w:ascii="宋体" w:hAnsi="宋体" w:cs="宋体" w:eastAsia="宋体" w:hint="default"/>
                <w:b/>
                <w:bCs/>
                <w:sz w:val="21"/>
                <w:szCs w:val="21"/>
              </w:rPr>
              <w:t>现场出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02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187" w:right="190"/>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64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100" w:right="107"/>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88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408" w:lineRule="auto" w:before="105"/>
              <w:ind w:left="302" w:right="200" w:hanging="106"/>
              <w:jc w:val="left"/>
              <w:rPr>
                <w:rFonts w:ascii="宋体" w:hAnsi="宋体" w:cs="宋体" w:eastAsia="宋体" w:hint="default"/>
                <w:sz w:val="21"/>
                <w:szCs w:val="21"/>
              </w:rPr>
            </w:pPr>
            <w:r>
              <w:rPr>
                <w:rFonts w:ascii="宋体" w:hAnsi="宋体" w:cs="宋体" w:eastAsia="宋体" w:hint="default"/>
                <w:b/>
                <w:bCs/>
                <w:sz w:val="21"/>
                <w:szCs w:val="21"/>
              </w:rPr>
              <w:t>是否连续两次未</w:t>
            </w:r>
            <w:r>
              <w:rPr>
                <w:rFonts w:ascii="宋体" w:hAnsi="宋体" w:cs="宋体" w:eastAsia="宋体" w:hint="default"/>
                <w:b/>
                <w:bCs/>
                <w:spacing w:val="-104"/>
                <w:sz w:val="21"/>
                <w:szCs w:val="21"/>
              </w:rPr>
              <w:t> </w:t>
            </w:r>
            <w:r>
              <w:rPr>
                <w:rFonts w:ascii="宋体" w:hAnsi="宋体" w:cs="宋体" w:eastAsia="宋体" w:hint="default"/>
                <w:b/>
                <w:bCs/>
                <w:sz w:val="21"/>
                <w:szCs w:val="21"/>
              </w:rPr>
              <w:t>亲自出席会议</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5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李建辉</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27"/>
              <w:jc w:val="right"/>
              <w:rPr>
                <w:rFonts w:ascii="Times New Roman" w:hAnsi="Times New Roman" w:cs="Times New Roman" w:eastAsia="Times New Roman" w:hint="default"/>
                <w:sz w:val="21"/>
                <w:szCs w:val="21"/>
              </w:rPr>
            </w:pPr>
            <w:r>
              <w:rPr>
                <w:rFonts w:ascii="Times New Roman"/>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
              <w:jc w:val="center"/>
              <w:rPr>
                <w:rFonts w:ascii="Times New Roman" w:hAnsi="Times New Roman" w:cs="Times New Roman" w:eastAsia="Times New Roman" w:hint="default"/>
                <w:sz w:val="21"/>
                <w:szCs w:val="21"/>
              </w:rPr>
            </w:pPr>
            <w:r>
              <w:rPr>
                <w:rFonts w:ascii="Times New Roman"/>
                <w:w w:val="100"/>
                <w:sz w:val="21"/>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64"/>
              <w:jc w:val="right"/>
              <w:rPr>
                <w:rFonts w:ascii="Times New Roman" w:hAnsi="Times New Roman" w:cs="Times New Roman" w:eastAsia="Times New Roman" w:hint="default"/>
                <w:sz w:val="21"/>
                <w:szCs w:val="21"/>
              </w:rPr>
            </w:pPr>
            <w:r>
              <w:rPr>
                <w:rFonts w:ascii="Times New Roman"/>
                <w:w w:val="100"/>
                <w:sz w:val="21"/>
              </w:rPr>
              <w:t>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金毅</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27"/>
              <w:jc w:val="right"/>
              <w:rPr>
                <w:rFonts w:ascii="Times New Roman" w:hAnsi="Times New Roman" w:cs="Times New Roman" w:eastAsia="Times New Roman" w:hint="default"/>
                <w:sz w:val="21"/>
                <w:szCs w:val="21"/>
              </w:rPr>
            </w:pPr>
            <w:r>
              <w:rPr>
                <w:rFonts w:ascii="Times New Roman"/>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
              <w:jc w:val="center"/>
              <w:rPr>
                <w:rFonts w:ascii="Times New Roman" w:hAnsi="Times New Roman" w:cs="Times New Roman" w:eastAsia="Times New Roman" w:hint="default"/>
                <w:sz w:val="21"/>
                <w:szCs w:val="21"/>
              </w:rPr>
            </w:pPr>
            <w:r>
              <w:rPr>
                <w:rFonts w:ascii="Times New Roman"/>
                <w:w w:val="100"/>
                <w:sz w:val="21"/>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64"/>
              <w:jc w:val="right"/>
              <w:rPr>
                <w:rFonts w:ascii="Times New Roman" w:hAnsi="Times New Roman" w:cs="Times New Roman" w:eastAsia="Times New Roman" w:hint="default"/>
                <w:sz w:val="21"/>
                <w:szCs w:val="21"/>
              </w:rPr>
            </w:pPr>
            <w:r>
              <w:rPr>
                <w:rFonts w:ascii="Times New Roman"/>
                <w:w w:val="100"/>
                <w:sz w:val="21"/>
              </w:rPr>
              <w:t>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许映鹏</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427"/>
              <w:jc w:val="right"/>
              <w:rPr>
                <w:rFonts w:ascii="Times New Roman" w:hAnsi="Times New Roman" w:cs="Times New Roman" w:eastAsia="Times New Roman" w:hint="default"/>
                <w:sz w:val="21"/>
                <w:szCs w:val="21"/>
              </w:rPr>
            </w:pPr>
            <w:r>
              <w:rPr>
                <w:rFonts w:ascii="Times New Roman"/>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w w:val="100"/>
                <w:sz w:val="21"/>
              </w:rPr>
              <w:t>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
              <w:jc w:val="center"/>
              <w:rPr>
                <w:rFonts w:ascii="Times New Roman" w:hAnsi="Times New Roman" w:cs="Times New Roman" w:eastAsia="Times New Roman" w:hint="default"/>
                <w:sz w:val="21"/>
                <w:szCs w:val="21"/>
              </w:rPr>
            </w:pPr>
            <w:r>
              <w:rPr>
                <w:rFonts w:ascii="Times New Roman"/>
                <w:w w:val="100"/>
                <w:sz w:val="21"/>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64"/>
              <w:jc w:val="right"/>
              <w:rPr>
                <w:rFonts w:ascii="Times New Roman" w:hAnsi="Times New Roman" w:cs="Times New Roman" w:eastAsia="Times New Roman" w:hint="default"/>
                <w:sz w:val="21"/>
                <w:szCs w:val="21"/>
              </w:rPr>
            </w:pPr>
            <w:r>
              <w:rPr>
                <w:rFonts w:ascii="Times New Roman"/>
                <w:w w:val="100"/>
                <w:sz w:val="21"/>
              </w:rPr>
              <w:t>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刘永开</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27"/>
              <w:jc w:val="right"/>
              <w:rPr>
                <w:rFonts w:ascii="Times New Roman" w:hAnsi="Times New Roman" w:cs="Times New Roman" w:eastAsia="Times New Roman" w:hint="default"/>
                <w:sz w:val="21"/>
                <w:szCs w:val="21"/>
              </w:rPr>
            </w:pPr>
            <w:r>
              <w:rPr>
                <w:rFonts w:ascii="Times New Roman"/>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3"/>
              <w:jc w:val="center"/>
              <w:rPr>
                <w:rFonts w:ascii="Times New Roman" w:hAnsi="Times New Roman" w:cs="Times New Roman" w:eastAsia="Times New Roman" w:hint="default"/>
                <w:sz w:val="21"/>
                <w:szCs w:val="21"/>
              </w:rPr>
            </w:pPr>
            <w:r>
              <w:rPr>
                <w:rFonts w:ascii="Times New Roman"/>
                <w:w w:val="100"/>
                <w:sz w:val="21"/>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4"/>
              <w:jc w:val="right"/>
              <w:rPr>
                <w:rFonts w:ascii="Times New Roman" w:hAnsi="Times New Roman" w:cs="Times New Roman" w:eastAsia="Times New Roman" w:hint="default"/>
                <w:sz w:val="21"/>
                <w:szCs w:val="21"/>
              </w:rPr>
            </w:pPr>
            <w:r>
              <w:rPr>
                <w:rFonts w:ascii="Times New Roman"/>
                <w:w w:val="100"/>
                <w:sz w:val="21"/>
              </w:rPr>
              <w:t>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1267" w:top="1060" w:bottom="1460" w:left="1560" w:right="1360"/>
        </w:sectPr>
      </w:pPr>
    </w:p>
    <w:p>
      <w:pPr>
        <w:spacing w:line="240" w:lineRule="auto" w:before="12"/>
        <w:rPr>
          <w:rFonts w:ascii="宋体" w:hAnsi="宋体" w:cs="宋体" w:eastAsia="宋体" w:hint="default"/>
          <w:sz w:val="8"/>
          <w:szCs w:val="8"/>
        </w:rPr>
      </w:pPr>
    </w:p>
    <w:p>
      <w:pPr>
        <w:pStyle w:val="Heading6"/>
        <w:spacing w:line="240" w:lineRule="auto" w:before="26"/>
        <w:ind w:right="219"/>
        <w:jc w:val="left"/>
        <w:rPr>
          <w:b w:val="0"/>
          <w:bCs w:val="0"/>
        </w:rPr>
      </w:pPr>
      <w:r>
        <w:rPr/>
        <w:t>三、股东大会运行情况：</w:t>
      </w:r>
      <w:r>
        <w:rPr>
          <w:b w:val="0"/>
          <w:bCs w:val="0"/>
        </w:rPr>
      </w:r>
    </w:p>
    <w:p>
      <w:pPr>
        <w:spacing w:line="240" w:lineRule="auto" w:before="5"/>
        <w:rPr>
          <w:rFonts w:ascii="宋体" w:hAnsi="宋体" w:cs="宋体" w:eastAsia="宋体" w:hint="default"/>
          <w:b/>
          <w:bCs/>
          <w:sz w:val="34"/>
          <w:szCs w:val="34"/>
        </w:rPr>
      </w:pPr>
    </w:p>
    <w:p>
      <w:pPr>
        <w:pStyle w:val="BodyText"/>
        <w:spacing w:line="357" w:lineRule="auto"/>
        <w:ind w:right="100" w:firstLine="484"/>
        <w:jc w:val="left"/>
      </w:pPr>
      <w:r>
        <w:rPr>
          <w:spacing w:val="-5"/>
        </w:rPr>
        <w:t>报告期内，共召开了两次股东大会，历次股东大会的召集、提案、出席、议事、</w:t>
      </w:r>
      <w:r>
        <w:rPr/>
        <w:t> 表决、决议及会议记录均按照《公司法》、《公司章程》、《股东大会议事规则》 的要求规范运作。股东大会召开统计情况如下：</w:t>
      </w:r>
    </w:p>
    <w:p>
      <w:pPr>
        <w:spacing w:line="240" w:lineRule="auto" w:before="12"/>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159"/>
        <w:gridCol w:w="4165"/>
        <w:gridCol w:w="3164"/>
      </w:tblGrid>
      <w:tr>
        <w:trPr>
          <w:trHeight w:val="557" w:hRule="exact"/>
        </w:trPr>
        <w:tc>
          <w:tcPr>
            <w:tcW w:w="115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4165"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b/>
                <w:bCs/>
                <w:sz w:val="24"/>
                <w:szCs w:val="24"/>
              </w:rPr>
              <w:t>会议编号</w:t>
            </w:r>
            <w:r>
              <w:rPr>
                <w:rFonts w:ascii="宋体" w:hAnsi="宋体" w:cs="宋体" w:eastAsia="宋体" w:hint="default"/>
                <w:sz w:val="24"/>
                <w:szCs w:val="24"/>
              </w:rPr>
            </w:r>
          </w:p>
        </w:tc>
        <w:tc>
          <w:tcPr>
            <w:tcW w:w="3164"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b/>
                <w:bCs/>
                <w:sz w:val="24"/>
                <w:szCs w:val="24"/>
              </w:rPr>
              <w:t>召开时间</w:t>
            </w:r>
            <w:r>
              <w:rPr>
                <w:rFonts w:ascii="宋体" w:hAnsi="宋体" w:cs="宋体" w:eastAsia="宋体" w:hint="default"/>
                <w:sz w:val="24"/>
                <w:szCs w:val="24"/>
              </w:rPr>
            </w:r>
          </w:p>
        </w:tc>
      </w:tr>
      <w:tr>
        <w:trPr>
          <w:trHeight w:val="559"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5"/>
              <w:jc w:val="center"/>
              <w:rPr>
                <w:rFonts w:ascii="Times New Roman" w:hAnsi="Times New Roman" w:cs="Times New Roman" w:eastAsia="Times New Roman" w:hint="default"/>
                <w:sz w:val="24"/>
                <w:szCs w:val="24"/>
              </w:rPr>
            </w:pPr>
            <w:r>
              <w:rPr>
                <w:rFonts w:ascii="Times New Roman"/>
                <w:sz w:val="24"/>
              </w:rPr>
              <w:t>1</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年度股东大会</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23</w:t>
            </w:r>
            <w:r>
              <w:rPr>
                <w:rFonts w:ascii="宋体" w:hAnsi="宋体" w:cs="宋体" w:eastAsia="宋体" w:hint="default"/>
                <w:sz w:val="24"/>
                <w:szCs w:val="24"/>
              </w:rPr>
              <w:t>日</w:t>
            </w:r>
          </w:p>
        </w:tc>
      </w:tr>
      <w:tr>
        <w:trPr>
          <w:trHeight w:val="569"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
              <w:jc w:val="center"/>
              <w:rPr>
                <w:rFonts w:ascii="Times New Roman" w:hAnsi="Times New Roman" w:cs="Times New Roman" w:eastAsia="Times New Roman" w:hint="default"/>
                <w:sz w:val="24"/>
                <w:szCs w:val="24"/>
              </w:rPr>
            </w:pPr>
            <w:r>
              <w:rPr>
                <w:rFonts w:ascii="Times New Roman"/>
                <w:sz w:val="24"/>
              </w:rPr>
              <w:t>2</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年第一次临时股东大会</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05</w:t>
            </w:r>
            <w:r>
              <w:rPr>
                <w:rFonts w:ascii="宋体" w:hAnsi="宋体" w:cs="宋体" w:eastAsia="宋体" w:hint="default"/>
                <w:sz w:val="24"/>
                <w:szCs w:val="24"/>
              </w:rPr>
              <w:t>日</w:t>
            </w:r>
          </w:p>
        </w:tc>
      </w:tr>
    </w:tbl>
    <w:p>
      <w:pPr>
        <w:pStyle w:val="BodyText"/>
        <w:spacing w:line="240" w:lineRule="auto" w:before="79"/>
        <w:ind w:left="626" w:right="0"/>
        <w:jc w:val="left"/>
      </w:pPr>
      <w:r>
        <w:rPr/>
        <w:t>报告期内，公司共召开了</w:t>
      </w:r>
      <w:r>
        <w:rPr>
          <w:rFonts w:ascii="Times New Roman" w:hAnsi="Times New Roman" w:cs="Times New Roman" w:eastAsia="Times New Roman" w:hint="default"/>
        </w:rPr>
        <w:t>2</w:t>
      </w:r>
      <w:r>
        <w:rPr/>
        <w:t>次股东大会。公司股东大会严格按照《公司章程》、</w:t>
      </w:r>
    </w:p>
    <w:p>
      <w:pPr>
        <w:pStyle w:val="BodyText"/>
        <w:spacing w:line="357" w:lineRule="auto" w:before="135"/>
        <w:ind w:right="202"/>
        <w:jc w:val="both"/>
      </w:pPr>
      <w:r>
        <w:rPr/>
        <w:t>《股东大会议事规则》等文件的要求，对公司的相关事项做出了决策，程序规范， 决策科学，效果良好。具体情况如下：</w:t>
      </w:r>
    </w:p>
    <w:p>
      <w:pPr>
        <w:pStyle w:val="BodyText"/>
        <w:spacing w:line="240" w:lineRule="auto" w:before="77"/>
        <w:ind w:left="626" w:right="21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年度股东大会</w:t>
      </w:r>
    </w:p>
    <w:p>
      <w:pPr>
        <w:pStyle w:val="BodyText"/>
        <w:spacing w:line="240" w:lineRule="auto" w:before="95"/>
        <w:ind w:left="626" w:right="10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日上午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4"/>
        </w:rPr>
        <w:t>时，在公司总部会议室召开了</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6"/>
        </w:rPr>
        <w:t>年度股东大会，出</w:t>
      </w:r>
    </w:p>
    <w:p>
      <w:pPr>
        <w:pStyle w:val="BodyText"/>
        <w:spacing w:line="338" w:lineRule="auto" w:before="135"/>
        <w:ind w:right="224"/>
        <w:jc w:val="both"/>
      </w:pPr>
      <w:r>
        <w:rPr/>
        <w:t>席本次大会的股东和股东代表共 </w:t>
      </w:r>
      <w:r>
        <w:rPr>
          <w:rFonts w:ascii="Times New Roman" w:hAnsi="Times New Roman" w:cs="Times New Roman" w:eastAsia="Times New Roman" w:hint="default"/>
        </w:rPr>
        <w:t>28</w:t>
      </w:r>
      <w:r>
        <w:rPr>
          <w:rFonts w:ascii="Times New Roman" w:hAnsi="Times New Roman" w:cs="Times New Roman" w:eastAsia="Times New Roman" w:hint="default"/>
          <w:spacing w:val="36"/>
        </w:rPr>
        <w:t> </w:t>
      </w:r>
      <w:r>
        <w:rPr/>
        <w:t>名，出席会议的股东和股东代表人所持有表决 权的股份总数为</w:t>
      </w:r>
      <w:r>
        <w:rPr>
          <w:spacing w:val="-76"/>
        </w:rPr>
        <w:t> </w:t>
      </w:r>
      <w:r>
        <w:rPr>
          <w:rFonts w:ascii="Times New Roman" w:hAnsi="Times New Roman" w:cs="Times New Roman" w:eastAsia="Times New Roman" w:hint="default"/>
        </w:rPr>
        <w:t>4750</w:t>
      </w:r>
      <w:r>
        <w:rPr>
          <w:rFonts w:ascii="Times New Roman" w:hAnsi="Times New Roman" w:cs="Times New Roman" w:eastAsia="Times New Roman" w:hint="default"/>
          <w:spacing w:val="-15"/>
        </w:rPr>
        <w:t> </w:t>
      </w:r>
      <w:r>
        <w:rPr/>
        <w:t>万股，占公司股份总数的</w:t>
      </w:r>
      <w:r>
        <w:rPr>
          <w:spacing w:val="-75"/>
        </w:rPr>
        <w:t> </w:t>
      </w:r>
      <w:r>
        <w:rPr>
          <w:rFonts w:ascii="Times New Roman" w:hAnsi="Times New Roman" w:cs="Times New Roman" w:eastAsia="Times New Roman" w:hint="default"/>
        </w:rPr>
        <w:t>100%</w:t>
      </w:r>
      <w:r>
        <w:rPr/>
        <w:t>，现场大会以逐项表决的方式 </w:t>
      </w:r>
      <w:r>
        <w:rPr>
          <w:spacing w:val="-2"/>
        </w:rPr>
        <w:t>审议通过了《关于审议</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spacing w:val="-14"/>
        </w:rPr>
        <w:t>年度董事会工作报告的议案》、《关于审议</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年度监</w:t>
      </w:r>
    </w:p>
    <w:p>
      <w:pPr>
        <w:pStyle w:val="BodyText"/>
        <w:spacing w:line="240" w:lineRule="auto" w:before="27"/>
        <w:ind w:right="0"/>
        <w:jc w:val="both"/>
        <w:rPr>
          <w:rFonts w:ascii="Times New Roman" w:hAnsi="Times New Roman" w:cs="Times New Roman" w:eastAsia="Times New Roman" w:hint="default"/>
        </w:rPr>
      </w:pPr>
      <w:r>
        <w:rPr/>
        <w:t>事会工作报告的议案</w:t>
      </w:r>
      <w:r>
        <w:rPr>
          <w:spacing w:val="-120"/>
        </w:rPr>
        <w:t>》</w:t>
      </w:r>
      <w:r>
        <w:rPr>
          <w:spacing w:val="-221"/>
        </w:rPr>
        <w:t>、</w:t>
      </w:r>
      <w:r>
        <w:rPr/>
        <w:t>《关于审议</w:t>
      </w:r>
      <w:r>
        <w:rPr>
          <w:spacing w:val="-60"/>
        </w:rPr>
        <w:t> </w:t>
      </w:r>
      <w:r>
        <w:rPr>
          <w:rFonts w:ascii="Times New Roman" w:hAnsi="Times New Roman" w:cs="Times New Roman" w:eastAsia="Times New Roman" w:hint="default"/>
        </w:rPr>
        <w:t>2009 </w:t>
      </w:r>
      <w:r>
        <w:rPr/>
        <w:t>年度财务决算方案的议案</w:t>
      </w:r>
      <w:r>
        <w:rPr>
          <w:spacing w:val="-120"/>
        </w:rPr>
        <w:t>》</w:t>
      </w:r>
      <w:r>
        <w:rPr>
          <w:spacing w:val="-221"/>
        </w:rPr>
        <w:t>、</w:t>
      </w:r>
      <w:r>
        <w:rPr/>
        <w:t>《关于审议</w:t>
      </w:r>
      <w:r>
        <w:rPr>
          <w:spacing w:val="-59"/>
        </w:rPr>
        <w:t> </w:t>
      </w:r>
      <w:r>
        <w:rPr>
          <w:rFonts w:ascii="Times New Roman" w:hAnsi="Times New Roman" w:cs="Times New Roman" w:eastAsia="Times New Roman" w:hint="default"/>
        </w:rPr>
        <w:t>2009</w:t>
      </w:r>
    </w:p>
    <w:p>
      <w:pPr>
        <w:pStyle w:val="BodyText"/>
        <w:spacing w:line="343" w:lineRule="auto" w:before="133"/>
        <w:ind w:right="222"/>
        <w:jc w:val="both"/>
      </w:pPr>
      <w:r>
        <w:rPr/>
        <w:t>年度利润分配方案的议案</w:t>
      </w:r>
      <w:r>
        <w:rPr>
          <w:spacing w:val="-120"/>
        </w:rPr>
        <w:t>》</w:t>
      </w:r>
      <w:r>
        <w:rPr>
          <w:spacing w:val="-221"/>
        </w:rPr>
        <w:t>、</w:t>
      </w:r>
      <w:r>
        <w:rPr/>
        <w:t>《关于审议</w:t>
      </w:r>
      <w:r>
        <w:rPr>
          <w:spacing w:val="-60"/>
        </w:rPr>
        <w:t> </w:t>
      </w:r>
      <w:r>
        <w:rPr>
          <w:rFonts w:ascii="Times New Roman" w:hAnsi="Times New Roman" w:cs="Times New Roman" w:eastAsia="Times New Roman" w:hint="default"/>
        </w:rPr>
        <w:t>2010 </w:t>
      </w:r>
      <w:r>
        <w:rPr/>
        <w:t>年度经营计划的议案</w:t>
      </w:r>
      <w:r>
        <w:rPr>
          <w:spacing w:val="-120"/>
        </w:rPr>
        <w:t>》</w:t>
      </w:r>
      <w:r>
        <w:rPr>
          <w:spacing w:val="-221"/>
        </w:rPr>
        <w:t>、</w:t>
      </w:r>
      <w:r>
        <w:rPr/>
        <w:t>《关于审议</w:t>
      </w:r>
      <w:r>
        <w:rPr>
          <w:spacing w:val="-60"/>
        </w:rPr>
        <w:t> </w:t>
      </w:r>
      <w:r>
        <w:rPr>
          <w:rFonts w:ascii="Times New Roman" w:hAnsi="Times New Roman" w:cs="Times New Roman" w:eastAsia="Times New Roman" w:hint="default"/>
        </w:rPr>
        <w:t>2010 </w:t>
      </w:r>
      <w:r>
        <w:rPr/>
        <w:t>年度财务预算方案的议案</w:t>
      </w:r>
      <w:r>
        <w:rPr>
          <w:spacing w:val="-120"/>
        </w:rPr>
        <w:t>》</w:t>
      </w:r>
      <w:r>
        <w:rPr>
          <w:spacing w:val="-144"/>
        </w:rPr>
        <w:t>、</w:t>
      </w:r>
      <w:r>
        <w:rPr/>
        <w:t>《关于审议深圳市新国都技术股份有限公司首次公开发</w:t>
      </w:r>
      <w:r>
        <w:rPr/>
        <w:t> 行人民币普通</w:t>
      </w:r>
      <w:r>
        <w:rPr>
          <w:spacing w:val="-1"/>
        </w:rPr>
        <w:t>股</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t>股</w:t>
      </w:r>
      <w:r>
        <w:rPr>
          <w:rFonts w:ascii="Times New Roman" w:hAnsi="Times New Roman" w:cs="Times New Roman" w:eastAsia="Times New Roman" w:hint="default"/>
          <w:spacing w:val="1"/>
        </w:rPr>
        <w:t>)</w:t>
      </w:r>
      <w:r>
        <w:rPr/>
        <w:t>股票超募资金投资项</w:t>
      </w:r>
      <w:r>
        <w:rPr>
          <w:spacing w:val="2"/>
        </w:rPr>
        <w:t>目</w:t>
      </w:r>
      <w:r>
        <w:rPr/>
        <w:t>的议案</w:t>
      </w:r>
      <w:r>
        <w:rPr>
          <w:spacing w:val="-120"/>
        </w:rPr>
        <w:t>》、</w:t>
      </w:r>
      <w:r>
        <w:rPr/>
        <w:t>《关于审议</w:t>
      </w:r>
      <w:r>
        <w:rPr>
          <w:spacing w:val="2"/>
        </w:rPr>
        <w:t>聘</w:t>
      </w:r>
      <w:r>
        <w:rPr/>
        <w:t>请会计师事务</w:t>
      </w:r>
      <w:r>
        <w:rPr/>
        <w:t> 所的议案</w:t>
      </w:r>
      <w:r>
        <w:rPr>
          <w:spacing w:val="-120"/>
        </w:rPr>
        <w:t>》</w:t>
      </w:r>
      <w:r>
        <w:rPr/>
        <w:t>。</w:t>
      </w:r>
    </w:p>
    <w:p>
      <w:pPr>
        <w:pStyle w:val="BodyText"/>
        <w:spacing w:line="240" w:lineRule="auto" w:before="169"/>
        <w:ind w:left="626" w:right="21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年第一次临时股东大会</w:t>
      </w:r>
    </w:p>
    <w:p>
      <w:pPr>
        <w:pStyle w:val="BodyText"/>
        <w:spacing w:line="338" w:lineRule="auto" w:before="176"/>
        <w:ind w:right="100" w:firstLine="479"/>
        <w:jc w:val="left"/>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5</w:t>
      </w:r>
      <w:r>
        <w:rPr>
          <w:spacing w:val="-1"/>
        </w:rPr>
        <w:t>日上午</w:t>
      </w:r>
      <w:r>
        <w:rPr>
          <w:rFonts w:ascii="Times New Roman" w:hAnsi="Times New Roman" w:cs="Times New Roman" w:eastAsia="Times New Roman" w:hint="default"/>
          <w:spacing w:val="-1"/>
        </w:rPr>
        <w:t>9</w:t>
      </w:r>
      <w:r>
        <w:rPr>
          <w:spacing w:val="-1"/>
        </w:rPr>
        <w:t>时，在公司总部会议室召开了</w:t>
      </w:r>
      <w:r>
        <w:rPr>
          <w:rFonts w:ascii="Times New Roman" w:hAnsi="Times New Roman" w:cs="Times New Roman" w:eastAsia="Times New Roman" w:hint="default"/>
          <w:spacing w:val="-1"/>
        </w:rPr>
        <w:t>2010</w:t>
      </w:r>
      <w:r>
        <w:rPr>
          <w:spacing w:val="-1"/>
        </w:rPr>
        <w:t>年第一次临时股东大会，</w:t>
      </w:r>
      <w:r>
        <w:rPr/>
        <w:t> 出席本次大会的股东和股东代表共</w:t>
      </w:r>
      <w:r>
        <w:rPr>
          <w:rFonts w:ascii="Times New Roman" w:hAnsi="Times New Roman" w:cs="Times New Roman" w:eastAsia="Times New Roman" w:hint="default"/>
        </w:rPr>
        <w:t>28</w:t>
      </w:r>
      <w:r>
        <w:rPr/>
        <w:t>名，出席会议的股东和股东代表人所持有表决 </w:t>
      </w:r>
      <w:r>
        <w:rPr>
          <w:spacing w:val="-3"/>
        </w:rPr>
        <w:t>权的股份总数为</w:t>
      </w:r>
      <w:r>
        <w:rPr>
          <w:rFonts w:ascii="Times New Roman" w:hAnsi="Times New Roman" w:cs="Times New Roman" w:eastAsia="Times New Roman" w:hint="default"/>
          <w:spacing w:val="-3"/>
        </w:rPr>
        <w:t>4750</w:t>
      </w:r>
      <w:r>
        <w:rPr>
          <w:spacing w:val="-3"/>
        </w:rPr>
        <w:t>万股，占公司股份总数的</w:t>
      </w:r>
      <w:r>
        <w:rPr>
          <w:rFonts w:ascii="Times New Roman" w:hAnsi="Times New Roman" w:cs="Times New Roman" w:eastAsia="Times New Roman" w:hint="default"/>
          <w:spacing w:val="-3"/>
        </w:rPr>
        <w:t>100%</w:t>
      </w:r>
      <w:r>
        <w:rPr>
          <w:spacing w:val="-3"/>
        </w:rPr>
        <w:t>，现场大会以逐项表决的方式审</w:t>
      </w:r>
      <w:r>
        <w:rPr>
          <w:spacing w:val="-104"/>
        </w:rPr>
        <w:t> </w:t>
      </w:r>
      <w:r>
        <w:rPr>
          <w:spacing w:val="-104"/>
        </w:rPr>
      </w:r>
      <w:r>
        <w:rPr/>
        <w:t>议通过了《关于审议延长公司首次公开发行人民币普通股（</w:t>
      </w:r>
      <w:r>
        <w:rPr>
          <w:rFonts w:ascii="Times New Roman" w:hAnsi="Times New Roman" w:cs="Times New Roman" w:eastAsia="Times New Roman" w:hint="default"/>
        </w:rPr>
        <w:t>A</w:t>
      </w:r>
      <w:r>
        <w:rPr/>
        <w:t>股）股票并在创业板 </w:t>
      </w:r>
      <w:r>
        <w:rPr>
          <w:spacing w:val="-10"/>
        </w:rPr>
        <w:t>上市的决议有效期的议案》。</w:t>
      </w:r>
    </w:p>
    <w:p>
      <w:pPr>
        <w:spacing w:after="0" w:line="338" w:lineRule="auto"/>
        <w:jc w:val="left"/>
        <w:sectPr>
          <w:pgSz w:w="11910" w:h="16840"/>
          <w:pgMar w:header="867" w:footer="1267" w:top="1060" w:bottom="1460" w:left="1560" w:right="1360"/>
        </w:sectPr>
      </w:pPr>
    </w:p>
    <w:p>
      <w:pPr>
        <w:spacing w:line="240" w:lineRule="auto" w:before="2"/>
        <w:rPr>
          <w:rFonts w:ascii="宋体" w:hAnsi="宋体" w:cs="宋体" w:eastAsia="宋体" w:hint="default"/>
          <w:sz w:val="9"/>
          <w:szCs w:val="9"/>
        </w:rPr>
      </w:pPr>
    </w:p>
    <w:p>
      <w:pPr>
        <w:pStyle w:val="Heading6"/>
        <w:spacing w:line="240" w:lineRule="auto" w:before="26"/>
        <w:ind w:right="1334"/>
        <w:jc w:val="left"/>
        <w:rPr>
          <w:b w:val="0"/>
          <w:bCs w:val="0"/>
        </w:rPr>
      </w:pPr>
      <w:r>
        <w:rPr/>
        <w:t>四、董事会运行情况：</w:t>
      </w:r>
      <w:r>
        <w:rPr>
          <w:b w:val="0"/>
          <w:bCs w:val="0"/>
        </w:rPr>
      </w:r>
    </w:p>
    <w:p>
      <w:pPr>
        <w:spacing w:line="780" w:lineRule="atLeast" w:before="19"/>
        <w:ind w:left="626" w:right="139" w:hanging="485"/>
        <w:jc w:val="left"/>
        <w:rPr>
          <w:rFonts w:ascii="宋体" w:hAnsi="宋体" w:cs="宋体" w:eastAsia="宋体" w:hint="default"/>
          <w:sz w:val="24"/>
          <w:szCs w:val="24"/>
        </w:rPr>
      </w:pPr>
      <w:r>
        <w:rPr>
          <w:rFonts w:ascii="宋体" w:hAnsi="宋体" w:cs="宋体" w:eastAsia="宋体" w:hint="default"/>
          <w:b/>
          <w:bCs/>
          <w:sz w:val="24"/>
          <w:szCs w:val="24"/>
        </w:rPr>
        <w:t>（一）、董事会会议情况：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报告期内，公司共召开了</w:t>
      </w:r>
      <w:r>
        <w:rPr>
          <w:rFonts w:ascii="Times New Roman" w:hAnsi="Times New Roman" w:cs="Times New Roman" w:eastAsia="Times New Roman" w:hint="default"/>
          <w:spacing w:val="-5"/>
          <w:sz w:val="24"/>
          <w:szCs w:val="24"/>
        </w:rPr>
        <w:t>5</w:t>
      </w:r>
      <w:r>
        <w:rPr>
          <w:rFonts w:ascii="宋体" w:hAnsi="宋体" w:cs="宋体" w:eastAsia="宋体" w:hint="default"/>
          <w:spacing w:val="-5"/>
          <w:sz w:val="24"/>
          <w:szCs w:val="24"/>
        </w:rPr>
        <w:t>次董事大会。公司董事会严格按照《公司法》、《公</w:t>
      </w:r>
    </w:p>
    <w:p>
      <w:pPr>
        <w:pStyle w:val="BodyText"/>
        <w:spacing w:line="357" w:lineRule="auto" w:before="135"/>
        <w:ind w:right="140"/>
        <w:jc w:val="left"/>
        <w:rPr>
          <w:rFonts w:ascii="Times New Roman" w:hAnsi="Times New Roman" w:cs="Times New Roman" w:eastAsia="Times New Roman" w:hint="default"/>
        </w:rPr>
      </w:pPr>
      <w:r>
        <w:rPr>
          <w:spacing w:val="-1"/>
        </w:rPr>
        <w:t>司章程》、《董事会议事规则》等文件的要求，对公司的相关事项作出了决策，程</w:t>
      </w:r>
      <w:r>
        <w:rPr>
          <w:spacing w:val="-113"/>
        </w:rPr>
        <w:t> </w:t>
      </w:r>
      <w:r>
        <w:rPr>
          <w:spacing w:val="-113"/>
        </w:rPr>
      </w:r>
      <w:r>
        <w:rPr/>
        <w:t>序规范，决策科学，效果良好。召开情况如下</w:t>
      </w:r>
      <w:r>
        <w:rPr>
          <w:rFonts w:ascii="Times New Roman" w:hAnsi="Times New Roman" w:cs="Times New Roman" w:eastAsia="Times New Roman" w:hint="default"/>
        </w:rPr>
        <w:t>:</w:t>
      </w:r>
    </w:p>
    <w:tbl>
      <w:tblPr>
        <w:tblW w:w="0" w:type="auto"/>
        <w:jc w:val="left"/>
        <w:tblInd w:w="310" w:type="dxa"/>
        <w:tblLayout w:type="fixed"/>
        <w:tblCellMar>
          <w:top w:w="0" w:type="dxa"/>
          <w:left w:w="0" w:type="dxa"/>
          <w:bottom w:w="0" w:type="dxa"/>
          <w:right w:w="0" w:type="dxa"/>
        </w:tblCellMar>
        <w:tblLook w:val="01E0"/>
      </w:tblPr>
      <w:tblGrid>
        <w:gridCol w:w="1699"/>
        <w:gridCol w:w="3971"/>
        <w:gridCol w:w="2602"/>
      </w:tblGrid>
      <w:tr>
        <w:trPr>
          <w:trHeight w:val="558" w:hRule="exact"/>
        </w:trPr>
        <w:tc>
          <w:tcPr>
            <w:tcW w:w="1699"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3971"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b/>
                <w:bCs/>
                <w:sz w:val="24"/>
                <w:szCs w:val="24"/>
              </w:rPr>
              <w:t>会议编号</w:t>
            </w:r>
            <w:r>
              <w:rPr>
                <w:rFonts w:ascii="宋体" w:hAnsi="宋体" w:cs="宋体" w:eastAsia="宋体" w:hint="default"/>
                <w:sz w:val="24"/>
                <w:szCs w:val="24"/>
              </w:rPr>
            </w:r>
          </w:p>
        </w:tc>
        <w:tc>
          <w:tcPr>
            <w:tcW w:w="260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1"/>
              <w:ind w:right="1"/>
              <w:jc w:val="center"/>
              <w:rPr>
                <w:rFonts w:ascii="宋体" w:hAnsi="宋体" w:cs="宋体" w:eastAsia="宋体" w:hint="default"/>
                <w:sz w:val="24"/>
                <w:szCs w:val="24"/>
              </w:rPr>
            </w:pPr>
            <w:r>
              <w:rPr>
                <w:rFonts w:ascii="宋体" w:hAnsi="宋体" w:cs="宋体" w:eastAsia="宋体" w:hint="default"/>
                <w:b/>
                <w:bCs/>
                <w:sz w:val="24"/>
                <w:szCs w:val="24"/>
              </w:rPr>
              <w:t>召开时间</w:t>
            </w:r>
            <w:r>
              <w:rPr>
                <w:rFonts w:ascii="宋体" w:hAnsi="宋体" w:cs="宋体" w:eastAsia="宋体" w:hint="default"/>
                <w:sz w:val="24"/>
                <w:szCs w:val="24"/>
              </w:rPr>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Times New Roman" w:hAnsi="Times New Roman" w:cs="Times New Roman" w:eastAsia="Times New Roman" w:hint="default"/>
                <w:sz w:val="24"/>
                <w:szCs w:val="24"/>
              </w:rPr>
            </w:pPr>
            <w:r>
              <w:rPr>
                <w:rFonts w:ascii="Times New Roman"/>
                <w:sz w:val="24"/>
              </w:rPr>
              <w:t>1</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4"/>
                <w:szCs w:val="24"/>
              </w:rPr>
            </w:pPr>
            <w:r>
              <w:rPr>
                <w:rFonts w:ascii="宋体" w:hAnsi="宋体" w:cs="宋体" w:eastAsia="宋体" w:hint="default"/>
                <w:sz w:val="24"/>
                <w:szCs w:val="24"/>
              </w:rPr>
              <w:t>第一届董事会第八次会议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01</w:t>
            </w:r>
            <w:r>
              <w:rPr>
                <w:rFonts w:ascii="宋体" w:hAnsi="宋体" w:cs="宋体" w:eastAsia="宋体" w:hint="default"/>
                <w:sz w:val="24"/>
                <w:szCs w:val="24"/>
              </w:rPr>
              <w:t>日</w:t>
            </w:r>
          </w:p>
        </w:tc>
      </w:tr>
      <w:tr>
        <w:trPr>
          <w:trHeight w:val="559"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Times New Roman" w:hAnsi="Times New Roman" w:cs="Times New Roman" w:eastAsia="Times New Roman" w:hint="default"/>
                <w:sz w:val="24"/>
                <w:szCs w:val="24"/>
              </w:rPr>
            </w:pPr>
            <w:r>
              <w:rPr>
                <w:rFonts w:ascii="Times New Roman"/>
                <w:sz w:val="24"/>
              </w:rPr>
              <w:t>2</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第一届董事会第九次会议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02</w:t>
            </w:r>
            <w:r>
              <w:rPr>
                <w:rFonts w:ascii="宋体" w:hAnsi="宋体" w:cs="宋体" w:eastAsia="宋体" w:hint="default"/>
                <w:sz w:val="24"/>
                <w:szCs w:val="24"/>
              </w:rPr>
              <w:t>日</w:t>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Times New Roman" w:hAnsi="Times New Roman" w:cs="Times New Roman" w:eastAsia="Times New Roman" w:hint="default"/>
                <w:sz w:val="24"/>
                <w:szCs w:val="24"/>
              </w:rPr>
            </w:pPr>
            <w:r>
              <w:rPr>
                <w:rFonts w:ascii="Times New Roman"/>
                <w:sz w:val="24"/>
              </w:rPr>
              <w:t>3</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第一届董事会第十次会议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559"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Times New Roman" w:hAnsi="Times New Roman" w:cs="Times New Roman" w:eastAsia="Times New Roman" w:hint="default"/>
                <w:sz w:val="24"/>
                <w:szCs w:val="24"/>
              </w:rPr>
            </w:pPr>
            <w:r>
              <w:rPr>
                <w:rFonts w:ascii="Times New Roman"/>
                <w:sz w:val="24"/>
              </w:rPr>
              <w:t>4</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第一届董事会第十一次会议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w:t>
            </w:r>
          </w:p>
        </w:tc>
      </w:tr>
      <w:tr>
        <w:trPr>
          <w:trHeight w:val="559"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Times New Roman" w:hAnsi="Times New Roman" w:cs="Times New Roman" w:eastAsia="Times New Roman" w:hint="default"/>
                <w:sz w:val="24"/>
                <w:szCs w:val="24"/>
              </w:rPr>
            </w:pPr>
            <w:r>
              <w:rPr>
                <w:rFonts w:ascii="Times New Roman"/>
                <w:sz w:val="24"/>
              </w:rPr>
              <w:t>5</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第一届董事会第十二次会议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bl>
    <w:p>
      <w:pPr>
        <w:pStyle w:val="BodyText"/>
        <w:spacing w:line="240" w:lineRule="auto" w:before="45"/>
        <w:ind w:left="566" w:right="1334"/>
        <w:jc w:val="left"/>
      </w:pPr>
      <w:r>
        <w:rPr>
          <w:rFonts w:ascii="Times New Roman" w:hAnsi="Times New Roman" w:cs="Times New Roman" w:eastAsia="Times New Roman" w:hint="default"/>
        </w:rPr>
        <w:t>1</w:t>
      </w:r>
      <w:r>
        <w:rPr/>
        <w:t>、</w:t>
      </w:r>
      <w:r>
        <w:rPr>
          <w:spacing w:val="-65"/>
        </w:rPr>
        <w:t> </w:t>
      </w:r>
      <w:r>
        <w:rPr/>
        <w:t>第一届董事会第八次会议</w:t>
      </w:r>
    </w:p>
    <w:p>
      <w:pPr>
        <w:pStyle w:val="BodyText"/>
        <w:spacing w:line="336" w:lineRule="auto" w:before="177"/>
        <w:ind w:right="138" w:firstLine="484"/>
        <w:jc w:val="left"/>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w:t>
      </w:r>
      <w:r>
        <w:rPr>
          <w:rFonts w:ascii="Times New Roman" w:hAnsi="Times New Roman" w:cs="Times New Roman" w:eastAsia="Times New Roman" w:hint="default"/>
          <w:spacing w:val="-1"/>
        </w:rPr>
        <w:t>10</w:t>
      </w:r>
      <w:r>
        <w:rPr>
          <w:spacing w:val="-1"/>
        </w:rPr>
        <w:t>时，在公司总部会议室召开第一届董事会第八次会议。审议通</w:t>
      </w:r>
      <w:r>
        <w:rPr/>
        <w:t> </w:t>
      </w:r>
      <w:r>
        <w:rPr>
          <w:spacing w:val="-11"/>
        </w:rPr>
        <w:t>过了《关于审议公司</w:t>
      </w:r>
      <w:r>
        <w:rPr>
          <w:rFonts w:ascii="Times New Roman" w:hAnsi="Times New Roman" w:cs="Times New Roman" w:eastAsia="Times New Roman" w:hint="default"/>
          <w:spacing w:val="-11"/>
        </w:rPr>
        <w:t>2009</w:t>
      </w:r>
      <w:r>
        <w:rPr>
          <w:spacing w:val="-11"/>
        </w:rPr>
        <w:t>年度财务报表的议案》。</w:t>
      </w:r>
      <w:r>
        <w:rPr/>
      </w:r>
    </w:p>
    <w:p>
      <w:pPr>
        <w:pStyle w:val="BodyText"/>
        <w:spacing w:line="240" w:lineRule="auto" w:before="70"/>
        <w:ind w:left="566" w:right="1334"/>
        <w:jc w:val="left"/>
      </w:pPr>
      <w:r>
        <w:rPr>
          <w:rFonts w:ascii="Times New Roman" w:hAnsi="Times New Roman" w:cs="Times New Roman" w:eastAsia="Times New Roman" w:hint="default"/>
        </w:rPr>
        <w:t>2</w:t>
      </w:r>
      <w:r>
        <w:rPr/>
        <w:t>、</w:t>
      </w:r>
      <w:r>
        <w:rPr>
          <w:spacing w:val="-65"/>
        </w:rPr>
        <w:t> </w:t>
      </w:r>
      <w:r>
        <w:rPr/>
        <w:t>第一届董事会第九次会议</w:t>
      </w:r>
    </w:p>
    <w:p>
      <w:pPr>
        <w:pStyle w:val="BodyText"/>
        <w:spacing w:line="240" w:lineRule="auto" w:before="176"/>
        <w:ind w:left="626" w:right="17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时，在公司总部会议室召开第一届董事会第九次会议。审</w:t>
      </w:r>
    </w:p>
    <w:p>
      <w:pPr>
        <w:pStyle w:val="BodyText"/>
        <w:spacing w:line="240" w:lineRule="auto" w:before="66"/>
        <w:ind w:right="0"/>
        <w:jc w:val="both"/>
      </w:pPr>
      <w:r>
        <w:rPr/>
        <w:t>议通过</w:t>
      </w:r>
      <w:r>
        <w:rPr>
          <w:spacing w:val="-1"/>
        </w:rPr>
        <w:t>了</w:t>
      </w:r>
      <w:r>
        <w:rPr/>
        <w:t>《关于审议</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年度董事会工作报告的议案</w:t>
      </w:r>
      <w:r>
        <w:rPr>
          <w:spacing w:val="-120"/>
        </w:rPr>
        <w:t>》、</w:t>
      </w:r>
      <w:r>
        <w:rPr/>
        <w:t>《关于审议</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年度总</w:t>
      </w:r>
    </w:p>
    <w:p>
      <w:pPr>
        <w:pStyle w:val="BodyText"/>
        <w:spacing w:line="240" w:lineRule="auto" w:before="68"/>
        <w:ind w:right="0"/>
        <w:jc w:val="both"/>
      </w:pPr>
      <w:r>
        <w:rPr>
          <w:spacing w:val="2"/>
        </w:rPr>
        <w:t>经理工作报</w:t>
      </w:r>
      <w:r>
        <w:rPr/>
        <w:t>告</w:t>
      </w:r>
      <w:r>
        <w:rPr>
          <w:spacing w:val="2"/>
        </w:rPr>
        <w:t>的议案</w:t>
      </w:r>
      <w:r>
        <w:rPr>
          <w:spacing w:val="-120"/>
        </w:rPr>
        <w:t>》、</w:t>
      </w:r>
      <w:r>
        <w:rPr>
          <w:spacing w:val="2"/>
        </w:rPr>
        <w:t>《关于审</w:t>
      </w:r>
      <w:r>
        <w:rPr/>
        <w:t>议</w:t>
      </w:r>
      <w:r>
        <w:rPr>
          <w:spacing w:val="5"/>
        </w:rPr>
        <w:t> </w:t>
      </w:r>
      <w:r>
        <w:rPr>
          <w:rFonts w:ascii="Times New Roman" w:hAnsi="Times New Roman" w:cs="Times New Roman" w:eastAsia="Times New Roman" w:hint="default"/>
        </w:rPr>
        <w:t>2009  </w:t>
      </w:r>
      <w:r>
        <w:rPr>
          <w:spacing w:val="2"/>
        </w:rPr>
        <w:t>年</w:t>
      </w:r>
      <w:r>
        <w:rPr/>
        <w:t>度</w:t>
      </w:r>
      <w:r>
        <w:rPr>
          <w:spacing w:val="2"/>
        </w:rPr>
        <w:t>财务决算方</w:t>
      </w:r>
      <w:r>
        <w:rPr/>
        <w:t>案</w:t>
      </w:r>
      <w:r>
        <w:rPr>
          <w:spacing w:val="2"/>
        </w:rPr>
        <w:t>的议案</w:t>
      </w:r>
      <w:r>
        <w:rPr>
          <w:spacing w:val="-120"/>
        </w:rPr>
        <w:t>》、</w:t>
      </w:r>
      <w:r>
        <w:rPr>
          <w:spacing w:val="2"/>
        </w:rPr>
        <w:t>《关于审</w:t>
      </w:r>
      <w:r>
        <w:rPr/>
        <w:t>议</w:t>
      </w:r>
    </w:p>
    <w:p>
      <w:pPr>
        <w:pStyle w:val="BodyText"/>
        <w:spacing w:line="240" w:lineRule="auto" w:before="68"/>
        <w:ind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年度利润分配方案的议案</w:t>
      </w:r>
      <w:r>
        <w:rPr>
          <w:spacing w:val="-120"/>
        </w:rPr>
        <w:t>》</w:t>
      </w:r>
      <w:r>
        <w:rPr>
          <w:spacing w:val="-180"/>
        </w:rPr>
        <w:t>、</w:t>
      </w:r>
      <w:r>
        <w:rPr/>
        <w:t>《关于审议</w:t>
      </w:r>
      <w:r>
        <w:rPr>
          <w:spacing w:val="-59"/>
        </w:rPr>
        <w:t> </w:t>
      </w:r>
      <w:r>
        <w:rPr>
          <w:rFonts w:ascii="Times New Roman" w:hAnsi="Times New Roman" w:cs="Times New Roman" w:eastAsia="Times New Roman" w:hint="default"/>
        </w:rPr>
        <w:t>2010 </w:t>
      </w:r>
      <w:r>
        <w:rPr/>
        <w:t>年度经营计划的议案</w:t>
      </w:r>
      <w:r>
        <w:rPr>
          <w:spacing w:val="-120"/>
        </w:rPr>
        <w:t>》</w:t>
      </w:r>
      <w:r>
        <w:rPr>
          <w:spacing w:val="-180"/>
        </w:rPr>
        <w:t>、</w:t>
      </w:r>
      <w:r>
        <w:rPr/>
        <w:t>《关于审</w:t>
      </w:r>
    </w:p>
    <w:p>
      <w:pPr>
        <w:pStyle w:val="BodyText"/>
        <w:spacing w:line="295" w:lineRule="auto" w:before="66"/>
        <w:ind w:right="298"/>
        <w:jc w:val="both"/>
      </w:pPr>
      <w:r>
        <w:rPr/>
        <w:t>议</w:t>
      </w:r>
      <w:r>
        <w:rPr>
          <w:spacing w:val="-61"/>
        </w:rPr>
        <w:t> </w:t>
      </w:r>
      <w:r>
        <w:rPr>
          <w:rFonts w:ascii="Times New Roman" w:hAnsi="Times New Roman" w:cs="Times New Roman" w:eastAsia="Times New Roman" w:hint="default"/>
        </w:rPr>
        <w:t>2010 </w:t>
      </w:r>
      <w:r>
        <w:rPr/>
        <w:t>年度财务预算方案的议案</w:t>
      </w:r>
      <w:r>
        <w:rPr>
          <w:spacing w:val="-120"/>
        </w:rPr>
        <w:t>》</w:t>
      </w:r>
      <w:r>
        <w:rPr>
          <w:spacing w:val="-180"/>
        </w:rPr>
        <w:t>、</w:t>
      </w:r>
      <w:r>
        <w:rPr/>
        <w:t>《关于审议增加深圳市新国都技术股份有限公</w:t>
      </w:r>
      <w:r>
        <w:rPr/>
        <w:t> 司首次公开发行人民币普通股</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spacing w:val="-1"/>
        </w:rPr>
        <w:t>)</w:t>
      </w:r>
      <w:r>
        <w:rPr/>
        <w:t>股票募</w:t>
      </w:r>
      <w:r>
        <w:rPr>
          <w:spacing w:val="2"/>
        </w:rPr>
        <w:t>集</w:t>
      </w:r>
      <w:r>
        <w:rPr/>
        <w:t>资金投资项目的议案</w:t>
      </w:r>
      <w:r>
        <w:rPr>
          <w:spacing w:val="-119"/>
        </w:rPr>
        <w:t>》</w:t>
      </w:r>
      <w:r>
        <w:rPr>
          <w:spacing w:val="-212"/>
        </w:rPr>
        <w:t>、</w:t>
      </w:r>
      <w:r>
        <w:rPr/>
        <w:t>《关于审议向</w:t>
      </w:r>
      <w:r>
        <w:rPr/>
        <w:t> </w:t>
      </w:r>
      <w:r>
        <w:rPr>
          <w:spacing w:val="2"/>
        </w:rPr>
        <w:t>银行申请</w:t>
      </w:r>
      <w:r>
        <w:rPr/>
        <w:t>办</w:t>
      </w:r>
      <w:r>
        <w:rPr>
          <w:spacing w:val="2"/>
        </w:rPr>
        <w:t>理综合</w:t>
      </w:r>
      <w:r>
        <w:rPr/>
        <w:t>授信</w:t>
      </w:r>
      <w:r>
        <w:rPr>
          <w:spacing w:val="2"/>
        </w:rPr>
        <w:t>及其他银</w:t>
      </w:r>
      <w:r>
        <w:rPr/>
        <w:t>行</w:t>
      </w:r>
      <w:r>
        <w:rPr>
          <w:spacing w:val="2"/>
        </w:rPr>
        <w:t>业务的</w:t>
      </w:r>
      <w:r>
        <w:rPr/>
        <w:t>议案</w:t>
      </w:r>
      <w:r>
        <w:rPr>
          <w:spacing w:val="-118"/>
        </w:rPr>
        <w:t>》、</w:t>
      </w:r>
      <w:r>
        <w:rPr>
          <w:spacing w:val="2"/>
        </w:rPr>
        <w:t>《关</w:t>
      </w:r>
      <w:r>
        <w:rPr/>
        <w:t>于</w:t>
      </w:r>
      <w:r>
        <w:rPr>
          <w:spacing w:val="2"/>
        </w:rPr>
        <w:t>审议聘</w:t>
      </w:r>
      <w:r>
        <w:rPr/>
        <w:t>请</w:t>
      </w:r>
      <w:r>
        <w:rPr>
          <w:spacing w:val="2"/>
        </w:rPr>
        <w:t>会</w:t>
      </w:r>
      <w:r>
        <w:rPr/>
        <w:t>计</w:t>
      </w:r>
      <w:r>
        <w:rPr>
          <w:spacing w:val="2"/>
        </w:rPr>
        <w:t>师事务所</w:t>
      </w:r>
      <w:r>
        <w:rPr/>
        <w:t>的</w:t>
      </w:r>
      <w:r>
        <w:rPr/>
        <w:t> 议案</w:t>
      </w:r>
      <w:r>
        <w:rPr>
          <w:spacing w:val="-120"/>
        </w:rPr>
        <w:t>》</w:t>
      </w:r>
      <w:r>
        <w:rPr>
          <w:spacing w:val="-149"/>
        </w:rPr>
        <w:t>、</w:t>
      </w:r>
      <w:r>
        <w:rPr/>
        <w:t>《关于审议</w:t>
      </w:r>
      <w:r>
        <w:rPr>
          <w:spacing w:val="-61"/>
        </w:rPr>
        <w:t> </w:t>
      </w:r>
      <w:r>
        <w:rPr>
          <w:rFonts w:ascii="Times New Roman" w:hAnsi="Times New Roman" w:cs="Times New Roman" w:eastAsia="Times New Roman" w:hint="default"/>
        </w:rPr>
        <w:t>2010 </w:t>
      </w:r>
      <w:r>
        <w:rPr/>
        <w:t>年度公司职工工资调整的议案</w:t>
      </w:r>
      <w:r>
        <w:rPr>
          <w:spacing w:val="-120"/>
        </w:rPr>
        <w:t>》</w:t>
      </w:r>
      <w:r>
        <w:rPr>
          <w:spacing w:val="-149"/>
        </w:rPr>
        <w:t>、</w:t>
      </w:r>
      <w:r>
        <w:rPr/>
        <w:t>《关于审议公司内部管理</w:t>
      </w:r>
      <w:r>
        <w:rPr/>
        <w:t> </w:t>
      </w:r>
      <w:r>
        <w:rPr>
          <w:spacing w:val="2"/>
        </w:rPr>
        <w:t>机构设置</w:t>
      </w:r>
      <w:r>
        <w:rPr/>
        <w:t>调</w:t>
      </w:r>
      <w:r>
        <w:rPr>
          <w:spacing w:val="2"/>
        </w:rPr>
        <w:t>整的</w:t>
      </w:r>
      <w:r>
        <w:rPr/>
        <w:t>议</w:t>
      </w:r>
      <w:r>
        <w:rPr>
          <w:spacing w:val="2"/>
        </w:rPr>
        <w:t>案</w:t>
      </w:r>
      <w:r>
        <w:rPr>
          <w:spacing w:val="-118"/>
        </w:rPr>
        <w:t>》</w:t>
      </w:r>
      <w:r>
        <w:rPr>
          <w:spacing w:val="-120"/>
        </w:rPr>
        <w:t>、</w:t>
      </w:r>
      <w:r>
        <w:rPr>
          <w:spacing w:val="2"/>
        </w:rPr>
        <w:t>《关于审</w:t>
      </w:r>
      <w:r>
        <w:rPr/>
        <w:t>议</w:t>
      </w:r>
      <w:r>
        <w:rPr>
          <w:spacing w:val="2"/>
        </w:rPr>
        <w:t>公司</w:t>
      </w:r>
      <w:r>
        <w:rPr/>
        <w:t>高</w:t>
      </w:r>
      <w:r>
        <w:rPr>
          <w:spacing w:val="2"/>
        </w:rPr>
        <w:t>级</w:t>
      </w:r>
      <w:r>
        <w:rPr/>
        <w:t>管</w:t>
      </w:r>
      <w:r>
        <w:rPr>
          <w:spacing w:val="2"/>
        </w:rPr>
        <w:t>理人员薪</w:t>
      </w:r>
      <w:r>
        <w:rPr/>
        <w:t>酬</w:t>
      </w:r>
      <w:r>
        <w:rPr>
          <w:spacing w:val="2"/>
        </w:rPr>
        <w:t>调整</w:t>
      </w:r>
      <w:r>
        <w:rPr/>
        <w:t>方</w:t>
      </w:r>
      <w:r>
        <w:rPr>
          <w:spacing w:val="2"/>
        </w:rPr>
        <w:t>案</w:t>
      </w:r>
      <w:r>
        <w:rPr/>
        <w:t>的</w:t>
      </w:r>
      <w:r>
        <w:rPr>
          <w:spacing w:val="2"/>
        </w:rPr>
        <w:t>议案</w:t>
      </w:r>
      <w:r>
        <w:rPr>
          <w:spacing w:val="-118"/>
        </w:rPr>
        <w:t>》、</w:t>
      </w:r>
      <w:r>
        <w:rPr>
          <w:spacing w:val="2"/>
        </w:rPr>
        <w:t>《</w:t>
      </w:r>
      <w:r>
        <w:rPr/>
        <w:t>关</w:t>
      </w:r>
      <w:r>
        <w:rPr/>
        <w:t> 于召集</w:t>
      </w:r>
      <w:r>
        <w:rPr>
          <w:spacing w:val="-61"/>
        </w:rPr>
        <w:t> </w:t>
      </w:r>
      <w:r>
        <w:rPr>
          <w:rFonts w:ascii="Times New Roman" w:hAnsi="Times New Roman" w:cs="Times New Roman" w:eastAsia="Times New Roman" w:hint="default"/>
        </w:rPr>
        <w:t>2009 </w:t>
      </w:r>
      <w:r>
        <w:rPr/>
        <w:t>年度股东大会的议案</w:t>
      </w:r>
      <w:r>
        <w:rPr>
          <w:spacing w:val="-120"/>
        </w:rPr>
        <w:t>》</w:t>
      </w:r>
      <w:r>
        <w:rPr/>
        <w:t>。</w:t>
      </w:r>
    </w:p>
    <w:p>
      <w:pPr>
        <w:pStyle w:val="BodyText"/>
        <w:spacing w:line="240" w:lineRule="auto" w:before="46"/>
        <w:ind w:left="566" w:right="1334"/>
        <w:jc w:val="left"/>
      </w:pPr>
      <w:r>
        <w:rPr>
          <w:rFonts w:ascii="Times New Roman" w:hAnsi="Times New Roman" w:cs="Times New Roman" w:eastAsia="Times New Roman" w:hint="default"/>
        </w:rPr>
        <w:t>3</w:t>
      </w:r>
      <w:r>
        <w:rPr/>
        <w:t>、</w:t>
      </w:r>
      <w:r>
        <w:rPr>
          <w:spacing w:val="-65"/>
        </w:rPr>
        <w:t> </w:t>
      </w:r>
      <w:r>
        <w:rPr/>
        <w:t>第一届董事会第十次会议</w:t>
      </w:r>
    </w:p>
    <w:p>
      <w:pPr>
        <w:pStyle w:val="BodyText"/>
        <w:spacing w:line="338" w:lineRule="auto" w:before="176"/>
        <w:ind w:right="171" w:firstLine="484"/>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10</w:t>
      </w:r>
      <w:r>
        <w:rPr/>
        <w:t>时，在公司总部会议室召开第一届董事会第十次会议。审议 通过了《关于审议延长公司首次公开发行人民币普通股（</w:t>
      </w:r>
      <w:r>
        <w:rPr>
          <w:rFonts w:ascii="Times New Roman" w:hAnsi="Times New Roman" w:cs="Times New Roman" w:eastAsia="Times New Roman" w:hint="default"/>
        </w:rPr>
        <w:t>A</w:t>
      </w:r>
      <w:r>
        <w:rPr/>
        <w:t>股）股票并在创业板上</w:t>
      </w:r>
    </w:p>
    <w:p>
      <w:pPr>
        <w:spacing w:after="0" w:line="338" w:lineRule="auto"/>
        <w:jc w:val="left"/>
        <w:sectPr>
          <w:pgSz w:w="11910" w:h="16840"/>
          <w:pgMar w:header="867" w:footer="1267" w:top="1060" w:bottom="1460" w:left="1560" w:right="1440"/>
        </w:sectPr>
      </w:pPr>
    </w:p>
    <w:p>
      <w:pPr>
        <w:pStyle w:val="BodyText"/>
        <w:spacing w:line="338" w:lineRule="auto" w:before="104"/>
        <w:ind w:right="224"/>
        <w:jc w:val="left"/>
      </w:pPr>
      <w:r>
        <w:rPr/>
        <w:t>市的决议有效期的议案</w:t>
      </w:r>
      <w:r>
        <w:rPr>
          <w:spacing w:val="-120"/>
        </w:rPr>
        <w:t>》、</w:t>
      </w:r>
      <w:r>
        <w:rPr/>
        <w:t>《关于审议公司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日财务报表的议案</w:t>
      </w:r>
      <w:r>
        <w:rPr>
          <w:spacing w:val="-120"/>
        </w:rPr>
        <w:t>》、</w:t>
      </w:r>
      <w:r>
        <w:rPr/>
        <w:t>《关于</w:t>
      </w:r>
      <w:r>
        <w:rPr/>
        <w:t> 提请召</w:t>
      </w:r>
      <w:r>
        <w:rPr>
          <w:spacing w:val="-1"/>
        </w:rPr>
        <w:t>开</w:t>
      </w:r>
      <w:r>
        <w:rPr>
          <w:rFonts w:ascii="Times New Roman" w:hAnsi="Times New Roman" w:cs="Times New Roman" w:eastAsia="Times New Roman" w:hint="default"/>
        </w:rPr>
        <w:t>2010</w:t>
      </w:r>
      <w:r>
        <w:rPr/>
        <w:t>年第一次临时股东大会的议案</w:t>
      </w:r>
      <w:r>
        <w:rPr>
          <w:spacing w:val="-120"/>
        </w:rPr>
        <w:t>》</w:t>
      </w:r>
      <w:r>
        <w:rPr/>
        <w:t>。</w:t>
      </w:r>
    </w:p>
    <w:p>
      <w:pPr>
        <w:pStyle w:val="BodyText"/>
        <w:spacing w:line="240" w:lineRule="auto" w:before="67"/>
        <w:ind w:left="566" w:right="1334"/>
        <w:jc w:val="left"/>
      </w:pPr>
      <w:r>
        <w:rPr>
          <w:rFonts w:ascii="Times New Roman" w:hAnsi="Times New Roman" w:cs="Times New Roman" w:eastAsia="Times New Roman" w:hint="default"/>
        </w:rPr>
        <w:t>4</w:t>
      </w:r>
      <w:r>
        <w:rPr/>
        <w:t>、</w:t>
      </w:r>
      <w:r>
        <w:rPr>
          <w:spacing w:val="-65"/>
        </w:rPr>
        <w:t> </w:t>
      </w:r>
      <w:r>
        <w:rPr/>
        <w:t>第一届董事会第十一次会议</w:t>
      </w:r>
    </w:p>
    <w:p>
      <w:pPr>
        <w:pStyle w:val="BodyText"/>
        <w:spacing w:line="348" w:lineRule="auto" w:before="176"/>
        <w:ind w:right="145" w:firstLine="484"/>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w:t>
      </w:r>
      <w:r>
        <w:rPr>
          <w:rFonts w:ascii="Times New Roman" w:hAnsi="Times New Roman" w:cs="Times New Roman" w:eastAsia="Times New Roman" w:hint="default"/>
          <w:spacing w:val="-1"/>
        </w:rPr>
        <w:t>10</w:t>
      </w:r>
      <w:r>
        <w:rPr>
          <w:spacing w:val="-1"/>
        </w:rPr>
        <w:t>时，在公司总部会议室召开第一届董事会第十一次会议。审</w:t>
      </w:r>
      <w:r>
        <w:rPr/>
        <w:t> </w:t>
      </w:r>
      <w:r>
        <w:rPr>
          <w:spacing w:val="-8"/>
        </w:rPr>
        <w:t>议通过了《关于设立募集资金专用账户的议案》、《关于拟签署募集资金三方监管协</w:t>
      </w:r>
      <w:r>
        <w:rPr>
          <w:spacing w:val="-89"/>
        </w:rPr>
        <w:t> </w:t>
      </w:r>
      <w:r>
        <w:rPr>
          <w:spacing w:val="-89"/>
        </w:rPr>
      </w:r>
      <w:r>
        <w:rPr>
          <w:spacing w:val="-12"/>
        </w:rPr>
        <w:t>议的议案》、《关于审议</w:t>
      </w:r>
      <w:r>
        <w:rPr>
          <w:rFonts w:ascii="Times New Roman" w:hAnsi="Times New Roman" w:cs="Times New Roman" w:eastAsia="Times New Roman" w:hint="default"/>
          <w:spacing w:val="-12"/>
        </w:rPr>
        <w:t>&lt;</w:t>
      </w:r>
      <w:r>
        <w:rPr>
          <w:spacing w:val="-12"/>
        </w:rPr>
        <w:t>新国都</w:t>
      </w:r>
      <w:r>
        <w:rPr>
          <w:rFonts w:ascii="Times New Roman" w:hAnsi="Times New Roman" w:cs="Times New Roman" w:eastAsia="Times New Roman" w:hint="default"/>
          <w:spacing w:val="-12"/>
        </w:rPr>
        <w:t>2010</w:t>
      </w:r>
      <w:r>
        <w:rPr>
          <w:spacing w:val="-12"/>
        </w:rPr>
        <w:t>年第三季度报告</w:t>
      </w:r>
      <w:r>
        <w:rPr>
          <w:rFonts w:ascii="Times New Roman" w:hAnsi="Times New Roman" w:cs="Times New Roman" w:eastAsia="Times New Roman" w:hint="default"/>
          <w:spacing w:val="-12"/>
        </w:rPr>
        <w:t>&gt;</w:t>
      </w:r>
      <w:r>
        <w:rPr>
          <w:spacing w:val="-12"/>
        </w:rPr>
        <w:t>的议案》。</w:t>
      </w:r>
    </w:p>
    <w:p>
      <w:pPr>
        <w:pStyle w:val="BodyText"/>
        <w:spacing w:line="240" w:lineRule="auto" w:before="54"/>
        <w:ind w:left="566" w:right="1334"/>
        <w:jc w:val="left"/>
      </w:pPr>
      <w:r>
        <w:rPr>
          <w:rFonts w:ascii="Times New Roman" w:hAnsi="Times New Roman" w:cs="Times New Roman" w:eastAsia="Times New Roman" w:hint="default"/>
        </w:rPr>
        <w:t>5</w:t>
      </w:r>
      <w:r>
        <w:rPr/>
        <w:t>、</w:t>
      </w:r>
      <w:r>
        <w:rPr>
          <w:spacing w:val="-65"/>
        </w:rPr>
        <w:t> </w:t>
      </w:r>
      <w:r>
        <w:rPr/>
        <w:t>第一届董事会第十二次会议</w:t>
      </w:r>
    </w:p>
    <w:p>
      <w:pPr>
        <w:pStyle w:val="BodyText"/>
        <w:spacing w:line="338" w:lineRule="auto" w:before="98"/>
        <w:ind w:right="176" w:firstLine="48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7"/>
        </w:rPr>
        <w:t> </w:t>
      </w:r>
      <w:r>
        <w:rPr/>
        <w:t>日</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时，在公司总部会议室召开第一届董事会第十二次会 </w:t>
      </w:r>
      <w:r>
        <w:rPr>
          <w:spacing w:val="-6"/>
        </w:rPr>
        <w:t>议。审议通过了《关于审议修订</w:t>
      </w:r>
      <w:r>
        <w:rPr>
          <w:rFonts w:ascii="Times New Roman" w:hAnsi="Times New Roman" w:cs="Times New Roman" w:eastAsia="Times New Roman" w:hint="default"/>
          <w:spacing w:val="-6"/>
        </w:rPr>
        <w:t>&lt;</w:t>
      </w:r>
      <w:r>
        <w:rPr>
          <w:spacing w:val="-6"/>
        </w:rPr>
        <w:t>深圳市新国都技术股份有限公司关于董事、监事、</w:t>
      </w:r>
      <w:r>
        <w:rPr>
          <w:spacing w:val="-94"/>
        </w:rPr>
        <w:t> </w:t>
      </w:r>
      <w:r>
        <w:rPr>
          <w:spacing w:val="-94"/>
        </w:rPr>
      </w:r>
      <w:r>
        <w:rPr>
          <w:spacing w:val="-6"/>
        </w:rPr>
        <w:t>高级管理人员所持公司股份及其变动管理制度</w:t>
      </w:r>
      <w:r>
        <w:rPr>
          <w:rFonts w:ascii="Times New Roman" w:hAnsi="Times New Roman" w:cs="Times New Roman" w:eastAsia="Times New Roman" w:hint="default"/>
          <w:spacing w:val="-6"/>
        </w:rPr>
        <w:t>&gt;</w:t>
      </w:r>
      <w:r>
        <w:rPr>
          <w:spacing w:val="-6"/>
        </w:rPr>
        <w:t>的议案》、《关于审议</w:t>
      </w:r>
      <w:r>
        <w:rPr>
          <w:rFonts w:ascii="Times New Roman" w:hAnsi="Times New Roman" w:cs="Times New Roman" w:eastAsia="Times New Roman" w:hint="default"/>
          <w:spacing w:val="-6"/>
        </w:rPr>
        <w:t>&lt;</w:t>
      </w:r>
      <w:r>
        <w:rPr>
          <w:spacing w:val="-6"/>
        </w:rPr>
        <w:t>内幕信息知</w:t>
      </w:r>
      <w:r>
        <w:rPr>
          <w:spacing w:val="-112"/>
        </w:rPr>
        <w:t> </w:t>
      </w:r>
      <w:r>
        <w:rPr>
          <w:spacing w:val="-16"/>
        </w:rPr>
        <w:t>情人管理制度</w:t>
      </w:r>
      <w:r>
        <w:rPr>
          <w:rFonts w:ascii="Times New Roman" w:hAnsi="Times New Roman" w:cs="Times New Roman" w:eastAsia="Times New Roman" w:hint="default"/>
          <w:spacing w:val="-16"/>
        </w:rPr>
        <w:t>&gt;</w:t>
      </w:r>
      <w:r>
        <w:rPr>
          <w:spacing w:val="-16"/>
        </w:rPr>
        <w:t>的议案》、《关于审议</w:t>
      </w:r>
      <w:r>
        <w:rPr>
          <w:rFonts w:ascii="Times New Roman" w:hAnsi="Times New Roman" w:cs="Times New Roman" w:eastAsia="Times New Roman" w:hint="default"/>
          <w:spacing w:val="-16"/>
        </w:rPr>
        <w:t>&lt;</w:t>
      </w:r>
      <w:r>
        <w:rPr>
          <w:spacing w:val="-16"/>
        </w:rPr>
        <w:t>会计师事务所选聘制度</w:t>
      </w:r>
      <w:r>
        <w:rPr>
          <w:rFonts w:ascii="Times New Roman" w:hAnsi="Times New Roman" w:cs="Times New Roman" w:eastAsia="Times New Roman" w:hint="default"/>
          <w:spacing w:val="-16"/>
        </w:rPr>
        <w:t>&gt;</w:t>
      </w:r>
      <w:r>
        <w:rPr>
          <w:spacing w:val="-16"/>
        </w:rPr>
        <w:t>的议案》、《关于审议</w:t>
      </w:r>
    </w:p>
    <w:p>
      <w:pPr>
        <w:pStyle w:val="BodyText"/>
        <w:spacing w:line="340" w:lineRule="auto" w:before="24"/>
        <w:ind w:right="300"/>
        <w:jc w:val="both"/>
      </w:pPr>
      <w:r>
        <w:rPr>
          <w:rFonts w:ascii="Times New Roman" w:hAnsi="Times New Roman" w:cs="Times New Roman" w:eastAsia="Times New Roman" w:hint="default"/>
          <w:spacing w:val="-1"/>
        </w:rPr>
        <w:t>&lt;</w:t>
      </w:r>
      <w:r>
        <w:rPr/>
        <w:t>年报信息披露重大差错责任追究制度</w:t>
      </w:r>
      <w:r>
        <w:rPr>
          <w:rFonts w:ascii="Times New Roman" w:hAnsi="Times New Roman" w:cs="Times New Roman" w:eastAsia="Times New Roman" w:hint="default"/>
          <w:spacing w:val="-1"/>
        </w:rPr>
        <w:t>&gt;</w:t>
      </w:r>
      <w:r>
        <w:rPr/>
        <w:t>的议案</w:t>
      </w:r>
      <w:r>
        <w:rPr>
          <w:spacing w:val="-120"/>
        </w:rPr>
        <w:t>》</w:t>
      </w:r>
      <w:r>
        <w:rPr>
          <w:spacing w:val="-226"/>
        </w:rPr>
        <w:t>、</w:t>
      </w:r>
      <w:r>
        <w:rPr/>
        <w:t>《关于审议</w:t>
      </w:r>
      <w:r>
        <w:rPr>
          <w:rFonts w:ascii="Times New Roman" w:hAnsi="Times New Roman" w:cs="Times New Roman" w:eastAsia="Times New Roman" w:hint="default"/>
          <w:spacing w:val="-1"/>
        </w:rPr>
        <w:t>&lt;</w:t>
      </w:r>
      <w:r>
        <w:rPr/>
        <w:t>突发</w:t>
      </w:r>
      <w:r>
        <w:rPr>
          <w:spacing w:val="2"/>
        </w:rPr>
        <w:t>事</w:t>
      </w:r>
      <w:r>
        <w:rPr/>
        <w:t>件危机处理应</w:t>
      </w:r>
      <w:r>
        <w:rPr/>
        <w:t> 急制</w:t>
      </w:r>
      <w:r>
        <w:rPr>
          <w:spacing w:val="-1"/>
        </w:rPr>
        <w:t>度</w:t>
      </w:r>
      <w:r>
        <w:rPr>
          <w:rFonts w:ascii="Times New Roman" w:hAnsi="Times New Roman" w:cs="Times New Roman" w:eastAsia="Times New Roman" w:hint="default"/>
          <w:spacing w:val="-1"/>
        </w:rPr>
        <w:t>&gt;</w:t>
      </w:r>
      <w:r>
        <w:rPr/>
        <w:t>的议案</w:t>
      </w:r>
      <w:r>
        <w:rPr>
          <w:spacing w:val="-120"/>
        </w:rPr>
        <w:t>》、</w:t>
      </w:r>
      <w:r>
        <w:rPr/>
        <w:t>《关于审议</w:t>
      </w:r>
      <w:r>
        <w:rPr>
          <w:rFonts w:ascii="Times New Roman" w:hAnsi="Times New Roman" w:cs="Times New Roman" w:eastAsia="Times New Roman" w:hint="default"/>
          <w:spacing w:val="-1"/>
        </w:rPr>
        <w:t>&lt;</w:t>
      </w:r>
      <w:r>
        <w:rPr/>
        <w:t>外部信息使用人管理制度</w:t>
      </w:r>
      <w:r>
        <w:rPr>
          <w:rFonts w:ascii="Times New Roman" w:hAnsi="Times New Roman" w:cs="Times New Roman" w:eastAsia="Times New Roman" w:hint="default"/>
          <w:spacing w:val="-1"/>
        </w:rPr>
        <w:t>&gt;</w:t>
      </w:r>
      <w:r>
        <w:rPr/>
        <w:t>的议案</w:t>
      </w:r>
      <w:r>
        <w:rPr>
          <w:spacing w:val="-120"/>
        </w:rPr>
        <w:t>》、</w:t>
      </w:r>
      <w:r>
        <w:rPr/>
        <w:t>《关于审议</w:t>
      </w:r>
      <w:r>
        <w:rPr>
          <w:rFonts w:ascii="Times New Roman" w:hAnsi="Times New Roman" w:cs="Times New Roman" w:eastAsia="Times New Roman" w:hint="default"/>
          <w:spacing w:val="-1"/>
        </w:rPr>
        <w:t>&lt;</w:t>
      </w:r>
      <w:r>
        <w:rPr/>
        <w:t>投 资者来访接待管理制度</w:t>
      </w:r>
      <w:r>
        <w:rPr>
          <w:rFonts w:ascii="Times New Roman" w:hAnsi="Times New Roman" w:cs="Times New Roman" w:eastAsia="Times New Roman" w:hint="default"/>
          <w:spacing w:val="-1"/>
        </w:rPr>
        <w:t>&gt;</w:t>
      </w:r>
      <w:r>
        <w:rPr/>
        <w:t>的议案</w:t>
      </w:r>
      <w:r>
        <w:rPr>
          <w:spacing w:val="-120"/>
        </w:rPr>
        <w:t>》</w:t>
      </w:r>
      <w:r>
        <w:rPr>
          <w:spacing w:val="-226"/>
        </w:rPr>
        <w:t>、</w:t>
      </w:r>
      <w:r>
        <w:rPr/>
        <w:t>《关于审议</w:t>
      </w:r>
      <w:r>
        <w:rPr>
          <w:rFonts w:ascii="Times New Roman" w:hAnsi="Times New Roman" w:cs="Times New Roman" w:eastAsia="Times New Roman" w:hint="default"/>
          <w:spacing w:val="1"/>
        </w:rPr>
        <w:t>&lt;</w:t>
      </w:r>
      <w:r>
        <w:rPr/>
        <w:t>重大信息内部报告和保密制度</w:t>
      </w:r>
      <w:r>
        <w:rPr>
          <w:rFonts w:ascii="Times New Roman" w:hAnsi="Times New Roman" w:cs="Times New Roman" w:eastAsia="Times New Roman" w:hint="default"/>
          <w:spacing w:val="-1"/>
        </w:rPr>
        <w:t>&gt;</w:t>
      </w:r>
      <w:r>
        <w:rPr/>
        <w:t>的议 案</w:t>
      </w:r>
      <w:r>
        <w:rPr>
          <w:spacing w:val="-120"/>
        </w:rPr>
        <w:t>》、</w:t>
      </w:r>
      <w:r>
        <w:rPr>
          <w:spacing w:val="2"/>
        </w:rPr>
        <w:t>《</w:t>
      </w:r>
      <w:r>
        <w:rPr/>
        <w:t>关</w:t>
      </w:r>
      <w:r>
        <w:rPr>
          <w:spacing w:val="2"/>
        </w:rPr>
        <w:t>于</w:t>
      </w:r>
      <w:r>
        <w:rPr/>
        <w:t>审议</w:t>
      </w:r>
      <w:r>
        <w:rPr>
          <w:spacing w:val="2"/>
        </w:rPr>
        <w:t>修</w:t>
      </w:r>
      <w:r>
        <w:rPr>
          <w:spacing w:val="1"/>
        </w:rPr>
        <w:t>订</w:t>
      </w:r>
      <w:r>
        <w:rPr>
          <w:rFonts w:ascii="Times New Roman" w:hAnsi="Times New Roman" w:cs="Times New Roman" w:eastAsia="Times New Roman" w:hint="default"/>
          <w:spacing w:val="1"/>
        </w:rPr>
        <w:t>&lt;</w:t>
      </w:r>
      <w:r>
        <w:rPr/>
        <w:t>深圳市</w:t>
      </w:r>
      <w:r>
        <w:rPr>
          <w:spacing w:val="2"/>
        </w:rPr>
        <w:t>新</w:t>
      </w:r>
      <w:r>
        <w:rPr/>
        <w:t>国</w:t>
      </w:r>
      <w:r>
        <w:rPr>
          <w:spacing w:val="2"/>
        </w:rPr>
        <w:t>都</w:t>
      </w:r>
      <w:r>
        <w:rPr/>
        <w:t>技术</w:t>
      </w:r>
      <w:r>
        <w:rPr>
          <w:spacing w:val="2"/>
        </w:rPr>
        <w:t>股份</w:t>
      </w:r>
      <w:r>
        <w:rPr/>
        <w:t>有限公</w:t>
      </w:r>
      <w:r>
        <w:rPr>
          <w:spacing w:val="2"/>
        </w:rPr>
        <w:t>司</w:t>
      </w:r>
      <w:r>
        <w:rPr/>
        <w:t>章</w:t>
      </w:r>
      <w:r>
        <w:rPr>
          <w:spacing w:val="2"/>
        </w:rPr>
        <w:t>程</w:t>
      </w:r>
      <w:r>
        <w:rPr/>
        <w:t>（上</w:t>
      </w:r>
      <w:r>
        <w:rPr>
          <w:spacing w:val="2"/>
        </w:rPr>
        <w:t>市后</w:t>
      </w:r>
      <w:r>
        <w:rPr/>
        <w:t>适用</w:t>
      </w:r>
      <w:r>
        <w:rPr>
          <w:spacing w:val="5"/>
        </w:rPr>
        <w:t>）</w:t>
      </w:r>
      <w:r>
        <w:rPr>
          <w:rFonts w:ascii="Times New Roman" w:hAnsi="Times New Roman" w:cs="Times New Roman" w:eastAsia="Times New Roman" w:hint="default"/>
          <w:spacing w:val="-1"/>
        </w:rPr>
        <w:t>&gt;</w:t>
      </w:r>
      <w:r>
        <w:rPr/>
        <w:t>的议 </w:t>
      </w:r>
      <w:r>
        <w:rPr>
          <w:spacing w:val="2"/>
        </w:rPr>
        <w:t>案</w:t>
      </w:r>
      <w:r>
        <w:rPr>
          <w:spacing w:val="-118"/>
        </w:rPr>
        <w:t>》、</w:t>
      </w:r>
      <w:r>
        <w:rPr>
          <w:spacing w:val="2"/>
        </w:rPr>
        <w:t>《</w:t>
      </w:r>
      <w:r>
        <w:rPr/>
        <w:t>关</w:t>
      </w:r>
      <w:r>
        <w:rPr>
          <w:spacing w:val="2"/>
        </w:rPr>
        <w:t>于审议</w:t>
      </w:r>
      <w:r>
        <w:rPr/>
        <w:t>深</w:t>
      </w:r>
      <w:r>
        <w:rPr>
          <w:spacing w:val="2"/>
        </w:rPr>
        <w:t>圳</w:t>
      </w:r>
      <w:r>
        <w:rPr/>
        <w:t>市</w:t>
      </w:r>
      <w:r>
        <w:rPr>
          <w:spacing w:val="2"/>
        </w:rPr>
        <w:t>新国都技</w:t>
      </w:r>
      <w:r>
        <w:rPr/>
        <w:t>术</w:t>
      </w:r>
      <w:r>
        <w:rPr>
          <w:spacing w:val="2"/>
        </w:rPr>
        <w:t>股份有</w:t>
      </w:r>
      <w:r>
        <w:rPr/>
        <w:t>限公</w:t>
      </w:r>
      <w:r>
        <w:rPr>
          <w:spacing w:val="2"/>
        </w:rPr>
        <w:t>司关于加</w:t>
      </w:r>
      <w:r>
        <w:rPr/>
        <w:t>强</w:t>
      </w:r>
      <w:r>
        <w:rPr>
          <w:spacing w:val="2"/>
        </w:rPr>
        <w:t>上市公</w:t>
      </w:r>
      <w:r>
        <w:rPr/>
        <w:t>司治</w:t>
      </w:r>
      <w:r>
        <w:rPr>
          <w:spacing w:val="2"/>
        </w:rPr>
        <w:t>理专项活</w:t>
      </w:r>
      <w:r>
        <w:rPr/>
        <w:t>动</w:t>
      </w:r>
      <w:r>
        <w:rPr/>
        <w:t> 的自查事项报</w:t>
      </w:r>
      <w:r>
        <w:rPr>
          <w:spacing w:val="-1"/>
        </w:rPr>
        <w:t>告</w:t>
      </w:r>
      <w:r>
        <w:rPr/>
        <w:t>及整改计划的议案</w:t>
      </w:r>
      <w:r>
        <w:rPr>
          <w:spacing w:val="-120"/>
        </w:rPr>
        <w:t>》</w:t>
      </w:r>
      <w:r>
        <w:rPr/>
        <w:t>。</w:t>
      </w:r>
    </w:p>
    <w:p>
      <w:pPr>
        <w:spacing w:line="240" w:lineRule="auto" w:before="11"/>
        <w:rPr>
          <w:rFonts w:ascii="宋体" w:hAnsi="宋体" w:cs="宋体" w:eastAsia="宋体" w:hint="default"/>
          <w:sz w:val="32"/>
          <w:szCs w:val="32"/>
        </w:rPr>
      </w:pPr>
    </w:p>
    <w:p>
      <w:pPr>
        <w:pStyle w:val="Heading6"/>
        <w:spacing w:line="240" w:lineRule="auto"/>
        <w:ind w:right="0"/>
        <w:jc w:val="both"/>
        <w:rPr>
          <w:b w:val="0"/>
          <w:bCs w:val="0"/>
        </w:rPr>
      </w:pPr>
      <w:r>
        <w:rPr/>
        <w:t>（二）专业委员会运行情况</w:t>
      </w:r>
      <w:r>
        <w:rPr>
          <w:b w:val="0"/>
          <w:bCs w:val="0"/>
        </w:rPr>
      </w:r>
    </w:p>
    <w:p>
      <w:pPr>
        <w:spacing w:line="240" w:lineRule="auto" w:before="2"/>
        <w:rPr>
          <w:rFonts w:ascii="宋体" w:hAnsi="宋体" w:cs="宋体" w:eastAsia="宋体" w:hint="default"/>
          <w:b/>
          <w:bCs/>
          <w:sz w:val="34"/>
          <w:szCs w:val="34"/>
        </w:rPr>
      </w:pPr>
    </w:p>
    <w:p>
      <w:pPr>
        <w:pStyle w:val="BodyText"/>
        <w:spacing w:line="240" w:lineRule="auto"/>
        <w:ind w:right="0"/>
        <w:jc w:val="both"/>
      </w:pPr>
      <w:r>
        <w:rPr>
          <w:rFonts w:ascii="Times New Roman" w:hAnsi="Times New Roman" w:cs="Times New Roman" w:eastAsia="Times New Roman" w:hint="default"/>
        </w:rPr>
        <w:t>1</w:t>
      </w:r>
      <w:r>
        <w:rPr/>
        <w:t>、审计委员会履职情况</w:t>
      </w:r>
    </w:p>
    <w:p>
      <w:pPr>
        <w:pStyle w:val="BodyText"/>
        <w:spacing w:line="338" w:lineRule="auto" w:before="176"/>
        <w:ind w:right="220" w:firstLine="484"/>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9</w:t>
      </w:r>
      <w:r>
        <w:rPr/>
        <w:t>时，在公司总部会议室召开第一届董事会审计委员会第二次会 议，审议通过了《关于审议公司</w:t>
      </w:r>
      <w:r>
        <w:rPr>
          <w:rFonts w:ascii="Times New Roman" w:hAnsi="Times New Roman" w:cs="Times New Roman" w:eastAsia="Times New Roman" w:hint="default"/>
        </w:rPr>
        <w:t>2009</w:t>
      </w:r>
      <w:r>
        <w:rPr/>
        <w:t>年度财务报表的议案》。</w:t>
      </w:r>
    </w:p>
    <w:p>
      <w:pPr>
        <w:pStyle w:val="BodyText"/>
        <w:spacing w:line="338" w:lineRule="auto" w:before="67"/>
        <w:ind w:right="220" w:firstLine="484"/>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10</w:t>
      </w:r>
      <w:r>
        <w:rPr/>
        <w:t>时，在公司总部会议室召开第一届董事会审计委员会第三次 会议，审议通过了《关于审议聘请外部会计机构的议案》。</w:t>
      </w:r>
    </w:p>
    <w:p>
      <w:pPr>
        <w:pStyle w:val="BodyText"/>
        <w:spacing w:line="240" w:lineRule="auto" w:before="94"/>
        <w:ind w:right="0"/>
        <w:jc w:val="both"/>
      </w:pPr>
      <w:r>
        <w:rPr>
          <w:rFonts w:ascii="Times New Roman" w:hAnsi="Times New Roman" w:cs="Times New Roman" w:eastAsia="Times New Roman" w:hint="default"/>
        </w:rPr>
        <w:t>2</w:t>
      </w:r>
      <w:r>
        <w:rPr/>
        <w:t>、提名、薪酬与考核委员会履职情况</w:t>
      </w:r>
    </w:p>
    <w:p>
      <w:pPr>
        <w:pStyle w:val="BodyText"/>
        <w:spacing w:line="338" w:lineRule="auto" w:before="176"/>
        <w:ind w:right="138" w:firstLine="484"/>
        <w:jc w:val="left"/>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w:t>
      </w:r>
      <w:r>
        <w:rPr>
          <w:rFonts w:ascii="Times New Roman" w:hAnsi="Times New Roman" w:cs="Times New Roman" w:eastAsia="Times New Roman" w:hint="default"/>
          <w:spacing w:val="-1"/>
        </w:rPr>
        <w:t>9</w:t>
      </w:r>
      <w:r>
        <w:rPr>
          <w:spacing w:val="-1"/>
        </w:rPr>
        <w:t>时，在公司总部会议室召开第一届董事会提名、薪酬与考核委</w:t>
      </w:r>
      <w:r>
        <w:rPr/>
        <w:t> 员会第一次会议，会议应到委员</w:t>
      </w:r>
      <w:r>
        <w:rPr>
          <w:rFonts w:ascii="Times New Roman" w:hAnsi="Times New Roman" w:cs="Times New Roman" w:eastAsia="Times New Roman" w:hint="default"/>
        </w:rPr>
        <w:t>3</w:t>
      </w:r>
      <w:r>
        <w:rPr/>
        <w:t>人，实到</w:t>
      </w:r>
      <w:r>
        <w:rPr>
          <w:rFonts w:ascii="Times New Roman" w:hAnsi="Times New Roman" w:cs="Times New Roman" w:eastAsia="Times New Roman" w:hint="default"/>
        </w:rPr>
        <w:t>3</w:t>
      </w:r>
      <w:r>
        <w:rPr/>
        <w:t>人，列席</w:t>
      </w:r>
      <w:r>
        <w:rPr>
          <w:rFonts w:ascii="Times New Roman" w:hAnsi="Times New Roman" w:cs="Times New Roman" w:eastAsia="Times New Roman" w:hint="default"/>
        </w:rPr>
        <w:t>1</w:t>
      </w:r>
      <w:r>
        <w:rPr/>
        <w:t>人。审议通过了《关于审议 </w:t>
      </w:r>
      <w:r>
        <w:rPr>
          <w:spacing w:val="-7"/>
        </w:rPr>
        <w:t>公司高级管理人员薪酬调整方案的议案》。</w:t>
      </w:r>
    </w:p>
    <w:p>
      <w:pPr>
        <w:pStyle w:val="BodyText"/>
        <w:spacing w:line="240" w:lineRule="auto" w:before="96"/>
        <w:ind w:right="0"/>
        <w:jc w:val="both"/>
      </w:pPr>
      <w:r>
        <w:rPr>
          <w:rFonts w:ascii="Times New Roman" w:hAnsi="Times New Roman" w:cs="Times New Roman" w:eastAsia="Times New Roman" w:hint="default"/>
        </w:rPr>
        <w:t>3</w:t>
      </w:r>
      <w:r>
        <w:rPr/>
        <w:t>、战略委员会</w:t>
      </w:r>
    </w:p>
    <w:p>
      <w:pPr>
        <w:spacing w:after="0" w:line="240" w:lineRule="auto"/>
        <w:jc w:val="both"/>
        <w:sectPr>
          <w:footerReference w:type="default" r:id="rId32"/>
          <w:pgSz w:w="11910" w:h="16840"/>
          <w:pgMar w:footer="1267" w:header="867" w:top="1060" w:bottom="1460" w:left="1560" w:right="1440"/>
          <w:pgNumType w:start="80"/>
        </w:sectPr>
      </w:pPr>
    </w:p>
    <w:p>
      <w:pPr>
        <w:spacing w:line="585" w:lineRule="auto" w:before="104"/>
        <w:ind w:left="142" w:right="5145" w:firstLine="479"/>
        <w:jc w:val="left"/>
        <w:rPr>
          <w:rFonts w:ascii="宋体" w:hAnsi="宋体" w:cs="宋体" w:eastAsia="宋体" w:hint="default"/>
          <w:sz w:val="24"/>
          <w:szCs w:val="24"/>
        </w:rPr>
      </w:pPr>
      <w:r>
        <w:rPr>
          <w:rFonts w:ascii="宋体" w:hAnsi="宋体" w:cs="宋体" w:eastAsia="宋体" w:hint="default"/>
          <w:sz w:val="24"/>
          <w:szCs w:val="24"/>
        </w:rPr>
        <w:t>报告期内，公司未召开会议。 </w:t>
      </w:r>
      <w:r>
        <w:rPr>
          <w:rFonts w:ascii="宋体" w:hAnsi="宋体" w:cs="宋体" w:eastAsia="宋体" w:hint="default"/>
          <w:b/>
          <w:bCs/>
          <w:sz w:val="24"/>
          <w:szCs w:val="24"/>
        </w:rPr>
        <w:t>五、公司独立性</w:t>
      </w:r>
      <w:r>
        <w:rPr>
          <w:rFonts w:ascii="宋体" w:hAnsi="宋体" w:cs="宋体" w:eastAsia="宋体" w:hint="default"/>
          <w:sz w:val="24"/>
          <w:szCs w:val="24"/>
        </w:rPr>
      </w:r>
    </w:p>
    <w:p>
      <w:pPr>
        <w:pStyle w:val="BodyText"/>
        <w:spacing w:line="357" w:lineRule="auto" w:before="103"/>
        <w:ind w:right="145" w:firstLine="479"/>
        <w:jc w:val="both"/>
      </w:pPr>
      <w:r>
        <w:rPr>
          <w:spacing w:val="-1"/>
        </w:rPr>
        <w:t>报告期内，公司产权明晰、权责明确、运作规范，资产、人员、财务、机构和</w:t>
      </w:r>
      <w:r>
        <w:rPr/>
        <w:t> </w:t>
      </w:r>
      <w:r>
        <w:rPr>
          <w:spacing w:val="-1"/>
        </w:rPr>
        <w:t>业务均与控股股东、实际控制人及其控制的其他企业分开，具有完整的业务体系和</w:t>
      </w:r>
      <w:r>
        <w:rPr>
          <w:spacing w:val="-108"/>
        </w:rPr>
        <w:t> </w:t>
      </w:r>
      <w:r>
        <w:rPr>
          <w:spacing w:val="-108"/>
        </w:rPr>
      </w:r>
      <w:r>
        <w:rPr/>
        <w:t>面向市场独立运营的能力。</w:t>
      </w:r>
    </w:p>
    <w:p>
      <w:pPr>
        <w:pStyle w:val="BodyText"/>
        <w:spacing w:line="338" w:lineRule="auto" w:before="36"/>
        <w:ind w:left="621" w:right="176"/>
        <w:jc w:val="left"/>
      </w:pPr>
      <w:r>
        <w:rPr>
          <w:rFonts w:ascii="Times New Roman" w:hAnsi="Times New Roman" w:cs="Times New Roman" w:eastAsia="Times New Roman" w:hint="default"/>
        </w:rPr>
        <w:t>1</w:t>
      </w:r>
      <w:r>
        <w:rPr/>
        <w:t>、资产完整独立情况 公司由有限责任公司整体变更设立，各发起人投入新国都的资产均为其合法</w:t>
      </w:r>
    </w:p>
    <w:p>
      <w:pPr>
        <w:pStyle w:val="BodyText"/>
        <w:spacing w:line="357" w:lineRule="auto" w:before="55"/>
        <w:ind w:right="303"/>
        <w:jc w:val="both"/>
      </w:pPr>
      <w:r>
        <w:rPr/>
        <w:t>拥有的资产，不存在潜在的产权纠纷，权属清晰。整体变更设立股份公司后，公</w:t>
      </w:r>
      <w:r>
        <w:rPr>
          <w:spacing w:val="-67"/>
        </w:rPr>
        <w:t> </w:t>
      </w:r>
      <w:r>
        <w:rPr>
          <w:spacing w:val="-67"/>
        </w:rPr>
      </w:r>
      <w:r>
        <w:rPr/>
        <w:t>司已依法办理完毕相关资产权属的变更登记，合法拥有与生产经营相关的资产，</w:t>
      </w:r>
      <w:r>
        <w:rPr>
          <w:spacing w:val="-67"/>
        </w:rPr>
        <w:t> </w:t>
      </w:r>
      <w:r>
        <w:rPr>
          <w:spacing w:val="-67"/>
        </w:rPr>
      </w:r>
      <w:r>
        <w:rPr/>
        <w:t>资产完整独立，不存在控股股东、实际控制人及其控制的其他企业占用公司的资</w:t>
      </w:r>
      <w:r>
        <w:rPr>
          <w:spacing w:val="-67"/>
        </w:rPr>
        <w:t> </w:t>
      </w:r>
      <w:r>
        <w:rPr>
          <w:spacing w:val="-67"/>
        </w:rPr>
      </w:r>
      <w:r>
        <w:rPr/>
        <w:t>金、资产和其他资源的情况。</w:t>
      </w:r>
    </w:p>
    <w:p>
      <w:pPr>
        <w:pStyle w:val="BodyText"/>
        <w:spacing w:line="338" w:lineRule="auto" w:before="36"/>
        <w:ind w:left="621" w:right="176"/>
        <w:jc w:val="left"/>
      </w:pPr>
      <w:r>
        <w:rPr>
          <w:rFonts w:ascii="Times New Roman" w:hAnsi="Times New Roman" w:cs="Times New Roman" w:eastAsia="Times New Roman" w:hint="default"/>
        </w:rPr>
        <w:t>2</w:t>
      </w:r>
      <w:r>
        <w:rPr/>
        <w:t>、人员独立情况 公司控股股东为自然人，公司总经理、副总经理、总工程师、财务负责人和</w:t>
      </w:r>
    </w:p>
    <w:p>
      <w:pPr>
        <w:pStyle w:val="BodyText"/>
        <w:spacing w:line="357" w:lineRule="auto" w:before="56"/>
        <w:ind w:right="305"/>
        <w:jc w:val="both"/>
      </w:pPr>
      <w:r>
        <w:rPr/>
        <w:t>董事会秘书等高级管理人员未在控股股东控制的其他企业中担任除董事、监事以</w:t>
      </w:r>
      <w:r>
        <w:rPr>
          <w:spacing w:val="-67"/>
        </w:rPr>
        <w:t> </w:t>
      </w:r>
      <w:r>
        <w:rPr>
          <w:spacing w:val="-67"/>
        </w:rPr>
      </w:r>
      <w:r>
        <w:rPr/>
        <w:t>外的其他职务，也未在控股股东控制的其他企业领薪。公司财务人员独立，未在</w:t>
      </w:r>
      <w:r>
        <w:rPr>
          <w:spacing w:val="-67"/>
        </w:rPr>
        <w:t> </w:t>
      </w:r>
      <w:r>
        <w:rPr>
          <w:spacing w:val="-67"/>
        </w:rPr>
      </w:r>
      <w:r>
        <w:rPr/>
        <w:t>控股股东、实际控制人及其控制的其他企业中兼职。公司拥有独立、完整的人事</w:t>
      </w:r>
      <w:r>
        <w:rPr>
          <w:spacing w:val="-67"/>
        </w:rPr>
        <w:t> </w:t>
      </w:r>
      <w:r>
        <w:rPr>
          <w:spacing w:val="-67"/>
        </w:rPr>
      </w:r>
      <w:r>
        <w:rPr/>
        <w:t>管理体系，制定了独立的劳动人事管理制度，由公司独立与员工签订劳动合同。</w:t>
      </w:r>
    </w:p>
    <w:p>
      <w:pPr>
        <w:pStyle w:val="BodyText"/>
        <w:spacing w:line="338" w:lineRule="auto" w:before="36"/>
        <w:ind w:left="621" w:right="176"/>
        <w:jc w:val="left"/>
      </w:pPr>
      <w:r>
        <w:rPr>
          <w:rFonts w:ascii="Times New Roman" w:hAnsi="Times New Roman" w:cs="Times New Roman" w:eastAsia="Times New Roman" w:hint="default"/>
        </w:rPr>
        <w:t>3</w:t>
      </w:r>
      <w:r>
        <w:rPr/>
        <w:t>、财务独立情况 公司建立了规范的财务管理制度和独立的会计核算体系，设置了独立的财务</w:t>
      </w:r>
    </w:p>
    <w:p>
      <w:pPr>
        <w:pStyle w:val="BodyText"/>
        <w:spacing w:line="357" w:lineRule="auto" w:before="55"/>
        <w:ind w:right="296"/>
        <w:jc w:val="both"/>
      </w:pPr>
      <w:r>
        <w:rPr/>
        <w:t>部门，配备了专职的财务人员，能够独立做出财务决策，享有充分独立的资金调</w:t>
      </w:r>
      <w:r>
        <w:rPr>
          <w:spacing w:val="-67"/>
        </w:rPr>
        <w:t> </w:t>
      </w:r>
      <w:r>
        <w:rPr>
          <w:spacing w:val="-67"/>
        </w:rPr>
      </w:r>
      <w:r>
        <w:rPr/>
        <w:t>配权。公司不存在资金被控股股东、实际控制人及其控制的其他企业以借款、代</w:t>
      </w:r>
      <w:r>
        <w:rPr>
          <w:spacing w:val="-67"/>
        </w:rPr>
        <w:t> </w:t>
      </w:r>
      <w:r>
        <w:rPr>
          <w:spacing w:val="-67"/>
        </w:rPr>
      </w:r>
      <w:r>
        <w:rPr/>
        <w:t>偿债务、代垫款项或者其他方式占用的情形。公司独立开设银行基本账户，取得</w:t>
      </w:r>
    </w:p>
    <w:p>
      <w:pPr>
        <w:pStyle w:val="BodyText"/>
        <w:spacing w:line="240" w:lineRule="auto" w:before="36"/>
        <w:ind w:right="0"/>
        <w:jc w:val="both"/>
      </w:pPr>
      <w:r>
        <w:rPr/>
        <w:t>《税务登记证</w:t>
      </w:r>
      <w:r>
        <w:rPr>
          <w:spacing w:val="-120"/>
        </w:rPr>
        <w:t>》</w:t>
      </w:r>
      <w:r>
        <w:rPr/>
        <w:t>，国税登记证、地税登记证，依法独立纳税。</w:t>
      </w:r>
    </w:p>
    <w:p>
      <w:pPr>
        <w:pStyle w:val="BodyText"/>
        <w:spacing w:line="338" w:lineRule="auto" w:before="154"/>
        <w:ind w:left="621" w:right="173"/>
        <w:jc w:val="left"/>
      </w:pPr>
      <w:r>
        <w:rPr>
          <w:rFonts w:ascii="Times New Roman" w:hAnsi="Times New Roman" w:cs="Times New Roman" w:eastAsia="Times New Roman" w:hint="default"/>
        </w:rPr>
        <w:t>4</w:t>
      </w:r>
      <w:r>
        <w:rPr/>
        <w:t>、机构独立情况 </w:t>
      </w:r>
      <w:r>
        <w:rPr>
          <w:spacing w:val="-2"/>
        </w:rPr>
        <w:t>公司根据《公司法》和《公司章程》的要求，建立健全了股东大会、董事会、</w:t>
      </w:r>
    </w:p>
    <w:p>
      <w:pPr>
        <w:pStyle w:val="BodyText"/>
        <w:spacing w:line="357" w:lineRule="auto" w:before="55"/>
        <w:ind w:right="296"/>
        <w:jc w:val="both"/>
      </w:pPr>
      <w:r>
        <w:rPr/>
        <w:t>监事会以及独立董事制度，形成了有效的法人治理结构。在日常经营管理方面，</w:t>
      </w:r>
      <w:r>
        <w:rPr>
          <w:spacing w:val="-67"/>
        </w:rPr>
        <w:t> </w:t>
      </w:r>
      <w:r>
        <w:rPr>
          <w:spacing w:val="-67"/>
        </w:rPr>
      </w:r>
      <w:r>
        <w:rPr/>
        <w:t>公司实行董事会领导下的总经理负责制，建立适合自身发展需要的内部经营管理</w:t>
      </w:r>
      <w:r>
        <w:rPr>
          <w:spacing w:val="-60"/>
        </w:rPr>
        <w:t> </w:t>
      </w:r>
      <w:r>
        <w:rPr>
          <w:spacing w:val="-60"/>
        </w:rPr>
      </w:r>
      <w:r>
        <w:rPr/>
        <w:t>机构，包括研发中心、制造中心、营销中心、行政中心、客服中心、计划财务中</w:t>
      </w:r>
      <w:r>
        <w:rPr>
          <w:spacing w:val="-67"/>
        </w:rPr>
        <w:t> </w:t>
      </w:r>
      <w:r>
        <w:rPr>
          <w:spacing w:val="-67"/>
        </w:rPr>
      </w:r>
      <w:r>
        <w:rPr/>
        <w:t>心、市场部、人力资源部、证券部、内审部、行业客户部和产品管理部等职能部</w:t>
      </w:r>
    </w:p>
    <w:p>
      <w:pPr>
        <w:spacing w:after="0" w:line="357" w:lineRule="auto"/>
        <w:jc w:val="both"/>
        <w:sectPr>
          <w:footerReference w:type="default" r:id="rId33"/>
          <w:pgSz w:w="11910" w:h="16840"/>
          <w:pgMar w:footer="1267" w:header="867" w:top="1060" w:bottom="1460" w:left="1560" w:right="1440"/>
          <w:pgNumType w:start="81"/>
        </w:sectPr>
      </w:pPr>
    </w:p>
    <w:p>
      <w:pPr>
        <w:pStyle w:val="BodyText"/>
        <w:spacing w:line="357" w:lineRule="auto" w:before="104"/>
        <w:ind w:right="219"/>
        <w:jc w:val="left"/>
      </w:pPr>
      <w:r>
        <w:rPr/>
        <w:t>门，独立行使经营管理职权，与控股股东、实际控制人及其控制的其他企业之间</w:t>
      </w:r>
      <w:r>
        <w:rPr>
          <w:spacing w:val="-67"/>
        </w:rPr>
        <w:t> </w:t>
      </w:r>
      <w:r>
        <w:rPr>
          <w:spacing w:val="-67"/>
        </w:rPr>
      </w:r>
      <w:r>
        <w:rPr/>
        <w:t>不存在合署办公、机构混同等情形。</w:t>
      </w:r>
    </w:p>
    <w:p>
      <w:pPr>
        <w:pStyle w:val="BodyText"/>
        <w:spacing w:line="338" w:lineRule="auto" w:before="36"/>
        <w:ind w:left="621" w:right="219"/>
        <w:jc w:val="left"/>
      </w:pPr>
      <w:r>
        <w:rPr>
          <w:rFonts w:ascii="Times New Roman" w:hAnsi="Times New Roman" w:cs="Times New Roman" w:eastAsia="Times New Roman" w:hint="default"/>
        </w:rPr>
        <w:t>5</w:t>
      </w:r>
      <w:r>
        <w:rPr/>
        <w:t>、业务独立情况 公司从产品设计、技术研发，到原料采购、生产及对外销售，均拥有独立的</w:t>
      </w:r>
    </w:p>
    <w:p>
      <w:pPr>
        <w:pStyle w:val="BodyText"/>
        <w:spacing w:line="357" w:lineRule="auto" w:before="55"/>
        <w:ind w:right="379"/>
        <w:jc w:val="both"/>
      </w:pPr>
      <w:r>
        <w:rPr/>
        <w:t>经营决策权和实施权，形成了独立且运行有效的产供销和研发体系，具有面向市</w:t>
      </w:r>
      <w:r>
        <w:rPr>
          <w:spacing w:val="-67"/>
        </w:rPr>
        <w:t> </w:t>
      </w:r>
      <w:r>
        <w:rPr>
          <w:spacing w:val="-67"/>
        </w:rPr>
      </w:r>
      <w:r>
        <w:rPr/>
        <w:t>场独立经营的能力。目前，公司控股股东、实际控制人及其控制的企业均未从事</w:t>
      </w:r>
      <w:r>
        <w:rPr>
          <w:spacing w:val="-67"/>
        </w:rPr>
        <w:t> </w:t>
      </w:r>
      <w:r>
        <w:rPr>
          <w:spacing w:val="-67"/>
        </w:rPr>
      </w:r>
      <w:r>
        <w:rPr/>
        <w:t>与公司具有同业竞争情形的业务；同时，公司与控股股东、实际控制人及其控制</w:t>
      </w:r>
      <w:r>
        <w:rPr>
          <w:spacing w:val="-63"/>
        </w:rPr>
        <w:t> </w:t>
      </w:r>
      <w:r>
        <w:rPr>
          <w:spacing w:val="-63"/>
        </w:rPr>
      </w:r>
      <w:r>
        <w:rPr/>
        <w:t>的企业在报告期内也不存在显失公允的关联交易，公司业务独立。</w:t>
      </w:r>
    </w:p>
    <w:p>
      <w:pPr>
        <w:spacing w:line="764" w:lineRule="exact" w:before="3"/>
        <w:ind w:left="621" w:right="219" w:hanging="480"/>
        <w:jc w:val="left"/>
        <w:rPr>
          <w:rFonts w:ascii="宋体" w:hAnsi="宋体" w:cs="宋体" w:eastAsia="宋体" w:hint="default"/>
          <w:sz w:val="24"/>
          <w:szCs w:val="24"/>
        </w:rPr>
      </w:pPr>
      <w:r>
        <w:rPr>
          <w:rFonts w:ascii="宋体" w:hAnsi="宋体" w:cs="宋体" w:eastAsia="宋体" w:hint="default"/>
          <w:b/>
          <w:bCs/>
          <w:sz w:val="24"/>
          <w:szCs w:val="24"/>
        </w:rPr>
        <w:t>六、公司内部控制制度的建立健全情况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公司严格按照《公司法》、《证券法》、《深圳证券交易所创业板股票上市规</w:t>
      </w:r>
    </w:p>
    <w:p>
      <w:pPr>
        <w:pStyle w:val="BodyText"/>
        <w:spacing w:line="357" w:lineRule="auto" w:before="35"/>
        <w:ind w:right="92"/>
        <w:jc w:val="left"/>
      </w:pPr>
      <w:r>
        <w:rPr>
          <w:spacing w:val="-4"/>
        </w:rPr>
        <w:t>则》以及中国证监会有关法律法规的要求，规范运作，不断完善公司法人治理结构。</w:t>
      </w:r>
      <w:r>
        <w:rPr>
          <w:spacing w:val="-116"/>
        </w:rPr>
        <w:t> </w:t>
      </w:r>
      <w:r>
        <w:rPr>
          <w:spacing w:val="-116"/>
        </w:rPr>
      </w:r>
      <w:r>
        <w:rPr/>
        <w:t>公司致力于建立完善的内部控制体系，目前已建立较为健全的内部控制制度，包括</w:t>
      </w:r>
      <w:r>
        <w:rPr/>
        <w:t> 法人治理、生产经营、财务管理、行政及人力资源管理、信息披露等方面，基本涵 盖公司经营管理的各层面和各主要业务环节。通过对公司各项治理制度的规范和落 实，公司的治理水平不断提高。有效的保证了公司经营效益水平的不断提升和战略 目标的实现。</w:t>
      </w:r>
    </w:p>
    <w:p>
      <w:pPr>
        <w:pStyle w:val="BodyText"/>
        <w:spacing w:line="338" w:lineRule="auto" w:before="36"/>
        <w:ind w:left="621" w:right="219" w:hanging="480"/>
        <w:jc w:val="left"/>
      </w:pPr>
      <w:r>
        <w:rPr>
          <w:rFonts w:ascii="Times New Roman" w:hAnsi="Times New Roman" w:cs="Times New Roman" w:eastAsia="Times New Roman" w:hint="default"/>
        </w:rPr>
        <w:t>1</w:t>
      </w:r>
      <w:r>
        <w:rPr/>
        <w:t>、法人治理方面 </w:t>
      </w:r>
      <w:r>
        <w:rPr>
          <w:spacing w:val="-8"/>
        </w:rPr>
        <w:t>公司制订了《公司章程》、《股东大会议事规则》、《董事会议事规则》、《监</w:t>
      </w:r>
    </w:p>
    <w:p>
      <w:pPr>
        <w:pStyle w:val="BodyText"/>
        <w:spacing w:line="357" w:lineRule="auto" w:before="55"/>
        <w:ind w:right="220"/>
        <w:jc w:val="both"/>
      </w:pPr>
      <w:r>
        <w:rPr>
          <w:spacing w:val="-1"/>
        </w:rPr>
        <w:t>事会议事规则》、《总经理工作细则》和《董事会审计委员会工作细则》、《董事</w:t>
      </w:r>
      <w:r>
        <w:rPr>
          <w:spacing w:val="-107"/>
        </w:rPr>
        <w:t> </w:t>
      </w:r>
      <w:r>
        <w:rPr>
          <w:spacing w:val="-107"/>
        </w:rPr>
      </w:r>
      <w:r>
        <w:rPr>
          <w:spacing w:val="-1"/>
        </w:rPr>
        <w:t>会提名、薪酬与考核委员会工作细则》、《董事会战略委员会工作细则》、《独立</w:t>
      </w:r>
      <w:r>
        <w:rPr>
          <w:spacing w:val="-106"/>
        </w:rPr>
        <w:t> </w:t>
      </w:r>
      <w:r>
        <w:rPr>
          <w:spacing w:val="-106"/>
        </w:rPr>
      </w:r>
      <w:r>
        <w:rPr>
          <w:spacing w:val="-1"/>
        </w:rPr>
        <w:t>董事工作制度》、《董事会秘书工作制度》等规章制度。这些制度对完善公司治理</w:t>
      </w:r>
      <w:r>
        <w:rPr>
          <w:spacing w:val="-108"/>
        </w:rPr>
        <w:t> </w:t>
      </w:r>
      <w:r>
        <w:rPr>
          <w:spacing w:val="-108"/>
        </w:rPr>
      </w:r>
      <w:r>
        <w:rPr/>
        <w:t>结构，规范公司决策和运作发挥着重要的作用。</w:t>
      </w:r>
    </w:p>
    <w:p>
      <w:pPr>
        <w:pStyle w:val="BodyText"/>
        <w:spacing w:line="338" w:lineRule="auto" w:before="36"/>
        <w:ind w:left="621" w:right="219" w:hanging="480"/>
        <w:jc w:val="left"/>
      </w:pPr>
      <w:r>
        <w:rPr>
          <w:rFonts w:ascii="Times New Roman" w:hAnsi="Times New Roman" w:cs="Times New Roman" w:eastAsia="Times New Roman" w:hint="default"/>
        </w:rPr>
        <w:t>2</w:t>
      </w:r>
      <w:r>
        <w:rPr/>
        <w:t>、经营管理方面 </w:t>
      </w:r>
      <w:r>
        <w:rPr>
          <w:spacing w:val="-1"/>
        </w:rPr>
        <w:t>为规范经营管理，公司各研发中心、营销中心、生产中心、客服中心等部门都</w:t>
      </w:r>
    </w:p>
    <w:p>
      <w:pPr>
        <w:pStyle w:val="BodyText"/>
        <w:spacing w:line="357" w:lineRule="auto" w:before="55"/>
        <w:ind w:right="92"/>
        <w:jc w:val="left"/>
      </w:pPr>
      <w:r>
        <w:rPr>
          <w:spacing w:val="-4"/>
        </w:rPr>
        <w:t>制订了详细的经营管理制度。在具体业务管理方面，公司也制订了一系列规范文件，</w:t>
      </w:r>
      <w:r>
        <w:rPr>
          <w:spacing w:val="-117"/>
        </w:rPr>
        <w:t> </w:t>
      </w:r>
      <w:r>
        <w:rPr>
          <w:spacing w:val="-117"/>
        </w:rPr>
      </w:r>
      <w:r>
        <w:rPr/>
        <w:t>如项目管理制度、销售管理制度等等，保证各项业务有章可循，规范操作。 </w:t>
      </w:r>
      <w:r>
        <w:rPr>
          <w:rFonts w:ascii="Times New Roman" w:hAnsi="Times New Roman" w:cs="Times New Roman" w:eastAsia="Times New Roman" w:hint="default"/>
        </w:rPr>
        <w:t>3</w:t>
      </w:r>
      <w:r>
        <w:rPr/>
        <w:t>、财务管理方面</w:t>
      </w:r>
    </w:p>
    <w:p>
      <w:pPr>
        <w:pStyle w:val="BodyText"/>
        <w:spacing w:line="357" w:lineRule="auto" w:before="6"/>
        <w:ind w:right="219" w:firstLine="479"/>
        <w:jc w:val="left"/>
      </w:pPr>
      <w:r>
        <w:rPr>
          <w:spacing w:val="-1"/>
        </w:rPr>
        <w:t>公司已基本建立一套与公司财务信息相关的、符合公司实际情况的、较为合理</w:t>
      </w:r>
      <w:r>
        <w:rPr/>
        <w:t> </w:t>
      </w:r>
      <w:r>
        <w:rPr>
          <w:spacing w:val="-1"/>
        </w:rPr>
        <w:t>的内部控制制度，并且得到了有效的执行。在财务管理和会计审核方面均设置了较</w:t>
      </w:r>
    </w:p>
    <w:p>
      <w:pPr>
        <w:spacing w:after="0" w:line="357" w:lineRule="auto"/>
        <w:jc w:val="left"/>
        <w:sectPr>
          <w:footerReference w:type="default" r:id="rId34"/>
          <w:pgSz w:w="11910" w:h="16840"/>
          <w:pgMar w:footer="1267" w:header="867" w:top="1060" w:bottom="1460" w:left="1560" w:right="1360"/>
          <w:pgNumType w:start="82"/>
        </w:sectPr>
      </w:pPr>
    </w:p>
    <w:p>
      <w:pPr>
        <w:pStyle w:val="BodyText"/>
        <w:spacing w:line="357" w:lineRule="auto" w:before="104"/>
        <w:ind w:right="140"/>
        <w:jc w:val="left"/>
      </w:pPr>
      <w:r>
        <w:rPr>
          <w:spacing w:val="-1"/>
        </w:rPr>
        <w:t>为合理的岗位职责权限，并配备了相应的人员以保证财会工作的顺利开展，财务会</w:t>
      </w:r>
      <w:r>
        <w:rPr>
          <w:spacing w:val="-108"/>
        </w:rPr>
        <w:t> </w:t>
      </w:r>
      <w:r>
        <w:rPr>
          <w:spacing w:val="-108"/>
        </w:rPr>
      </w:r>
      <w:r>
        <w:rPr>
          <w:spacing w:val="-1"/>
        </w:rPr>
        <w:t>计机构人员分工明确，实行岗位责任制，各岗位都能相互牵制相互制衡。公司的会</w:t>
      </w:r>
      <w:r>
        <w:rPr>
          <w:spacing w:val="-108"/>
        </w:rPr>
        <w:t> </w:t>
      </w:r>
      <w:r>
        <w:rPr>
          <w:spacing w:val="-108"/>
        </w:rPr>
      </w:r>
      <w:r>
        <w:rPr>
          <w:spacing w:val="-1"/>
        </w:rPr>
        <w:t>计管理内部控制完整、合理、有效，公司各级会计人员具备了相应的专业素质，不</w:t>
      </w:r>
      <w:r>
        <w:rPr>
          <w:spacing w:val="-107"/>
        </w:rPr>
        <w:t> </w:t>
      </w:r>
      <w:r>
        <w:rPr>
          <w:spacing w:val="-107"/>
        </w:rPr>
      </w:r>
      <w:r>
        <w:rPr>
          <w:spacing w:val="-1"/>
        </w:rPr>
        <w:t>定期的参加相关业务培训，对重要会计业务和电算化操作制定和执行了明确的授权</w:t>
      </w:r>
      <w:r>
        <w:rPr>
          <w:spacing w:val="-109"/>
        </w:rPr>
        <w:t> </w:t>
      </w:r>
      <w:r>
        <w:rPr>
          <w:spacing w:val="-109"/>
        </w:rPr>
      </w:r>
      <w:r>
        <w:rPr/>
        <w:t>规定。公司的内部控制机制较为完善，能够得到切实有效地实施。 </w:t>
      </w:r>
      <w:r>
        <w:rPr>
          <w:rFonts w:ascii="Times New Roman" w:hAnsi="Times New Roman" w:cs="Times New Roman" w:eastAsia="Times New Roman" w:hint="default"/>
        </w:rPr>
        <w:t>4</w:t>
      </w:r>
      <w:r>
        <w:rPr/>
        <w:t>、信息披露方面</w:t>
      </w:r>
    </w:p>
    <w:p>
      <w:pPr>
        <w:pStyle w:val="BodyText"/>
        <w:spacing w:line="357" w:lineRule="auto" w:before="5"/>
        <w:ind w:right="305" w:firstLine="479"/>
        <w:jc w:val="both"/>
      </w:pPr>
      <w:r>
        <w:rPr>
          <w:spacing w:val="-6"/>
        </w:rPr>
        <w:t>公司目前已经制订了《投资者关系管理制度》、《信息披露管理办法》、《重</w:t>
      </w:r>
      <w:r>
        <w:rPr/>
        <w:t> 大信息内部报告制度》、《内幕信息知情人登记制度》、《突发事件危机处理应 </w:t>
      </w:r>
      <w:r>
        <w:rPr>
          <w:spacing w:val="-19"/>
        </w:rPr>
        <w:t>急制度》、《外部信息使用人管理制度》、《投资者来访接待管理制度》、《重大信息</w:t>
      </w:r>
      <w:r>
        <w:rPr>
          <w:spacing w:val="-118"/>
        </w:rPr>
        <w:t> </w:t>
      </w:r>
      <w:r>
        <w:rPr>
          <w:spacing w:val="-118"/>
        </w:rPr>
      </w:r>
      <w:r>
        <w:rPr/>
        <w:t>内部报告和保密制度》等信息披露与管理制度，不断加强公司与投资者之间的信 息交流，使投资者能够全面、完整、真实、准确、及时、公平地了解和掌握公司 的经营状况。</w:t>
      </w:r>
    </w:p>
    <w:p>
      <w:pPr>
        <w:spacing w:line="764" w:lineRule="exact" w:before="3"/>
        <w:ind w:left="621" w:right="139" w:hanging="480"/>
        <w:jc w:val="left"/>
        <w:rPr>
          <w:rFonts w:ascii="宋体" w:hAnsi="宋体" w:cs="宋体" w:eastAsia="宋体" w:hint="default"/>
          <w:sz w:val="24"/>
          <w:szCs w:val="24"/>
        </w:rPr>
      </w:pPr>
      <w:r>
        <w:rPr>
          <w:rFonts w:ascii="宋体" w:hAnsi="宋体" w:cs="宋体" w:eastAsia="宋体" w:hint="default"/>
          <w:b/>
          <w:bCs/>
          <w:sz w:val="24"/>
          <w:szCs w:val="24"/>
        </w:rPr>
        <w:t>七、高级管理人员的考评及激励情况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公司高管多为公司股东，与股东利益的取向是一致的。同时，公司建立了较为</w:t>
      </w:r>
    </w:p>
    <w:p>
      <w:pPr>
        <w:pStyle w:val="BodyText"/>
        <w:spacing w:line="348" w:lineRule="auto" w:before="35"/>
        <w:ind w:right="140"/>
        <w:jc w:val="left"/>
      </w:pPr>
      <w:r>
        <w:rPr>
          <w:spacing w:val="-1"/>
        </w:rPr>
        <w:t>完善的高级管理人员绩效考评体系，对公司高管的业绩完成情况进行考核，以促使</w:t>
      </w:r>
      <w:r>
        <w:rPr>
          <w:spacing w:val="-108"/>
        </w:rPr>
        <w:t> </w:t>
      </w:r>
      <w:r>
        <w:rPr>
          <w:spacing w:val="-108"/>
        </w:rPr>
      </w:r>
      <w:r>
        <w:rPr/>
        <w:t>公司高管人员勤勉尽责</w:t>
      </w:r>
      <w:r>
        <w:rPr>
          <w:rFonts w:ascii="Times New Roman" w:hAnsi="Times New Roman" w:cs="Times New Roman" w:eastAsia="Times New Roman" w:hint="default"/>
        </w:rPr>
        <w:t>,</w:t>
      </w:r>
      <w:r>
        <w:rPr/>
        <w:t>恪守职责</w:t>
      </w:r>
      <w:r>
        <w:rPr>
          <w:rFonts w:ascii="Times New Roman" w:hAnsi="Times New Roman" w:cs="Times New Roman" w:eastAsia="Times New Roman" w:hint="default"/>
        </w:rPr>
        <w:t>,</w:t>
      </w:r>
      <w:r>
        <w:rPr/>
        <w:t>努力完成和超额完成公司制定的各项任务，进而 实现股东价值最大化。</w:t>
      </w:r>
    </w:p>
    <w:p>
      <w:pPr>
        <w:spacing w:after="0" w:line="348" w:lineRule="auto"/>
        <w:jc w:val="left"/>
        <w:sectPr>
          <w:pgSz w:w="11910" w:h="16840"/>
          <w:pgMar w:header="867" w:footer="1267" w:top="1060" w:bottom="146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tabs>
          <w:tab w:pos="4229" w:val="left" w:leader="none"/>
        </w:tabs>
        <w:spacing w:line="240" w:lineRule="auto"/>
        <w:ind w:left="3106" w:right="1334"/>
        <w:jc w:val="left"/>
        <w:rPr>
          <w:b w:val="0"/>
          <w:bCs w:val="0"/>
        </w:rPr>
      </w:pPr>
      <w:r>
        <w:rPr>
          <w:w w:val="95"/>
        </w:rPr>
        <w:t>第八节</w:t>
        <w:tab/>
      </w:r>
      <w:r>
        <w:rPr/>
        <w:t>监事会报告</w:t>
      </w:r>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37"/>
          <w:szCs w:val="37"/>
        </w:rPr>
      </w:pPr>
    </w:p>
    <w:p>
      <w:pPr>
        <w:pStyle w:val="BodyText"/>
        <w:spacing w:line="357" w:lineRule="auto"/>
        <w:ind w:right="305" w:firstLine="479"/>
        <w:jc w:val="both"/>
      </w:pPr>
      <w:r>
        <w:rPr/>
        <w:t>报告期内，公司监事会根据《公司法》、《证券法》、《公司章程》和《监 事会议事规则》的有关规定，认真履行各项职权和义务，充分行使对公司董事及</w:t>
      </w:r>
      <w:r>
        <w:rPr>
          <w:spacing w:val="-67"/>
        </w:rPr>
        <w:t> </w:t>
      </w:r>
      <w:r>
        <w:rPr>
          <w:spacing w:val="-67"/>
        </w:rPr>
      </w:r>
      <w:r>
        <w:rPr/>
        <w:t>高级管理人员的监督职能，维护了股东的合法权益。</w:t>
      </w:r>
    </w:p>
    <w:p>
      <w:pPr>
        <w:spacing w:line="240" w:lineRule="auto" w:before="10"/>
        <w:rPr>
          <w:rFonts w:ascii="宋体" w:hAnsi="宋体" w:cs="宋体" w:eastAsia="宋体" w:hint="default"/>
          <w:sz w:val="25"/>
          <w:szCs w:val="25"/>
        </w:rPr>
      </w:pPr>
    </w:p>
    <w:p>
      <w:pPr>
        <w:pStyle w:val="Heading6"/>
        <w:spacing w:line="240" w:lineRule="auto"/>
        <w:ind w:right="1334"/>
        <w:jc w:val="left"/>
        <w:rPr>
          <w:b w:val="0"/>
          <w:bCs w:val="0"/>
        </w:rPr>
      </w:pPr>
      <w:r>
        <w:rPr/>
        <w:t>一、报告期内监事会会议召开情况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621" w:right="1334"/>
        <w:jc w:val="left"/>
      </w:pPr>
      <w:r>
        <w:rPr/>
        <w:t>报告期内，公司共召开 </w:t>
      </w:r>
      <w:r>
        <w:rPr>
          <w:rFonts w:ascii="Times New Roman" w:hAnsi="Times New Roman" w:cs="Times New Roman" w:eastAsia="Times New Roman" w:hint="default"/>
        </w:rPr>
        <w:t>4 </w:t>
      </w:r>
      <w:r>
        <w:rPr/>
        <w:t>次监事会会议。具体内容如下：</w:t>
      </w:r>
    </w:p>
    <w:p>
      <w:pPr>
        <w:spacing w:line="240" w:lineRule="auto" w:before="9"/>
        <w:rPr>
          <w:rFonts w:ascii="宋体" w:hAnsi="宋体" w:cs="宋体" w:eastAsia="宋体" w:hint="default"/>
          <w:sz w:val="4"/>
          <w:szCs w:val="4"/>
        </w:rPr>
      </w:pPr>
    </w:p>
    <w:tbl>
      <w:tblPr>
        <w:tblW w:w="0" w:type="auto"/>
        <w:jc w:val="left"/>
        <w:tblInd w:w="312" w:type="dxa"/>
        <w:tblLayout w:type="fixed"/>
        <w:tblCellMar>
          <w:top w:w="0" w:type="dxa"/>
          <w:left w:w="0" w:type="dxa"/>
          <w:bottom w:w="0" w:type="dxa"/>
          <w:right w:w="0" w:type="dxa"/>
        </w:tblCellMar>
        <w:tblLook w:val="01E0"/>
      </w:tblPr>
      <w:tblGrid>
        <w:gridCol w:w="1058"/>
        <w:gridCol w:w="2962"/>
        <w:gridCol w:w="4247"/>
      </w:tblGrid>
      <w:tr>
        <w:trPr>
          <w:trHeight w:val="557" w:hRule="exact"/>
        </w:trPr>
        <w:tc>
          <w:tcPr>
            <w:tcW w:w="105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left="2"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2962"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b/>
                <w:bCs/>
                <w:sz w:val="24"/>
                <w:szCs w:val="24"/>
              </w:rPr>
              <w:t>时间</w:t>
            </w:r>
            <w:r>
              <w:rPr>
                <w:rFonts w:ascii="宋体" w:hAnsi="宋体" w:cs="宋体" w:eastAsia="宋体" w:hint="default"/>
                <w:sz w:val="24"/>
                <w:szCs w:val="24"/>
              </w:rPr>
            </w:r>
          </w:p>
        </w:tc>
        <w:tc>
          <w:tcPr>
            <w:tcW w:w="424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b/>
                <w:bCs/>
                <w:sz w:val="24"/>
                <w:szCs w:val="24"/>
              </w:rPr>
              <w:t>会议</w:t>
            </w:r>
            <w:r>
              <w:rPr>
                <w:rFonts w:ascii="宋体" w:hAnsi="宋体" w:cs="宋体" w:eastAsia="宋体" w:hint="default"/>
                <w:sz w:val="24"/>
                <w:szCs w:val="24"/>
              </w:rPr>
            </w:r>
          </w:p>
        </w:tc>
      </w:tr>
      <w:tr>
        <w:trPr>
          <w:trHeight w:val="55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4"/>
                <w:szCs w:val="24"/>
              </w:rPr>
            </w:pPr>
            <w:r>
              <w:rPr>
                <w:rFonts w:ascii="Times New Roman"/>
                <w:sz w:val="24"/>
              </w:rPr>
              <w:t>1</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第一届监事会第五次会议</w:t>
            </w:r>
          </w:p>
        </w:tc>
      </w:tr>
      <w:tr>
        <w:trPr>
          <w:trHeight w:val="557"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4"/>
                <w:szCs w:val="24"/>
              </w:rPr>
            </w:pPr>
            <w:r>
              <w:rPr>
                <w:rFonts w:ascii="Times New Roman"/>
                <w:sz w:val="24"/>
              </w:rPr>
              <w:t>2</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第一届监事会第六次会议</w:t>
            </w:r>
          </w:p>
        </w:tc>
      </w:tr>
      <w:tr>
        <w:trPr>
          <w:trHeight w:val="560"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4"/>
                <w:szCs w:val="24"/>
              </w:rPr>
            </w:pPr>
            <w:r>
              <w:rPr>
                <w:rFonts w:ascii="Times New Roman"/>
                <w:sz w:val="24"/>
              </w:rPr>
              <w:t>3</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第一届监事会第七次会议</w:t>
            </w:r>
          </w:p>
        </w:tc>
      </w:tr>
      <w:tr>
        <w:trPr>
          <w:trHeight w:val="557"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4"/>
                <w:szCs w:val="24"/>
              </w:rPr>
            </w:pPr>
            <w:r>
              <w:rPr>
                <w:rFonts w:ascii="Times New Roman"/>
                <w:sz w:val="24"/>
              </w:rPr>
              <w:t>4</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第一届监事会第八次会议</w:t>
            </w:r>
          </w:p>
        </w:tc>
      </w:tr>
    </w:tbl>
    <w:p>
      <w:pPr>
        <w:pStyle w:val="Heading6"/>
        <w:spacing w:line="240" w:lineRule="auto" w:before="39"/>
        <w:ind w:right="1334"/>
        <w:jc w:val="left"/>
        <w:rPr>
          <w:b w:val="0"/>
          <w:bCs w:val="0"/>
        </w:rPr>
      </w:pPr>
      <w:r>
        <w:rPr>
          <w:rFonts w:ascii="Times New Roman" w:hAnsi="Times New Roman" w:cs="Times New Roman" w:eastAsia="Times New Roman" w:hint="default"/>
        </w:rPr>
        <w:t>1</w:t>
      </w:r>
      <w:r>
        <w:rPr/>
        <w:t>、第一届监事会第五次会议</w:t>
      </w:r>
      <w:r>
        <w:rPr>
          <w:b w:val="0"/>
          <w:bCs w:val="0"/>
        </w:rPr>
      </w:r>
    </w:p>
    <w:p>
      <w:pPr>
        <w:pStyle w:val="BodyText"/>
        <w:spacing w:line="240" w:lineRule="auto" w:before="135"/>
        <w:ind w:left="621" w:right="139"/>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8 </w:t>
      </w:r>
      <w:r>
        <w:rPr/>
        <w:t>日</w:t>
      </w:r>
      <w:r>
        <w:rPr>
          <w:spacing w:val="-120"/>
        </w:rPr>
        <w:t>，</w:t>
      </w:r>
      <w:r>
        <w:rPr/>
        <w:t>在公司会议室以现场方式召开</w:t>
      </w:r>
      <w:r>
        <w:rPr>
          <w:spacing w:val="1"/>
        </w:rPr>
        <w:t>了</w:t>
      </w:r>
      <w:r>
        <w:rPr/>
        <w:t>第一届监事会第五次会议，</w:t>
      </w:r>
    </w:p>
    <w:p>
      <w:pPr>
        <w:pStyle w:val="BodyText"/>
        <w:spacing w:line="338" w:lineRule="auto" w:before="135"/>
        <w:ind w:right="282"/>
        <w:jc w:val="left"/>
      </w:pPr>
      <w:r>
        <w:rPr>
          <w:spacing w:val="-3"/>
        </w:rPr>
        <w:t>审议通过了《关于审议公司董事、高级管理人员</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年度执行公司职务情况的议 案》。</w:t>
      </w:r>
    </w:p>
    <w:p>
      <w:pPr>
        <w:pStyle w:val="Heading6"/>
        <w:spacing w:line="240" w:lineRule="auto" w:before="55"/>
        <w:ind w:right="1334"/>
        <w:jc w:val="left"/>
        <w:rPr>
          <w:b w:val="0"/>
          <w:bCs w:val="0"/>
        </w:rPr>
      </w:pPr>
      <w:r>
        <w:rPr>
          <w:rFonts w:ascii="Times New Roman" w:hAnsi="Times New Roman" w:cs="Times New Roman" w:eastAsia="Times New Roman" w:hint="default"/>
        </w:rPr>
        <w:t>2</w:t>
      </w:r>
      <w:r>
        <w:rPr/>
        <w:t>、第一届监事会第六次会议</w:t>
      </w:r>
      <w:r>
        <w:rPr>
          <w:b w:val="0"/>
          <w:bCs w:val="0"/>
        </w:rPr>
      </w:r>
    </w:p>
    <w:p>
      <w:pPr>
        <w:pStyle w:val="BodyText"/>
        <w:spacing w:line="240" w:lineRule="auto" w:before="136"/>
        <w:ind w:left="621" w:right="139"/>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 </w:t>
      </w:r>
      <w:r>
        <w:rPr/>
        <w:t>日</w:t>
      </w:r>
      <w:r>
        <w:rPr>
          <w:spacing w:val="-120"/>
        </w:rPr>
        <w:t>，</w:t>
      </w:r>
      <w:r>
        <w:rPr/>
        <w:t>在公司会议室以现场方式召开了第一届监事会第六次会议，</w:t>
      </w:r>
    </w:p>
    <w:p>
      <w:pPr>
        <w:pStyle w:val="BodyText"/>
        <w:spacing w:line="338" w:lineRule="auto" w:before="135"/>
        <w:ind w:right="285"/>
        <w:jc w:val="left"/>
      </w:pPr>
      <w:r>
        <w:rPr>
          <w:spacing w:val="-3"/>
        </w:rPr>
        <w:t>审议通过了《关于审议深圳市新国都技术股份有限公司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年度监事会工作报告 的议案》。</w:t>
      </w:r>
    </w:p>
    <w:p>
      <w:pPr>
        <w:pStyle w:val="Heading6"/>
        <w:spacing w:line="240" w:lineRule="auto" w:before="55"/>
        <w:ind w:right="1334"/>
        <w:jc w:val="left"/>
        <w:rPr>
          <w:b w:val="0"/>
          <w:bCs w:val="0"/>
        </w:rPr>
      </w:pPr>
      <w:r>
        <w:rPr>
          <w:rFonts w:ascii="Times New Roman" w:hAnsi="Times New Roman" w:cs="Times New Roman" w:eastAsia="Times New Roman" w:hint="default"/>
        </w:rPr>
        <w:t>3</w:t>
      </w:r>
      <w:r>
        <w:rPr/>
        <w:t>、第一届监事会第七次会议</w:t>
      </w:r>
      <w:r>
        <w:rPr>
          <w:b w:val="0"/>
          <w:bCs w:val="0"/>
        </w:rPr>
      </w:r>
    </w:p>
    <w:p>
      <w:pPr>
        <w:pStyle w:val="BodyText"/>
        <w:spacing w:line="240" w:lineRule="auto" w:before="135"/>
        <w:ind w:left="621" w:right="176"/>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25  </w:t>
      </w:r>
      <w:r>
        <w:rPr/>
        <w:t>日</w:t>
      </w:r>
      <w:r>
        <w:rPr>
          <w:rFonts w:ascii="Times New Roman" w:hAnsi="Times New Roman" w:cs="Times New Roman" w:eastAsia="Times New Roman" w:hint="default"/>
        </w:rPr>
        <w:t>,</w:t>
      </w:r>
      <w:r>
        <w:rPr/>
        <w:t>在公司会议室以现场方式召开了第一届监事会第七次会</w:t>
      </w:r>
    </w:p>
    <w:p>
      <w:pPr>
        <w:pStyle w:val="BodyText"/>
        <w:spacing w:line="240" w:lineRule="auto" w:before="135"/>
        <w:ind w:right="1334"/>
        <w:jc w:val="left"/>
      </w:pPr>
      <w:r>
        <w:rPr/>
        <w:t>议，审议通过了《新国都</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年第三季度报告》。</w:t>
      </w:r>
    </w:p>
    <w:p>
      <w:pPr>
        <w:pStyle w:val="Heading6"/>
        <w:spacing w:line="240" w:lineRule="auto" w:before="135"/>
        <w:ind w:right="1334"/>
        <w:jc w:val="left"/>
        <w:rPr>
          <w:b w:val="0"/>
          <w:bCs w:val="0"/>
        </w:rPr>
      </w:pPr>
      <w:r>
        <w:rPr>
          <w:rFonts w:ascii="Times New Roman" w:hAnsi="Times New Roman" w:cs="Times New Roman" w:eastAsia="Times New Roman" w:hint="default"/>
        </w:rPr>
        <w:t>4</w:t>
      </w:r>
      <w:r>
        <w:rPr/>
        <w:t>、第一届监事会第八次会议</w:t>
      </w:r>
      <w:r>
        <w:rPr>
          <w:b w:val="0"/>
          <w:bCs w:val="0"/>
        </w:rPr>
      </w:r>
    </w:p>
    <w:p>
      <w:pPr>
        <w:pStyle w:val="BodyText"/>
        <w:spacing w:line="338" w:lineRule="auto" w:before="136"/>
        <w:ind w:right="285" w:firstLine="479"/>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15 </w:t>
      </w:r>
      <w:r>
        <w:rPr/>
        <w:t>日，在公司会议室以现场方式召开了第一届监事会第八次会 </w:t>
      </w:r>
      <w:r>
        <w:rPr>
          <w:spacing w:val="-4"/>
        </w:rPr>
        <w:t>议，审议通过了《关于审议</w:t>
      </w:r>
      <w:r>
        <w:rPr>
          <w:rFonts w:ascii="Times New Roman" w:hAnsi="Times New Roman" w:cs="Times New Roman" w:eastAsia="Times New Roman" w:hint="default"/>
          <w:spacing w:val="-4"/>
        </w:rPr>
        <w:t>&lt;</w:t>
      </w:r>
      <w:r>
        <w:rPr>
          <w:spacing w:val="-4"/>
        </w:rPr>
        <w:t>会计师事务所选聘制度</w:t>
      </w:r>
      <w:r>
        <w:rPr>
          <w:rFonts w:ascii="Times New Roman" w:hAnsi="Times New Roman" w:cs="Times New Roman" w:eastAsia="Times New Roman" w:hint="default"/>
          <w:spacing w:val="-4"/>
        </w:rPr>
        <w:t>&gt;</w:t>
      </w:r>
      <w:r>
        <w:rPr>
          <w:spacing w:val="-4"/>
        </w:rPr>
        <w:t>的议案》、《关于审议修订</w:t>
      </w:r>
      <w:r>
        <w:rPr>
          <w:rFonts w:ascii="Times New Roman" w:hAnsi="Times New Roman" w:cs="Times New Roman" w:eastAsia="Times New Roman" w:hint="default"/>
          <w:spacing w:val="-4"/>
        </w:rPr>
        <w:t>&lt;</w:t>
      </w:r>
    </w:p>
    <w:p>
      <w:pPr>
        <w:spacing w:after="0" w:line="338" w:lineRule="auto"/>
        <w:jc w:val="left"/>
        <w:rPr>
          <w:rFonts w:ascii="Times New Roman" w:hAnsi="Times New Roman" w:cs="Times New Roman" w:eastAsia="Times New Roman" w:hint="default"/>
        </w:rPr>
        <w:sectPr>
          <w:pgSz w:w="11910" w:h="16840"/>
          <w:pgMar w:header="867" w:footer="1267" w:top="1060" w:bottom="1460" w:left="1560" w:right="1440"/>
        </w:sectPr>
      </w:pPr>
    </w:p>
    <w:p>
      <w:pPr>
        <w:spacing w:line="554" w:lineRule="auto" w:before="104"/>
        <w:ind w:left="142" w:right="1889" w:firstLine="0"/>
        <w:jc w:val="left"/>
        <w:rPr>
          <w:rFonts w:ascii="宋体" w:hAnsi="宋体" w:cs="宋体" w:eastAsia="宋体" w:hint="default"/>
          <w:sz w:val="24"/>
          <w:szCs w:val="24"/>
        </w:rPr>
      </w:pPr>
      <w:r>
        <w:rPr>
          <w:rFonts w:ascii="宋体" w:hAnsi="宋体" w:cs="宋体" w:eastAsia="宋体" w:hint="default"/>
          <w:sz w:val="24"/>
          <w:szCs w:val="24"/>
        </w:rPr>
        <w:t>深圳市新国都技术股份有限公司章程（上市后适用）</w:t>
      </w:r>
      <w:r>
        <w:rPr>
          <w:rFonts w:ascii="Times New Roman" w:hAnsi="Times New Roman" w:cs="Times New Roman" w:eastAsia="Times New Roman" w:hint="default"/>
          <w:sz w:val="24"/>
          <w:szCs w:val="24"/>
        </w:rPr>
        <w:t>&gt;</w:t>
      </w:r>
      <w:r>
        <w:rPr>
          <w:rFonts w:ascii="宋体" w:hAnsi="宋体" w:cs="宋体" w:eastAsia="宋体" w:hint="default"/>
          <w:sz w:val="24"/>
          <w:szCs w:val="24"/>
        </w:rPr>
        <w:t>的议案》。 </w:t>
      </w:r>
      <w:r>
        <w:rPr>
          <w:rFonts w:ascii="宋体" w:hAnsi="宋体" w:cs="宋体" w:eastAsia="宋体" w:hint="default"/>
          <w:b/>
          <w:bCs/>
          <w:sz w:val="24"/>
          <w:szCs w:val="24"/>
        </w:rPr>
        <w:t>二、监事会履行职权情况</w:t>
      </w:r>
      <w:r>
        <w:rPr>
          <w:rFonts w:ascii="宋体" w:hAnsi="宋体" w:cs="宋体" w:eastAsia="宋体" w:hint="default"/>
          <w:sz w:val="24"/>
          <w:szCs w:val="24"/>
        </w:rPr>
      </w:r>
    </w:p>
    <w:p>
      <w:pPr>
        <w:pStyle w:val="BodyText"/>
        <w:spacing w:line="357" w:lineRule="auto" w:before="134"/>
        <w:ind w:right="305" w:firstLine="479"/>
        <w:jc w:val="both"/>
      </w:pPr>
      <w:r>
        <w:rPr/>
        <w:t>报告期内，公司监事会严格按照有关法律、法规及公司章程的规定，对公司 依法运作情况、公司财务情况、关联交易等事项进行了认真监督检查，对公司有</w:t>
      </w:r>
      <w:r>
        <w:rPr>
          <w:spacing w:val="-67"/>
        </w:rPr>
        <w:t> </w:t>
      </w:r>
      <w:r>
        <w:rPr>
          <w:spacing w:val="-67"/>
        </w:rPr>
      </w:r>
      <w:r>
        <w:rPr/>
        <w:t>关情况报告如下：</w:t>
      </w:r>
    </w:p>
    <w:p>
      <w:pPr>
        <w:pStyle w:val="Heading6"/>
        <w:spacing w:line="240" w:lineRule="auto" w:before="36"/>
        <w:ind w:right="0"/>
        <w:jc w:val="both"/>
        <w:rPr>
          <w:b w:val="0"/>
          <w:bCs w:val="0"/>
        </w:rPr>
      </w:pPr>
      <w:r>
        <w:rPr>
          <w:rFonts w:ascii="Times New Roman" w:hAnsi="Times New Roman" w:cs="Times New Roman" w:eastAsia="Times New Roman" w:hint="default"/>
        </w:rPr>
        <w:t>1</w:t>
      </w:r>
      <w:r>
        <w:rPr/>
        <w:t>、公司依法运作情况</w:t>
      </w:r>
      <w:r>
        <w:rPr>
          <w:b w:val="0"/>
          <w:bCs w:val="0"/>
        </w:rPr>
      </w:r>
    </w:p>
    <w:p>
      <w:pPr>
        <w:pStyle w:val="BodyText"/>
        <w:spacing w:line="350" w:lineRule="auto" w:before="136"/>
        <w:ind w:right="302" w:firstLine="479"/>
        <w:jc w:val="both"/>
      </w:pPr>
      <w:r>
        <w:rPr>
          <w:rFonts w:ascii="Times New Roman" w:hAnsi="Times New Roman" w:cs="Times New Roman" w:eastAsia="Times New Roman" w:hint="default"/>
        </w:rPr>
        <w:t>2010 </w:t>
      </w:r>
      <w:r>
        <w:rPr/>
        <w:t>年，公司监事会依据《公司法》、《公司章程》、《监事会议事规则》 等赋予的职权，积极参加股东大会，列席董事会会议，对公司的决策程序、内部</w:t>
      </w:r>
      <w:r>
        <w:rPr>
          <w:spacing w:val="-67"/>
        </w:rPr>
        <w:t> </w:t>
      </w:r>
      <w:r>
        <w:rPr>
          <w:spacing w:val="-67"/>
        </w:rPr>
      </w:r>
      <w:r>
        <w:rPr/>
        <w:t>控制制度的建立与执行情况以及公司董事、高级管理人员履行职务情况进行了监</w:t>
      </w:r>
      <w:r>
        <w:rPr>
          <w:spacing w:val="-67"/>
        </w:rPr>
        <w:t> </w:t>
      </w:r>
      <w:r>
        <w:rPr>
          <w:spacing w:val="-67"/>
        </w:rPr>
      </w:r>
      <w:r>
        <w:rPr/>
        <w:t>督。</w:t>
      </w:r>
    </w:p>
    <w:p>
      <w:pPr>
        <w:pStyle w:val="BodyText"/>
        <w:spacing w:line="357" w:lineRule="auto" w:before="43"/>
        <w:ind w:right="301" w:firstLine="479"/>
        <w:jc w:val="both"/>
      </w:pPr>
      <w:r>
        <w:rPr/>
        <w:t>监事会认为：公司决策程序遵守了《公司法》、《证券法》等法律、法规以 及《公司章程》等的相关规定，建立了较为完善的内部控制制度。董事会运作规</w:t>
      </w:r>
      <w:r>
        <w:rPr>
          <w:spacing w:val="-65"/>
        </w:rPr>
        <w:t> </w:t>
      </w:r>
      <w:r>
        <w:rPr>
          <w:spacing w:val="-65"/>
        </w:rPr>
      </w:r>
      <w:r>
        <w:rPr/>
        <w:t>范、决策合理、程序合法，并认真执行股东大会的各项决议。公司董事、高级管</w:t>
      </w:r>
      <w:r>
        <w:rPr>
          <w:spacing w:val="-67"/>
        </w:rPr>
        <w:t> </w:t>
      </w:r>
      <w:r>
        <w:rPr>
          <w:spacing w:val="-67"/>
        </w:rPr>
      </w:r>
      <w:r>
        <w:rPr/>
        <w:t>理人员执行公司职务时忠于职守、勤勉尽责，不存在违反法律、法规、《公司章</w:t>
      </w:r>
      <w:r>
        <w:rPr>
          <w:spacing w:val="-67"/>
        </w:rPr>
        <w:t> </w:t>
      </w:r>
      <w:r>
        <w:rPr>
          <w:spacing w:val="-67"/>
        </w:rPr>
      </w:r>
      <w:r>
        <w:rPr/>
        <w:t>程》或损害公司利益的行为。</w:t>
      </w:r>
    </w:p>
    <w:p>
      <w:pPr>
        <w:pStyle w:val="Heading6"/>
        <w:spacing w:line="240" w:lineRule="auto" w:before="36"/>
        <w:ind w:right="0"/>
        <w:jc w:val="both"/>
        <w:rPr>
          <w:b w:val="0"/>
          <w:bCs w:val="0"/>
        </w:rPr>
      </w:pPr>
      <w:r>
        <w:rPr>
          <w:rFonts w:ascii="Times New Roman" w:hAnsi="Times New Roman" w:cs="Times New Roman" w:eastAsia="Times New Roman" w:hint="default"/>
        </w:rPr>
        <w:t>2</w:t>
      </w:r>
      <w:r>
        <w:rPr/>
        <w:t>、检查公司财务的情况</w:t>
      </w:r>
      <w:r>
        <w:rPr>
          <w:b w:val="0"/>
          <w:bCs w:val="0"/>
        </w:rPr>
      </w:r>
    </w:p>
    <w:p>
      <w:pPr>
        <w:pStyle w:val="BodyText"/>
        <w:spacing w:line="348" w:lineRule="auto" w:before="135"/>
        <w:ind w:right="165" w:firstLine="479"/>
        <w:jc w:val="left"/>
      </w:pPr>
      <w:r>
        <w:rPr/>
        <w:t>监事会对</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7"/>
        </w:rPr>
        <w:t>年度公司的财务状况、财务管理、财务成果等进行了认真细致、</w:t>
      </w:r>
      <w:r>
        <w:rPr/>
        <w:t> 有效地监督、检查和审核，认为：公司财务制度较健全、财务运作规范、财务状</w:t>
      </w:r>
      <w:r>
        <w:rPr>
          <w:spacing w:val="-67"/>
        </w:rPr>
        <w:t> </w:t>
      </w:r>
      <w:r>
        <w:rPr>
          <w:spacing w:val="-67"/>
        </w:rPr>
      </w:r>
      <w:r>
        <w:rPr/>
        <w:t>况良好。立信会计师事务所有限公司出具的公司</w:t>
      </w:r>
      <w:r>
        <w:rPr>
          <w:spacing w:val="-60"/>
        </w:rPr>
        <w:t> </w:t>
      </w:r>
      <w:r>
        <w:rPr>
          <w:rFonts w:ascii="Times New Roman" w:hAnsi="Times New Roman" w:cs="Times New Roman" w:eastAsia="Times New Roman" w:hint="default"/>
        </w:rPr>
        <w:t>2010 </w:t>
      </w:r>
      <w:r>
        <w:rPr/>
        <w:t>年度审计报告真实、客观、</w:t>
      </w:r>
    </w:p>
    <w:p>
      <w:pPr>
        <w:pStyle w:val="BodyText"/>
        <w:spacing w:line="240" w:lineRule="auto" w:before="16"/>
        <w:ind w:right="0"/>
        <w:jc w:val="both"/>
      </w:pPr>
      <w:r>
        <w:rPr/>
        <w:t>准确地反映了公司</w:t>
      </w:r>
      <w:r>
        <w:rPr>
          <w:spacing w:val="-61"/>
        </w:rPr>
        <w:t> </w:t>
      </w:r>
      <w:r>
        <w:rPr>
          <w:rFonts w:ascii="Times New Roman" w:hAnsi="Times New Roman" w:cs="Times New Roman" w:eastAsia="Times New Roman" w:hint="default"/>
        </w:rPr>
        <w:t>2010 </w:t>
      </w:r>
      <w:r>
        <w:rPr/>
        <w:t>年度的财务状况和经营成果。</w:t>
      </w:r>
    </w:p>
    <w:p>
      <w:pPr>
        <w:spacing w:line="338" w:lineRule="auto" w:before="136"/>
        <w:ind w:left="621" w:right="143"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、公司募集资金投入项目情况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报告期内，公司募集资金</w:t>
      </w:r>
      <w:r>
        <w:rPr>
          <w:rFonts w:ascii="Times New Roman" w:hAnsi="Times New Roman" w:cs="Times New Roman" w:eastAsia="Times New Roman" w:hint="default"/>
          <w:spacing w:val="-1"/>
          <w:sz w:val="24"/>
          <w:szCs w:val="24"/>
        </w:rPr>
        <w:t>2010</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10</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14</w:t>
      </w:r>
      <w:r>
        <w:rPr>
          <w:rFonts w:ascii="宋体" w:hAnsi="宋体" w:cs="宋体" w:eastAsia="宋体" w:hint="default"/>
          <w:spacing w:val="-1"/>
          <w:sz w:val="24"/>
          <w:szCs w:val="24"/>
        </w:rPr>
        <w:t>日划入公司募集资金专用账户。为了提</w:t>
      </w:r>
    </w:p>
    <w:p>
      <w:pPr>
        <w:pStyle w:val="BodyText"/>
        <w:spacing w:line="357" w:lineRule="auto" w:before="27"/>
        <w:ind w:right="140"/>
        <w:jc w:val="left"/>
      </w:pPr>
      <w:r>
        <w:rPr>
          <w:spacing w:val="-1"/>
        </w:rPr>
        <w:t>高资金使用效率，以及保证募投项目的顺利进行，公司在募集资金到位前已用自筹</w:t>
      </w:r>
      <w:r>
        <w:rPr>
          <w:spacing w:val="-108"/>
        </w:rPr>
        <w:t> </w:t>
      </w:r>
      <w:r>
        <w:rPr>
          <w:spacing w:val="-108"/>
        </w:rPr>
      </w:r>
      <w:r>
        <w:rPr>
          <w:spacing w:val="-1"/>
        </w:rPr>
        <w:t>资金预先投入募投项目。</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日，公司第一届监事会第九次会议审议通过了</w:t>
      </w:r>
    </w:p>
    <w:p>
      <w:pPr>
        <w:pStyle w:val="BodyText"/>
        <w:spacing w:line="357" w:lineRule="auto" w:before="5"/>
        <w:ind w:right="144"/>
        <w:jc w:val="both"/>
      </w:pPr>
      <w:r>
        <w:rPr>
          <w:spacing w:val="-1"/>
        </w:rPr>
        <w:t>《关于审议使用募集资金置换预先投入募集资金投资项目的自筹资金的议案》。监</w:t>
      </w:r>
      <w:r>
        <w:rPr>
          <w:spacing w:val="-108"/>
        </w:rPr>
        <w:t> </w:t>
      </w:r>
      <w:r>
        <w:rPr>
          <w:spacing w:val="-108"/>
        </w:rPr>
      </w:r>
      <w:r>
        <w:rPr>
          <w:spacing w:val="-1"/>
        </w:rPr>
        <w:t>事会认为：公司本次将募集资金置换预先已投入募集资金项目的自筹资金，内容及</w:t>
      </w:r>
      <w:r>
        <w:rPr>
          <w:spacing w:val="-108"/>
        </w:rPr>
        <w:t> </w:t>
      </w:r>
      <w:r>
        <w:rPr>
          <w:spacing w:val="-108"/>
        </w:rPr>
      </w:r>
      <w:r>
        <w:rPr>
          <w:spacing w:val="-1"/>
        </w:rPr>
        <w:t>程序符合《深圳证券交易所创业板上市公司规范运作指引》、公司《募集资金使用</w:t>
      </w:r>
      <w:r>
        <w:rPr>
          <w:spacing w:val="-107"/>
        </w:rPr>
        <w:t> </w:t>
      </w:r>
      <w:r>
        <w:rPr>
          <w:spacing w:val="-107"/>
        </w:rPr>
      </w:r>
      <w:r>
        <w:rPr>
          <w:spacing w:val="-1"/>
        </w:rPr>
        <w:t>管理办法》等相关法规和公司制度的规定，有助于提高募集资金使用效率，符合公</w:t>
      </w:r>
      <w:r>
        <w:rPr>
          <w:spacing w:val="-108"/>
        </w:rPr>
        <w:t> </w:t>
      </w:r>
      <w:r>
        <w:rPr>
          <w:spacing w:val="-108"/>
        </w:rPr>
      </w:r>
      <w:r>
        <w:rPr/>
        <w:t>司发展利益的需要，符合维护全体股东利益的需要。</w:t>
      </w:r>
    </w:p>
    <w:p>
      <w:pPr>
        <w:spacing w:after="0" w:line="357" w:lineRule="auto"/>
        <w:jc w:val="both"/>
        <w:sectPr>
          <w:footerReference w:type="default" r:id="rId35"/>
          <w:pgSz w:w="11910" w:h="16840"/>
          <w:pgMar w:footer="1267" w:header="867" w:top="1060" w:bottom="1460" w:left="1560" w:right="1440"/>
          <w:pgNumType w:start="85"/>
        </w:sectPr>
      </w:pPr>
    </w:p>
    <w:p>
      <w:pPr>
        <w:spacing w:line="338" w:lineRule="auto" w:before="104"/>
        <w:ind w:left="621" w:right="21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、公司收购、出售资产情况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报告期内，公司无收购、出售资产情况。未发生内幕交易以及其他损害公司</w:t>
      </w:r>
    </w:p>
    <w:p>
      <w:pPr>
        <w:pStyle w:val="BodyText"/>
        <w:spacing w:line="240" w:lineRule="auto" w:before="55"/>
        <w:ind w:right="219"/>
        <w:jc w:val="left"/>
      </w:pPr>
      <w:r>
        <w:rPr/>
        <w:t>股东利益或造成公司资产流失的情况。</w:t>
      </w:r>
    </w:p>
    <w:p>
      <w:pPr>
        <w:pStyle w:val="Heading6"/>
        <w:spacing w:line="240" w:lineRule="auto" w:before="154"/>
        <w:ind w:right="219"/>
        <w:jc w:val="left"/>
        <w:rPr>
          <w:b w:val="0"/>
          <w:bCs w:val="0"/>
        </w:rPr>
      </w:pPr>
      <w:r>
        <w:rPr>
          <w:rFonts w:ascii="Times New Roman" w:hAnsi="Times New Roman" w:cs="Times New Roman" w:eastAsia="Times New Roman" w:hint="default"/>
        </w:rPr>
        <w:t>5</w:t>
      </w:r>
      <w:r>
        <w:rPr/>
        <w:t>、公司关联交易情况</w:t>
      </w:r>
      <w:r>
        <w:rPr>
          <w:b w:val="0"/>
          <w:bCs w:val="0"/>
        </w:rPr>
      </w:r>
    </w:p>
    <w:p>
      <w:pPr>
        <w:pStyle w:val="BodyText"/>
        <w:spacing w:line="338" w:lineRule="auto" w:before="135"/>
        <w:ind w:right="224" w:firstLine="479"/>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日，公司与泰德信签订</w:t>
      </w:r>
      <w:r>
        <w:rPr>
          <w:rFonts w:ascii="Times New Roman" w:hAnsi="Times New Roman" w:cs="Times New Roman" w:eastAsia="Times New Roman" w:hint="default"/>
          <w:spacing w:val="-1"/>
        </w:rPr>
        <w:t>2009</w:t>
      </w:r>
      <w:r>
        <w:rPr>
          <w:spacing w:val="-1"/>
        </w:rPr>
        <w:t>年房屋租赁合同，泰德信将其于深圳</w:t>
      </w:r>
      <w:r>
        <w:rPr/>
        <w:t> </w:t>
      </w:r>
      <w:r>
        <w:rPr>
          <w:spacing w:val="-1"/>
        </w:rPr>
        <w:t>市福田区泰然大道东路泰然劲松大厦</w:t>
      </w:r>
      <w:r>
        <w:rPr>
          <w:rFonts w:ascii="Times New Roman" w:hAnsi="Times New Roman" w:cs="Times New Roman" w:eastAsia="Times New Roman" w:hint="default"/>
          <w:spacing w:val="-1"/>
        </w:rPr>
        <w:t>17A</w:t>
      </w:r>
      <w:r>
        <w:rPr>
          <w:spacing w:val="-1"/>
        </w:rPr>
        <w:t>、</w:t>
      </w:r>
      <w:r>
        <w:rPr>
          <w:rFonts w:ascii="Times New Roman" w:hAnsi="Times New Roman" w:cs="Times New Roman" w:eastAsia="Times New Roman" w:hint="default"/>
          <w:spacing w:val="-1"/>
        </w:rPr>
        <w:t>17B</w:t>
      </w:r>
      <w:r>
        <w:rPr>
          <w:spacing w:val="-1"/>
        </w:rPr>
        <w:t>、</w:t>
      </w:r>
      <w:r>
        <w:rPr>
          <w:rFonts w:ascii="Times New Roman" w:hAnsi="Times New Roman" w:cs="Times New Roman" w:eastAsia="Times New Roman" w:hint="default"/>
          <w:spacing w:val="-1"/>
        </w:rPr>
        <w:t>17C</w:t>
      </w:r>
      <w:r>
        <w:rPr>
          <w:spacing w:val="-1"/>
        </w:rPr>
        <w:t>、</w:t>
      </w:r>
      <w:r>
        <w:rPr>
          <w:rFonts w:ascii="Times New Roman" w:hAnsi="Times New Roman" w:cs="Times New Roman" w:eastAsia="Times New Roman" w:hint="default"/>
          <w:spacing w:val="-1"/>
        </w:rPr>
        <w:t>17D</w:t>
      </w:r>
      <w:r>
        <w:rPr>
          <w:spacing w:val="-1"/>
        </w:rPr>
        <w:t>建筑面积</w:t>
      </w:r>
      <w:r>
        <w:rPr>
          <w:rFonts w:ascii="Times New Roman" w:hAnsi="Times New Roman" w:cs="Times New Roman" w:eastAsia="Times New Roman" w:hint="default"/>
          <w:spacing w:val="-1"/>
        </w:rPr>
        <w:t>886.6</w:t>
      </w:r>
      <w:r>
        <w:rPr>
          <w:spacing w:val="-1"/>
        </w:rPr>
        <w:t>平方米的</w:t>
      </w:r>
      <w:r>
        <w:rPr>
          <w:spacing w:val="-110"/>
        </w:rPr>
        <w:t> </w:t>
      </w:r>
      <w:r>
        <w:rPr>
          <w:spacing w:val="-1"/>
        </w:rPr>
        <w:t>房屋租赁给本公司使用，租赁期自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日止，月租金为</w:t>
      </w:r>
      <w:r>
        <w:rPr>
          <w:spacing w:val="-101"/>
        </w:rPr>
        <w:t> </w:t>
      </w:r>
      <w:r>
        <w:rPr>
          <w:spacing w:val="-101"/>
        </w:rPr>
      </w:r>
      <w:r>
        <w:rPr>
          <w:rFonts w:ascii="Times New Roman" w:hAnsi="Times New Roman" w:cs="Times New Roman" w:eastAsia="Times New Roman" w:hint="default"/>
        </w:rPr>
        <w:t>70,928.00</w:t>
      </w:r>
      <w:r>
        <w:rPr/>
        <w:t>元，租金率</w:t>
      </w:r>
      <w:r>
        <w:rPr>
          <w:rFonts w:ascii="Times New Roman" w:hAnsi="Times New Roman" w:cs="Times New Roman" w:eastAsia="Times New Roman" w:hint="default"/>
        </w:rPr>
        <w:t>80</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w:t>
      </w:r>
    </w:p>
    <w:p>
      <w:pPr>
        <w:pStyle w:val="BodyText"/>
        <w:spacing w:line="338" w:lineRule="auto" w:before="27"/>
        <w:ind w:right="219" w:firstLine="479"/>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日，公司与泰德信签订</w:t>
      </w:r>
      <w:r>
        <w:rPr>
          <w:rFonts w:ascii="Times New Roman" w:hAnsi="Times New Roman" w:cs="Times New Roman" w:eastAsia="Times New Roman" w:hint="default"/>
        </w:rPr>
        <w:t>2009</w:t>
      </w:r>
      <w:r>
        <w:rPr/>
        <w:t>年房屋租赁合同的补充合同，由于租 </w:t>
      </w:r>
      <w:r>
        <w:rPr>
          <w:spacing w:val="-1"/>
        </w:rPr>
        <w:t>金市场价格下降，补充合同规定自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日起月租金由原来的</w:t>
      </w:r>
      <w:r>
        <w:rPr>
          <w:rFonts w:ascii="Times New Roman" w:hAnsi="Times New Roman" w:cs="Times New Roman" w:eastAsia="Times New Roman" w:hint="default"/>
          <w:spacing w:val="-1"/>
        </w:rPr>
        <w:t>70,928.00</w:t>
      </w:r>
      <w:r>
        <w:rPr>
          <w:spacing w:val="-1"/>
        </w:rPr>
        <w:t>元变更</w:t>
      </w:r>
      <w:r>
        <w:rPr>
          <w:spacing w:val="-100"/>
        </w:rPr>
        <w:t> </w:t>
      </w:r>
      <w:r>
        <w:rPr/>
        <w:t>为</w:t>
      </w:r>
      <w:r>
        <w:rPr>
          <w:rFonts w:ascii="Times New Roman" w:hAnsi="Times New Roman" w:cs="Times New Roman" w:eastAsia="Times New Roman" w:hint="default"/>
        </w:rPr>
        <w:t>63,835.00</w:t>
      </w:r>
      <w:r>
        <w:rPr/>
        <w:t>元，租金率为</w:t>
      </w:r>
      <w:r>
        <w:rPr>
          <w:rFonts w:ascii="Times New Roman" w:hAnsi="Times New Roman" w:cs="Times New Roman" w:eastAsia="Times New Roman" w:hint="default"/>
        </w:rPr>
        <w:t>72</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平方米，其余条款仍按原合同执行。</w:t>
      </w:r>
    </w:p>
    <w:p>
      <w:pPr>
        <w:pStyle w:val="BodyText"/>
        <w:spacing w:line="357" w:lineRule="auto" w:before="27"/>
        <w:ind w:left="621" w:right="100"/>
        <w:jc w:val="left"/>
      </w:pPr>
      <w:r>
        <w:rPr/>
        <w:t>除上述经常性关联交易外，报告期内，公司无重大关联交易情况发生。 </w:t>
      </w:r>
      <w:r>
        <w:rPr>
          <w:spacing w:val="-5"/>
        </w:rPr>
        <w:t>本届监事会将继续严格按照《公司法》、公司章程和国家有关法规政策的规定，</w:t>
      </w:r>
    </w:p>
    <w:p>
      <w:pPr>
        <w:pStyle w:val="BodyText"/>
        <w:spacing w:line="240" w:lineRule="auto" w:before="36"/>
        <w:ind w:right="219"/>
        <w:jc w:val="left"/>
      </w:pPr>
      <w:r>
        <w:rPr/>
        <w:t>忠实履行自己的职责，进一步促进公司的规范运作。</w:t>
      </w:r>
    </w:p>
    <w:p>
      <w:pPr>
        <w:spacing w:after="0" w:line="240" w:lineRule="auto"/>
        <w:jc w:val="left"/>
        <w:sectPr>
          <w:pgSz w:w="11910" w:h="16840"/>
          <w:pgMar w:header="867" w:footer="1267" w:top="1060" w:bottom="1460" w:left="1560" w:right="1360"/>
        </w:sectPr>
      </w:pPr>
    </w:p>
    <w:p>
      <w:pPr>
        <w:spacing w:line="240" w:lineRule="auto" w:before="8"/>
        <w:rPr>
          <w:rFonts w:ascii="宋体" w:hAnsi="宋体" w:cs="宋体" w:eastAsia="宋体" w:hint="default"/>
          <w:sz w:val="13"/>
          <w:szCs w:val="13"/>
        </w:rPr>
      </w:pPr>
    </w:p>
    <w:p>
      <w:pPr>
        <w:pStyle w:val="Heading3"/>
        <w:tabs>
          <w:tab w:pos="1123" w:val="left" w:leader="none"/>
        </w:tabs>
        <w:spacing w:line="240" w:lineRule="auto"/>
        <w:ind w:right="428"/>
        <w:jc w:val="center"/>
        <w:rPr>
          <w:b w:val="0"/>
          <w:bCs w:val="0"/>
        </w:rPr>
      </w:pPr>
      <w:r>
        <w:rPr>
          <w:w w:val="95"/>
        </w:rPr>
        <w:t>第九节</w:t>
        <w:tab/>
      </w:r>
      <w:r>
        <w:rPr/>
        <w:t>财务报告</w:t>
      </w:r>
      <w:r>
        <w:rPr>
          <w:b w:val="0"/>
          <w:bCs w:val="0"/>
        </w:rPr>
      </w:r>
    </w:p>
    <w:p>
      <w:pPr>
        <w:spacing w:line="240" w:lineRule="auto" w:before="4"/>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67" w:footer="1267" w:top="1060" w:bottom="1460" w:left="1560" w:right="1440"/>
        </w:sectPr>
      </w:pPr>
    </w:p>
    <w:p>
      <w:pPr>
        <w:spacing w:line="414" w:lineRule="exact" w:before="0"/>
        <w:ind w:left="3204" w:right="2" w:firstLine="0"/>
        <w:jc w:val="center"/>
        <w:rPr>
          <w:rFonts w:ascii="宋体" w:hAnsi="宋体" w:cs="宋体" w:eastAsia="宋体" w:hint="default"/>
          <w:sz w:val="33"/>
          <w:szCs w:val="33"/>
        </w:rPr>
      </w:pPr>
      <w:r>
        <w:rPr>
          <w:rFonts w:ascii="宋体" w:hAnsi="宋体" w:cs="宋体" w:eastAsia="宋体" w:hint="default"/>
          <w:sz w:val="33"/>
          <w:szCs w:val="33"/>
        </w:rPr>
        <w:t>合并资产负债表</w:t>
      </w:r>
    </w:p>
    <w:p>
      <w:pPr>
        <w:spacing w:before="73"/>
        <w:ind w:left="3202" w:right="2" w:firstLine="0"/>
        <w:jc w:val="center"/>
        <w:rPr>
          <w:rFonts w:ascii="宋体" w:hAnsi="宋体" w:cs="宋体" w:eastAsia="宋体" w:hint="default"/>
          <w:sz w:val="18"/>
          <w:szCs w:val="18"/>
        </w:rPr>
      </w:pPr>
      <w:r>
        <w:rPr>
          <w:rFonts w:ascii="宋体" w:hAnsi="宋体" w:cs="宋体" w:eastAsia="宋体" w:hint="default"/>
          <w:w w:val="110"/>
          <w:sz w:val="18"/>
          <w:szCs w:val="18"/>
        </w:rPr>
        <w:t>2010年12月31日</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3"/>
        <w:ind w:left="1561" w:right="0" w:firstLine="0"/>
        <w:jc w:val="left"/>
        <w:rPr>
          <w:rFonts w:ascii="宋体" w:hAnsi="宋体" w:cs="宋体" w:eastAsia="宋体" w:hint="default"/>
          <w:sz w:val="18"/>
          <w:szCs w:val="18"/>
        </w:rPr>
      </w:pPr>
      <w:r>
        <w:rPr>
          <w:rFonts w:ascii="宋体" w:hAnsi="宋体" w:cs="宋体" w:eastAsia="宋体" w:hint="default"/>
          <w:w w:val="105"/>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460" w:left="1560" w:right="1440"/>
          <w:cols w:num="2" w:equalWidth="0">
            <w:col w:w="5557" w:space="40"/>
            <w:col w:w="3313"/>
          </w:cols>
        </w:sectPr>
      </w:pPr>
    </w:p>
    <w:p>
      <w:pPr>
        <w:spacing w:line="240" w:lineRule="auto" w:before="6"/>
        <w:rPr>
          <w:rFonts w:ascii="宋体" w:hAnsi="宋体" w:cs="宋体" w:eastAsia="宋体" w:hint="default"/>
          <w:sz w:val="29"/>
          <w:szCs w:val="29"/>
        </w:rPr>
      </w:pPr>
    </w:p>
    <w:p>
      <w:pPr>
        <w:tabs>
          <w:tab w:pos="3639" w:val="left" w:leader="none"/>
          <w:tab w:pos="5323" w:val="left" w:leader="none"/>
          <w:tab w:pos="7343" w:val="left" w:leader="none"/>
        </w:tabs>
        <w:spacing w:before="37"/>
        <w:ind w:left="1408" w:right="176" w:firstLine="0"/>
        <w:jc w:val="left"/>
        <w:rPr>
          <w:rFonts w:ascii="宋体" w:hAnsi="宋体" w:cs="宋体" w:eastAsia="宋体" w:hint="default"/>
          <w:sz w:val="18"/>
          <w:szCs w:val="18"/>
        </w:rPr>
      </w:pPr>
      <w:r>
        <w:rPr>
          <w:rFonts w:ascii="宋体" w:hAnsi="宋体" w:cs="宋体" w:eastAsia="宋体" w:hint="default"/>
          <w:w w:val="105"/>
          <w:sz w:val="18"/>
          <w:szCs w:val="18"/>
        </w:rPr>
        <w:t>资</w:t>
      </w:r>
      <w:r>
        <w:rPr>
          <w:rFonts w:ascii="宋体" w:hAnsi="宋体" w:cs="宋体" w:eastAsia="宋体" w:hint="default"/>
          <w:spacing w:val="-51"/>
          <w:w w:val="105"/>
          <w:sz w:val="18"/>
          <w:szCs w:val="18"/>
        </w:rPr>
        <w:t> </w:t>
      </w:r>
      <w:r>
        <w:rPr>
          <w:rFonts w:ascii="宋体" w:hAnsi="宋体" w:cs="宋体" w:eastAsia="宋体" w:hint="default"/>
          <w:w w:val="105"/>
          <w:sz w:val="18"/>
          <w:szCs w:val="18"/>
        </w:rPr>
        <w:t>产</w:t>
        <w:tab/>
      </w:r>
      <w:r>
        <w:rPr>
          <w:rFonts w:ascii="宋体" w:hAnsi="宋体" w:cs="宋体" w:eastAsia="宋体" w:hint="default"/>
          <w:sz w:val="18"/>
          <w:szCs w:val="18"/>
        </w:rPr>
        <w:t>附注</w:t>
        <w:tab/>
        <w:t>期末数</w:t>
        <w:tab/>
      </w:r>
      <w:r>
        <w:rPr>
          <w:rFonts w:ascii="宋体" w:hAnsi="宋体" w:cs="宋体" w:eastAsia="宋体" w:hint="default"/>
          <w:w w:val="105"/>
          <w:sz w:val="18"/>
          <w:szCs w:val="18"/>
        </w:rPr>
        <w:t>期初数</w:t>
      </w:r>
      <w:r>
        <w:rPr>
          <w:rFonts w:ascii="宋体" w:hAnsi="宋体" w:cs="宋体" w:eastAsia="宋体" w:hint="default"/>
          <w:sz w:val="18"/>
          <w:szCs w:val="18"/>
        </w:rPr>
      </w:r>
    </w:p>
    <w:p>
      <w:pPr>
        <w:spacing w:line="240" w:lineRule="auto" w:before="2"/>
        <w:rPr>
          <w:rFonts w:ascii="宋体" w:hAnsi="宋体" w:cs="宋体" w:eastAsia="宋体" w:hint="default"/>
          <w:sz w:val="3"/>
          <w:szCs w:val="3"/>
        </w:rPr>
      </w:pPr>
    </w:p>
    <w:p>
      <w:pPr>
        <w:spacing w:line="20" w:lineRule="exact"/>
        <w:ind w:left="246" w:right="0" w:firstLine="0"/>
        <w:rPr>
          <w:rFonts w:ascii="宋体" w:hAnsi="宋体" w:cs="宋体" w:eastAsia="宋体" w:hint="default"/>
          <w:sz w:val="2"/>
          <w:szCs w:val="2"/>
        </w:rPr>
      </w:pPr>
      <w:r>
        <w:rPr>
          <w:rFonts w:ascii="宋体"/>
          <w:sz w:val="2"/>
        </w:rPr>
        <w:pict>
          <v:group style="width:139.4pt;height:.85pt;mso-position-horizontal-relative:char;mso-position-vertical-relative:line" coordorigin="0,0" coordsize="2788,17">
            <v:group style="position:absolute;left:9;top:1;width:2770;height:2" coordorigin="9,1" coordsize="2770,2">
              <v:shape style="position:absolute;left:9;top:1;width:2770;height:2" coordorigin="9,1" coordsize="2770,0" path="m9,1l2778,1e" filled="false" stroked="true" strokeweight=".117357pt" strokecolor="#000000">
                <v:path arrowok="t"/>
              </v:shape>
            </v:group>
            <v:group style="position:absolute;left:8;top:8;width:2772;height:2" coordorigin="8,8" coordsize="2772,2">
              <v:shape style="position:absolute;left:8;top:8;width:2772;height:2" coordorigin="8,8" coordsize="2772,0" path="m8,8l2779,8e" filled="false" stroked="true" strokeweight=".804735pt" strokecolor="#000000">
                <v:path arrowok="t"/>
              </v:shape>
            </v:group>
          </v:group>
        </w:pict>
      </w:r>
      <w:r>
        <w:rPr>
          <w:rFonts w:ascii="宋体"/>
          <w:sz w:val="2"/>
        </w:rPr>
      </w:r>
      <w:r>
        <w:rPr>
          <w:rFonts w:ascii="Times New Roman"/>
          <w:spacing w:val="165"/>
          <w:sz w:val="2"/>
        </w:rPr>
        <w:t> </w:t>
      </w:r>
      <w:r>
        <w:rPr>
          <w:rFonts w:ascii="宋体"/>
          <w:spacing w:val="165"/>
          <w:sz w:val="2"/>
        </w:rPr>
        <w:pict>
          <v:group style="width:61.35pt;height:.85pt;mso-position-horizontal-relative:char;mso-position-vertical-relative:line" coordorigin="0,0" coordsize="1227,17">
            <v:group style="position:absolute;left:9;top:1;width:1209;height:2" coordorigin="9,1" coordsize="1209,2">
              <v:shape style="position:absolute;left:9;top:1;width:1209;height:2" coordorigin="9,1" coordsize="1209,0" path="m9,1l1217,1e" filled="false" stroked="true" strokeweight=".117357pt" strokecolor="#000000">
                <v:path arrowok="t"/>
              </v:shape>
            </v:group>
            <v:group style="position:absolute;left:8;top:8;width:1211;height:2" coordorigin="8,8" coordsize="1211,2">
              <v:shape style="position:absolute;left:8;top:8;width:1211;height:2" coordorigin="8,8" coordsize="1211,0" path="m8,8l1218,8e" filled="false" stroked="true" strokeweight=".804735pt" strokecolor="#000000">
                <v:path arrowok="t"/>
              </v:shape>
            </v:group>
          </v:group>
        </w:pict>
      </w:r>
      <w:r>
        <w:rPr>
          <w:rFonts w:ascii="宋体"/>
          <w:spacing w:val="165"/>
          <w:sz w:val="2"/>
        </w:rPr>
      </w:r>
      <w:r>
        <w:rPr>
          <w:rFonts w:ascii="Times New Roman"/>
          <w:spacing w:val="153"/>
          <w:sz w:val="2"/>
        </w:rPr>
        <w:t> </w:t>
      </w:r>
      <w:r>
        <w:rPr>
          <w:rFonts w:ascii="宋体"/>
          <w:spacing w:val="153"/>
          <w:sz w:val="2"/>
        </w:rPr>
        <w:pict>
          <v:group style="width:100.4pt;height:.85pt;mso-position-horizontal-relative:char;mso-position-vertical-relative:line" coordorigin="0,0" coordsize="2008,17">
            <v:group style="position:absolute;left:9;top:1;width:1990;height:2" coordorigin="9,1" coordsize="1990,2">
              <v:shape style="position:absolute;left:9;top:1;width:1990;height:2" coordorigin="9,1" coordsize="1990,0" path="m9,1l1999,1e" filled="false" stroked="true" strokeweight=".117357pt" strokecolor="#000000">
                <v:path arrowok="t"/>
              </v:shape>
            </v:group>
            <v:group style="position:absolute;left:8;top:8;width:1992;height:2" coordorigin="8,8" coordsize="1992,2">
              <v:shape style="position:absolute;left:8;top:8;width:1992;height:2" coordorigin="8,8" coordsize="1992,0" path="m8,8l2000,8e" filled="false" stroked="true" strokeweight=".804735pt" strokecolor="#000000">
                <v:path arrowok="t"/>
              </v:shape>
            </v:group>
          </v:group>
        </w:pict>
      </w:r>
      <w:r>
        <w:rPr>
          <w:rFonts w:ascii="宋体"/>
          <w:spacing w:val="153"/>
          <w:sz w:val="2"/>
        </w:rPr>
      </w:r>
      <w:r>
        <w:rPr>
          <w:rFonts w:ascii="Times New Roman"/>
          <w:spacing w:val="127"/>
          <w:sz w:val="2"/>
        </w:rPr>
        <w:t> </w:t>
      </w:r>
      <w:r>
        <w:rPr>
          <w:rFonts w:ascii="宋体"/>
          <w:spacing w:val="127"/>
          <w:sz w:val="2"/>
        </w:rPr>
        <w:pict>
          <v:group style="width:88.45pt;height:.85pt;mso-position-horizontal-relative:char;mso-position-vertical-relative:line" coordorigin="0,0" coordsize="1769,17">
            <v:group style="position:absolute;left:9;top:1;width:1750;height:2" coordorigin="9,1" coordsize="1750,2">
              <v:shape style="position:absolute;left:9;top:1;width:1750;height:2" coordorigin="9,1" coordsize="1750,0" path="m9,1l1759,1e" filled="false" stroked="true" strokeweight=".117357pt" strokecolor="#000000">
                <v:path arrowok="t"/>
              </v:shape>
            </v:group>
            <v:group style="position:absolute;left:8;top:8;width:1752;height:2" coordorigin="8,8" coordsize="1752,2">
              <v:shape style="position:absolute;left:8;top:8;width:1752;height:2" coordorigin="8,8" coordsize="1752,0" path="m8,8l1760,8e" filled="false" stroked="true" strokeweight=".804735pt" strokecolor="#000000">
                <v:path arrowok="t"/>
              </v:shape>
            </v:group>
          </v:group>
        </w:pict>
      </w:r>
      <w:r>
        <w:rPr>
          <w:rFonts w:ascii="宋体"/>
          <w:spacing w:val="127"/>
          <w:sz w:val="2"/>
        </w:rPr>
      </w:r>
    </w:p>
    <w:p>
      <w:pPr>
        <w:spacing w:line="240" w:lineRule="auto" w:before="11"/>
        <w:rPr>
          <w:rFonts w:ascii="宋体" w:hAnsi="宋体" w:cs="宋体" w:eastAsia="宋体" w:hint="default"/>
          <w:sz w:val="17"/>
          <w:szCs w:val="17"/>
        </w:rPr>
      </w:pPr>
    </w:p>
    <w:tbl>
      <w:tblPr>
        <w:tblW w:w="0" w:type="auto"/>
        <w:jc w:val="left"/>
        <w:tblInd w:w="253" w:type="dxa"/>
        <w:tblLayout w:type="fixed"/>
        <w:tblCellMar>
          <w:top w:w="0" w:type="dxa"/>
          <w:left w:w="0" w:type="dxa"/>
          <w:bottom w:w="0" w:type="dxa"/>
          <w:right w:w="0" w:type="dxa"/>
        </w:tblCellMar>
        <w:tblLook w:val="01E0"/>
      </w:tblPr>
      <w:tblGrid>
        <w:gridCol w:w="2750"/>
        <w:gridCol w:w="1594"/>
        <w:gridCol w:w="1992"/>
        <w:gridCol w:w="149"/>
        <w:gridCol w:w="1752"/>
      </w:tblGrid>
      <w:tr>
        <w:trPr>
          <w:trHeight w:val="33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流动资产：</w:t>
            </w:r>
            <w:r>
              <w:rPr>
                <w:rFonts w:ascii="Microsoft JhengHei" w:hAnsi="Microsoft JhengHei" w:cs="Microsoft JhengHei" w:eastAsia="Microsoft JhengHei" w:hint="default"/>
                <w:sz w:val="18"/>
                <w:szCs w:val="18"/>
              </w:rPr>
            </w:r>
          </w:p>
        </w:tc>
        <w:tc>
          <w:tcPr>
            <w:tcW w:w="5487" w:type="dxa"/>
            <w:gridSpan w:val="4"/>
            <w:tcBorders>
              <w:top w:val="nil" w:sz="6" w:space="0" w:color="auto"/>
              <w:left w:val="nil" w:sz="6" w:space="0" w:color="auto"/>
              <w:bottom w:val="nil" w:sz="6" w:space="0" w:color="auto"/>
              <w:right w:val="nil" w:sz="6" w:space="0" w:color="auto"/>
            </w:tcBorders>
          </w:tcPr>
          <w:p>
            <w:pP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货币资金</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五(一)</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734,292,536.26</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92,553,052.47</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交易性金融资产</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3"/>
              <w:jc w:val="right"/>
              <w:rPr>
                <w:rFonts w:ascii="Arial" w:hAnsi="Arial" w:cs="Arial" w:eastAsia="Arial" w:hint="default"/>
                <w:sz w:val="18"/>
                <w:szCs w:val="18"/>
              </w:rPr>
            </w:pPr>
            <w:r>
              <w:rPr>
                <w:rFonts w:ascii="Arial"/>
                <w:w w:val="102"/>
                <w:sz w:val="18"/>
              </w:rPr>
              <w:t>-</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w w:val="102"/>
                <w:sz w:val="18"/>
              </w:rPr>
              <w:t>-</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应收票据</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五(二)</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29,405,693.80</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3,219,102.50</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应收账款</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五(四)</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70,525,269.50</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30,229,882.91</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预付款项</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五(五)</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3,335,666.92</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2,702,521.41</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应收利息</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五(三)</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2,601,026.47</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w w:val="102"/>
                <w:sz w:val="18"/>
              </w:rPr>
              <w:t>-</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应收股利</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3"/>
              <w:jc w:val="right"/>
              <w:rPr>
                <w:rFonts w:ascii="Arial" w:hAnsi="Arial" w:cs="Arial" w:eastAsia="Arial" w:hint="default"/>
                <w:sz w:val="18"/>
                <w:szCs w:val="18"/>
              </w:rPr>
            </w:pPr>
            <w:r>
              <w:rPr>
                <w:rFonts w:ascii="Arial"/>
                <w:w w:val="102"/>
                <w:sz w:val="18"/>
              </w:rPr>
              <w:t>-</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w w:val="102"/>
                <w:sz w:val="18"/>
              </w:rPr>
              <w:t>-</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其他应收款</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五(六)</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3,842,824.23</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1,025,912.65</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存货</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22" w:lineRule="exact"/>
              <w:ind w:left="46" w:right="0"/>
              <w:jc w:val="center"/>
              <w:rPr>
                <w:rFonts w:ascii="宋体" w:hAnsi="宋体" w:cs="宋体" w:eastAsia="宋体" w:hint="default"/>
                <w:sz w:val="18"/>
                <w:szCs w:val="18"/>
              </w:rPr>
            </w:pPr>
            <w:r>
              <w:rPr>
                <w:rFonts w:ascii="宋体" w:hAnsi="宋体" w:cs="宋体" w:eastAsia="宋体" w:hint="default"/>
                <w:sz w:val="18"/>
                <w:szCs w:val="18"/>
              </w:rPr>
              <w:t>五(七)</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62,291,485.25</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38,010,158.95</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一年内到期的非流动资产</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3"/>
              <w:jc w:val="right"/>
              <w:rPr>
                <w:rFonts w:ascii="Arial" w:hAnsi="Arial" w:cs="Arial" w:eastAsia="Arial" w:hint="default"/>
                <w:sz w:val="18"/>
                <w:szCs w:val="18"/>
              </w:rPr>
            </w:pPr>
            <w:r>
              <w:rPr>
                <w:rFonts w:ascii="Arial"/>
                <w:w w:val="102"/>
                <w:sz w:val="18"/>
              </w:rPr>
              <w:t>-</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w w:val="102"/>
                <w:sz w:val="18"/>
              </w:rPr>
              <w:t>-</w:t>
            </w:r>
            <w:r>
              <w:rPr>
                <w:rFonts w:ascii="Arial"/>
                <w:sz w:val="18"/>
              </w:rPr>
            </w:r>
          </w:p>
        </w:tc>
      </w:tr>
      <w:tr>
        <w:trPr>
          <w:trHeight w:val="271"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其他流动资产</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right="293"/>
              <w:jc w:val="right"/>
              <w:rPr>
                <w:rFonts w:ascii="Arial" w:hAnsi="Arial" w:cs="Arial" w:eastAsia="Arial" w:hint="default"/>
                <w:sz w:val="18"/>
                <w:szCs w:val="18"/>
              </w:rPr>
            </w:pPr>
            <w:r>
              <w:rPr>
                <w:rFonts w:ascii="Arial"/>
                <w:w w:val="102"/>
                <w:sz w:val="18"/>
              </w:rPr>
              <w:t>-</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w w:val="102"/>
                <w:sz w:val="18"/>
              </w:rPr>
              <w:t>-</w:t>
            </w:r>
            <w:r>
              <w:rPr>
                <w:rFonts w:ascii="Arial"/>
                <w:sz w:val="18"/>
              </w:rPr>
            </w:r>
          </w:p>
        </w:tc>
      </w:tr>
      <w:tr>
        <w:trPr>
          <w:trHeight w:val="284"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w w:val="105"/>
                <w:sz w:val="18"/>
                <w:szCs w:val="18"/>
              </w:rPr>
              <w:t>流动资产合计</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
        </w:tc>
        <w:tc>
          <w:tcPr>
            <w:tcW w:w="1992"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86"/>
              <w:jc w:val="right"/>
              <w:rPr>
                <w:rFonts w:ascii="Arial" w:hAnsi="Arial" w:cs="Arial" w:eastAsia="Arial" w:hint="default"/>
                <w:sz w:val="18"/>
                <w:szCs w:val="18"/>
              </w:rPr>
            </w:pPr>
            <w:r>
              <w:rPr>
                <w:rFonts w:ascii="Arial"/>
                <w:spacing w:val="-1"/>
                <w:sz w:val="18"/>
              </w:rPr>
              <w:t>906,294,502.43</w:t>
            </w:r>
            <w:r>
              <w:rPr>
                <w:rFonts w:ascii="Arial"/>
                <w:sz w:val="18"/>
              </w:rPr>
            </w:r>
          </w:p>
        </w:tc>
        <w:tc>
          <w:tcPr>
            <w:tcW w:w="149" w:type="dxa"/>
            <w:tcBorders>
              <w:top w:val="nil" w:sz="6" w:space="0" w:color="auto"/>
              <w:left w:val="nil" w:sz="6" w:space="0" w:color="auto"/>
              <w:bottom w:val="nil" w:sz="6" w:space="0" w:color="auto"/>
              <w:right w:val="nil" w:sz="6" w:space="0" w:color="auto"/>
            </w:tcBorders>
          </w:tcPr>
          <w:p>
            <w:pPr/>
          </w:p>
        </w:tc>
        <w:tc>
          <w:tcPr>
            <w:tcW w:w="1752"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86"/>
              <w:jc w:val="right"/>
              <w:rPr>
                <w:rFonts w:ascii="Arial" w:hAnsi="Arial" w:cs="Arial" w:eastAsia="Arial" w:hint="default"/>
                <w:sz w:val="18"/>
                <w:szCs w:val="18"/>
              </w:rPr>
            </w:pPr>
            <w:r>
              <w:rPr>
                <w:rFonts w:ascii="Arial"/>
                <w:spacing w:val="-1"/>
                <w:sz w:val="18"/>
              </w:rPr>
              <w:t>167,740,630.89</w:t>
            </w:r>
            <w:r>
              <w:rPr>
                <w:rFonts w:ascii="Arial"/>
                <w:sz w:val="18"/>
              </w:rPr>
            </w:r>
          </w:p>
        </w:tc>
      </w:tr>
    </w:tbl>
    <w:p>
      <w:pPr>
        <w:spacing w:line="240" w:lineRule="auto" w:before="7"/>
        <w:rPr>
          <w:rFonts w:ascii="宋体" w:hAnsi="宋体" w:cs="宋体" w:eastAsia="宋体" w:hint="default"/>
          <w:sz w:val="17"/>
          <w:szCs w:val="17"/>
        </w:rPr>
      </w:pPr>
    </w:p>
    <w:p>
      <w:pPr>
        <w:spacing w:line="293" w:lineRule="exact" w:before="0"/>
        <w:ind w:left="288" w:right="1334"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非流动资产：</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357" w:type="dxa"/>
        <w:tblLayout w:type="fixed"/>
        <w:tblCellMar>
          <w:top w:w="0" w:type="dxa"/>
          <w:left w:w="0" w:type="dxa"/>
          <w:bottom w:w="0" w:type="dxa"/>
          <w:right w:w="0" w:type="dxa"/>
        </w:tblCellMar>
        <w:tblLook w:val="01E0"/>
      </w:tblPr>
      <w:tblGrid>
        <w:gridCol w:w="2322"/>
        <w:gridCol w:w="1919"/>
        <w:gridCol w:w="3893"/>
      </w:tblGrid>
      <w:tr>
        <w:trPr>
          <w:trHeight w:val="293"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可供出售金融资产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37"/>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持有至到期投资</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长期应收款</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长期股权投资</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Style w:val="TableParagraph"/>
              <w:spacing w:line="222" w:lineRule="exact"/>
              <w:ind w:left="370" w:right="0"/>
              <w:jc w:val="center"/>
              <w:rPr>
                <w:rFonts w:ascii="宋体" w:hAnsi="宋体" w:cs="宋体" w:eastAsia="宋体" w:hint="default"/>
                <w:sz w:val="18"/>
                <w:szCs w:val="18"/>
              </w:rPr>
            </w:pPr>
            <w:r>
              <w:rPr>
                <w:rFonts w:ascii="宋体" w:hAnsi="宋体" w:cs="宋体" w:eastAsia="宋体" w:hint="default"/>
                <w:sz w:val="18"/>
                <w:szCs w:val="18"/>
              </w:rPr>
              <w:t>五(八)</w:t>
            </w:r>
          </w:p>
        </w:tc>
        <w:tc>
          <w:tcPr>
            <w:tcW w:w="3893" w:type="dxa"/>
            <w:tcBorders>
              <w:top w:val="nil" w:sz="6" w:space="0" w:color="auto"/>
              <w:left w:val="nil" w:sz="6" w:space="0" w:color="auto"/>
              <w:bottom w:val="nil" w:sz="6" w:space="0" w:color="auto"/>
              <w:right w:val="nil" w:sz="6" w:space="0" w:color="auto"/>
            </w:tcBorders>
          </w:tcPr>
          <w:p>
            <w:pPr>
              <w:pStyle w:val="TableParagraph"/>
              <w:tabs>
                <w:tab w:pos="1901" w:val="left" w:leader="none"/>
              </w:tabs>
              <w:spacing w:line="240" w:lineRule="auto" w:before="28"/>
              <w:ind w:right="86"/>
              <w:jc w:val="right"/>
              <w:rPr>
                <w:rFonts w:ascii="Arial" w:hAnsi="Arial" w:cs="Arial" w:eastAsia="Arial" w:hint="default"/>
                <w:sz w:val="18"/>
                <w:szCs w:val="18"/>
              </w:rPr>
            </w:pPr>
            <w:r>
              <w:rPr>
                <w:rFonts w:ascii="Arial"/>
                <w:spacing w:val="-1"/>
                <w:sz w:val="18"/>
              </w:rPr>
              <w:t>2,658,215.20</w:t>
              <w:tab/>
              <w:t>2,067,879.25</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投资性房地产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固定资产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Style w:val="TableParagraph"/>
              <w:spacing w:line="222" w:lineRule="exact"/>
              <w:ind w:left="370" w:right="0"/>
              <w:jc w:val="center"/>
              <w:rPr>
                <w:rFonts w:ascii="宋体" w:hAnsi="宋体" w:cs="宋体" w:eastAsia="宋体" w:hint="default"/>
                <w:sz w:val="18"/>
                <w:szCs w:val="18"/>
              </w:rPr>
            </w:pPr>
            <w:r>
              <w:rPr>
                <w:rFonts w:ascii="宋体" w:hAnsi="宋体" w:cs="宋体" w:eastAsia="宋体" w:hint="default"/>
                <w:sz w:val="18"/>
                <w:szCs w:val="18"/>
              </w:rPr>
              <w:t>五(九)</w:t>
            </w:r>
          </w:p>
        </w:tc>
        <w:tc>
          <w:tcPr>
            <w:tcW w:w="3893" w:type="dxa"/>
            <w:tcBorders>
              <w:top w:val="nil" w:sz="6" w:space="0" w:color="auto"/>
              <w:left w:val="nil" w:sz="6" w:space="0" w:color="auto"/>
              <w:bottom w:val="nil" w:sz="6" w:space="0" w:color="auto"/>
              <w:right w:val="nil" w:sz="6" w:space="0" w:color="auto"/>
            </w:tcBorders>
          </w:tcPr>
          <w:p>
            <w:pPr>
              <w:pStyle w:val="TableParagraph"/>
              <w:tabs>
                <w:tab w:pos="1901" w:val="left" w:leader="none"/>
              </w:tabs>
              <w:spacing w:line="240" w:lineRule="auto" w:before="28"/>
              <w:ind w:right="86"/>
              <w:jc w:val="right"/>
              <w:rPr>
                <w:rFonts w:ascii="Arial" w:hAnsi="Arial" w:cs="Arial" w:eastAsia="Arial" w:hint="default"/>
                <w:sz w:val="18"/>
                <w:szCs w:val="18"/>
              </w:rPr>
            </w:pPr>
            <w:r>
              <w:rPr>
                <w:rFonts w:ascii="Arial"/>
                <w:spacing w:val="-1"/>
                <w:sz w:val="18"/>
              </w:rPr>
              <w:t>9,222,218.25</w:t>
              <w:tab/>
              <w:t>6,604,212.44</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在建工程</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工程物资</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固定资产清理</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生产性生物资产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无形资产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Style w:val="TableParagraph"/>
              <w:spacing w:line="222" w:lineRule="exact"/>
              <w:ind w:left="370" w:right="0"/>
              <w:jc w:val="center"/>
              <w:rPr>
                <w:rFonts w:ascii="宋体" w:hAnsi="宋体" w:cs="宋体" w:eastAsia="宋体" w:hint="default"/>
                <w:sz w:val="18"/>
                <w:szCs w:val="18"/>
              </w:rPr>
            </w:pPr>
            <w:r>
              <w:rPr>
                <w:rFonts w:ascii="宋体" w:hAnsi="宋体" w:cs="宋体" w:eastAsia="宋体" w:hint="default"/>
                <w:sz w:val="18"/>
                <w:szCs w:val="18"/>
              </w:rPr>
              <w:t>五(十)</w:t>
            </w:r>
          </w:p>
        </w:tc>
        <w:tc>
          <w:tcPr>
            <w:tcW w:w="3893" w:type="dxa"/>
            <w:tcBorders>
              <w:top w:val="nil" w:sz="6" w:space="0" w:color="auto"/>
              <w:left w:val="nil" w:sz="6" w:space="0" w:color="auto"/>
              <w:bottom w:val="nil" w:sz="6" w:space="0" w:color="auto"/>
              <w:right w:val="nil" w:sz="6" w:space="0" w:color="auto"/>
            </w:tcBorders>
          </w:tcPr>
          <w:p>
            <w:pPr>
              <w:pStyle w:val="TableParagraph"/>
              <w:tabs>
                <w:tab w:pos="1901" w:val="left" w:leader="none"/>
              </w:tabs>
              <w:spacing w:line="240" w:lineRule="auto" w:before="28"/>
              <w:ind w:right="86"/>
              <w:jc w:val="right"/>
              <w:rPr>
                <w:rFonts w:ascii="Arial" w:hAnsi="Arial" w:cs="Arial" w:eastAsia="Arial" w:hint="default"/>
                <w:sz w:val="18"/>
                <w:szCs w:val="18"/>
              </w:rPr>
            </w:pPr>
            <w:r>
              <w:rPr>
                <w:rFonts w:ascii="Arial"/>
                <w:spacing w:val="-1"/>
                <w:sz w:val="18"/>
              </w:rPr>
              <w:t>12,793,055.29</w:t>
              <w:tab/>
              <w:t>12,705,134.15</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开发支出</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商誉</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长期待摊费用</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Style w:val="TableParagraph"/>
              <w:spacing w:line="222" w:lineRule="exact"/>
              <w:ind w:left="370" w:right="0"/>
              <w:jc w:val="center"/>
              <w:rPr>
                <w:rFonts w:ascii="宋体" w:hAnsi="宋体" w:cs="宋体" w:eastAsia="宋体" w:hint="default"/>
                <w:sz w:val="18"/>
                <w:szCs w:val="18"/>
              </w:rPr>
            </w:pPr>
            <w:r>
              <w:rPr>
                <w:rFonts w:ascii="宋体" w:hAnsi="宋体" w:cs="宋体" w:eastAsia="宋体" w:hint="default"/>
                <w:sz w:val="18"/>
                <w:szCs w:val="18"/>
              </w:rPr>
              <w:t>五(十一)</w:t>
            </w:r>
          </w:p>
        </w:tc>
        <w:tc>
          <w:tcPr>
            <w:tcW w:w="3893" w:type="dxa"/>
            <w:tcBorders>
              <w:top w:val="nil" w:sz="6" w:space="0" w:color="auto"/>
              <w:left w:val="nil" w:sz="6" w:space="0" w:color="auto"/>
              <w:bottom w:val="nil" w:sz="6" w:space="0" w:color="auto"/>
              <w:right w:val="nil" w:sz="6" w:space="0" w:color="auto"/>
            </w:tcBorders>
          </w:tcPr>
          <w:p>
            <w:pPr>
              <w:pStyle w:val="TableParagraph"/>
              <w:tabs>
                <w:tab w:pos="1901" w:val="left" w:leader="none"/>
              </w:tabs>
              <w:spacing w:line="240" w:lineRule="auto" w:before="28"/>
              <w:ind w:right="86"/>
              <w:jc w:val="right"/>
              <w:rPr>
                <w:rFonts w:ascii="Arial" w:hAnsi="Arial" w:cs="Arial" w:eastAsia="Arial" w:hint="default"/>
                <w:sz w:val="18"/>
                <w:szCs w:val="18"/>
              </w:rPr>
            </w:pPr>
            <w:r>
              <w:rPr>
                <w:rFonts w:ascii="Arial"/>
                <w:spacing w:val="-1"/>
                <w:sz w:val="18"/>
              </w:rPr>
              <w:t>1,309,139.02</w:t>
              <w:tab/>
              <w:t>1,262,702.81</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递延所得税资产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Style w:val="TableParagraph"/>
              <w:spacing w:line="222" w:lineRule="exact"/>
              <w:ind w:left="370" w:right="0"/>
              <w:jc w:val="center"/>
              <w:rPr>
                <w:rFonts w:ascii="宋体" w:hAnsi="宋体" w:cs="宋体" w:eastAsia="宋体" w:hint="default"/>
                <w:sz w:val="18"/>
                <w:szCs w:val="18"/>
              </w:rPr>
            </w:pPr>
            <w:r>
              <w:rPr>
                <w:rFonts w:ascii="宋体" w:hAnsi="宋体" w:cs="宋体" w:eastAsia="宋体" w:hint="default"/>
                <w:sz w:val="18"/>
                <w:szCs w:val="18"/>
              </w:rPr>
              <w:t>五(十二)</w:t>
            </w:r>
          </w:p>
        </w:tc>
        <w:tc>
          <w:tcPr>
            <w:tcW w:w="3893" w:type="dxa"/>
            <w:tcBorders>
              <w:top w:val="nil" w:sz="6" w:space="0" w:color="auto"/>
              <w:left w:val="nil" w:sz="6" w:space="0" w:color="auto"/>
              <w:bottom w:val="nil" w:sz="6" w:space="0" w:color="auto"/>
              <w:right w:val="nil" w:sz="6" w:space="0" w:color="auto"/>
            </w:tcBorders>
          </w:tcPr>
          <w:p>
            <w:pPr>
              <w:pStyle w:val="TableParagraph"/>
              <w:tabs>
                <w:tab w:pos="2056" w:val="left" w:leader="none"/>
              </w:tabs>
              <w:spacing w:line="240" w:lineRule="auto" w:before="28"/>
              <w:ind w:right="86"/>
              <w:jc w:val="right"/>
              <w:rPr>
                <w:rFonts w:ascii="Arial" w:hAnsi="Arial" w:cs="Arial" w:eastAsia="Arial" w:hint="default"/>
                <w:sz w:val="18"/>
                <w:szCs w:val="18"/>
              </w:rPr>
            </w:pPr>
            <w:r>
              <w:rPr>
                <w:rFonts w:ascii="Arial"/>
                <w:spacing w:val="-1"/>
                <w:sz w:val="18"/>
              </w:rPr>
              <w:t>1,192,658.45</w:t>
              <w:tab/>
              <w:t>330,159.27</w:t>
            </w:r>
            <w:r>
              <w:rPr>
                <w:rFonts w:ascii="Arial"/>
                <w:sz w:val="18"/>
              </w:rPr>
            </w:r>
          </w:p>
        </w:tc>
      </w:tr>
      <w:tr>
        <w:trPr>
          <w:trHeight w:val="271"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其他非流动资产</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single" w:sz="6" w:space="0" w:color="000000"/>
              <w:right w:val="nil" w:sz="6" w:space="0" w:color="auto"/>
            </w:tcBorders>
          </w:tcPr>
          <w:p>
            <w:pPr>
              <w:pStyle w:val="TableParagraph"/>
              <w:tabs>
                <w:tab w:pos="3536" w:val="left" w:leader="none"/>
              </w:tabs>
              <w:spacing w:line="240" w:lineRule="auto" w:before="28"/>
              <w:ind w:left="1634" w:right="0"/>
              <w:jc w:val="left"/>
              <w:rPr>
                <w:rFonts w:ascii="Arial" w:hAnsi="Arial" w:cs="Arial" w:eastAsia="Arial" w:hint="default"/>
                <w:sz w:val="18"/>
                <w:szCs w:val="18"/>
              </w:rPr>
            </w:pPr>
            <w:r>
              <w:rPr>
                <w:rFonts w:ascii="Arial"/>
                <w:sz w:val="18"/>
              </w:rPr>
              <w:t>-</w:t>
              <w:tab/>
            </w:r>
            <w:r>
              <w:rPr>
                <w:rFonts w:ascii="Arial"/>
                <w:w w:val="105"/>
                <w:sz w:val="18"/>
              </w:rPr>
              <w:t>-</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非流动资产合计</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single" w:sz="6" w:space="0" w:color="000000"/>
              <w:left w:val="nil" w:sz="6" w:space="0" w:color="auto"/>
              <w:bottom w:val="single" w:sz="6" w:space="0" w:color="000000"/>
              <w:right w:val="nil" w:sz="6" w:space="0" w:color="auto"/>
            </w:tcBorders>
          </w:tcPr>
          <w:p>
            <w:pPr>
              <w:pStyle w:val="TableParagraph"/>
              <w:spacing w:line="20" w:lineRule="exact"/>
              <w:ind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9.6pt;height:.85pt;mso-position-horizontal-relative:char;mso-position-vertical-relative:line" coordorigin="0,0" coordsize="1992,17">
                  <v:shape style="position:absolute;left:0;top:0;width:1992;height:16" type="#_x0000_t75" stroked="false">
                    <v:imagedata r:id="rId36" o:title=""/>
                  </v:shape>
                </v:group>
              </w:pict>
            </w:r>
            <w:r>
              <w:rPr>
                <w:rFonts w:ascii="Microsoft JhengHei" w:hAnsi="Microsoft JhengHei" w:cs="Microsoft JhengHei" w:eastAsia="Microsoft JhengHei" w:hint="default"/>
                <w:sz w:val="2"/>
                <w:szCs w:val="2"/>
              </w:rPr>
            </w:r>
          </w:p>
          <w:p>
            <w:pPr>
              <w:pStyle w:val="TableParagraph"/>
              <w:tabs>
                <w:tab w:pos="1901" w:val="left" w:leader="none"/>
              </w:tabs>
              <w:spacing w:line="240" w:lineRule="auto" w:before="28"/>
              <w:ind w:right="86"/>
              <w:jc w:val="right"/>
              <w:rPr>
                <w:rFonts w:ascii="Arial" w:hAnsi="Arial" w:cs="Arial" w:eastAsia="Arial" w:hint="default"/>
                <w:sz w:val="18"/>
                <w:szCs w:val="18"/>
              </w:rPr>
            </w:pPr>
            <w:r>
              <w:rPr>
                <w:rFonts w:ascii="Arial"/>
                <w:spacing w:val="-1"/>
                <w:sz w:val="18"/>
              </w:rPr>
              <w:t>27,175,286.21</w:t>
              <w:tab/>
              <w:t>22,970,087.92</w:t>
            </w:r>
            <w:r>
              <w:rPr>
                <w:rFonts w:ascii="Arial"/>
                <w:sz w:val="18"/>
              </w:rPr>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single" w:sz="6" w:space="0" w:color="000000"/>
              <w:left w:val="nil" w:sz="6" w:space="0" w:color="auto"/>
              <w:bottom w:val="single" w:sz="6" w:space="0" w:color="000000"/>
              <w:right w:val="nil" w:sz="6" w:space="0" w:color="auto"/>
            </w:tcBorders>
          </w:tcPr>
          <w:p>
            <w:pPr/>
          </w:p>
        </w:tc>
      </w:tr>
      <w:tr>
        <w:trPr>
          <w:trHeight w:val="312"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61" w:lineRule="exact"/>
              <w:ind w:left="1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资产总计</w:t>
            </w:r>
            <w:r>
              <w:rPr>
                <w:rFonts w:ascii="Microsoft JhengHei" w:hAnsi="Microsoft JhengHei" w:cs="Microsoft JhengHei" w:eastAsia="Microsoft JhengHei" w:hint="default"/>
                <w:sz w:val="18"/>
                <w:szCs w:val="18"/>
              </w:rPr>
            </w:r>
          </w:p>
        </w:tc>
        <w:tc>
          <w:tcPr>
            <w:tcW w:w="1919" w:type="dxa"/>
            <w:tcBorders>
              <w:top w:val="nil" w:sz="6" w:space="0" w:color="auto"/>
              <w:left w:val="nil" w:sz="6" w:space="0" w:color="auto"/>
              <w:bottom w:val="nil" w:sz="6" w:space="0" w:color="auto"/>
              <w:right w:val="nil" w:sz="6" w:space="0" w:color="auto"/>
            </w:tcBorders>
          </w:tcPr>
          <w:p>
            <w:pPr/>
          </w:p>
        </w:tc>
        <w:tc>
          <w:tcPr>
            <w:tcW w:w="3893" w:type="dxa"/>
            <w:tcBorders>
              <w:top w:val="single" w:sz="6" w:space="0" w:color="000000"/>
              <w:left w:val="nil" w:sz="6" w:space="0" w:color="auto"/>
              <w:bottom w:val="single" w:sz="6" w:space="0" w:color="000000"/>
              <w:right w:val="nil" w:sz="6" w:space="0" w:color="auto"/>
            </w:tcBorders>
          </w:tcPr>
          <w:p>
            <w:pPr>
              <w:pStyle w:val="TableParagraph"/>
              <w:tabs>
                <w:tab w:pos="1901" w:val="left" w:leader="none"/>
              </w:tabs>
              <w:spacing w:line="240" w:lineRule="auto" w:before="38"/>
              <w:ind w:right="86"/>
              <w:jc w:val="right"/>
              <w:rPr>
                <w:rFonts w:ascii="Arial" w:hAnsi="Arial" w:cs="Arial" w:eastAsia="Arial" w:hint="default"/>
                <w:sz w:val="18"/>
                <w:szCs w:val="18"/>
              </w:rPr>
            </w:pPr>
            <w:r>
              <w:rPr>
                <w:rFonts w:ascii="Arial"/>
                <w:spacing w:val="-1"/>
                <w:sz w:val="18"/>
              </w:rPr>
              <w:t>933,469,788.64</w:t>
              <w:tab/>
              <w:t>190,710,718.81</w:t>
            </w:r>
            <w:r>
              <w:rPr>
                <w:rFonts w:ascii="Arial"/>
                <w:sz w:val="18"/>
              </w:rPr>
            </w:r>
          </w:p>
        </w:tc>
      </w:tr>
    </w:tbl>
    <w:p>
      <w:pPr>
        <w:spacing w:line="240" w:lineRule="auto" w:before="8"/>
        <w:rPr>
          <w:rFonts w:ascii="Microsoft JhengHei" w:hAnsi="Microsoft JhengHei" w:cs="Microsoft JhengHei" w:eastAsia="Microsoft JhengHei" w:hint="default"/>
          <w:b/>
          <w:bCs/>
          <w:sz w:val="14"/>
          <w:szCs w:val="14"/>
        </w:rPr>
      </w:pPr>
    </w:p>
    <w:p>
      <w:pPr>
        <w:spacing w:line="20" w:lineRule="exact"/>
        <w:ind w:left="24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2.65pt;height:.85pt;mso-position-horizontal-relative:char;mso-position-vertical-relative:line" coordorigin="0,0" coordsize="8253,17">
            <v:group style="position:absolute;left:9;top:1;width:8235;height:2" coordorigin="9,1" coordsize="8235,2">
              <v:shape style="position:absolute;left:9;top:1;width:8235;height:2" coordorigin="9,1" coordsize="8235,0" path="m9,1l8244,1e" filled="false" stroked="true" strokeweight=".117357pt" strokecolor="#000000">
                <v:path arrowok="t"/>
              </v:shape>
            </v:group>
            <v:group style="position:absolute;left:8;top:8;width:8237;height:2" coordorigin="8,8" coordsize="8237,2">
              <v:shape style="position:absolute;left:8;top:8;width:8237;height:2" coordorigin="8,8" coordsize="8237,0" path="m8,8l8245,8e" filled="false" stroked="true" strokeweight=".804701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15"/>
          <w:szCs w:val="15"/>
        </w:rPr>
      </w:pPr>
    </w:p>
    <w:p>
      <w:pPr>
        <w:tabs>
          <w:tab w:pos="2449" w:val="left" w:leader="none"/>
          <w:tab w:pos="6186" w:val="left" w:leader="none"/>
        </w:tabs>
        <w:spacing w:before="37"/>
        <w:ind w:left="340" w:right="176" w:firstLine="0"/>
        <w:jc w:val="left"/>
        <w:rPr>
          <w:rFonts w:ascii="宋体" w:hAnsi="宋体" w:cs="宋体" w:eastAsia="宋体" w:hint="default"/>
          <w:sz w:val="18"/>
          <w:szCs w:val="18"/>
        </w:rPr>
      </w:pPr>
      <w:r>
        <w:rPr/>
        <w:pict>
          <v:group style="position:absolute;margin-left:307.513733pt;margin-top:-57.960293pt;width:100.4pt;height:.85pt;mso-position-horizontal-relative:page;mso-position-vertical-relative:paragraph;z-index:-681040" coordorigin="6150,-1159" coordsize="2008,17">
            <v:group style="position:absolute;left:6159;top:-1158;width:1990;height:2" coordorigin="6159,-1158" coordsize="1990,2">
              <v:shape style="position:absolute;left:6159;top:-1158;width:1990;height:2" coordorigin="6159,-1158" coordsize="1990,0" path="m6159,-1158l8149,-1158e" filled="false" stroked="true" strokeweight=".117357pt" strokecolor="#000000">
                <v:path arrowok="t"/>
              </v:shape>
            </v:group>
            <v:group style="position:absolute;left:6158;top:-1151;width:1992;height:2" coordorigin="6158,-1151" coordsize="1992,2">
              <v:shape style="position:absolute;left:6158;top:-1151;width:1992;height:2" coordorigin="6158,-1151" coordsize="1992,0" path="m6158,-1151l8150,-1151e" filled="false" stroked="true" strokeweight=".804701pt" strokecolor="#000000">
                <v:path arrowok="t"/>
              </v:shape>
            </v:group>
            <w10:wrap type="none"/>
          </v:group>
        </w:pict>
      </w:r>
      <w:r>
        <w:rPr/>
        <w:pict>
          <v:group style="position:absolute;margin-left:307.513702pt;margin-top:-43.77684pt;width:100.4pt;height:.85pt;mso-position-horizontal-relative:page;mso-position-vertical-relative:paragraph;z-index:-681016" coordorigin="6150,-876" coordsize="2008,17">
            <v:group style="position:absolute;left:6159;top:-874;width:1990;height:2" coordorigin="6159,-874" coordsize="1990,2">
              <v:shape style="position:absolute;left:6159;top:-874;width:1990;height:2" coordorigin="6159,-874" coordsize="1990,0" path="m6159,-874l8149,-874e" filled="false" stroked="true" strokeweight=".117357pt" strokecolor="#000000">
                <v:path arrowok="t"/>
              </v:shape>
            </v:group>
            <v:group style="position:absolute;left:6158;top:-867;width:1992;height:2" coordorigin="6158,-867" coordsize="1992,2">
              <v:shape style="position:absolute;left:6158;top:-867;width:1992;height:2" coordorigin="6158,-867" coordsize="1992,0" path="m6158,-867l8150,-867e" filled="false" stroked="true" strokeweight=".804752pt" strokecolor="#000000">
                <v:path arrowok="t"/>
              </v:shape>
            </v:group>
            <w10:wrap type="none"/>
          </v:group>
        </w:pict>
      </w:r>
      <w:r>
        <w:rPr/>
        <w:pict>
          <v:group style="position:absolute;margin-left:307.513702pt;margin-top:-29.786205pt;width:100.4pt;height:2.450pt;mso-position-horizontal-relative:page;mso-position-vertical-relative:paragraph;z-index:-680992" coordorigin="6150,-596" coordsize="2008,49">
            <v:group style="position:absolute;left:6158;top:-588;width:1992;height:2" coordorigin="6158,-588" coordsize="1992,2">
              <v:shape style="position:absolute;left:6158;top:-588;width:1992;height:2" coordorigin="6158,-588" coordsize="1992,0" path="m6158,-588l8150,-588e" filled="false" stroked="true" strokeweight=".804752pt" strokecolor="#000000">
                <v:path arrowok="t"/>
              </v:shape>
            </v:group>
            <v:group style="position:absolute;left:6158;top:-555;width:1992;height:2" coordorigin="6158,-555" coordsize="1992,2">
              <v:shape style="position:absolute;left:6158;top:-555;width:1992;height:2" coordorigin="6158,-555" coordsize="1992,0" path="m6158,-555l8150,-555e" filled="false" stroked="true" strokeweight=".804752pt" strokecolor="#000000">
                <v:path arrowok="t"/>
              </v:shape>
            </v:group>
            <w10:wrap type="none"/>
          </v:group>
        </w:pict>
      </w:r>
      <w:r>
        <w:rPr/>
        <w:pict>
          <v:group style="position:absolute;margin-left:414.953217pt;margin-top:-29.383829pt;width:87.6pt;height:.1pt;mso-position-horizontal-relative:page;mso-position-vertical-relative:paragraph;z-index:-680968" coordorigin="8299,-588" coordsize="1752,2">
            <v:shape style="position:absolute;left:8299;top:-588;width:1752;height:2" coordorigin="8299,-588" coordsize="1752,0" path="m8299,-588l10051,-588e" filled="false" stroked="true" strokeweight=".804752pt" strokecolor="#000000">
              <v:path arrowok="t"/>
            </v:shape>
            <w10:wrap type="none"/>
          </v:group>
        </w:pict>
      </w:r>
      <w:r>
        <w:rPr>
          <w:rFonts w:ascii="宋体" w:hAnsi="宋体" w:cs="宋体" w:eastAsia="宋体" w:hint="default"/>
          <w:sz w:val="18"/>
          <w:szCs w:val="18"/>
        </w:rPr>
        <w:t>公司负责人：刘祥</w:t>
        <w:tab/>
        <w:t>主管会计工作负责人：赵辉</w:t>
        <w:tab/>
      </w:r>
      <w:r>
        <w:rPr>
          <w:rFonts w:ascii="宋体" w:hAnsi="宋体" w:cs="宋体" w:eastAsia="宋体" w:hint="default"/>
          <w:w w:val="105"/>
          <w:sz w:val="18"/>
          <w:szCs w:val="18"/>
        </w:rPr>
        <w:t>会计机构负责人：赵辉</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460" w:left="1560" w:right="1440"/>
        </w:sectPr>
      </w:pPr>
    </w:p>
    <w:p>
      <w:pPr>
        <w:pStyle w:val="Heading1"/>
        <w:spacing w:line="240" w:lineRule="auto" w:before="9"/>
        <w:ind w:left="2743" w:right="60"/>
        <w:jc w:val="center"/>
      </w:pPr>
      <w:r>
        <w:rPr/>
        <w:pict>
          <v:group style="position:absolute;margin-left:83.664001pt;margin-top:2.187656pt;width:433.75pt;height:.1pt;mso-position-horizontal-relative:page;mso-position-vertical-relative:paragraph;z-index:-680824" coordorigin="1673,44" coordsize="8675,2">
            <v:shape style="position:absolute;left:1673;top:44;width:8675;height:2" coordorigin="1673,44" coordsize="8675,0" path="m1673,44l10348,44e" filled="false" stroked="true" strokeweight=".72pt" strokecolor="#000000">
              <v:path arrowok="t"/>
            </v:shape>
            <w10:wrap type="none"/>
          </v:group>
        </w:pict>
      </w:r>
      <w:r>
        <w:rPr>
          <w:w w:val="95"/>
        </w:rPr>
        <w:t>合并资产负债表（续）</w:t>
      </w:r>
      <w:r>
        <w:rPr/>
      </w:r>
    </w:p>
    <w:p>
      <w:pPr>
        <w:spacing w:before="54"/>
        <w:ind w:left="2743" w:right="59" w:firstLine="0"/>
        <w:jc w:val="center"/>
        <w:rPr>
          <w:rFonts w:ascii="宋体" w:hAnsi="宋体" w:cs="宋体" w:eastAsia="宋体" w:hint="default"/>
          <w:sz w:val="18"/>
          <w:szCs w:val="18"/>
        </w:rPr>
      </w:pPr>
      <w:r>
        <w:rPr>
          <w:rFonts w:ascii="宋体" w:hAnsi="宋体" w:cs="宋体" w:eastAsia="宋体" w:hint="default"/>
          <w:w w:val="110"/>
          <w:sz w:val="18"/>
          <w:szCs w:val="18"/>
        </w:rPr>
        <w:t>2010年12月31日</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1"/>
        <w:ind w:left="1067" w:right="0" w:firstLine="0"/>
        <w:jc w:val="left"/>
        <w:rPr>
          <w:rFonts w:ascii="宋体" w:hAnsi="宋体" w:cs="宋体" w:eastAsia="宋体" w:hint="default"/>
          <w:sz w:val="18"/>
          <w:szCs w:val="18"/>
        </w:rPr>
      </w:pPr>
      <w:r>
        <w:rPr>
          <w:rFonts w:ascii="宋体" w:hAnsi="宋体" w:cs="宋体" w:eastAsia="宋体" w:hint="default"/>
          <w:w w:val="105"/>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67" w:footer="1267" w:top="1060" w:bottom="1460" w:left="1560" w:right="1440"/>
          <w:cols w:num="2" w:equalWidth="0">
            <w:col w:w="6074" w:space="40"/>
            <w:col w:w="2796"/>
          </w:cols>
        </w:sectPr>
      </w:pPr>
    </w:p>
    <w:p>
      <w:pPr>
        <w:spacing w:line="240" w:lineRule="auto" w:before="12"/>
        <w:rPr>
          <w:rFonts w:ascii="宋体" w:hAnsi="宋体" w:cs="宋体" w:eastAsia="宋体" w:hint="default"/>
          <w:sz w:val="26"/>
          <w:szCs w:val="26"/>
        </w:rPr>
      </w:pPr>
      <w:r>
        <w:rPr/>
        <w:pict>
          <v:group style="position:absolute;margin-left:308.008606pt;margin-top:497.781281pt;width:100.4pt;height:.1pt;mso-position-horizontal-relative:page;mso-position-vertical-relative:page;z-index:-680800" coordorigin="6160,9956" coordsize="2008,2">
            <v:shape style="position:absolute;left:6160;top:9956;width:2008;height:2" coordorigin="6160,9956" coordsize="2008,0" path="m6160,9956l8168,9956e" filled="false" stroked="true" strokeweight=".810422pt" strokecolor="#000000">
              <v:path arrowok="t"/>
            </v:shape>
            <w10:wrap type="none"/>
          </v:group>
        </w:pict>
      </w:r>
      <w:r>
        <w:rPr/>
        <w:pict>
          <v:group style="position:absolute;margin-left:415.92746pt;margin-top:497.781281pt;width:88.35pt;height:.1pt;mso-position-horizontal-relative:page;mso-position-vertical-relative:page;z-index:-680728" coordorigin="8319,9956" coordsize="1767,2">
            <v:shape style="position:absolute;left:8319;top:9956;width:1767;height:2" coordorigin="8319,9956" coordsize="1767,0" path="m8319,9956l10085,9956e" filled="false" stroked="true" strokeweight=".810422pt" strokecolor="#000000">
              <v:path arrowok="t"/>
            </v:shape>
            <w10:wrap type="none"/>
          </v:group>
        </w:pict>
      </w:r>
    </w:p>
    <w:p>
      <w:pPr>
        <w:tabs>
          <w:tab w:pos="3633" w:val="left" w:leader="none"/>
          <w:tab w:pos="5330" w:val="left" w:leader="none"/>
          <w:tab w:pos="7367" w:val="left" w:leader="none"/>
        </w:tabs>
        <w:spacing w:before="38"/>
        <w:ind w:left="969" w:right="176" w:firstLine="0"/>
        <w:jc w:val="left"/>
        <w:rPr>
          <w:rFonts w:ascii="宋体" w:hAnsi="宋体" w:cs="宋体" w:eastAsia="宋体" w:hint="default"/>
          <w:sz w:val="18"/>
          <w:szCs w:val="18"/>
        </w:rPr>
      </w:pPr>
      <w:r>
        <w:rPr>
          <w:rFonts w:ascii="宋体" w:hAnsi="宋体" w:cs="宋体" w:eastAsia="宋体" w:hint="default"/>
          <w:sz w:val="18"/>
          <w:szCs w:val="18"/>
        </w:rPr>
        <w:t>负债和股东权益</w:t>
        <w:tab/>
        <w:t>附注</w:t>
        <w:tab/>
        <w:t>期末数</w:t>
        <w:tab/>
      </w:r>
      <w:r>
        <w:rPr>
          <w:rFonts w:ascii="宋体" w:hAnsi="宋体" w:cs="宋体" w:eastAsia="宋体" w:hint="default"/>
          <w:w w:val="105"/>
          <w:sz w:val="18"/>
          <w:szCs w:val="18"/>
        </w:rPr>
        <w:t>期初数</w:t>
      </w:r>
      <w:r>
        <w:rPr>
          <w:rFonts w:ascii="宋体" w:hAnsi="宋体" w:cs="宋体" w:eastAsia="宋体" w:hint="default"/>
          <w:sz w:val="18"/>
          <w:szCs w:val="18"/>
        </w:rPr>
      </w:r>
    </w:p>
    <w:p>
      <w:pPr>
        <w:spacing w:line="240" w:lineRule="auto" w:before="2"/>
        <w:rPr>
          <w:rFonts w:ascii="宋体" w:hAnsi="宋体" w:cs="宋体" w:eastAsia="宋体" w:hint="default"/>
          <w:sz w:val="3"/>
          <w:szCs w:val="3"/>
        </w:rPr>
      </w:pPr>
    </w:p>
    <w:p>
      <w:pPr>
        <w:spacing w:line="20" w:lineRule="exact"/>
        <w:ind w:left="212" w:right="0" w:firstLine="0"/>
        <w:rPr>
          <w:rFonts w:ascii="宋体" w:hAnsi="宋体" w:cs="宋体" w:eastAsia="宋体" w:hint="default"/>
          <w:sz w:val="2"/>
          <w:szCs w:val="2"/>
        </w:rPr>
      </w:pPr>
      <w:r>
        <w:rPr>
          <w:rFonts w:ascii="宋体"/>
          <w:sz w:val="2"/>
        </w:rPr>
        <w:pict>
          <v:group style="width:140.550pt;height:.85pt;mso-position-horizontal-relative:char;mso-position-vertical-relative:line" coordorigin="0,0" coordsize="2811,17">
            <v:group style="position:absolute;left:9;top:1;width:2793;height:2" coordorigin="9,1" coordsize="2793,2">
              <v:shape style="position:absolute;left:9;top:1;width:2793;height:2" coordorigin="9,1" coordsize="2793,0" path="m9,1l2801,1e" filled="false" stroked="true" strokeweight=".118184pt" strokecolor="#000000">
                <v:path arrowok="t"/>
              </v:shape>
            </v:group>
            <v:group style="position:absolute;left:8;top:8;width:2795;height:2" coordorigin="8,8" coordsize="2795,2">
              <v:shape style="position:absolute;left:8;top:8;width:2795;height:2" coordorigin="8,8" coordsize="2795,0" path="m8,8l2802,8e" filled="false" stroked="true" strokeweight=".810405pt" strokecolor="#000000">
                <v:path arrowok="t"/>
              </v:shape>
            </v:group>
          </v:group>
        </w:pict>
      </w:r>
      <w:r>
        <w:rPr>
          <w:rFonts w:ascii="宋体"/>
          <w:sz w:val="2"/>
        </w:rPr>
      </w:r>
      <w:r>
        <w:rPr>
          <w:rFonts w:ascii="Times New Roman"/>
          <w:spacing w:val="166"/>
          <w:sz w:val="2"/>
        </w:rPr>
        <w:t> </w:t>
      </w:r>
      <w:r>
        <w:rPr>
          <w:rFonts w:ascii="宋体"/>
          <w:spacing w:val="166"/>
          <w:sz w:val="2"/>
        </w:rPr>
        <w:pict>
          <v:group style="width:61.85pt;height:.85pt;mso-position-horizontal-relative:char;mso-position-vertical-relative:line" coordorigin="0,0" coordsize="1237,17">
            <v:group style="position:absolute;left:9;top:1;width:1218;height:2" coordorigin="9,1" coordsize="1218,2">
              <v:shape style="position:absolute;left:9;top:1;width:1218;height:2" coordorigin="9,1" coordsize="1218,0" path="m9,1l1227,1e" filled="false" stroked="true" strokeweight=".118184pt" strokecolor="#000000">
                <v:path arrowok="t"/>
              </v:shape>
            </v:group>
            <v:group style="position:absolute;left:8;top:8;width:1220;height:2" coordorigin="8,8" coordsize="1220,2">
              <v:shape style="position:absolute;left:8;top:8;width:1220;height:2" coordorigin="8,8" coordsize="1220,0" path="m8,8l1228,8e" filled="false" stroked="true" strokeweight=".810405pt" strokecolor="#000000">
                <v:path arrowok="t"/>
              </v:shape>
            </v:group>
          </v:group>
        </w:pict>
      </w:r>
      <w:r>
        <w:rPr>
          <w:rFonts w:ascii="宋体"/>
          <w:spacing w:val="166"/>
          <w:sz w:val="2"/>
        </w:rPr>
      </w:r>
      <w:r>
        <w:rPr>
          <w:rFonts w:ascii="Times New Roman"/>
          <w:spacing w:val="154"/>
          <w:sz w:val="2"/>
        </w:rPr>
        <w:t> </w:t>
      </w:r>
      <w:r>
        <w:rPr>
          <w:rFonts w:ascii="宋体"/>
          <w:spacing w:val="154"/>
          <w:sz w:val="2"/>
        </w:rPr>
        <w:pict>
          <v:group style="width:101.25pt;height:.85pt;mso-position-horizontal-relative:char;mso-position-vertical-relative:line" coordorigin="0,0" coordsize="2025,17">
            <v:group style="position:absolute;left:9;top:1;width:2007;height:2" coordorigin="9,1" coordsize="2007,2">
              <v:shape style="position:absolute;left:9;top:1;width:2007;height:2" coordorigin="9,1" coordsize="2007,0" path="m9,1l2015,1e" filled="false" stroked="true" strokeweight=".118184pt" strokecolor="#000000">
                <v:path arrowok="t"/>
              </v:shape>
            </v:group>
            <v:group style="position:absolute;left:8;top:8;width:2008;height:2" coordorigin="8,8" coordsize="2008,2">
              <v:shape style="position:absolute;left:8;top:8;width:2008;height:2" coordorigin="8,8" coordsize="2008,0" path="m8,8l2016,8e" filled="false" stroked="true" strokeweight=".810405pt" strokecolor="#000000">
                <v:path arrowok="t"/>
              </v:shape>
            </v:group>
          </v:group>
        </w:pict>
      </w:r>
      <w:r>
        <w:rPr>
          <w:rFonts w:ascii="宋体"/>
          <w:spacing w:val="154"/>
          <w:sz w:val="2"/>
        </w:rPr>
      </w:r>
      <w:r>
        <w:rPr>
          <w:rFonts w:ascii="Times New Roman"/>
          <w:spacing w:val="127"/>
          <w:sz w:val="2"/>
        </w:rPr>
        <w:t> </w:t>
      </w:r>
      <w:r>
        <w:rPr>
          <w:rFonts w:ascii="宋体"/>
          <w:spacing w:val="127"/>
          <w:sz w:val="2"/>
        </w:rPr>
        <w:pict>
          <v:group style="width:89.15pt;height:.85pt;mso-position-horizontal-relative:char;mso-position-vertical-relative:line" coordorigin="0,0" coordsize="1783,17">
            <v:group style="position:absolute;left:9;top:1;width:1765;height:2" coordorigin="9,1" coordsize="1765,2">
              <v:shape style="position:absolute;left:9;top:1;width:1765;height:2" coordorigin="9,1" coordsize="1765,0" path="m9,1l1774,1e" filled="false" stroked="true" strokeweight=".118184pt" strokecolor="#000000">
                <v:path arrowok="t"/>
              </v:shape>
            </v:group>
            <v:group style="position:absolute;left:8;top:8;width:1767;height:2" coordorigin="8,8" coordsize="1767,2">
              <v:shape style="position:absolute;left:8;top:8;width:1767;height:2" coordorigin="8,8" coordsize="1767,0" path="m8,8l1775,8e" filled="false" stroked="true" strokeweight=".810405pt" strokecolor="#000000">
                <v:path arrowok="t"/>
              </v:shape>
            </v:group>
          </v:group>
        </w:pict>
      </w:r>
      <w:r>
        <w:rPr>
          <w:rFonts w:ascii="宋体"/>
          <w:spacing w:val="127"/>
          <w:sz w:val="2"/>
        </w:rPr>
      </w:r>
    </w:p>
    <w:p>
      <w:pPr>
        <w:spacing w:line="240" w:lineRule="auto" w:before="0"/>
        <w:rPr>
          <w:rFonts w:ascii="宋体" w:hAnsi="宋体" w:cs="宋体" w:eastAsia="宋体" w:hint="default"/>
          <w:sz w:val="18"/>
          <w:szCs w:val="18"/>
        </w:rPr>
      </w:pPr>
    </w:p>
    <w:tbl>
      <w:tblPr>
        <w:tblW w:w="0" w:type="auto"/>
        <w:jc w:val="left"/>
        <w:tblInd w:w="219" w:type="dxa"/>
        <w:tblLayout w:type="fixed"/>
        <w:tblCellMar>
          <w:top w:w="0" w:type="dxa"/>
          <w:left w:w="0" w:type="dxa"/>
          <w:bottom w:w="0" w:type="dxa"/>
          <w:right w:w="0" w:type="dxa"/>
        </w:tblCellMar>
        <w:tblLook w:val="01E0"/>
      </w:tblPr>
      <w:tblGrid>
        <w:gridCol w:w="2679"/>
        <w:gridCol w:w="1701"/>
        <w:gridCol w:w="2008"/>
        <w:gridCol w:w="150"/>
        <w:gridCol w:w="1766"/>
      </w:tblGrid>
      <w:tr>
        <w:trPr>
          <w:trHeight w:val="33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流动负债：</w:t>
            </w:r>
            <w:r>
              <w:rPr>
                <w:rFonts w:ascii="Microsoft JhengHei" w:hAnsi="Microsoft JhengHei" w:cs="Microsoft JhengHei" w:eastAsia="Microsoft JhengHei" w:hint="default"/>
                <w:sz w:val="18"/>
                <w:szCs w:val="18"/>
              </w:rPr>
            </w:r>
          </w:p>
        </w:tc>
        <w:tc>
          <w:tcPr>
            <w:tcW w:w="5626" w:type="dxa"/>
            <w:gridSpan w:val="4"/>
            <w:tcBorders>
              <w:top w:val="nil" w:sz="6" w:space="0" w:color="auto"/>
              <w:left w:val="nil" w:sz="6" w:space="0" w:color="auto"/>
              <w:bottom w:val="nil" w:sz="6" w:space="0" w:color="auto"/>
              <w:right w:val="nil" w:sz="6" w:space="0" w:color="auto"/>
            </w:tcBorders>
          </w:tcPr>
          <w:p>
            <w:pP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短期借款</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交易性金融负债</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应付票据</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五(十四)</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12,893,051.02</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4,511,502.74</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应付账款</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五(十五)</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27,784,653.19</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8,680,265.28</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预收款项</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五(十六)</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7,796,472.55</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2,462,046.33</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应付职工薪酬</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五(十七)</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5,067,315.86</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3,673,561.61</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应交税费</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五(十八)</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2,044,283.59</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7"/>
              <w:jc w:val="right"/>
              <w:rPr>
                <w:rFonts w:ascii="Arial" w:hAnsi="Arial" w:cs="Arial" w:eastAsia="Arial" w:hint="default"/>
                <w:sz w:val="18"/>
                <w:szCs w:val="18"/>
              </w:rPr>
            </w:pPr>
            <w:r>
              <w:rPr>
                <w:rFonts w:ascii="Arial"/>
                <w:spacing w:val="-1"/>
                <w:sz w:val="18"/>
              </w:rPr>
              <w:t>1,099,700.46</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应付股利</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其他应付款</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五(十九)</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2,029,006.81</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1,508,016.36</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一年内到期的非流动负债</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73"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其他流动负债</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w w:val="105"/>
                <w:sz w:val="18"/>
                <w:szCs w:val="18"/>
              </w:rPr>
              <w:t>流动负债合计</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1"/>
                <w:sz w:val="18"/>
              </w:rPr>
              <w:t>57,614,783.02</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1"/>
                <w:sz w:val="18"/>
              </w:rPr>
              <w:t>21,935,092.78</w:t>
            </w:r>
            <w:r>
              <w:rPr>
                <w:rFonts w:ascii="Arial"/>
                <w:sz w:val="18"/>
              </w:rPr>
            </w:r>
          </w:p>
        </w:tc>
      </w:tr>
      <w:tr>
        <w:trPr>
          <w:trHeight w:val="584"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非流动负债：</w:t>
            </w:r>
            <w:r>
              <w:rPr>
                <w:rFonts w:ascii="Microsoft JhengHei" w:hAnsi="Microsoft JhengHei" w:cs="Microsoft JhengHei" w:eastAsia="Microsoft JhengHei"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长期借款</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应付债券</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长期应付款</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专项应付款</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预计负债</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递延所得税负债</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73"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其他非流动负债</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五(二十)</w:t>
            </w:r>
          </w:p>
        </w:tc>
        <w:tc>
          <w:tcPr>
            <w:tcW w:w="2008"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3,850,000.00</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1,000,000.00</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w w:val="105"/>
                <w:sz w:val="18"/>
                <w:szCs w:val="18"/>
              </w:rPr>
              <w:t>非流动负债合计</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3,850,000.00</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1,000,000.00</w:t>
            </w:r>
            <w:r>
              <w:rPr>
                <w:rFonts w:ascii="Arial"/>
                <w:sz w:val="18"/>
              </w:rPr>
            </w:r>
          </w:p>
        </w:tc>
      </w:tr>
      <w:tr>
        <w:trPr>
          <w:trHeight w:val="314"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5" w:right="0"/>
              <w:jc w:val="left"/>
              <w:rPr>
                <w:rFonts w:ascii="宋体" w:hAnsi="宋体" w:cs="宋体" w:eastAsia="宋体" w:hint="default"/>
                <w:sz w:val="18"/>
                <w:szCs w:val="18"/>
              </w:rPr>
            </w:pPr>
            <w:r>
              <w:rPr>
                <w:rFonts w:ascii="宋体" w:hAnsi="宋体" w:cs="宋体" w:eastAsia="宋体" w:hint="default"/>
                <w:w w:val="105"/>
                <w:sz w:val="18"/>
                <w:szCs w:val="18"/>
              </w:rPr>
              <w:t>负债合计</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right="87"/>
              <w:jc w:val="right"/>
              <w:rPr>
                <w:rFonts w:ascii="Arial" w:hAnsi="Arial" w:cs="Arial" w:eastAsia="Arial" w:hint="default"/>
                <w:sz w:val="18"/>
                <w:szCs w:val="18"/>
              </w:rPr>
            </w:pPr>
            <w:r>
              <w:rPr>
                <w:rFonts w:ascii="Arial"/>
                <w:spacing w:val="-1"/>
                <w:sz w:val="18"/>
              </w:rPr>
              <w:t>61,464,783.02</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right="87"/>
              <w:jc w:val="right"/>
              <w:rPr>
                <w:rFonts w:ascii="Arial" w:hAnsi="Arial" w:cs="Arial" w:eastAsia="Arial" w:hint="default"/>
                <w:sz w:val="18"/>
                <w:szCs w:val="18"/>
              </w:rPr>
            </w:pPr>
            <w:r>
              <w:rPr>
                <w:rFonts w:ascii="Arial"/>
                <w:spacing w:val="-1"/>
                <w:sz w:val="18"/>
              </w:rPr>
              <w:t>22,935,092.78</w:t>
            </w:r>
            <w:r>
              <w:rPr>
                <w:rFonts w:ascii="Arial"/>
                <w:sz w:val="18"/>
              </w:rPr>
            </w:r>
          </w:p>
        </w:tc>
      </w:tr>
      <w:tr>
        <w:trPr>
          <w:trHeight w:val="580"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股东权益：</w:t>
            </w:r>
            <w:r>
              <w:rPr>
                <w:rFonts w:ascii="Microsoft JhengHei" w:hAnsi="Microsoft JhengHei" w:cs="Microsoft JhengHei" w:eastAsia="Microsoft JhengHei"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nil" w:sz="6" w:space="0" w:color="auto"/>
              <w:right w:val="nil" w:sz="6" w:space="0" w:color="auto"/>
            </w:tcBorders>
          </w:tcPr>
          <w:p>
            <w:pP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股本</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五(二十一)</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63,500,000.00</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47,500,000.00</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资本公积</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五(二十二)</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692,720,393.65</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62,385,459.32</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减：库存股</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专项储备</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盈余公积</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五(二十三)</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7,020,701.36</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4,376,663.12</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未分配利润</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center"/>
              <w:rPr>
                <w:rFonts w:ascii="宋体" w:hAnsi="宋体" w:cs="宋体" w:eastAsia="宋体" w:hint="default"/>
                <w:sz w:val="18"/>
                <w:szCs w:val="18"/>
              </w:rPr>
            </w:pPr>
            <w:r>
              <w:rPr>
                <w:rFonts w:ascii="宋体" w:hAnsi="宋体" w:cs="宋体" w:eastAsia="宋体" w:hint="default"/>
                <w:sz w:val="18"/>
                <w:szCs w:val="18"/>
              </w:rPr>
              <w:t>五(二十四)</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108,763,910.61</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53,513,503.59</w:t>
            </w:r>
            <w:r>
              <w:rPr>
                <w:rFonts w:ascii="Arial"/>
                <w:sz w:val="18"/>
              </w:rPr>
            </w:r>
          </w:p>
        </w:tc>
      </w:tr>
      <w:tr>
        <w:trPr>
          <w:trHeight w:val="273"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24" w:lineRule="exact"/>
              <w:ind w:left="140" w:right="0"/>
              <w:jc w:val="left"/>
              <w:rPr>
                <w:rFonts w:ascii="宋体" w:hAnsi="宋体" w:cs="宋体" w:eastAsia="宋体" w:hint="default"/>
                <w:sz w:val="18"/>
                <w:szCs w:val="18"/>
              </w:rPr>
            </w:pPr>
            <w:r>
              <w:rPr>
                <w:rFonts w:ascii="宋体" w:hAnsi="宋体" w:cs="宋体" w:eastAsia="宋体" w:hint="default"/>
                <w:w w:val="105"/>
                <w:sz w:val="18"/>
                <w:szCs w:val="18"/>
              </w:rPr>
              <w:t>外币报表折算差额</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w w:val="105"/>
                <w:sz w:val="18"/>
                <w:szCs w:val="18"/>
              </w:rPr>
              <w:t>归属于母公司股东权益</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872,005,005.62</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167,775,626.03</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0" w:right="0"/>
              <w:jc w:val="left"/>
              <w:rPr>
                <w:rFonts w:ascii="宋体" w:hAnsi="宋体" w:cs="宋体" w:eastAsia="宋体" w:hint="default"/>
                <w:sz w:val="18"/>
                <w:szCs w:val="18"/>
              </w:rPr>
            </w:pPr>
            <w:r>
              <w:rPr>
                <w:rFonts w:ascii="宋体" w:hAnsi="宋体" w:cs="宋体" w:eastAsia="宋体" w:hint="default"/>
                <w:w w:val="105"/>
                <w:sz w:val="18"/>
                <w:szCs w:val="18"/>
              </w:rPr>
              <w:t>少数股东权益</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95"/>
              <w:jc w:val="right"/>
              <w:rPr>
                <w:rFonts w:ascii="Arial" w:hAnsi="Arial" w:cs="Arial" w:eastAsia="Arial" w:hint="default"/>
                <w:sz w:val="18"/>
                <w:szCs w:val="18"/>
              </w:rPr>
            </w:pPr>
            <w:r>
              <w:rPr>
                <w:rFonts w:ascii="Arial"/>
                <w:w w:val="103"/>
                <w:sz w:val="18"/>
              </w:rPr>
              <w:t>-</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95"/>
              <w:jc w:val="right"/>
              <w:rPr>
                <w:rFonts w:ascii="Arial" w:hAnsi="Arial" w:cs="Arial" w:eastAsia="Arial" w:hint="default"/>
                <w:sz w:val="18"/>
                <w:szCs w:val="18"/>
              </w:rPr>
            </w:pPr>
            <w:r>
              <w:rPr>
                <w:rFonts w:ascii="Arial"/>
                <w:w w:val="103"/>
                <w:sz w:val="18"/>
              </w:rPr>
              <w:t>-</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w w:val="105"/>
                <w:sz w:val="18"/>
                <w:szCs w:val="18"/>
              </w:rPr>
              <w:t>股东权益合计</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872,005,005.62</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167,775,626.03</w:t>
            </w:r>
            <w:r>
              <w:rPr>
                <w:rFonts w:ascii="Arial"/>
                <w:sz w:val="18"/>
              </w:rPr>
            </w:r>
          </w:p>
        </w:tc>
      </w:tr>
      <w:tr>
        <w:trPr>
          <w:trHeight w:val="286" w:hRule="exact"/>
        </w:trPr>
        <w:tc>
          <w:tcPr>
            <w:tcW w:w="2679"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6" w:space="0" w:color="000000"/>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
        </w:tc>
      </w:tr>
      <w:tr>
        <w:trPr>
          <w:trHeight w:val="314"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负债和股东权益总计</w:t>
            </w:r>
            <w:r>
              <w:rPr>
                <w:rFonts w:ascii="Microsoft JhengHei" w:hAnsi="Microsoft JhengHei" w:cs="Microsoft JhengHei" w:eastAsia="Microsoft JhengHei"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right="87"/>
              <w:jc w:val="right"/>
              <w:rPr>
                <w:rFonts w:ascii="Arial" w:hAnsi="Arial" w:cs="Arial" w:eastAsia="Arial" w:hint="default"/>
                <w:sz w:val="18"/>
                <w:szCs w:val="18"/>
              </w:rPr>
            </w:pPr>
            <w:r>
              <w:rPr>
                <w:rFonts w:ascii="Arial"/>
                <w:spacing w:val="-1"/>
                <w:sz w:val="18"/>
              </w:rPr>
              <w:t>933,469,788.64</w:t>
            </w:r>
            <w:r>
              <w:rPr>
                <w:rFonts w:ascii="Arial"/>
                <w:sz w:val="18"/>
              </w:rPr>
            </w:r>
          </w:p>
        </w:tc>
        <w:tc>
          <w:tcPr>
            <w:tcW w:w="150" w:type="dxa"/>
            <w:tcBorders>
              <w:top w:val="nil" w:sz="6" w:space="0" w:color="auto"/>
              <w:left w:val="nil" w:sz="6" w:space="0" w:color="auto"/>
              <w:bottom w:val="nil" w:sz="6" w:space="0" w:color="auto"/>
              <w:right w:val="nil" w:sz="6" w:space="0" w:color="auto"/>
            </w:tcBorders>
          </w:tcPr>
          <w:p>
            <w:pPr/>
          </w:p>
        </w:tc>
        <w:tc>
          <w:tcPr>
            <w:tcW w:w="1766"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right="87"/>
              <w:jc w:val="right"/>
              <w:rPr>
                <w:rFonts w:ascii="Arial" w:hAnsi="Arial" w:cs="Arial" w:eastAsia="Arial" w:hint="default"/>
                <w:sz w:val="18"/>
                <w:szCs w:val="18"/>
              </w:rPr>
            </w:pPr>
            <w:r>
              <w:rPr>
                <w:rFonts w:ascii="Arial"/>
                <w:spacing w:val="-1"/>
                <w:sz w:val="18"/>
              </w:rPr>
              <w:t>190,710,718.81</w:t>
            </w:r>
            <w:r>
              <w:rPr>
                <w:rFonts w:ascii="Arial"/>
                <w:sz w:val="18"/>
              </w:rPr>
            </w:r>
          </w:p>
        </w:tc>
      </w:tr>
    </w:tbl>
    <w:p>
      <w:pPr>
        <w:spacing w:line="240" w:lineRule="auto" w:before="9"/>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16.05pt;height:.85pt;mso-position-horizontal-relative:char;mso-position-vertical-relative:line" coordorigin="0,0" coordsize="8321,17">
            <v:group style="position:absolute;left:9;top:1;width:8303;height:2" coordorigin="9,1" coordsize="8303,2">
              <v:shape style="position:absolute;left:9;top:1;width:8303;height:2" coordorigin="9,1" coordsize="8303,0" path="m9,1l8312,1e" filled="false" stroked="true" strokeweight=".118184pt" strokecolor="#000000">
                <v:path arrowok="t"/>
              </v:shape>
            </v:group>
            <v:group style="position:absolute;left:8;top:8;width:8305;height:2" coordorigin="8,8" coordsize="8305,2">
              <v:shape style="position:absolute;left:8;top:8;width:8305;height:2" coordorigin="8,8" coordsize="8305,0" path="m8,8l8313,8e" filled="false" stroked="true" strokeweight=".81042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tabs>
          <w:tab w:pos="2433" w:val="left" w:leader="none"/>
          <w:tab w:pos="6201" w:val="left" w:leader="none"/>
        </w:tabs>
        <w:spacing w:before="38"/>
        <w:ind w:left="307" w:right="176" w:firstLine="0"/>
        <w:jc w:val="left"/>
        <w:rPr>
          <w:rFonts w:ascii="宋体" w:hAnsi="宋体" w:cs="宋体" w:eastAsia="宋体" w:hint="default"/>
          <w:sz w:val="18"/>
          <w:szCs w:val="18"/>
        </w:rPr>
      </w:pPr>
      <w:r>
        <w:rPr/>
        <w:pict>
          <v:group style="position:absolute;margin-left:307.603394pt;margin-top:-54.455307pt;width:101.25pt;height:.85pt;mso-position-horizontal-relative:page;mso-position-vertical-relative:paragraph;z-index:-680776" coordorigin="6152,-1089" coordsize="2025,17">
            <v:group style="position:absolute;left:6161;top:-1088;width:2007;height:2" coordorigin="6161,-1088" coordsize="2007,2">
              <v:shape style="position:absolute;left:6161;top:-1088;width:2007;height:2" coordorigin="6161,-1088" coordsize="2007,0" path="m6161,-1088l8167,-1088e" filled="false" stroked="true" strokeweight=".118184pt" strokecolor="#000000">
                <v:path arrowok="t"/>
              </v:shape>
            </v:group>
            <v:group style="position:absolute;left:6160;top:-1081;width:2008;height:2" coordorigin="6160,-1081" coordsize="2008,2">
              <v:shape style="position:absolute;left:6160;top:-1081;width:2008;height:2" coordorigin="6160,-1081" coordsize="2008,0" path="m6160,-1081l8168,-1081e" filled="false" stroked="true" strokeweight=".810422pt" strokecolor="#000000">
                <v:path arrowok="t"/>
              </v:shape>
            </v:group>
            <w10:wrap type="none"/>
          </v:group>
        </w:pict>
      </w:r>
      <w:r>
        <w:rPr/>
        <w:pict>
          <v:group style="position:absolute;margin-left:308.008606pt;margin-top:-25.677471pt;width:100.4pt;height:.1pt;mso-position-horizontal-relative:page;mso-position-vertical-relative:paragraph;z-index:-680752" coordorigin="6160,-514" coordsize="2008,2">
            <v:shape style="position:absolute;left:6160;top:-514;width:2008;height:2" coordorigin="6160,-514" coordsize="2008,0" path="m6160,-514l8168,-514e" filled="false" stroked="true" strokeweight=".810371pt" strokecolor="#000000">
              <v:path arrowok="t"/>
            </v:shape>
            <w10:wrap type="none"/>
          </v:group>
        </w:pict>
      </w:r>
      <w:r>
        <w:rPr/>
        <w:pict>
          <v:group style="position:absolute;margin-left:415.92746pt;margin-top:-25.677471pt;width:88.35pt;height:.1pt;mso-position-horizontal-relative:page;mso-position-vertical-relative:paragraph;z-index:-680704" coordorigin="8319,-514" coordsize="1767,2">
            <v:shape style="position:absolute;left:8319;top:-514;width:1767;height:2" coordorigin="8319,-514" coordsize="1767,0" path="m8319,-514l10085,-514e" filled="false" stroked="true" strokeweight=".810371pt" strokecolor="#000000">
              <v:path arrowok="t"/>
            </v:shape>
            <w10:wrap type="none"/>
          </v:group>
        </w:pict>
      </w:r>
      <w:r>
        <w:rPr>
          <w:rFonts w:ascii="宋体" w:hAnsi="宋体" w:cs="宋体" w:eastAsia="宋体" w:hint="default"/>
          <w:sz w:val="18"/>
          <w:szCs w:val="18"/>
        </w:rPr>
        <w:t>公司负责人：刘祥</w:t>
        <w:tab/>
        <w:t>主管会计工作负责人：赵辉</w:t>
        <w:tab/>
      </w:r>
      <w:r>
        <w:rPr>
          <w:rFonts w:ascii="宋体" w:hAnsi="宋体" w:cs="宋体" w:eastAsia="宋体" w:hint="default"/>
          <w:w w:val="105"/>
          <w:sz w:val="18"/>
          <w:szCs w:val="18"/>
        </w:rPr>
        <w:t>会计机构负责人：赵辉</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460" w:left="1560" w:right="14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67" w:footer="1267" w:top="1060" w:bottom="1460" w:left="1560" w:right="1440"/>
        </w:sectPr>
      </w:pPr>
    </w:p>
    <w:p>
      <w:pPr>
        <w:pStyle w:val="Heading1"/>
        <w:spacing w:line="422" w:lineRule="exact"/>
        <w:ind w:right="0"/>
        <w:jc w:val="right"/>
      </w:pPr>
      <w:r>
        <w:rPr/>
        <w:t>合并利润表</w:t>
      </w:r>
    </w:p>
    <w:p>
      <w:pPr>
        <w:spacing w:before="102"/>
        <w:ind w:left="0" w:right="458" w:firstLine="0"/>
        <w:jc w:val="right"/>
        <w:rPr>
          <w:rFonts w:ascii="宋体" w:hAnsi="宋体" w:cs="宋体" w:eastAsia="宋体" w:hint="default"/>
          <w:sz w:val="19"/>
          <w:szCs w:val="19"/>
        </w:rPr>
      </w:pPr>
      <w:r>
        <w:rPr>
          <w:rFonts w:ascii="宋体" w:hAnsi="宋体" w:cs="宋体" w:eastAsia="宋体" w:hint="default"/>
          <w:spacing w:val="-1"/>
          <w:w w:val="105"/>
          <w:sz w:val="19"/>
          <w:szCs w:val="19"/>
        </w:rPr>
        <w:t>2010年度</w:t>
      </w:r>
      <w:r>
        <w:rPr>
          <w:rFonts w:ascii="宋体" w:hAnsi="宋体" w:cs="宋体" w:eastAsia="宋体" w:hint="default"/>
          <w:spacing w:val="-1"/>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1939" w:right="0" w:firstLine="0"/>
        <w:jc w:val="left"/>
        <w:rPr>
          <w:rFonts w:ascii="宋体" w:hAnsi="宋体" w:cs="宋体" w:eastAsia="宋体" w:hint="default"/>
          <w:sz w:val="19"/>
          <w:szCs w:val="19"/>
        </w:rPr>
      </w:pPr>
      <w:r>
        <w:rPr>
          <w:rFonts w:ascii="宋体" w:hAnsi="宋体" w:cs="宋体" w:eastAsia="宋体" w:hint="default"/>
          <w:sz w:val="19"/>
          <w:szCs w:val="19"/>
        </w:rPr>
        <w:t>单位：人民币元</w:t>
      </w:r>
    </w:p>
    <w:p>
      <w:pPr>
        <w:spacing w:after="0"/>
        <w:jc w:val="left"/>
        <w:rPr>
          <w:rFonts w:ascii="宋体" w:hAnsi="宋体" w:cs="宋体" w:eastAsia="宋体" w:hint="default"/>
          <w:sz w:val="19"/>
          <w:szCs w:val="19"/>
        </w:rPr>
        <w:sectPr>
          <w:type w:val="continuous"/>
          <w:pgSz w:w="11910" w:h="16840"/>
          <w:pgMar w:top="1060" w:bottom="1460" w:left="1560" w:right="1440"/>
          <w:cols w:num="2" w:equalWidth="0">
            <w:col w:w="5239" w:space="40"/>
            <w:col w:w="3631"/>
          </w:cols>
        </w:sectPr>
      </w:pPr>
    </w:p>
    <w:p>
      <w:pPr>
        <w:spacing w:line="240" w:lineRule="auto" w:before="1"/>
        <w:rPr>
          <w:rFonts w:ascii="宋体" w:hAnsi="宋体" w:cs="宋体" w:eastAsia="宋体" w:hint="default"/>
          <w:sz w:val="23"/>
          <w:szCs w:val="23"/>
        </w:rPr>
      </w:pPr>
    </w:p>
    <w:p>
      <w:pPr>
        <w:tabs>
          <w:tab w:pos="3623" w:val="left" w:leader="none"/>
          <w:tab w:pos="5343" w:val="left" w:leader="none"/>
          <w:tab w:pos="7407" w:val="left" w:leader="none"/>
        </w:tabs>
        <w:spacing w:before="29"/>
        <w:ind w:left="1397" w:right="176" w:firstLine="0"/>
        <w:jc w:val="left"/>
        <w:rPr>
          <w:rFonts w:ascii="宋体" w:hAnsi="宋体" w:cs="宋体" w:eastAsia="宋体" w:hint="default"/>
          <w:sz w:val="19"/>
          <w:szCs w:val="19"/>
        </w:rPr>
      </w:pPr>
      <w:r>
        <w:rPr>
          <w:rFonts w:ascii="宋体" w:hAnsi="宋体" w:cs="宋体" w:eastAsia="宋体" w:hint="default"/>
          <w:w w:val="95"/>
          <w:sz w:val="19"/>
          <w:szCs w:val="19"/>
        </w:rPr>
        <w:t>项目</w:t>
        <w:tab/>
        <w:t>附注</w:t>
        <w:tab/>
        <w:t>本期数</w:t>
        <w:tab/>
      </w:r>
      <w:r>
        <w:rPr>
          <w:rFonts w:ascii="宋体" w:hAnsi="宋体" w:cs="宋体" w:eastAsia="宋体" w:hint="default"/>
          <w:sz w:val="19"/>
          <w:szCs w:val="19"/>
        </w:rPr>
        <w:t>上期数</w:t>
      </w:r>
    </w:p>
    <w:p>
      <w:pPr>
        <w:spacing w:line="240" w:lineRule="auto" w:before="2"/>
        <w:rPr>
          <w:rFonts w:ascii="宋体" w:hAnsi="宋体" w:cs="宋体" w:eastAsia="宋体" w:hint="default"/>
          <w:sz w:val="3"/>
          <w:szCs w:val="3"/>
        </w:rPr>
      </w:pPr>
    </w:p>
    <w:p>
      <w:pPr>
        <w:spacing w:line="20" w:lineRule="exact"/>
        <w:ind w:left="157" w:right="0" w:firstLine="0"/>
        <w:rPr>
          <w:rFonts w:ascii="宋体" w:hAnsi="宋体" w:cs="宋体" w:eastAsia="宋体" w:hint="default"/>
          <w:sz w:val="2"/>
          <w:szCs w:val="2"/>
        </w:rPr>
      </w:pPr>
      <w:r>
        <w:rPr>
          <w:rFonts w:ascii="宋体"/>
          <w:sz w:val="2"/>
        </w:rPr>
        <w:pict>
          <v:group style="width:142.4pt;height:.85pt;mso-position-horizontal-relative:char;mso-position-vertical-relative:line" coordorigin="0,0" coordsize="2848,17">
            <v:group style="position:absolute;left:9;top:1;width:2829;height:2" coordorigin="9,1" coordsize="2829,2">
              <v:shape style="position:absolute;left:9;top:1;width:2829;height:2" coordorigin="9,1" coordsize="2829,0" path="m9,1l2838,1e" filled="false" stroked="true" strokeweight=".119879pt" strokecolor="#000000">
                <v:path arrowok="t"/>
              </v:shape>
            </v:group>
            <v:group style="position:absolute;left:8;top:8;width:2832;height:2" coordorigin="8,8" coordsize="2832,2">
              <v:shape style="position:absolute;left:8;top:8;width:2832;height:2" coordorigin="8,8" coordsize="2832,0" path="m8,8l2839,8e" filled="false" stroked="true" strokeweight=".822029pt" strokecolor="#000000">
                <v:path arrowok="t"/>
              </v:shape>
            </v:group>
          </v:group>
        </w:pict>
      </w:r>
      <w:r>
        <w:rPr>
          <w:rFonts w:ascii="宋体"/>
          <w:sz w:val="2"/>
        </w:rPr>
      </w:r>
      <w:r>
        <w:rPr>
          <w:rFonts w:ascii="Times New Roman"/>
          <w:spacing w:val="168"/>
          <w:sz w:val="2"/>
        </w:rPr>
        <w:t> </w:t>
      </w:r>
      <w:r>
        <w:rPr>
          <w:rFonts w:ascii="宋体"/>
          <w:spacing w:val="168"/>
          <w:sz w:val="2"/>
        </w:rPr>
        <w:pict>
          <v:group style="width:62.65pt;height:.85pt;mso-position-horizontal-relative:char;mso-position-vertical-relative:line" coordorigin="0,0" coordsize="1253,17">
            <v:group style="position:absolute;left:9;top:1;width:1235;height:2" coordorigin="9,1" coordsize="1235,2">
              <v:shape style="position:absolute;left:9;top:1;width:1235;height:2" coordorigin="9,1" coordsize="1235,0" path="m9,1l1243,1e" filled="false" stroked="true" strokeweight=".119879pt" strokecolor="#000000">
                <v:path arrowok="t"/>
              </v:shape>
            </v:group>
            <v:group style="position:absolute;left:8;top:8;width:1237;height:2" coordorigin="8,8" coordsize="1237,2">
              <v:shape style="position:absolute;left:8;top:8;width:1237;height:2" coordorigin="8,8" coordsize="1237,0" path="m8,8l1244,8e" filled="false" stroked="true" strokeweight=".822029pt" strokecolor="#000000">
                <v:path arrowok="t"/>
              </v:shape>
            </v:group>
          </v:group>
        </w:pict>
      </w:r>
      <w:r>
        <w:rPr>
          <w:rFonts w:ascii="宋体"/>
          <w:spacing w:val="168"/>
          <w:sz w:val="2"/>
        </w:rPr>
      </w:r>
      <w:r>
        <w:rPr>
          <w:rFonts w:ascii="Times New Roman"/>
          <w:spacing w:val="156"/>
          <w:sz w:val="2"/>
        </w:rPr>
        <w:t> </w:t>
      </w:r>
      <w:r>
        <w:rPr>
          <w:rFonts w:ascii="宋体"/>
          <w:spacing w:val="156"/>
          <w:sz w:val="2"/>
        </w:rPr>
        <w:pict>
          <v:group style="width:102.55pt;height:.85pt;mso-position-horizontal-relative:char;mso-position-vertical-relative:line" coordorigin="0,0" coordsize="2051,17">
            <v:group style="position:absolute;left:9;top:1;width:2033;height:2" coordorigin="9,1" coordsize="2033,2">
              <v:shape style="position:absolute;left:9;top:1;width:2033;height:2" coordorigin="9,1" coordsize="2033,0" path="m9,1l2042,1e" filled="false" stroked="true" strokeweight=".119879pt" strokecolor="#000000">
                <v:path arrowok="t"/>
              </v:shape>
            </v:group>
            <v:group style="position:absolute;left:8;top:8;width:2035;height:2" coordorigin="8,8" coordsize="2035,2">
              <v:shape style="position:absolute;left:8;top:8;width:2035;height:2" coordorigin="8,8" coordsize="2035,0" path="m8,8l2043,8e" filled="false" stroked="true" strokeweight=".822029pt" strokecolor="#000000">
                <v:path arrowok="t"/>
              </v:shape>
            </v:group>
          </v:group>
        </w:pict>
      </w:r>
      <w:r>
        <w:rPr>
          <w:rFonts w:ascii="宋体"/>
          <w:spacing w:val="156"/>
          <w:sz w:val="2"/>
        </w:rPr>
      </w:r>
      <w:r>
        <w:rPr>
          <w:rFonts w:ascii="Times New Roman"/>
          <w:spacing w:val="130"/>
          <w:sz w:val="2"/>
        </w:rPr>
        <w:t> </w:t>
      </w:r>
      <w:r>
        <w:rPr>
          <w:rFonts w:ascii="宋体"/>
          <w:spacing w:val="130"/>
          <w:sz w:val="2"/>
        </w:rPr>
        <w:pict>
          <v:group style="width:90.35pt;height:.85pt;mso-position-horizontal-relative:char;mso-position-vertical-relative:line" coordorigin="0,0" coordsize="1807,17">
            <v:group style="position:absolute;left:9;top:1;width:1788;height:2" coordorigin="9,1" coordsize="1788,2">
              <v:shape style="position:absolute;left:9;top:1;width:1788;height:2" coordorigin="9,1" coordsize="1788,0" path="m9,1l1797,1e" filled="false" stroked="true" strokeweight=".119879pt" strokecolor="#000000">
                <v:path arrowok="t"/>
              </v:shape>
            </v:group>
            <v:group style="position:absolute;left:8;top:8;width:1790;height:2" coordorigin="8,8" coordsize="1790,2">
              <v:shape style="position:absolute;left:8;top:8;width:1790;height:2" coordorigin="8,8" coordsize="1790,0" path="m8,8l1798,8e" filled="false" stroked="true" strokeweight=".822029pt" strokecolor="#000000">
                <v:path arrowok="t"/>
              </v:shape>
            </v:group>
          </v:group>
        </w:pict>
      </w:r>
      <w:r>
        <w:rPr>
          <w:rFonts w:ascii="宋体"/>
          <w:spacing w:val="13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7542" w:val="left" w:leader="none"/>
        </w:tabs>
        <w:spacing w:before="0"/>
        <w:ind w:left="5600" w:right="176" w:firstLine="0"/>
        <w:jc w:val="left"/>
        <w:rPr>
          <w:rFonts w:ascii="Arial" w:hAnsi="Arial" w:cs="Arial" w:eastAsia="Arial" w:hint="default"/>
          <w:sz w:val="19"/>
          <w:szCs w:val="19"/>
        </w:rPr>
      </w:pPr>
      <w:r>
        <w:rPr/>
        <w:pict>
          <v:shape style="position:absolute;margin-left:86.269669pt;margin-top:-170.219742pt;width:420.75pt;height:292.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634"/>
                    <w:gridCol w:w="2035"/>
                    <w:gridCol w:w="152"/>
                    <w:gridCol w:w="1790"/>
                  </w:tblGrid>
                  <w:tr>
                    <w:trPr>
                      <w:trHeight w:val="339"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2"/>
                            <w:sz w:val="19"/>
                            <w:szCs w:val="19"/>
                          </w:rPr>
                          <w:t>一、营业收入</w:t>
                        </w:r>
                        <w:r>
                          <w:rPr>
                            <w:rFonts w:ascii="Microsoft JhengHei" w:hAnsi="Microsoft JhengHei" w:cs="Microsoft JhengHei" w:eastAsia="Microsoft JhengHei" w:hint="default"/>
                            <w:sz w:val="19"/>
                            <w:szCs w:val="19"/>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2" w:right="0"/>
                          <w:jc w:val="center"/>
                          <w:rPr>
                            <w:rFonts w:ascii="宋体" w:hAnsi="宋体" w:cs="宋体" w:eastAsia="宋体" w:hint="default"/>
                            <w:sz w:val="19"/>
                            <w:szCs w:val="19"/>
                          </w:rPr>
                        </w:pPr>
                        <w:r>
                          <w:rPr>
                            <w:rFonts w:ascii="宋体" w:hAnsi="宋体" w:cs="宋体" w:eastAsia="宋体" w:hint="default"/>
                            <w:sz w:val="19"/>
                            <w:szCs w:val="19"/>
                          </w:rPr>
                          <w:t>五(二十五)</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8"/>
                          <w:jc w:val="right"/>
                          <w:rPr>
                            <w:rFonts w:ascii="Arial" w:hAnsi="Arial" w:cs="Arial" w:eastAsia="Arial" w:hint="default"/>
                            <w:sz w:val="19"/>
                            <w:szCs w:val="19"/>
                          </w:rPr>
                        </w:pPr>
                        <w:r>
                          <w:rPr>
                            <w:rFonts w:ascii="Arial"/>
                            <w:spacing w:val="-1"/>
                            <w:w w:val="95"/>
                            <w:sz w:val="19"/>
                          </w:rPr>
                          <w:t>208,527,076.74</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537" w:right="0"/>
                          <w:jc w:val="left"/>
                          <w:rPr>
                            <w:rFonts w:ascii="Arial" w:hAnsi="Arial" w:cs="Arial" w:eastAsia="Arial" w:hint="default"/>
                            <w:sz w:val="19"/>
                            <w:szCs w:val="19"/>
                          </w:rPr>
                        </w:pPr>
                        <w:r>
                          <w:rPr>
                            <w:rFonts w:ascii="Arial"/>
                            <w:sz w:val="19"/>
                          </w:rPr>
                          <w:t>139,734,761.37</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9"/>
                            <w:szCs w:val="19"/>
                          </w:rPr>
                        </w:pPr>
                        <w:r>
                          <w:rPr>
                            <w:rFonts w:ascii="宋体" w:hAnsi="宋体" w:cs="宋体" w:eastAsia="宋体" w:hint="default"/>
                            <w:sz w:val="19"/>
                            <w:szCs w:val="19"/>
                          </w:rPr>
                          <w:t>其中：营业收入</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五(二十四)</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208,527,076.74</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37" w:right="0"/>
                          <w:jc w:val="left"/>
                          <w:rPr>
                            <w:rFonts w:ascii="Arial" w:hAnsi="Arial" w:cs="Arial" w:eastAsia="Arial" w:hint="default"/>
                            <w:sz w:val="19"/>
                            <w:szCs w:val="19"/>
                          </w:rPr>
                        </w:pPr>
                        <w:r>
                          <w:rPr>
                            <w:rFonts w:ascii="Arial"/>
                            <w:sz w:val="19"/>
                          </w:rPr>
                          <w:t>139,734,761.37</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二、营业总成本</w:t>
                        </w:r>
                        <w:r>
                          <w:rPr>
                            <w:rFonts w:ascii="Microsoft JhengHei" w:hAnsi="Microsoft JhengHei" w:cs="Microsoft JhengHei" w:eastAsia="Microsoft JhengHei" w:hint="default"/>
                            <w:sz w:val="19"/>
                            <w:szCs w:val="19"/>
                          </w:rPr>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五(二十四)</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160,629,595.84</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37" w:right="0"/>
                          <w:jc w:val="left"/>
                          <w:rPr>
                            <w:rFonts w:ascii="Arial" w:hAnsi="Arial" w:cs="Arial" w:eastAsia="Arial" w:hint="default"/>
                            <w:sz w:val="19"/>
                            <w:szCs w:val="19"/>
                          </w:rPr>
                        </w:pPr>
                        <w:r>
                          <w:rPr>
                            <w:rFonts w:ascii="Arial"/>
                            <w:sz w:val="19"/>
                          </w:rPr>
                          <w:t>105,500,723.73</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141" w:right="0"/>
                          <w:jc w:val="left"/>
                          <w:rPr>
                            <w:rFonts w:ascii="宋体" w:hAnsi="宋体" w:cs="宋体" w:eastAsia="宋体" w:hint="default"/>
                            <w:sz w:val="19"/>
                            <w:szCs w:val="19"/>
                          </w:rPr>
                        </w:pPr>
                        <w:r>
                          <w:rPr>
                            <w:rFonts w:ascii="宋体" w:hAnsi="宋体" w:cs="宋体" w:eastAsia="宋体" w:hint="default"/>
                            <w:sz w:val="19"/>
                            <w:szCs w:val="19"/>
                          </w:rPr>
                          <w:t>减：营业成本</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五(二十五)</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97,995,951.11</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641" w:right="0"/>
                          <w:jc w:val="left"/>
                          <w:rPr>
                            <w:rFonts w:ascii="Arial" w:hAnsi="Arial" w:cs="Arial" w:eastAsia="Arial" w:hint="default"/>
                            <w:sz w:val="19"/>
                            <w:szCs w:val="19"/>
                          </w:rPr>
                        </w:pPr>
                        <w:r>
                          <w:rPr>
                            <w:rFonts w:ascii="Arial"/>
                            <w:sz w:val="19"/>
                          </w:rPr>
                          <w:t>57,791,563.40</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宋体" w:hAnsi="宋体" w:cs="宋体" w:eastAsia="宋体" w:hint="default"/>
                            <w:sz w:val="19"/>
                            <w:szCs w:val="19"/>
                          </w:rPr>
                        </w:pPr>
                        <w:r>
                          <w:rPr>
                            <w:rFonts w:ascii="宋体" w:hAnsi="宋体" w:cs="宋体" w:eastAsia="宋体" w:hint="default"/>
                            <w:sz w:val="19"/>
                            <w:szCs w:val="19"/>
                          </w:rPr>
                          <w:t>营业税金及附加</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五(二十六)</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1,587,935.55</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736" w:right="0"/>
                          <w:jc w:val="left"/>
                          <w:rPr>
                            <w:rFonts w:ascii="Arial" w:hAnsi="Arial" w:cs="Arial" w:eastAsia="Arial" w:hint="default"/>
                            <w:sz w:val="19"/>
                            <w:szCs w:val="19"/>
                          </w:rPr>
                        </w:pPr>
                        <w:r>
                          <w:rPr>
                            <w:rFonts w:ascii="Arial"/>
                            <w:sz w:val="19"/>
                          </w:rPr>
                          <w:t>1,201,724.31</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宋体" w:hAnsi="宋体" w:cs="宋体" w:eastAsia="宋体" w:hint="default"/>
                            <w:sz w:val="19"/>
                            <w:szCs w:val="19"/>
                          </w:rPr>
                        </w:pPr>
                        <w:r>
                          <w:rPr>
                            <w:rFonts w:ascii="宋体" w:hAnsi="宋体" w:cs="宋体" w:eastAsia="宋体" w:hint="default"/>
                            <w:sz w:val="19"/>
                            <w:szCs w:val="19"/>
                          </w:rPr>
                          <w:t>销售费用</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五(二十七)</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30,528,646.44</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631" w:right="0"/>
                          <w:jc w:val="left"/>
                          <w:rPr>
                            <w:rFonts w:ascii="Arial" w:hAnsi="Arial" w:cs="Arial" w:eastAsia="Arial" w:hint="default"/>
                            <w:sz w:val="19"/>
                            <w:szCs w:val="19"/>
                          </w:rPr>
                        </w:pPr>
                        <w:r>
                          <w:rPr>
                            <w:rFonts w:ascii="Arial"/>
                            <w:sz w:val="19"/>
                          </w:rPr>
                          <w:t>21,888,958.65</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宋体" w:hAnsi="宋体" w:cs="宋体" w:eastAsia="宋体" w:hint="default"/>
                            <w:sz w:val="19"/>
                            <w:szCs w:val="19"/>
                          </w:rPr>
                        </w:pPr>
                        <w:r>
                          <w:rPr>
                            <w:rFonts w:ascii="宋体" w:hAnsi="宋体" w:cs="宋体" w:eastAsia="宋体" w:hint="default"/>
                            <w:sz w:val="19"/>
                            <w:szCs w:val="19"/>
                          </w:rPr>
                          <w:t>管理费用</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五(二十七)</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31,296,596.55</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631" w:right="0"/>
                          <w:jc w:val="left"/>
                          <w:rPr>
                            <w:rFonts w:ascii="Arial" w:hAnsi="Arial" w:cs="Arial" w:eastAsia="Arial" w:hint="default"/>
                            <w:sz w:val="19"/>
                            <w:szCs w:val="19"/>
                          </w:rPr>
                        </w:pPr>
                        <w:r>
                          <w:rPr>
                            <w:rFonts w:ascii="Arial"/>
                            <w:sz w:val="19"/>
                          </w:rPr>
                          <w:t>24,875,754.35</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宋体" w:hAnsi="宋体" w:cs="宋体" w:eastAsia="宋体" w:hint="default"/>
                            <w:sz w:val="19"/>
                            <w:szCs w:val="19"/>
                          </w:rPr>
                        </w:pPr>
                        <w:r>
                          <w:rPr>
                            <w:rFonts w:ascii="宋体" w:hAnsi="宋体" w:cs="宋体" w:eastAsia="宋体" w:hint="default"/>
                            <w:sz w:val="19"/>
                            <w:szCs w:val="19"/>
                          </w:rPr>
                          <w:t>财务费用</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五(二十七)</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
                          <w:jc w:val="right"/>
                          <w:rPr>
                            <w:rFonts w:ascii="Arial" w:hAnsi="Arial" w:cs="Arial" w:eastAsia="Arial" w:hint="default"/>
                            <w:sz w:val="19"/>
                            <w:szCs w:val="19"/>
                          </w:rPr>
                        </w:pPr>
                        <w:r>
                          <w:rPr>
                            <w:rFonts w:ascii="Arial"/>
                            <w:spacing w:val="-1"/>
                            <w:w w:val="95"/>
                            <w:sz w:val="19"/>
                          </w:rPr>
                          <w:t>(3,135,496.74)</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831" w:right="0"/>
                          <w:jc w:val="left"/>
                          <w:rPr>
                            <w:rFonts w:ascii="Arial" w:hAnsi="Arial" w:cs="Arial" w:eastAsia="Arial" w:hint="default"/>
                            <w:sz w:val="19"/>
                            <w:szCs w:val="19"/>
                          </w:rPr>
                        </w:pPr>
                        <w:r>
                          <w:rPr>
                            <w:rFonts w:ascii="Arial"/>
                            <w:sz w:val="19"/>
                          </w:rPr>
                          <w:t>(373,747.35)</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宋体" w:hAnsi="宋体" w:cs="宋体" w:eastAsia="宋体" w:hint="default"/>
                            <w:sz w:val="19"/>
                            <w:szCs w:val="19"/>
                          </w:rPr>
                        </w:pPr>
                        <w:r>
                          <w:rPr>
                            <w:rFonts w:ascii="宋体" w:hAnsi="宋体" w:cs="宋体" w:eastAsia="宋体" w:hint="default"/>
                            <w:sz w:val="19"/>
                            <w:szCs w:val="19"/>
                          </w:rPr>
                          <w:t>资产减值损失</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0" w:right="0"/>
                          <w:jc w:val="center"/>
                          <w:rPr>
                            <w:rFonts w:ascii="宋体" w:hAnsi="宋体" w:cs="宋体" w:eastAsia="宋体" w:hint="default"/>
                            <w:sz w:val="19"/>
                            <w:szCs w:val="19"/>
                          </w:rPr>
                        </w:pPr>
                        <w:r>
                          <w:rPr>
                            <w:rFonts w:ascii="宋体" w:hAnsi="宋体" w:cs="宋体" w:eastAsia="宋体" w:hint="default"/>
                            <w:sz w:val="19"/>
                            <w:szCs w:val="19"/>
                          </w:rPr>
                          <w:t>五（二十八)</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2,355,962.93</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894" w:right="0"/>
                          <w:jc w:val="left"/>
                          <w:rPr>
                            <w:rFonts w:ascii="Arial" w:hAnsi="Arial" w:cs="Arial" w:eastAsia="Arial" w:hint="default"/>
                            <w:sz w:val="19"/>
                            <w:szCs w:val="19"/>
                          </w:rPr>
                        </w:pPr>
                        <w:r>
                          <w:rPr>
                            <w:rFonts w:ascii="Arial"/>
                            <w:sz w:val="19"/>
                          </w:rPr>
                          <w:t>116,470.37</w:t>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141" w:right="0"/>
                          <w:jc w:val="left"/>
                          <w:rPr>
                            <w:rFonts w:ascii="宋体" w:hAnsi="宋体" w:cs="宋体" w:eastAsia="宋体" w:hint="default"/>
                            <w:sz w:val="19"/>
                            <w:szCs w:val="19"/>
                          </w:rPr>
                        </w:pPr>
                        <w:r>
                          <w:rPr>
                            <w:rFonts w:ascii="宋体" w:hAnsi="宋体" w:cs="宋体" w:eastAsia="宋体" w:hint="default"/>
                            <w:sz w:val="19"/>
                            <w:szCs w:val="19"/>
                          </w:rPr>
                          <w:t>加：公允价值变动收益</w:t>
                        </w:r>
                      </w:p>
                    </w:tc>
                    <w:tc>
                      <w:tcPr>
                        <w:tcW w:w="1634"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9"/>
                          <w:jc w:val="right"/>
                          <w:rPr>
                            <w:rFonts w:ascii="Arial" w:hAnsi="Arial" w:cs="Arial" w:eastAsia="Arial" w:hint="default"/>
                            <w:sz w:val="19"/>
                            <w:szCs w:val="19"/>
                          </w:rPr>
                        </w:pPr>
                        <w:r>
                          <w:rPr>
                            <w:rFonts w:ascii="Arial"/>
                            <w:w w:val="99"/>
                            <w:sz w:val="19"/>
                          </w:rPr>
                          <w:t>-</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right="299"/>
                          <w:jc w:val="right"/>
                          <w:rPr>
                            <w:rFonts w:ascii="Arial" w:hAnsi="Arial" w:cs="Arial" w:eastAsia="Arial" w:hint="default"/>
                            <w:sz w:val="19"/>
                            <w:szCs w:val="19"/>
                          </w:rPr>
                        </w:pPr>
                        <w:r>
                          <w:rPr>
                            <w:rFonts w:ascii="Arial"/>
                            <w:w w:val="99"/>
                            <w:sz w:val="19"/>
                          </w:rPr>
                          <w:t>-</w:t>
                        </w:r>
                        <w:r>
                          <w:rPr>
                            <w:rFonts w:ascii="Arial"/>
                            <w:sz w:val="19"/>
                          </w:rPr>
                        </w:r>
                      </w:p>
                    </w:tc>
                  </w:tr>
                  <w:tr>
                    <w:trPr>
                      <w:trHeight w:val="239"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宋体" w:hAnsi="宋体" w:cs="宋体" w:eastAsia="宋体" w:hint="default"/>
                            <w:sz w:val="19"/>
                            <w:szCs w:val="19"/>
                          </w:rPr>
                        </w:pPr>
                        <w:r>
                          <w:rPr>
                            <w:rFonts w:ascii="宋体" w:hAnsi="宋体" w:cs="宋体" w:eastAsia="宋体" w:hint="default"/>
                            <w:sz w:val="19"/>
                            <w:szCs w:val="19"/>
                          </w:rPr>
                          <w:t>投资收益</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五(二十九)</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590,335.95</w:t>
                        </w:r>
                        <w:r>
                          <w:rPr>
                            <w:rFonts w:ascii="Arial"/>
                            <w:sz w:val="19"/>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894" w:right="0"/>
                          <w:jc w:val="left"/>
                          <w:rPr>
                            <w:rFonts w:ascii="Arial" w:hAnsi="Arial" w:cs="Arial" w:eastAsia="Arial" w:hint="default"/>
                            <w:sz w:val="19"/>
                            <w:szCs w:val="19"/>
                          </w:rPr>
                        </w:pPr>
                        <w:r>
                          <w:rPr>
                            <w:rFonts w:ascii="Arial"/>
                            <w:sz w:val="19"/>
                          </w:rPr>
                          <w:t>533,702.28</w:t>
                        </w:r>
                      </w:p>
                    </w:tc>
                  </w:tr>
                  <w:tr>
                    <w:trPr>
                      <w:trHeight w:val="410" w:hRule="exact"/>
                    </w:trPr>
                    <w:tc>
                      <w:tcPr>
                        <w:tcW w:w="841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3"/>
                          <w:ind w:left="88" w:right="0"/>
                          <w:jc w:val="left"/>
                          <w:rPr>
                            <w:rFonts w:ascii="宋体" w:hAnsi="宋体" w:cs="宋体" w:eastAsia="宋体" w:hint="default"/>
                            <w:sz w:val="19"/>
                            <w:szCs w:val="19"/>
                          </w:rPr>
                        </w:pPr>
                        <w:r>
                          <w:rPr>
                            <w:rFonts w:ascii="宋体" w:hAnsi="宋体" w:cs="宋体" w:eastAsia="宋体" w:hint="default"/>
                            <w:sz w:val="19"/>
                            <w:szCs w:val="19"/>
                          </w:rPr>
                          <w:t>其中：对联营企业和合营企业的</w:t>
                        </w:r>
                      </w:p>
                    </w:tc>
                  </w:tr>
                  <w:tr>
                    <w:trPr>
                      <w:trHeight w:val="207"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19"/>
                            <w:szCs w:val="19"/>
                          </w:rPr>
                        </w:pPr>
                        <w:r>
                          <w:rPr>
                            <w:rFonts w:ascii="宋体" w:hAnsi="宋体" w:cs="宋体" w:eastAsia="宋体" w:hint="default"/>
                            <w:sz w:val="19"/>
                            <w:szCs w:val="19"/>
                          </w:rPr>
                          <w:t>投资收益</w:t>
                        </w:r>
                      </w:p>
                    </w:tc>
                    <w:tc>
                      <w:tcPr>
                        <w:tcW w:w="1634"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single" w:sz="7"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7" w:space="0" w:color="000000"/>
                          <w:right w:val="nil" w:sz="6" w:space="0" w:color="auto"/>
                        </w:tcBorders>
                      </w:tcPr>
                      <w:p>
                        <w:pP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2"/>
                            <w:sz w:val="19"/>
                            <w:szCs w:val="19"/>
                          </w:rPr>
                          <w:t>二、营业利润</w:t>
                        </w:r>
                        <w:r>
                          <w:rPr>
                            <w:rFonts w:ascii="Microsoft JhengHei" w:hAnsi="Microsoft JhengHei" w:cs="Microsoft JhengHei" w:eastAsia="Microsoft JhengHei" w:hint="default"/>
                            <w:sz w:val="19"/>
                            <w:szCs w:val="19"/>
                          </w:rPr>
                        </w:r>
                      </w:p>
                    </w:tc>
                    <w:tc>
                      <w:tcPr>
                        <w:tcW w:w="1634" w:type="dxa"/>
                        <w:tcBorders>
                          <w:top w:val="nil" w:sz="6" w:space="0" w:color="auto"/>
                          <w:left w:val="nil" w:sz="6" w:space="0" w:color="auto"/>
                          <w:bottom w:val="nil" w:sz="6" w:space="0" w:color="auto"/>
                          <w:right w:val="nil" w:sz="6" w:space="0" w:color="auto"/>
                        </w:tcBorders>
                      </w:tcPr>
                      <w:p>
                        <w:pP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48,487,816.85</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34,767,739.92</w:t>
                        </w:r>
                        <w:r>
                          <w:rPr>
                            <w:rFonts w:ascii="Arial"/>
                            <w:sz w:val="19"/>
                          </w:rPr>
                        </w:r>
                      </w:p>
                    </w:tc>
                  </w:tr>
                  <w:tr>
                    <w:trPr>
                      <w:trHeight w:val="302"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1" w:lineRule="exact"/>
                          <w:ind w:left="248" w:right="0"/>
                          <w:jc w:val="left"/>
                          <w:rPr>
                            <w:rFonts w:ascii="宋体" w:hAnsi="宋体" w:cs="宋体" w:eastAsia="宋体" w:hint="default"/>
                            <w:sz w:val="19"/>
                            <w:szCs w:val="19"/>
                          </w:rPr>
                        </w:pPr>
                        <w:r>
                          <w:rPr>
                            <w:rFonts w:ascii="宋体" w:hAnsi="宋体" w:cs="宋体" w:eastAsia="宋体" w:hint="default"/>
                            <w:sz w:val="19"/>
                            <w:szCs w:val="19"/>
                          </w:rPr>
                          <w:t>加：营业外收入</w:t>
                        </w:r>
                      </w:p>
                    </w:tc>
                    <w:tc>
                      <w:tcPr>
                        <w:tcW w:w="1634"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五(三十)</w:t>
                        </w:r>
                      </w:p>
                    </w:tc>
                    <w:tc>
                      <w:tcPr>
                        <w:tcW w:w="2035"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11,153,494.92</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11,827,705.61</w:t>
                        </w:r>
                        <w:r>
                          <w:rPr>
                            <w:rFonts w:ascii="Arial"/>
                            <w:sz w:val="19"/>
                          </w:rPr>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248" w:right="0"/>
                          <w:jc w:val="left"/>
                          <w:rPr>
                            <w:rFonts w:ascii="宋体" w:hAnsi="宋体" w:cs="宋体" w:eastAsia="宋体" w:hint="default"/>
                            <w:sz w:val="19"/>
                            <w:szCs w:val="19"/>
                          </w:rPr>
                        </w:pPr>
                        <w:r>
                          <w:rPr>
                            <w:rFonts w:ascii="宋体" w:hAnsi="宋体" w:cs="宋体" w:eastAsia="宋体" w:hint="default"/>
                            <w:sz w:val="19"/>
                            <w:szCs w:val="19"/>
                          </w:rPr>
                          <w:t>减：营业外支出</w:t>
                        </w:r>
                      </w:p>
                    </w:tc>
                    <w:tc>
                      <w:tcPr>
                        <w:tcW w:w="1634" w:type="dxa"/>
                        <w:tcBorders>
                          <w:top w:val="nil" w:sz="6" w:space="0" w:color="auto"/>
                          <w:left w:val="nil" w:sz="6" w:space="0" w:color="auto"/>
                          <w:bottom w:val="nil" w:sz="6" w:space="0" w:color="auto"/>
                          <w:right w:val="nil" w:sz="6" w:space="0" w:color="auto"/>
                        </w:tcBorders>
                      </w:tcPr>
                      <w:p>
                        <w:pPr>
                          <w:pStyle w:val="TableParagraph"/>
                          <w:spacing w:line="228"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五(三十一)</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34,914.67</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120,605.08</w:t>
                        </w:r>
                        <w:r>
                          <w:rPr>
                            <w:rFonts w:ascii="Arial"/>
                            <w:sz w:val="19"/>
                          </w:rPr>
                        </w:r>
                      </w:p>
                    </w:tc>
                  </w:tr>
                  <w:tr>
                    <w:trPr>
                      <w:trHeight w:val="277"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8" w:lineRule="exact"/>
                          <w:ind w:left="195" w:right="0"/>
                          <w:jc w:val="left"/>
                          <w:rPr>
                            <w:rFonts w:ascii="宋体" w:hAnsi="宋体" w:cs="宋体" w:eastAsia="宋体" w:hint="default"/>
                            <w:sz w:val="19"/>
                            <w:szCs w:val="19"/>
                          </w:rPr>
                        </w:pPr>
                        <w:r>
                          <w:rPr>
                            <w:rFonts w:ascii="宋体" w:hAnsi="宋体" w:cs="宋体" w:eastAsia="宋体" w:hint="default"/>
                            <w:sz w:val="19"/>
                            <w:szCs w:val="19"/>
                          </w:rPr>
                          <w:t>其中：非流动资产处置损失</w:t>
                        </w:r>
                      </w:p>
                    </w:tc>
                    <w:tc>
                      <w:tcPr>
                        <w:tcW w:w="1634"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single" w:sz="7" w:space="0" w:color="000000"/>
                          <w:right w:val="nil" w:sz="6" w:space="0" w:color="auto"/>
                        </w:tcBorders>
                      </w:tcPr>
                      <w:p>
                        <w:pPr>
                          <w:pStyle w:val="TableParagraph"/>
                          <w:spacing w:line="240" w:lineRule="auto" w:before="23"/>
                          <w:ind w:right="88"/>
                          <w:jc w:val="right"/>
                          <w:rPr>
                            <w:rFonts w:ascii="Arial" w:hAnsi="Arial" w:cs="Arial" w:eastAsia="Arial" w:hint="default"/>
                            <w:sz w:val="19"/>
                            <w:szCs w:val="19"/>
                          </w:rPr>
                        </w:pPr>
                        <w:r>
                          <w:rPr>
                            <w:rFonts w:ascii="Arial"/>
                            <w:spacing w:val="-1"/>
                            <w:w w:val="95"/>
                            <w:sz w:val="19"/>
                          </w:rPr>
                          <w:t>14,514.67</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7" w:space="0" w:color="000000"/>
                          <w:right w:val="nil" w:sz="6" w:space="0" w:color="auto"/>
                        </w:tcBorders>
                      </w:tcPr>
                      <w:p>
                        <w:pPr>
                          <w:pStyle w:val="TableParagraph"/>
                          <w:spacing w:line="240" w:lineRule="auto" w:before="23"/>
                          <w:ind w:right="299"/>
                          <w:jc w:val="right"/>
                          <w:rPr>
                            <w:rFonts w:ascii="Arial" w:hAnsi="Arial" w:cs="Arial" w:eastAsia="Arial" w:hint="default"/>
                            <w:sz w:val="19"/>
                            <w:szCs w:val="19"/>
                          </w:rPr>
                        </w:pPr>
                        <w:r>
                          <w:rPr>
                            <w:rFonts w:ascii="Arial"/>
                            <w:w w:val="99"/>
                            <w:sz w:val="19"/>
                          </w:rPr>
                          <w:t>-</w:t>
                        </w:r>
                        <w:r>
                          <w:rPr>
                            <w:rFonts w:ascii="Arial"/>
                            <w:sz w:val="19"/>
                          </w:rPr>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2"/>
                            <w:sz w:val="19"/>
                            <w:szCs w:val="19"/>
                          </w:rPr>
                          <w:t>三、利润总额</w:t>
                        </w:r>
                        <w:r>
                          <w:rPr>
                            <w:rFonts w:ascii="Microsoft JhengHei" w:hAnsi="Microsoft JhengHei" w:cs="Microsoft JhengHei" w:eastAsia="Microsoft JhengHei" w:hint="default"/>
                            <w:sz w:val="19"/>
                            <w:szCs w:val="19"/>
                          </w:rPr>
                        </w:r>
                      </w:p>
                    </w:tc>
                    <w:tc>
                      <w:tcPr>
                        <w:tcW w:w="1634" w:type="dxa"/>
                        <w:tcBorders>
                          <w:top w:val="nil" w:sz="6" w:space="0" w:color="auto"/>
                          <w:left w:val="nil" w:sz="6" w:space="0" w:color="auto"/>
                          <w:bottom w:val="nil" w:sz="6" w:space="0" w:color="auto"/>
                          <w:right w:val="nil" w:sz="6" w:space="0" w:color="auto"/>
                        </w:tcBorders>
                      </w:tcPr>
                      <w:p>
                        <w:pP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59,606,397.10</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46,474,840.45</w:t>
                        </w:r>
                        <w:r>
                          <w:rPr>
                            <w:rFonts w:ascii="Arial"/>
                            <w:sz w:val="19"/>
                          </w:rPr>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1" w:lineRule="exact"/>
                          <w:ind w:left="248" w:right="0"/>
                          <w:jc w:val="left"/>
                          <w:rPr>
                            <w:rFonts w:ascii="宋体" w:hAnsi="宋体" w:cs="宋体" w:eastAsia="宋体" w:hint="default"/>
                            <w:sz w:val="19"/>
                            <w:szCs w:val="19"/>
                          </w:rPr>
                        </w:pPr>
                        <w:r>
                          <w:rPr>
                            <w:rFonts w:ascii="宋体" w:hAnsi="宋体" w:cs="宋体" w:eastAsia="宋体" w:hint="default"/>
                            <w:sz w:val="19"/>
                            <w:szCs w:val="19"/>
                          </w:rPr>
                          <w:t>减：所得税费用</w:t>
                        </w:r>
                      </w:p>
                    </w:tc>
                    <w:tc>
                      <w:tcPr>
                        <w:tcW w:w="1634"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center"/>
                          <w:rPr>
                            <w:rFonts w:ascii="宋体" w:hAnsi="宋体" w:cs="宋体" w:eastAsia="宋体" w:hint="default"/>
                            <w:sz w:val="19"/>
                            <w:szCs w:val="19"/>
                          </w:rPr>
                        </w:pPr>
                        <w:r>
                          <w:rPr>
                            <w:rFonts w:ascii="宋体" w:hAnsi="宋体" w:cs="宋体" w:eastAsia="宋体" w:hint="default"/>
                            <w:sz w:val="19"/>
                            <w:szCs w:val="19"/>
                          </w:rPr>
                          <w:t>五(三十二)</w:t>
                        </w: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1,711,951.84</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99"/>
                          <w:jc w:val="right"/>
                          <w:rPr>
                            <w:rFonts w:ascii="Arial" w:hAnsi="Arial" w:cs="Arial" w:eastAsia="Arial" w:hint="default"/>
                            <w:sz w:val="19"/>
                            <w:szCs w:val="19"/>
                          </w:rPr>
                        </w:pPr>
                        <w:r>
                          <w:rPr>
                            <w:rFonts w:ascii="Arial"/>
                            <w:spacing w:val="-1"/>
                            <w:w w:val="95"/>
                            <w:sz w:val="19"/>
                          </w:rPr>
                          <w:t>2,079,440.67</w:t>
                        </w:r>
                        <w:r>
                          <w:rPr>
                            <w:rFonts w:ascii="Arial"/>
                            <w:sz w:val="19"/>
                          </w:rPr>
                        </w:r>
                      </w:p>
                    </w:tc>
                  </w:tr>
                  <w:tr>
                    <w:trPr>
                      <w:trHeight w:val="29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四、净利润</w:t>
                        </w:r>
                        <w:r>
                          <w:rPr>
                            <w:rFonts w:ascii="Microsoft JhengHei" w:hAnsi="Microsoft JhengHei" w:cs="Microsoft JhengHei" w:eastAsia="Microsoft JhengHei" w:hint="default"/>
                            <w:sz w:val="19"/>
                            <w:szCs w:val="19"/>
                          </w:rPr>
                        </w:r>
                      </w:p>
                    </w:tc>
                    <w:tc>
                      <w:tcPr>
                        <w:tcW w:w="1634" w:type="dxa"/>
                        <w:tcBorders>
                          <w:top w:val="nil" w:sz="6" w:space="0" w:color="auto"/>
                          <w:left w:val="nil" w:sz="6" w:space="0" w:color="auto"/>
                          <w:bottom w:val="nil" w:sz="6" w:space="0" w:color="auto"/>
                          <w:right w:val="nil" w:sz="6" w:space="0" w:color="auto"/>
                        </w:tcBorders>
                      </w:tcPr>
                      <w:p>
                        <w:pP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57,894,445.26</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44,395,399.78</w:t>
                        </w:r>
                        <w:r>
                          <w:rPr>
                            <w:rFonts w:ascii="Arial"/>
                            <w:sz w:val="19"/>
                          </w:rPr>
                        </w:r>
                      </w:p>
                    </w:tc>
                  </w:tr>
                </w:tbl>
                <w:p>
                  <w:pPr/>
                </w:p>
              </w:txbxContent>
            </v:textbox>
            <w10:wrap type="none"/>
          </v:shape>
        </w:pict>
      </w:r>
      <w:r>
        <w:rPr>
          <w:rFonts w:ascii="Arial"/>
          <w:spacing w:val="-1"/>
          <w:w w:val="95"/>
          <w:sz w:val="19"/>
        </w:rPr>
        <w:t>590,335.95</w:t>
        <w:tab/>
      </w:r>
      <w:r>
        <w:rPr>
          <w:rFonts w:ascii="Arial"/>
          <w:spacing w:val="-1"/>
          <w:sz w:val="19"/>
        </w:rPr>
        <w:t>533,702.28</w:t>
      </w:r>
      <w:r>
        <w:rPr>
          <w:rFonts w:ascii="Arial"/>
          <w:sz w:val="19"/>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8"/>
          <w:szCs w:val="28"/>
        </w:rPr>
      </w:pPr>
    </w:p>
    <w:p>
      <w:pPr>
        <w:tabs>
          <w:tab w:pos="6273" w:val="left" w:leader="none"/>
          <w:tab w:pos="8215" w:val="left" w:leader="none"/>
        </w:tabs>
        <w:spacing w:before="29"/>
        <w:ind w:left="200" w:right="176" w:firstLine="0"/>
        <w:jc w:val="left"/>
        <w:rPr>
          <w:rFonts w:ascii="Arial" w:hAnsi="Arial" w:cs="Arial" w:eastAsia="Arial" w:hint="default"/>
          <w:sz w:val="19"/>
          <w:szCs w:val="19"/>
        </w:rPr>
      </w:pPr>
      <w:r>
        <w:rPr>
          <w:rFonts w:ascii="宋体" w:hAnsi="宋体" w:cs="宋体" w:eastAsia="宋体" w:hint="default"/>
          <w:w w:val="95"/>
          <w:sz w:val="19"/>
          <w:szCs w:val="19"/>
        </w:rPr>
        <w:t>其中：同一控制下被合并方在合并前实现的净利润</w:t>
        <w:tab/>
      </w:r>
      <w:r>
        <w:rPr>
          <w:rFonts w:ascii="Arial" w:hAnsi="Arial" w:cs="Arial" w:eastAsia="Arial" w:hint="default"/>
          <w:w w:val="95"/>
          <w:sz w:val="19"/>
          <w:szCs w:val="19"/>
        </w:rPr>
        <w:t>-</w:t>
        <w:tab/>
      </w:r>
      <w:r>
        <w:rPr>
          <w:rFonts w:ascii="Arial" w:hAnsi="Arial" w:cs="Arial" w:eastAsia="Arial" w:hint="default"/>
          <w:sz w:val="19"/>
          <w:szCs w:val="19"/>
        </w:rPr>
        <w:t>-</w:t>
      </w:r>
    </w:p>
    <w:p>
      <w:pPr>
        <w:tabs>
          <w:tab w:pos="6273" w:val="left" w:leader="none"/>
          <w:tab w:pos="8215" w:val="left" w:leader="none"/>
        </w:tabs>
        <w:spacing w:before="28"/>
        <w:ind w:left="520" w:right="176" w:firstLine="0"/>
        <w:jc w:val="left"/>
        <w:rPr>
          <w:rFonts w:ascii="Arial" w:hAnsi="Arial" w:cs="Arial" w:eastAsia="Arial" w:hint="default"/>
          <w:sz w:val="19"/>
          <w:szCs w:val="19"/>
        </w:rPr>
      </w:pPr>
      <w:r>
        <w:rPr>
          <w:rFonts w:ascii="宋体" w:hAnsi="宋体" w:cs="宋体" w:eastAsia="宋体" w:hint="default"/>
          <w:w w:val="95"/>
          <w:sz w:val="19"/>
          <w:szCs w:val="19"/>
        </w:rPr>
        <w:t>少数股东损益</w:t>
        <w:tab/>
      </w:r>
      <w:r>
        <w:rPr>
          <w:rFonts w:ascii="Arial" w:hAnsi="Arial" w:cs="Arial" w:eastAsia="Arial" w:hint="default"/>
          <w:w w:val="95"/>
          <w:sz w:val="19"/>
          <w:szCs w:val="19"/>
        </w:rPr>
        <w:t>-</w:t>
        <w:tab/>
      </w:r>
      <w:r>
        <w:rPr>
          <w:rFonts w:ascii="Arial" w:hAnsi="Arial" w:cs="Arial" w:eastAsia="Arial" w:hint="default"/>
          <w:sz w:val="19"/>
          <w:szCs w:val="19"/>
        </w:rPr>
        <w:t>-</w:t>
      </w:r>
    </w:p>
    <w:p>
      <w:pPr>
        <w:tabs>
          <w:tab w:pos="5337" w:val="left" w:leader="none"/>
          <w:tab w:pos="7279" w:val="left" w:leader="none"/>
        </w:tabs>
        <w:spacing w:line="290" w:lineRule="exact" w:before="17"/>
        <w:ind w:left="200" w:right="415" w:firstLine="320"/>
        <w:jc w:val="left"/>
        <w:rPr>
          <w:rFonts w:ascii="Microsoft JhengHei" w:hAnsi="Microsoft JhengHei" w:cs="Microsoft JhengHei" w:eastAsia="Microsoft JhengHei" w:hint="default"/>
          <w:sz w:val="19"/>
          <w:szCs w:val="19"/>
        </w:rPr>
      </w:pPr>
      <w:r>
        <w:rPr>
          <w:rFonts w:ascii="宋体" w:hAnsi="宋体" w:cs="宋体" w:eastAsia="宋体" w:hint="default"/>
          <w:w w:val="95"/>
          <w:sz w:val="19"/>
          <w:szCs w:val="19"/>
        </w:rPr>
        <w:t>归属于母公司股东的净利润</w:t>
        <w:tab/>
      </w:r>
      <w:r>
        <w:rPr>
          <w:rFonts w:ascii="Arial" w:hAnsi="Arial" w:cs="Arial" w:eastAsia="Arial" w:hint="default"/>
          <w:spacing w:val="-1"/>
          <w:w w:val="95"/>
          <w:sz w:val="19"/>
          <w:szCs w:val="19"/>
        </w:rPr>
        <w:t>57,894,445.26</w:t>
        <w:tab/>
      </w:r>
      <w:r>
        <w:rPr>
          <w:rFonts w:ascii="Arial" w:hAnsi="Arial" w:cs="Arial" w:eastAsia="Arial" w:hint="default"/>
          <w:spacing w:val="-1"/>
          <w:sz w:val="19"/>
          <w:szCs w:val="19"/>
        </w:rPr>
        <w:t>44,395,399.78</w:t>
      </w:r>
      <w:r>
        <w:rPr>
          <w:rFonts w:ascii="Arial" w:hAnsi="Arial" w:cs="Arial" w:eastAsia="Arial" w:hint="default"/>
          <w:spacing w:val="-1"/>
          <w:w w:val="99"/>
          <w:sz w:val="19"/>
          <w:szCs w:val="19"/>
        </w:rPr>
        <w:t> </w:t>
      </w:r>
      <w:r>
        <w:rPr>
          <w:rFonts w:ascii="Microsoft JhengHei" w:hAnsi="Microsoft JhengHei" w:cs="Microsoft JhengHei" w:eastAsia="Microsoft JhengHei" w:hint="default"/>
          <w:b/>
          <w:bCs/>
          <w:sz w:val="19"/>
          <w:szCs w:val="19"/>
        </w:rPr>
        <w:t>五、每股收益：</w:t>
      </w:r>
      <w:r>
        <w:rPr>
          <w:rFonts w:ascii="Microsoft JhengHei" w:hAnsi="Microsoft JhengHei" w:cs="Microsoft JhengHei" w:eastAsia="Microsoft JhengHei" w:hint="default"/>
          <w:sz w:val="19"/>
          <w:szCs w:val="19"/>
        </w:rPr>
      </w:r>
    </w:p>
    <w:tbl>
      <w:tblPr>
        <w:tblW w:w="0" w:type="auto"/>
        <w:jc w:val="left"/>
        <w:tblInd w:w="165" w:type="dxa"/>
        <w:tblLayout w:type="fixed"/>
        <w:tblCellMar>
          <w:top w:w="0" w:type="dxa"/>
          <w:left w:w="0" w:type="dxa"/>
          <w:bottom w:w="0" w:type="dxa"/>
          <w:right w:w="0" w:type="dxa"/>
        </w:tblCellMar>
        <w:tblLook w:val="01E0"/>
      </w:tblPr>
      <w:tblGrid>
        <w:gridCol w:w="4438"/>
        <w:gridCol w:w="2035"/>
        <w:gridCol w:w="152"/>
        <w:gridCol w:w="1790"/>
      </w:tblGrid>
      <w:tr>
        <w:trPr>
          <w:trHeight w:val="287" w:hRule="exact"/>
        </w:trPr>
        <w:tc>
          <w:tcPr>
            <w:tcW w:w="4438" w:type="dxa"/>
            <w:tcBorders>
              <w:top w:val="nil" w:sz="6" w:space="0" w:color="auto"/>
              <w:left w:val="nil" w:sz="6" w:space="0" w:color="auto"/>
              <w:bottom w:val="nil" w:sz="6" w:space="0" w:color="auto"/>
              <w:right w:val="nil" w:sz="6" w:space="0" w:color="auto"/>
            </w:tcBorders>
          </w:tcPr>
          <w:p>
            <w:pPr>
              <w:pStyle w:val="TableParagraph"/>
              <w:spacing w:line="238" w:lineRule="exact"/>
              <w:ind w:right="2537"/>
              <w:jc w:val="right"/>
              <w:rPr>
                <w:rFonts w:ascii="宋体" w:hAnsi="宋体" w:cs="宋体" w:eastAsia="宋体" w:hint="default"/>
                <w:sz w:val="19"/>
                <w:szCs w:val="19"/>
              </w:rPr>
            </w:pPr>
            <w:r>
              <w:rPr>
                <w:rFonts w:ascii="宋体" w:hAnsi="宋体" w:cs="宋体" w:eastAsia="宋体" w:hint="default"/>
                <w:w w:val="95"/>
                <w:sz w:val="19"/>
                <w:szCs w:val="19"/>
              </w:rPr>
              <w:t>（一）基本每股收益</w:t>
            </w:r>
            <w:r>
              <w:rPr>
                <w:rFonts w:ascii="宋体" w:hAnsi="宋体" w:cs="宋体" w:eastAsia="宋体" w:hint="default"/>
                <w:sz w:val="19"/>
                <w:szCs w:val="19"/>
              </w:rPr>
            </w:r>
          </w:p>
        </w:tc>
        <w:tc>
          <w:tcPr>
            <w:tcW w:w="2035" w:type="dxa"/>
            <w:tcBorders>
              <w:top w:val="nil" w:sz="6" w:space="0" w:color="auto"/>
              <w:left w:val="nil" w:sz="6" w:space="0" w:color="auto"/>
              <w:bottom w:val="single" w:sz="7" w:space="0" w:color="000000"/>
              <w:right w:val="nil" w:sz="6" w:space="0" w:color="auto"/>
            </w:tcBorders>
          </w:tcPr>
          <w:p>
            <w:pPr>
              <w:pStyle w:val="TableParagraph"/>
              <w:spacing w:line="240" w:lineRule="auto" w:before="33"/>
              <w:ind w:right="88"/>
              <w:jc w:val="right"/>
              <w:rPr>
                <w:rFonts w:ascii="Arial" w:hAnsi="Arial" w:cs="Arial" w:eastAsia="Arial" w:hint="default"/>
                <w:sz w:val="19"/>
                <w:szCs w:val="19"/>
              </w:rPr>
            </w:pPr>
            <w:r>
              <w:rPr>
                <w:rFonts w:ascii="Arial"/>
                <w:spacing w:val="-1"/>
                <w:w w:val="95"/>
                <w:sz w:val="19"/>
              </w:rPr>
              <w:t>1.15</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7" w:space="0" w:color="000000"/>
              <w:right w:val="nil" w:sz="6" w:space="0" w:color="auto"/>
            </w:tcBorders>
          </w:tcPr>
          <w:p>
            <w:pPr>
              <w:pStyle w:val="TableParagraph"/>
              <w:spacing w:line="240" w:lineRule="auto" w:before="33"/>
              <w:ind w:right="88"/>
              <w:jc w:val="right"/>
              <w:rPr>
                <w:rFonts w:ascii="Arial" w:hAnsi="Arial" w:cs="Arial" w:eastAsia="Arial" w:hint="default"/>
                <w:sz w:val="19"/>
                <w:szCs w:val="19"/>
              </w:rPr>
            </w:pPr>
            <w:r>
              <w:rPr>
                <w:rFonts w:ascii="Arial"/>
                <w:spacing w:val="-1"/>
                <w:w w:val="95"/>
                <w:sz w:val="19"/>
              </w:rPr>
              <w:t>0.93</w:t>
            </w:r>
            <w:r>
              <w:rPr>
                <w:rFonts w:ascii="Arial"/>
                <w:sz w:val="19"/>
              </w:rPr>
            </w:r>
          </w:p>
        </w:tc>
      </w:tr>
      <w:tr>
        <w:trPr>
          <w:trHeight w:val="290" w:hRule="exact"/>
        </w:trPr>
        <w:tc>
          <w:tcPr>
            <w:tcW w:w="4438" w:type="dxa"/>
            <w:tcBorders>
              <w:top w:val="nil" w:sz="6" w:space="0" w:color="auto"/>
              <w:left w:val="nil" w:sz="6" w:space="0" w:color="auto"/>
              <w:bottom w:val="nil" w:sz="6" w:space="0" w:color="auto"/>
              <w:right w:val="nil" w:sz="6" w:space="0" w:color="auto"/>
            </w:tcBorders>
          </w:tcPr>
          <w:p>
            <w:pPr>
              <w:pStyle w:val="TableParagraph"/>
              <w:spacing w:line="241" w:lineRule="exact"/>
              <w:ind w:right="2537"/>
              <w:jc w:val="right"/>
              <w:rPr>
                <w:rFonts w:ascii="宋体" w:hAnsi="宋体" w:cs="宋体" w:eastAsia="宋体" w:hint="default"/>
                <w:sz w:val="19"/>
                <w:szCs w:val="19"/>
              </w:rPr>
            </w:pPr>
            <w:r>
              <w:rPr>
                <w:rFonts w:ascii="宋体" w:hAnsi="宋体" w:cs="宋体" w:eastAsia="宋体" w:hint="default"/>
                <w:w w:val="95"/>
                <w:sz w:val="19"/>
                <w:szCs w:val="19"/>
              </w:rPr>
              <w:t>（二）稀释每股收益</w:t>
            </w:r>
            <w:r>
              <w:rPr>
                <w:rFonts w:ascii="宋体" w:hAnsi="宋体" w:cs="宋体" w:eastAsia="宋体" w:hint="default"/>
                <w:sz w:val="19"/>
                <w:szCs w:val="19"/>
              </w:rPr>
            </w: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1.15</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88"/>
              <w:jc w:val="right"/>
              <w:rPr>
                <w:rFonts w:ascii="Arial" w:hAnsi="Arial" w:cs="Arial" w:eastAsia="Arial" w:hint="default"/>
                <w:sz w:val="19"/>
                <w:szCs w:val="19"/>
              </w:rPr>
            </w:pPr>
            <w:r>
              <w:rPr>
                <w:rFonts w:ascii="Arial"/>
                <w:spacing w:val="-1"/>
                <w:w w:val="95"/>
                <w:sz w:val="19"/>
              </w:rPr>
              <w:t>0.93</w:t>
            </w:r>
            <w:r>
              <w:rPr>
                <w:rFonts w:ascii="Arial"/>
                <w:sz w:val="19"/>
              </w:rPr>
            </w:r>
          </w:p>
        </w:tc>
      </w:tr>
      <w:tr>
        <w:trPr>
          <w:trHeight w:val="290" w:hRule="exact"/>
        </w:trPr>
        <w:tc>
          <w:tcPr>
            <w:tcW w:w="4438"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六、其他综合收益</w:t>
            </w:r>
            <w:r>
              <w:rPr>
                <w:rFonts w:ascii="Microsoft JhengHei" w:hAnsi="Microsoft JhengHei" w:cs="Microsoft JhengHei" w:eastAsia="Microsoft JhengHei" w:hint="default"/>
                <w:sz w:val="19"/>
                <w:szCs w:val="19"/>
              </w:rPr>
            </w: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299"/>
              <w:jc w:val="right"/>
              <w:rPr>
                <w:rFonts w:ascii="Arial" w:hAnsi="Arial" w:cs="Arial" w:eastAsia="Arial" w:hint="default"/>
                <w:sz w:val="19"/>
                <w:szCs w:val="19"/>
              </w:rPr>
            </w:pPr>
            <w:r>
              <w:rPr>
                <w:rFonts w:ascii="Arial"/>
                <w:w w:val="99"/>
                <w:sz w:val="19"/>
              </w:rPr>
              <w:t>-</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right="299"/>
              <w:jc w:val="right"/>
              <w:rPr>
                <w:rFonts w:ascii="Arial" w:hAnsi="Arial" w:cs="Arial" w:eastAsia="Arial" w:hint="default"/>
                <w:sz w:val="19"/>
                <w:szCs w:val="19"/>
              </w:rPr>
            </w:pPr>
            <w:r>
              <w:rPr>
                <w:rFonts w:ascii="Arial"/>
                <w:w w:val="99"/>
                <w:sz w:val="19"/>
              </w:rPr>
              <w:t>-</w:t>
            </w:r>
            <w:r>
              <w:rPr>
                <w:rFonts w:ascii="Arial"/>
                <w:sz w:val="19"/>
              </w:rPr>
            </w:r>
          </w:p>
        </w:tc>
      </w:tr>
      <w:tr>
        <w:trPr>
          <w:trHeight w:val="319" w:hRule="exact"/>
        </w:trPr>
        <w:tc>
          <w:tcPr>
            <w:tcW w:w="4438"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七、综合收益总额</w:t>
            </w:r>
            <w:r>
              <w:rPr>
                <w:rFonts w:ascii="Microsoft JhengHei" w:hAnsi="Microsoft JhengHei" w:cs="Microsoft JhengHei" w:eastAsia="Microsoft JhengHei" w:hint="default"/>
                <w:sz w:val="19"/>
                <w:szCs w:val="19"/>
              </w:rPr>
            </w:r>
          </w:p>
        </w:tc>
        <w:tc>
          <w:tcPr>
            <w:tcW w:w="2035" w:type="dxa"/>
            <w:tcBorders>
              <w:top w:val="single" w:sz="7" w:space="0" w:color="000000"/>
              <w:left w:val="nil" w:sz="6" w:space="0" w:color="auto"/>
              <w:bottom w:val="single" w:sz="7" w:space="0" w:color="000000"/>
              <w:right w:val="nil" w:sz="6" w:space="0" w:color="auto"/>
            </w:tcBorders>
          </w:tcPr>
          <w:p>
            <w:pPr>
              <w:pStyle w:val="TableParagraph"/>
              <w:spacing w:line="240" w:lineRule="auto" w:before="33"/>
              <w:ind w:right="88"/>
              <w:jc w:val="right"/>
              <w:rPr>
                <w:rFonts w:ascii="Arial" w:hAnsi="Arial" w:cs="Arial" w:eastAsia="Arial" w:hint="default"/>
                <w:sz w:val="19"/>
                <w:szCs w:val="19"/>
              </w:rPr>
            </w:pPr>
            <w:r>
              <w:rPr>
                <w:rFonts w:ascii="Arial"/>
                <w:spacing w:val="-1"/>
                <w:w w:val="95"/>
                <w:sz w:val="19"/>
              </w:rPr>
              <w:t>57,894,445.26</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single" w:sz="7" w:space="0" w:color="000000"/>
              <w:right w:val="nil" w:sz="6" w:space="0" w:color="auto"/>
            </w:tcBorders>
          </w:tcPr>
          <w:p>
            <w:pPr>
              <w:pStyle w:val="TableParagraph"/>
              <w:spacing w:line="240" w:lineRule="auto" w:before="33"/>
              <w:ind w:right="88"/>
              <w:jc w:val="right"/>
              <w:rPr>
                <w:rFonts w:ascii="Arial" w:hAnsi="Arial" w:cs="Arial" w:eastAsia="Arial" w:hint="default"/>
                <w:sz w:val="19"/>
                <w:szCs w:val="19"/>
              </w:rPr>
            </w:pPr>
            <w:r>
              <w:rPr>
                <w:rFonts w:ascii="Arial"/>
                <w:spacing w:val="-1"/>
                <w:w w:val="95"/>
                <w:sz w:val="19"/>
              </w:rPr>
              <w:t>44,395,399.78</w:t>
            </w:r>
            <w:r>
              <w:rPr>
                <w:rFonts w:ascii="Arial"/>
                <w:sz w:val="19"/>
              </w:rPr>
            </w:r>
          </w:p>
        </w:tc>
      </w:tr>
      <w:tr>
        <w:trPr>
          <w:trHeight w:val="638" w:hRule="exact"/>
        </w:trPr>
        <w:tc>
          <w:tcPr>
            <w:tcW w:w="4438" w:type="dxa"/>
            <w:tcBorders>
              <w:top w:val="nil" w:sz="6" w:space="0" w:color="auto"/>
              <w:left w:val="nil" w:sz="6" w:space="0" w:color="auto"/>
              <w:bottom w:val="nil" w:sz="6" w:space="0" w:color="auto"/>
              <w:right w:val="nil" w:sz="6" w:space="0" w:color="auto"/>
            </w:tcBorders>
          </w:tcPr>
          <w:p>
            <w:pPr>
              <w:pStyle w:val="TableParagraph"/>
              <w:spacing w:line="230" w:lineRule="exact"/>
              <w:ind w:left="248" w:right="0"/>
              <w:jc w:val="left"/>
              <w:rPr>
                <w:rFonts w:ascii="宋体" w:hAnsi="宋体" w:cs="宋体" w:eastAsia="宋体" w:hint="default"/>
                <w:sz w:val="19"/>
                <w:szCs w:val="19"/>
              </w:rPr>
            </w:pPr>
            <w:r>
              <w:rPr>
                <w:rFonts w:ascii="宋体" w:hAnsi="宋体" w:cs="宋体" w:eastAsia="宋体" w:hint="default"/>
                <w:sz w:val="19"/>
                <w:szCs w:val="19"/>
              </w:rPr>
              <w:t>归属于母公司股东的综合收益总额</w:t>
            </w:r>
          </w:p>
          <w:p>
            <w:pPr>
              <w:pStyle w:val="TableParagraph"/>
              <w:spacing w:line="240" w:lineRule="auto" w:before="47"/>
              <w:ind w:left="248" w:right="0"/>
              <w:jc w:val="left"/>
              <w:rPr>
                <w:rFonts w:ascii="宋体" w:hAnsi="宋体" w:cs="宋体" w:eastAsia="宋体" w:hint="default"/>
                <w:sz w:val="19"/>
                <w:szCs w:val="19"/>
              </w:rPr>
            </w:pPr>
            <w:r>
              <w:rPr>
                <w:rFonts w:ascii="宋体" w:hAnsi="宋体" w:cs="宋体" w:eastAsia="宋体" w:hint="default"/>
                <w:sz w:val="19"/>
                <w:szCs w:val="19"/>
              </w:rPr>
              <w:t>归属于少数股东的综合收益总额</w:t>
            </w:r>
          </w:p>
        </w:tc>
        <w:tc>
          <w:tcPr>
            <w:tcW w:w="2035" w:type="dxa"/>
            <w:tcBorders>
              <w:top w:val="single" w:sz="7" w:space="0" w:color="000000"/>
              <w:left w:val="nil" w:sz="6" w:space="0" w:color="auto"/>
              <w:bottom w:val="nil" w:sz="6" w:space="0" w:color="auto"/>
              <w:right w:val="nil" w:sz="6" w:space="0" w:color="auto"/>
            </w:tcBorders>
          </w:tcPr>
          <w:p>
            <w:pPr>
              <w:pStyle w:val="TableParagraph"/>
              <w:spacing w:line="240" w:lineRule="auto" w:before="17"/>
              <w:ind w:left="734" w:right="0"/>
              <w:jc w:val="left"/>
              <w:rPr>
                <w:rFonts w:ascii="Arial" w:hAnsi="Arial" w:cs="Arial" w:eastAsia="Arial" w:hint="default"/>
                <w:sz w:val="19"/>
                <w:szCs w:val="19"/>
              </w:rPr>
            </w:pPr>
            <w:r>
              <w:rPr>
                <w:rFonts w:ascii="Arial"/>
                <w:sz w:val="19"/>
              </w:rPr>
              <w:t>57,894,445.26</w:t>
            </w:r>
          </w:p>
          <w:p>
            <w:pPr>
              <w:pStyle w:val="TableParagraph"/>
              <w:spacing w:line="240" w:lineRule="auto" w:before="78"/>
              <w:ind w:right="299"/>
              <w:jc w:val="right"/>
              <w:rPr>
                <w:rFonts w:ascii="Arial" w:hAnsi="Arial" w:cs="Arial" w:eastAsia="Arial" w:hint="default"/>
                <w:sz w:val="19"/>
                <w:szCs w:val="19"/>
              </w:rPr>
            </w:pPr>
            <w:r>
              <w:rPr>
                <w:rFonts w:ascii="Arial"/>
                <w:w w:val="99"/>
                <w:sz w:val="19"/>
              </w:rPr>
              <w:t>-</w:t>
            </w:r>
            <w:r>
              <w:rPr>
                <w:rFonts w:ascii="Arial"/>
                <w:sz w:val="19"/>
              </w:rPr>
            </w:r>
          </w:p>
        </w:tc>
        <w:tc>
          <w:tcPr>
            <w:tcW w:w="152" w:type="dxa"/>
            <w:tcBorders>
              <w:top w:val="nil" w:sz="6" w:space="0" w:color="auto"/>
              <w:left w:val="nil" w:sz="6" w:space="0" w:color="auto"/>
              <w:bottom w:val="nil" w:sz="6" w:space="0" w:color="auto"/>
              <w:right w:val="nil" w:sz="6" w:space="0" w:color="auto"/>
            </w:tcBorders>
          </w:tcPr>
          <w:p>
            <w:pPr/>
          </w:p>
        </w:tc>
        <w:tc>
          <w:tcPr>
            <w:tcW w:w="1790" w:type="dxa"/>
            <w:tcBorders>
              <w:top w:val="single" w:sz="7" w:space="0" w:color="000000"/>
              <w:left w:val="nil" w:sz="6" w:space="0" w:color="auto"/>
              <w:bottom w:val="nil" w:sz="6" w:space="0" w:color="auto"/>
              <w:right w:val="nil" w:sz="6" w:space="0" w:color="auto"/>
            </w:tcBorders>
          </w:tcPr>
          <w:p>
            <w:pPr>
              <w:pStyle w:val="TableParagraph"/>
              <w:spacing w:line="240" w:lineRule="auto" w:before="17"/>
              <w:ind w:left="489" w:right="0"/>
              <w:jc w:val="left"/>
              <w:rPr>
                <w:rFonts w:ascii="Arial" w:hAnsi="Arial" w:cs="Arial" w:eastAsia="Arial" w:hint="default"/>
                <w:sz w:val="19"/>
                <w:szCs w:val="19"/>
              </w:rPr>
            </w:pPr>
            <w:r>
              <w:rPr>
                <w:rFonts w:ascii="Arial"/>
                <w:sz w:val="19"/>
              </w:rPr>
              <w:t>44,395,399.78</w:t>
            </w:r>
          </w:p>
          <w:p>
            <w:pPr>
              <w:pStyle w:val="TableParagraph"/>
              <w:spacing w:line="240" w:lineRule="auto" w:before="78"/>
              <w:ind w:right="299"/>
              <w:jc w:val="right"/>
              <w:rPr>
                <w:rFonts w:ascii="Arial" w:hAnsi="Arial" w:cs="Arial" w:eastAsia="Arial" w:hint="default"/>
                <w:sz w:val="19"/>
                <w:szCs w:val="19"/>
              </w:rPr>
            </w:pPr>
            <w:r>
              <w:rPr>
                <w:rFonts w:ascii="Arial"/>
                <w:w w:val="99"/>
                <w:sz w:val="19"/>
              </w:rPr>
              <w:t>-</w:t>
            </w:r>
            <w:r>
              <w:rPr>
                <w:rFonts w:ascii="Arial"/>
                <w:sz w:val="19"/>
              </w:rPr>
            </w:r>
          </w:p>
        </w:tc>
      </w:tr>
    </w:tbl>
    <w:p>
      <w:pPr>
        <w:spacing w:line="240" w:lineRule="auto" w:before="13"/>
        <w:rPr>
          <w:rFonts w:ascii="Microsoft JhengHei" w:hAnsi="Microsoft JhengHei" w:cs="Microsoft JhengHei" w:eastAsia="Microsoft JhengHei" w:hint="default"/>
          <w:b/>
          <w:bCs/>
          <w:sz w:val="13"/>
          <w:szCs w:val="13"/>
        </w:rPr>
      </w:pPr>
    </w:p>
    <w:p>
      <w:pPr>
        <w:spacing w:line="20" w:lineRule="exact"/>
        <w:ind w:left="15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1.55pt;height:.85pt;mso-position-horizontal-relative:char;mso-position-vertical-relative:line" coordorigin="0,0" coordsize="8431,17">
            <v:group style="position:absolute;left:9;top:1;width:8413;height:2" coordorigin="9,1" coordsize="8413,2">
              <v:shape style="position:absolute;left:9;top:1;width:8413;height:2" coordorigin="9,1" coordsize="8413,0" path="m9,1l8422,1e" filled="false" stroked="true" strokeweight=".119879pt" strokecolor="#000000">
                <v:path arrowok="t"/>
              </v:shape>
            </v:group>
            <v:group style="position:absolute;left:8;top:8;width:8415;height:2" coordorigin="8,8" coordsize="8415,2">
              <v:shape style="position:absolute;left:8;top:8;width:8415;height:2" coordorigin="8,8" coordsize="8415,0" path="m8,8l8423,8e" filled="false" stroked="true" strokeweight=".822046pt" strokecolor="#000000">
                <v:path arrowok="t"/>
              </v:shape>
            </v:group>
          </v:group>
        </w:pict>
      </w:r>
      <w:r>
        <w:rPr>
          <w:rFonts w:ascii="Microsoft JhengHei" w:hAnsi="Microsoft JhengHei" w:cs="Microsoft JhengHei" w:eastAsia="Microsoft JhengHei" w:hint="default"/>
          <w:sz w:val="2"/>
          <w:szCs w:val="2"/>
        </w:rPr>
      </w:r>
    </w:p>
    <w:p>
      <w:pPr>
        <w:spacing w:line="240" w:lineRule="auto" w:before="10"/>
        <w:rPr>
          <w:rFonts w:ascii="Microsoft JhengHei" w:hAnsi="Microsoft JhengHei" w:cs="Microsoft JhengHei" w:eastAsia="Microsoft JhengHei" w:hint="default"/>
          <w:b/>
          <w:bCs/>
          <w:sz w:val="9"/>
          <w:szCs w:val="9"/>
        </w:rPr>
      </w:pPr>
    </w:p>
    <w:p>
      <w:pPr>
        <w:tabs>
          <w:tab w:pos="2407" w:val="left" w:leader="none"/>
          <w:tab w:pos="6226" w:val="left" w:leader="none"/>
        </w:tabs>
        <w:spacing w:before="29"/>
        <w:ind w:left="253" w:right="176" w:firstLine="0"/>
        <w:jc w:val="left"/>
        <w:rPr>
          <w:rFonts w:ascii="宋体" w:hAnsi="宋体" w:cs="宋体" w:eastAsia="宋体" w:hint="default"/>
          <w:sz w:val="19"/>
          <w:szCs w:val="19"/>
        </w:rPr>
      </w:pPr>
      <w:r>
        <w:rPr/>
        <w:pict>
          <v:group style="position:absolute;margin-left:308.160065pt;margin-top:-53.853951pt;width:101.75pt;height:.1pt;mso-position-horizontal-relative:page;mso-position-vertical-relative:paragraph;z-index:-680536" coordorigin="6163,-1077" coordsize="2035,2">
            <v:shape style="position:absolute;left:6163;top:-1077;width:2035;height:2" coordorigin="6163,-1077" coordsize="2035,0" path="m6163,-1077l8198,-1077e" filled="false" stroked="true" strokeweight=".822046pt" strokecolor="#000000">
              <v:path arrowok="t"/>
            </v:shape>
            <w10:wrap type="none"/>
          </v:group>
        </w:pict>
      </w:r>
      <w:r>
        <w:rPr/>
        <w:pict>
          <v:group style="position:absolute;margin-left:417.506104pt;margin-top:-53.853951pt;width:89.5pt;height:.1pt;mso-position-horizontal-relative:page;mso-position-vertical-relative:paragraph;z-index:-680512" coordorigin="8350,-1077" coordsize="1790,2">
            <v:shape style="position:absolute;left:8350;top:-1077;width:1790;height:2" coordorigin="8350,-1077" coordsize="1790,0" path="m8350,-1077l10140,-1077e" filled="false" stroked="true" strokeweight=".822046pt" strokecolor="#000000">
              <v:path arrowok="t"/>
            </v:shape>
            <w10:wrap type="none"/>
          </v:group>
        </w:pict>
      </w:r>
      <w:r>
        <w:rPr>
          <w:rFonts w:ascii="宋体" w:hAnsi="宋体" w:cs="宋体" w:eastAsia="宋体" w:hint="default"/>
          <w:w w:val="95"/>
          <w:sz w:val="19"/>
          <w:szCs w:val="19"/>
        </w:rPr>
        <w:t>公司负责人：刘祥</w:t>
        <w:tab/>
        <w:t>主管会计工作负责人：赵辉</w:t>
        <w:tab/>
      </w:r>
      <w:r>
        <w:rPr>
          <w:rFonts w:ascii="宋体" w:hAnsi="宋体" w:cs="宋体" w:eastAsia="宋体" w:hint="default"/>
          <w:sz w:val="19"/>
          <w:szCs w:val="19"/>
        </w:rPr>
        <w:t>会计机构负责人：赵辉</w:t>
      </w:r>
    </w:p>
    <w:p>
      <w:pPr>
        <w:spacing w:after="0"/>
        <w:jc w:val="left"/>
        <w:rPr>
          <w:rFonts w:ascii="宋体" w:hAnsi="宋体" w:cs="宋体" w:eastAsia="宋体" w:hint="default"/>
          <w:sz w:val="19"/>
          <w:szCs w:val="19"/>
        </w:rPr>
        <w:sectPr>
          <w:type w:val="continuous"/>
          <w:pgSz w:w="11910" w:h="16840"/>
          <w:pgMar w:top="1060" w:bottom="1460" w:left="1560" w:right="14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7"/>
          <w:footerReference w:type="default" r:id="rId38"/>
          <w:pgSz w:w="16840" w:h="11910" w:orient="landscape"/>
          <w:pgMar w:header="877" w:footer="1268" w:top="1100" w:bottom="1460" w:left="980" w:right="980"/>
          <w:pgNumType w:start="9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3068" w:val="left" w:leader="none"/>
        </w:tabs>
        <w:spacing w:before="111"/>
        <w:ind w:left="1513" w:right="-8" w:firstLine="0"/>
        <w:jc w:val="left"/>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36"/>
          <w:w w:val="105"/>
          <w:sz w:val="14"/>
          <w:szCs w:val="14"/>
        </w:rPr>
        <w:t> </w:t>
      </w:r>
      <w:r>
        <w:rPr>
          <w:rFonts w:ascii="宋体" w:hAnsi="宋体" w:cs="宋体" w:eastAsia="宋体" w:hint="default"/>
          <w:w w:val="105"/>
          <w:sz w:val="14"/>
          <w:szCs w:val="14"/>
        </w:rPr>
        <w:t>目</w:t>
        <w:tab/>
      </w:r>
      <w:r>
        <w:rPr>
          <w:rFonts w:ascii="宋体" w:hAnsi="宋体" w:cs="宋体" w:eastAsia="宋体" w:hint="default"/>
          <w:sz w:val="14"/>
          <w:szCs w:val="14"/>
        </w:rPr>
        <w:t>附注</w:t>
      </w:r>
    </w:p>
    <w:p>
      <w:pPr>
        <w:pStyle w:val="Heading5"/>
        <w:spacing w:line="240" w:lineRule="auto"/>
        <w:ind w:left="2641" w:right="0"/>
        <w:jc w:val="left"/>
      </w:pPr>
      <w:r>
        <w:rPr/>
        <w:br w:type="column"/>
      </w:r>
      <w:r>
        <w:rPr/>
        <w:t>合并股东权益变动表</w:t>
      </w:r>
    </w:p>
    <w:p>
      <w:pPr>
        <w:tabs>
          <w:tab w:pos="10037" w:val="left" w:leader="none"/>
        </w:tabs>
        <w:spacing w:before="73"/>
        <w:ind w:left="3255" w:right="0" w:firstLine="0"/>
        <w:jc w:val="left"/>
        <w:rPr>
          <w:rFonts w:ascii="宋体" w:hAnsi="宋体" w:cs="宋体" w:eastAsia="宋体" w:hint="default"/>
          <w:sz w:val="14"/>
          <w:szCs w:val="14"/>
        </w:rPr>
      </w:pPr>
      <w:r>
        <w:rPr>
          <w:rFonts w:ascii="宋体" w:hAnsi="宋体" w:cs="宋体" w:eastAsia="宋体" w:hint="default"/>
          <w:w w:val="110"/>
          <w:sz w:val="14"/>
          <w:szCs w:val="14"/>
        </w:rPr>
        <w:t>2010年度</w:t>
        <w:tab/>
        <w:t>单位：人民币元</w:t>
      </w:r>
      <w:r>
        <w:rPr>
          <w:rFonts w:ascii="宋体" w:hAnsi="宋体" w:cs="宋体" w:eastAsia="宋体" w:hint="default"/>
          <w:sz w:val="14"/>
          <w:szCs w:val="14"/>
        </w:rPr>
      </w:r>
    </w:p>
    <w:p>
      <w:pPr>
        <w:spacing w:before="58"/>
        <w:ind w:left="5340" w:right="5656" w:firstLine="0"/>
        <w:jc w:val="center"/>
        <w:rPr>
          <w:rFonts w:ascii="宋体" w:hAnsi="宋体" w:cs="宋体" w:eastAsia="宋体" w:hint="default"/>
          <w:sz w:val="14"/>
          <w:szCs w:val="14"/>
        </w:rPr>
      </w:pPr>
      <w:r>
        <w:rPr>
          <w:rFonts w:ascii="宋体" w:hAnsi="宋体" w:cs="宋体" w:eastAsia="宋体" w:hint="default"/>
          <w:w w:val="105"/>
          <w:sz w:val="14"/>
          <w:szCs w:val="14"/>
        </w:rPr>
        <w:t>本期数</w:t>
      </w:r>
      <w:r>
        <w:rPr>
          <w:rFonts w:ascii="宋体" w:hAnsi="宋体" w:cs="宋体" w:eastAsia="宋体" w:hint="default"/>
          <w:sz w:val="14"/>
          <w:szCs w:val="14"/>
        </w:rPr>
      </w:r>
    </w:p>
    <w:p>
      <w:pPr>
        <w:spacing w:before="67"/>
        <w:ind w:left="3497" w:right="0" w:firstLine="0"/>
        <w:jc w:val="left"/>
        <w:rPr>
          <w:rFonts w:ascii="宋体" w:hAnsi="宋体" w:cs="宋体" w:eastAsia="宋体" w:hint="default"/>
          <w:sz w:val="14"/>
          <w:szCs w:val="14"/>
        </w:rPr>
      </w:pPr>
      <w:r>
        <w:rPr/>
        <w:pict>
          <v:group style="position:absolute;margin-left:67.959435pt;margin-top:2.622077pt;width:706.1pt;height:.8pt;mso-position-horizontal-relative:page;mso-position-vertical-relative:paragraph;z-index:-680368" coordorigin="1359,52" coordsize="14122,16">
            <v:group style="position:absolute;left:1368;top:54;width:2571;height:2" coordorigin="1368,54" coordsize="2571,2">
              <v:shape style="position:absolute;left:1368;top:54;width:2571;height:2" coordorigin="1368,54" coordsize="2571,0" path="m1368,54l3939,54e" filled="false" stroked="true" strokeweight=".113837pt" strokecolor="#000000">
                <v:path arrowok="t"/>
              </v:shape>
            </v:group>
            <v:group style="position:absolute;left:1367;top:60;width:2573;height:2" coordorigin="1367,60" coordsize="2573,2">
              <v:shape style="position:absolute;left:1367;top:60;width:2573;height:2" coordorigin="1367,60" coordsize="2573,0" path="m1367,60l3940,60e" filled="false" stroked="true" strokeweight=".780598pt" strokecolor="#000000">
                <v:path arrowok="t"/>
              </v:shape>
            </v:group>
            <v:group style="position:absolute;left:3999;top:54;width:379;height:2" coordorigin="3999,54" coordsize="379,2">
              <v:shape style="position:absolute;left:3999;top:54;width:379;height:2" coordorigin="3999,54" coordsize="379,0" path="m3999,54l4377,54e" filled="false" stroked="true" strokeweight=".113837pt" strokecolor="#000000">
                <v:path arrowok="t"/>
              </v:shape>
            </v:group>
            <v:group style="position:absolute;left:3998;top:60;width:380;height:2" coordorigin="3998,60" coordsize="380,2">
              <v:shape style="position:absolute;left:3998;top:60;width:380;height:2" coordorigin="3998,60" coordsize="380,0" path="m3998,60l4378,60e" filled="false" stroked="true" strokeweight=".780598pt" strokecolor="#000000">
                <v:path arrowok="t"/>
              </v:shape>
            </v:group>
            <v:group style="position:absolute;left:4437;top:54;width:11035;height:2" coordorigin="4437,54" coordsize="11035,2">
              <v:shape style="position:absolute;left:4437;top:54;width:11035;height:2" coordorigin="4437,54" coordsize="11035,0" path="m4437,54l15472,54e" filled="false" stroked="true" strokeweight=".113837pt" strokecolor="#000000">
                <v:path arrowok="t"/>
              </v:shape>
            </v:group>
            <v:group style="position:absolute;left:4436;top:60;width:11037;height:2" coordorigin="4436,60" coordsize="11037,2">
              <v:shape style="position:absolute;left:4436;top:60;width:11037;height:2" coordorigin="4436,60" coordsize="11037,0" path="m4436,60l15473,60e" filled="false" stroked="true" strokeweight=".780598pt" strokecolor="#000000">
                <v:path arrowok="t"/>
              </v:shape>
            </v:group>
            <w10:wrap type="none"/>
          </v:group>
        </w:pict>
      </w:r>
      <w:r>
        <w:rPr>
          <w:rFonts w:ascii="宋体" w:hAnsi="宋体" w:cs="宋体" w:eastAsia="宋体" w:hint="default"/>
          <w:w w:val="105"/>
          <w:sz w:val="14"/>
          <w:szCs w:val="14"/>
        </w:rPr>
        <w:t>归属于母公司股东权益</w:t>
      </w:r>
      <w:r>
        <w:rPr>
          <w:rFonts w:ascii="宋体" w:hAnsi="宋体" w:cs="宋体" w:eastAsia="宋体" w:hint="default"/>
          <w:sz w:val="14"/>
          <w:szCs w:val="14"/>
        </w:rPr>
      </w:r>
    </w:p>
    <w:p>
      <w:pPr>
        <w:spacing w:line="240" w:lineRule="auto" w:before="0"/>
        <w:rPr>
          <w:rFonts w:ascii="宋体" w:hAnsi="宋体" w:cs="宋体" w:eastAsia="宋体" w:hint="default"/>
          <w:sz w:val="4"/>
          <w:szCs w:val="4"/>
        </w:rPr>
      </w:pPr>
    </w:p>
    <w:p>
      <w:pPr>
        <w:spacing w:line="20" w:lineRule="exact"/>
        <w:ind w:left="47" w:right="0" w:firstLine="0"/>
        <w:rPr>
          <w:rFonts w:ascii="宋体" w:hAnsi="宋体" w:cs="宋体" w:eastAsia="宋体" w:hint="default"/>
          <w:sz w:val="2"/>
          <w:szCs w:val="2"/>
        </w:rPr>
      </w:pPr>
      <w:r>
        <w:rPr>
          <w:rFonts w:ascii="宋体" w:hAnsi="宋体" w:cs="宋体" w:eastAsia="宋体" w:hint="default"/>
          <w:sz w:val="2"/>
          <w:szCs w:val="2"/>
        </w:rPr>
        <w:pict>
          <v:group style="width:417.4pt;height:.8pt;mso-position-horizontal-relative:char;mso-position-vertical-relative:line" coordorigin="0,0" coordsize="8348,16">
            <v:group style="position:absolute;left:9;top:1;width:8330;height:2" coordorigin="9,1" coordsize="8330,2">
              <v:shape style="position:absolute;left:9;top:1;width:8330;height:2" coordorigin="9,1" coordsize="8330,0" path="m9,1l8339,1e" filled="false" stroked="true" strokeweight=".113837pt" strokecolor="#000000">
                <v:path arrowok="t"/>
              </v:shape>
            </v:group>
            <v:group style="position:absolute;left:8;top:8;width:8332;height:2" coordorigin="8,8" coordsize="8332,2">
              <v:shape style="position:absolute;left:8;top:8;width:8332;height:2" coordorigin="8,8" coordsize="8332,0" path="m8,8l8339,8e" filled="false" stroked="true" strokeweight=".780598pt" strokecolor="#000000">
                <v:path arrowok="t"/>
              </v:shape>
            </v:group>
          </v:group>
        </w:pict>
      </w:r>
      <w:r>
        <w:rPr>
          <w:rFonts w:ascii="宋体" w:hAnsi="宋体" w:cs="宋体" w:eastAsia="宋体" w:hint="default"/>
          <w:sz w:val="2"/>
          <w:szCs w:val="2"/>
        </w:rPr>
      </w:r>
    </w:p>
    <w:p>
      <w:pPr>
        <w:tabs>
          <w:tab w:pos="1988" w:val="left" w:leader="none"/>
          <w:tab w:pos="3121" w:val="left" w:leader="none"/>
          <w:tab w:pos="5105" w:val="left" w:leader="none"/>
          <w:tab w:pos="6455" w:val="left" w:leader="none"/>
          <w:tab w:pos="7851" w:val="left" w:leader="none"/>
          <w:tab w:pos="8582" w:val="left" w:leader="none"/>
          <w:tab w:pos="9934" w:val="left" w:leader="none"/>
        </w:tabs>
        <w:spacing w:before="2"/>
        <w:ind w:left="630" w:right="0" w:firstLine="0"/>
        <w:jc w:val="left"/>
        <w:rPr>
          <w:rFonts w:ascii="宋体" w:hAnsi="宋体" w:cs="宋体" w:eastAsia="宋体" w:hint="default"/>
          <w:sz w:val="14"/>
          <w:szCs w:val="14"/>
        </w:rPr>
      </w:pPr>
      <w:r>
        <w:rPr/>
        <w:pict>
          <v:group style="position:absolute;margin-left:221.432892pt;margin-top:11.487634pt;width:552.65pt;height:.8pt;mso-position-horizontal-relative:page;mso-position-vertical-relative:paragraph;z-index:-680344" coordorigin="4429,230" coordsize="11053,16">
            <v:group style="position:absolute;left:4437;top:231;width:1439;height:2" coordorigin="4437,231" coordsize="1439,2">
              <v:shape style="position:absolute;left:4437;top:231;width:1439;height:2" coordorigin="4437,231" coordsize="1439,0" path="m4437,231l5876,231e" filled="false" stroked="true" strokeweight=".113837pt" strokecolor="#000000">
                <v:path arrowok="t"/>
              </v:shape>
            </v:group>
            <v:group style="position:absolute;left:4436;top:238;width:1441;height:2" coordorigin="4436,238" coordsize="1441,2">
              <v:shape style="position:absolute;left:4436;top:238;width:1441;height:2" coordorigin="4436,238" coordsize="1441,0" path="m4436,238l5877,238e" filled="false" stroked="true" strokeweight=".780598pt" strokecolor="#000000">
                <v:path arrowok="t"/>
              </v:shape>
            </v:group>
            <v:group style="position:absolute;left:5936;top:231;width:1450;height:2" coordorigin="5936,231" coordsize="1450,2">
              <v:shape style="position:absolute;left:5936;top:231;width:1450;height:2" coordorigin="5936,231" coordsize="1450,0" path="m5936,231l7386,231e" filled="false" stroked="true" strokeweight=".113837pt" strokecolor="#000000">
                <v:path arrowok="t"/>
              </v:shape>
            </v:group>
            <v:group style="position:absolute;left:5935;top:238;width:1452;height:2" coordorigin="5935,238" coordsize="1452,2">
              <v:shape style="position:absolute;left:5935;top:238;width:1452;height:2" coordorigin="5935,238" coordsize="1452,0" path="m5935,238l7387,238e" filled="false" stroked="true" strokeweight=".780598pt" strokecolor="#000000">
                <v:path arrowok="t"/>
              </v:shape>
            </v:group>
            <v:group style="position:absolute;left:7447;top:231;width:840;height:2" coordorigin="7447,231" coordsize="840,2">
              <v:shape style="position:absolute;left:7447;top:231;width:840;height:2" coordorigin="7447,231" coordsize="840,0" path="m7447,231l8287,231e" filled="false" stroked="true" strokeweight=".113837pt" strokecolor="#000000">
                <v:path arrowok="t"/>
              </v:shape>
            </v:group>
            <v:group style="position:absolute;left:7446;top:238;width:842;height:2" coordorigin="7446,238" coordsize="842,2">
              <v:shape style="position:absolute;left:7446;top:238;width:842;height:2" coordorigin="7446,238" coordsize="842,0" path="m7446,238l8288,238e" filled="false" stroked="true" strokeweight=".780598pt" strokecolor="#000000">
                <v:path arrowok="t"/>
              </v:shape>
            </v:group>
            <v:group style="position:absolute;left:8347;top:231;width:732;height:2" coordorigin="8347,231" coordsize="732,2">
              <v:shape style="position:absolute;left:8347;top:231;width:732;height:2" coordorigin="8347,231" coordsize="732,0" path="m8347,231l9078,231e" filled="false" stroked="true" strokeweight=".113837pt" strokecolor="#000000">
                <v:path arrowok="t"/>
              </v:shape>
            </v:group>
            <v:group style="position:absolute;left:8346;top:238;width:734;height:2" coordorigin="8346,238" coordsize="734,2">
              <v:shape style="position:absolute;left:8346;top:238;width:734;height:2" coordorigin="8346,238" coordsize="734,0" path="m8346,238l9079,238e" filled="false" stroked="true" strokeweight=".780598pt" strokecolor="#000000">
                <v:path arrowok="t"/>
              </v:shape>
            </v:group>
            <v:group style="position:absolute;left:9138;top:231;width:1279;height:2" coordorigin="9138,231" coordsize="1279,2">
              <v:shape style="position:absolute;left:9138;top:231;width:1279;height:2" coordorigin="9138,231" coordsize="1279,0" path="m9138,231l10417,231e" filled="false" stroked="true" strokeweight=".113837pt" strokecolor="#000000">
                <v:path arrowok="t"/>
              </v:shape>
            </v:group>
            <v:group style="position:absolute;left:9137;top:238;width:1281;height:2" coordorigin="9137,238" coordsize="1281,2">
              <v:shape style="position:absolute;left:9137;top:238;width:1281;height:2" coordorigin="9137,238" coordsize="1281,0" path="m9137,238l10418,238e" filled="false" stroked="true" strokeweight=".780598pt" strokecolor="#000000">
                <v:path arrowok="t"/>
              </v:shape>
            </v:group>
            <v:group style="position:absolute;left:10477;top:231;width:1451;height:2" coordorigin="10477,231" coordsize="1451,2">
              <v:shape style="position:absolute;left:10477;top:231;width:1451;height:2" coordorigin="10477,231" coordsize="1451,0" path="m10477,231l11927,231e" filled="false" stroked="true" strokeweight=".113837pt" strokecolor="#000000">
                <v:path arrowok="t"/>
              </v:shape>
            </v:group>
            <v:group style="position:absolute;left:10476;top:238;width:1453;height:2" coordorigin="10476,238" coordsize="1453,2">
              <v:shape style="position:absolute;left:10476;top:238;width:1453;height:2" coordorigin="10476,238" coordsize="1453,0" path="m10476,238l11928,238e" filled="false" stroked="true" strokeweight=".780598pt" strokecolor="#000000">
                <v:path arrowok="t"/>
              </v:shape>
            </v:group>
            <v:group style="position:absolute;left:11988;top:231;width:780;height:2" coordorigin="11988,231" coordsize="780,2">
              <v:shape style="position:absolute;left:11988;top:231;width:780;height:2" coordorigin="11988,231" coordsize="780,0" path="m11988,231l12767,231e" filled="false" stroked="true" strokeweight=".113837pt" strokecolor="#000000">
                <v:path arrowok="t"/>
              </v:shape>
            </v:group>
            <v:group style="position:absolute;left:11987;top:238;width:782;height:2" coordorigin="11987,238" coordsize="782,2">
              <v:shape style="position:absolute;left:11987;top:238;width:782;height:2" coordorigin="11987,238" coordsize="782,0" path="m11987,238l12768,238e" filled="false" stroked="true" strokeweight=".780598pt" strokecolor="#000000">
                <v:path arrowok="t"/>
              </v:shape>
            </v:group>
            <v:group style="position:absolute;left:12828;top:231;width:1146;height:2" coordorigin="12828,231" coordsize="1146,2">
              <v:shape style="position:absolute;left:12828;top:231;width:1146;height:2" coordorigin="12828,231" coordsize="1146,0" path="m12828,231l13974,231e" filled="false" stroked="true" strokeweight=".113837pt" strokecolor="#000000">
                <v:path arrowok="t"/>
              </v:shape>
            </v:group>
            <v:group style="position:absolute;left:12827;top:238;width:1148;height:2" coordorigin="12827,238" coordsize="1148,2">
              <v:shape style="position:absolute;left:12827;top:238;width:1148;height:2" coordorigin="12827,238" coordsize="1148,0" path="m12827,238l13975,238e" filled="false" stroked="true" strokeweight=".780598pt" strokecolor="#000000">
                <v:path arrowok="t"/>
              </v:shape>
            </v:group>
            <v:group style="position:absolute;left:14034;top:231;width:1439;height:2" coordorigin="14034,231" coordsize="1439,2">
              <v:shape style="position:absolute;left:14034;top:231;width:1439;height:2" coordorigin="14034,231" coordsize="1439,0" path="m14034,231l15472,231e" filled="false" stroked="true" strokeweight=".113837pt" strokecolor="#000000">
                <v:path arrowok="t"/>
              </v:shape>
            </v:group>
            <v:group style="position:absolute;left:14033;top:238;width:1441;height:2" coordorigin="14033,238" coordsize="1441,2">
              <v:shape style="position:absolute;left:14033;top:238;width:1441;height:2" coordorigin="14033,238" coordsize="1441,0" path="m14033,238l15473,238e" filled="false" stroked="true" strokeweight=".780598pt" strokecolor="#000000">
                <v:path arrowok="t"/>
              </v:shape>
            </v:group>
            <w10:wrap type="none"/>
          </v:group>
        </w:pict>
      </w:r>
      <w:r>
        <w:rPr>
          <w:rFonts w:ascii="宋体" w:hAnsi="宋体" w:cs="宋体" w:eastAsia="宋体" w:hint="default"/>
          <w:sz w:val="14"/>
          <w:szCs w:val="14"/>
        </w:rPr>
        <w:t>股本</w:t>
        <w:tab/>
        <w:t>资本公积</w:t>
        <w:tab/>
      </w:r>
      <w:r>
        <w:rPr>
          <w:rFonts w:ascii="宋体" w:hAnsi="宋体" w:cs="宋体" w:eastAsia="宋体" w:hint="default"/>
          <w:w w:val="105"/>
          <w:sz w:val="14"/>
          <w:szCs w:val="14"/>
        </w:rPr>
        <w:t>减：库存股 </w:t>
      </w:r>
      <w:r>
        <w:rPr>
          <w:rFonts w:ascii="宋体" w:hAnsi="宋体" w:cs="宋体" w:eastAsia="宋体" w:hint="default"/>
          <w:spacing w:val="32"/>
          <w:w w:val="105"/>
          <w:sz w:val="14"/>
          <w:szCs w:val="14"/>
        </w:rPr>
        <w:t> </w:t>
      </w:r>
      <w:r>
        <w:rPr>
          <w:rFonts w:ascii="宋体" w:hAnsi="宋体" w:cs="宋体" w:eastAsia="宋体" w:hint="default"/>
          <w:w w:val="105"/>
          <w:sz w:val="14"/>
          <w:szCs w:val="14"/>
        </w:rPr>
        <w:t>专项储备</w:t>
        <w:tab/>
      </w:r>
      <w:r>
        <w:rPr>
          <w:rFonts w:ascii="宋体" w:hAnsi="宋体" w:cs="宋体" w:eastAsia="宋体" w:hint="default"/>
          <w:sz w:val="14"/>
          <w:szCs w:val="14"/>
        </w:rPr>
        <w:t>盈余公积</w:t>
        <w:tab/>
        <w:t>未分配利润</w:t>
        <w:tab/>
        <w:t>其他</w:t>
        <w:tab/>
        <w:t>少数股东权益</w:t>
        <w:tab/>
      </w:r>
      <w:r>
        <w:rPr>
          <w:rFonts w:ascii="宋体" w:hAnsi="宋体" w:cs="宋体" w:eastAsia="宋体" w:hint="default"/>
          <w:w w:val="105"/>
          <w:sz w:val="14"/>
          <w:szCs w:val="14"/>
        </w:rPr>
        <w:t>股东权益合计</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6840" w:h="11910" w:orient="landscape"/>
          <w:pgMar w:top="1060" w:bottom="1460" w:left="980" w:right="980"/>
          <w:cols w:num="2" w:equalWidth="0">
            <w:col w:w="3361" w:space="40"/>
            <w:col w:w="11479"/>
          </w:cols>
        </w:sectPr>
      </w:pPr>
    </w:p>
    <w:p>
      <w:pPr>
        <w:tabs>
          <w:tab w:pos="3466" w:val="left" w:leader="none"/>
          <w:tab w:pos="4977" w:val="left" w:leader="none"/>
          <w:tab w:pos="6606" w:val="left" w:leader="none"/>
          <w:tab w:pos="7398" w:val="left" w:leader="none"/>
          <w:tab w:pos="8089" w:val="left" w:leader="none"/>
          <w:tab w:pos="9518" w:val="left" w:leader="none"/>
          <w:tab w:pos="11087" w:val="left" w:leader="none"/>
          <w:tab w:pos="12293" w:val="left" w:leader="none"/>
          <w:tab w:pos="12981" w:val="left" w:leader="none"/>
        </w:tabs>
        <w:spacing w:before="22"/>
        <w:ind w:left="0" w:right="41" w:firstLine="0"/>
        <w:jc w:val="center"/>
        <w:rPr>
          <w:rFonts w:ascii="Arial" w:hAnsi="Arial" w:cs="Arial" w:eastAsia="Arial" w:hint="default"/>
          <w:sz w:val="14"/>
          <w:szCs w:val="14"/>
        </w:rPr>
      </w:pPr>
      <w:r>
        <w:rPr>
          <w:rFonts w:ascii="Microsoft JhengHei" w:hAnsi="Microsoft JhengHei" w:cs="Microsoft JhengHei" w:eastAsia="Microsoft JhengHei" w:hint="default"/>
          <w:b/>
          <w:bCs/>
          <w:w w:val="105"/>
          <w:sz w:val="14"/>
          <w:szCs w:val="14"/>
        </w:rPr>
        <w:t>一、上年年末余额</w:t>
        <w:tab/>
      </w:r>
      <w:r>
        <w:rPr>
          <w:rFonts w:ascii="Arial" w:hAnsi="Arial" w:cs="Arial" w:eastAsia="Arial" w:hint="default"/>
          <w:sz w:val="14"/>
          <w:szCs w:val="14"/>
        </w:rPr>
        <w:t>47,500,000.00</w:t>
        <w:tab/>
        <w:t>62,385,459.32</w:t>
        <w:tab/>
        <w:t>-</w:t>
        <w:tab/>
        <w:t>-</w:t>
        <w:tab/>
        <w:t>4,376,663.12</w:t>
        <w:tab/>
        <w:t>53,513,503.59</w:t>
        <w:tab/>
        <w:t>-</w:t>
        <w:tab/>
        <w:t>-</w:t>
        <w:tab/>
      </w:r>
      <w:r>
        <w:rPr>
          <w:rFonts w:ascii="Arial" w:hAnsi="Arial" w:cs="Arial" w:eastAsia="Arial" w:hint="default"/>
          <w:w w:val="105"/>
          <w:sz w:val="14"/>
          <w:szCs w:val="14"/>
        </w:rPr>
        <w:t>167,775,626.03</w:t>
      </w:r>
      <w:r>
        <w:rPr>
          <w:rFonts w:ascii="Arial" w:hAnsi="Arial" w:cs="Arial" w:eastAsia="Arial" w:hint="default"/>
          <w:sz w:val="14"/>
          <w:szCs w:val="14"/>
        </w:rPr>
      </w:r>
    </w:p>
    <w:p>
      <w:pPr>
        <w:spacing w:line="240" w:lineRule="auto" w:before="6"/>
        <w:rPr>
          <w:rFonts w:ascii="Arial" w:hAnsi="Arial" w:cs="Arial" w:eastAsia="Arial" w:hint="default"/>
          <w:sz w:val="2"/>
          <w:szCs w:val="2"/>
        </w:rPr>
      </w:pPr>
    </w:p>
    <w:p>
      <w:pPr>
        <w:spacing w:line="20" w:lineRule="exact"/>
        <w:ind w:left="3448" w:right="0" w:firstLine="0"/>
        <w:rPr>
          <w:rFonts w:ascii="Arial" w:hAnsi="Arial" w:cs="Arial" w:eastAsia="Arial" w:hint="default"/>
          <w:sz w:val="2"/>
          <w:szCs w:val="2"/>
        </w:rPr>
      </w:pPr>
      <w:r>
        <w:rPr>
          <w:rFonts w:ascii="Arial" w:hAnsi="Arial" w:cs="Arial" w:eastAsia="Arial" w:hint="default"/>
          <w:sz w:val="2"/>
          <w:szCs w:val="2"/>
        </w:rPr>
        <w:pict>
          <v:group style="width:552.65pt;height:.8pt;mso-position-horizontal-relative:char;mso-position-vertical-relative:line" coordorigin="0,0" coordsize="11053,16">
            <v:group style="position:absolute;left:9;top:1;width:1439;height:2" coordorigin="9,1" coordsize="1439,2">
              <v:shape style="position:absolute;left:9;top:1;width:1439;height:2" coordorigin="9,1" coordsize="1439,0" path="m9,1l1447,1e" filled="false" stroked="true" strokeweight=".113837pt" strokecolor="#000000">
                <v:path arrowok="t"/>
              </v:shape>
            </v:group>
            <v:group style="position:absolute;left:8;top:8;width:1441;height:2" coordorigin="8,8" coordsize="1441,2">
              <v:shape style="position:absolute;left:8;top:8;width:1441;height:2" coordorigin="8,8" coordsize="1441,0" path="m8,8l1448,8e" filled="false" stroked="true" strokeweight=".780598pt" strokecolor="#000000">
                <v:path arrowok="t"/>
              </v:shape>
            </v:group>
            <v:group style="position:absolute;left:1508;top:1;width:1450;height:2" coordorigin="1508,1" coordsize="1450,2">
              <v:shape style="position:absolute;left:1508;top:1;width:1450;height:2" coordorigin="1508,1" coordsize="1450,0" path="m1508,1l2958,1e" filled="false" stroked="true" strokeweight=".113837pt" strokecolor="#000000">
                <v:path arrowok="t"/>
              </v:shape>
            </v:group>
            <v:group style="position:absolute;left:1507;top:8;width:1452;height:2" coordorigin="1507,8" coordsize="1452,2">
              <v:shape style="position:absolute;left:1507;top:8;width:1452;height:2" coordorigin="1507,8" coordsize="1452,0" path="m1507,8l2959,8e" filled="false" stroked="true" strokeweight=".780598pt" strokecolor="#000000">
                <v:path arrowok="t"/>
              </v:shape>
            </v:group>
            <v:group style="position:absolute;left:3018;top:1;width:840;height:2" coordorigin="3018,1" coordsize="840,2">
              <v:shape style="position:absolute;left:3018;top:1;width:840;height:2" coordorigin="3018,1" coordsize="840,0" path="m3018,1l3858,1e" filled="false" stroked="true" strokeweight=".113837pt" strokecolor="#000000">
                <v:path arrowok="t"/>
              </v:shape>
            </v:group>
            <v:group style="position:absolute;left:3017;top:8;width:842;height:2" coordorigin="3017,8" coordsize="842,2">
              <v:shape style="position:absolute;left:3017;top:8;width:842;height:2" coordorigin="3017,8" coordsize="842,0" path="m3017,8l3859,8e" filled="false" stroked="true" strokeweight=".780598pt" strokecolor="#000000">
                <v:path arrowok="t"/>
              </v:shape>
            </v:group>
            <v:group style="position:absolute;left:3918;top:1;width:732;height:2" coordorigin="3918,1" coordsize="732,2">
              <v:shape style="position:absolute;left:3918;top:1;width:732;height:2" coordorigin="3918,1" coordsize="732,0" path="m3918,1l4649,1e" filled="false" stroked="true" strokeweight=".113837pt" strokecolor="#000000">
                <v:path arrowok="t"/>
              </v:shape>
            </v:group>
            <v:group style="position:absolute;left:3917;top:8;width:734;height:2" coordorigin="3917,8" coordsize="734,2">
              <v:shape style="position:absolute;left:3917;top:8;width:734;height:2" coordorigin="3917,8" coordsize="734,0" path="m3917,8l4650,8e" filled="false" stroked="true" strokeweight=".780598pt" strokecolor="#000000">
                <v:path arrowok="t"/>
              </v:shape>
            </v:group>
            <v:group style="position:absolute;left:4710;top:1;width:1279;height:2" coordorigin="4710,1" coordsize="1279,2">
              <v:shape style="position:absolute;left:4710;top:1;width:1279;height:2" coordorigin="4710,1" coordsize="1279,0" path="m4710,1l5988,1e" filled="false" stroked="true" strokeweight=".113837pt" strokecolor="#000000">
                <v:path arrowok="t"/>
              </v:shape>
            </v:group>
            <v:group style="position:absolute;left:4709;top:8;width:1281;height:2" coordorigin="4709,8" coordsize="1281,2">
              <v:shape style="position:absolute;left:4709;top:8;width:1281;height:2" coordorigin="4709,8" coordsize="1281,0" path="m4709,8l5989,8e" filled="false" stroked="true" strokeweight=".780598pt" strokecolor="#000000">
                <v:path arrowok="t"/>
              </v:shape>
            </v:group>
            <v:group style="position:absolute;left:6048;top:1;width:1451;height:2" coordorigin="6048,1" coordsize="1451,2">
              <v:shape style="position:absolute;left:6048;top:1;width:1451;height:2" coordorigin="6048,1" coordsize="1451,0" path="m6048,1l7499,1e" filled="false" stroked="true" strokeweight=".113837pt" strokecolor="#000000">
                <v:path arrowok="t"/>
              </v:shape>
            </v:group>
            <v:group style="position:absolute;left:6048;top:8;width:1453;height:2" coordorigin="6048,8" coordsize="1453,2">
              <v:shape style="position:absolute;left:6048;top:8;width:1453;height:2" coordorigin="6048,8" coordsize="1453,0" path="m6048,8l7500,8e" filled="false" stroked="true" strokeweight=".780598pt" strokecolor="#000000">
                <v:path arrowok="t"/>
              </v:shape>
            </v:group>
            <v:group style="position:absolute;left:7559;top:1;width:780;height:2" coordorigin="7559,1" coordsize="780,2">
              <v:shape style="position:absolute;left:7559;top:1;width:780;height:2" coordorigin="7559,1" coordsize="780,0" path="m7559,1l8339,1e" filled="false" stroked="true" strokeweight=".113837pt" strokecolor="#000000">
                <v:path arrowok="t"/>
              </v:shape>
            </v:group>
            <v:group style="position:absolute;left:7558;top:8;width:782;height:2" coordorigin="7558,8" coordsize="782,2">
              <v:shape style="position:absolute;left:7558;top:8;width:782;height:2" coordorigin="7558,8" coordsize="782,0" path="m7558,8l8340,8e" filled="false" stroked="true" strokeweight=".780598pt" strokecolor="#000000">
                <v:path arrowok="t"/>
              </v:shape>
            </v:group>
            <v:group style="position:absolute;left:8399;top:1;width:1146;height:2" coordorigin="8399,1" coordsize="1146,2">
              <v:shape style="position:absolute;left:8399;top:1;width:1146;height:2" coordorigin="8399,1" coordsize="1146,0" path="m8399,1l9545,1e" filled="false" stroked="true" strokeweight=".113837pt" strokecolor="#000000">
                <v:path arrowok="t"/>
              </v:shape>
            </v:group>
            <v:group style="position:absolute;left:8398;top:8;width:1148;height:2" coordorigin="8398,8" coordsize="1148,2">
              <v:shape style="position:absolute;left:8398;top:8;width:1148;height:2" coordorigin="8398,8" coordsize="1148,0" path="m8398,8l9546,8e" filled="false" stroked="true" strokeweight=".780598pt" strokecolor="#000000">
                <v:path arrowok="t"/>
              </v:shape>
            </v:group>
            <v:group style="position:absolute;left:9605;top:1;width:1439;height:2" coordorigin="9605,1" coordsize="1439,2">
              <v:shape style="position:absolute;left:9605;top:1;width:1439;height:2" coordorigin="9605,1" coordsize="1439,0" path="m9605,1l11044,1e" filled="false" stroked="true" strokeweight=".113837pt" strokecolor="#000000">
                <v:path arrowok="t"/>
              </v:shape>
            </v:group>
            <v:group style="position:absolute;left:9604;top:8;width:1441;height:2" coordorigin="9604,8" coordsize="1441,2">
              <v:shape style="position:absolute;left:9604;top:8;width:1441;height:2" coordorigin="9604,8" coordsize="1441,0" path="m9604,8l11045,8e" filled="false" stroked="true" strokeweight=".780598pt" strokecolor="#000000">
                <v:path arrowok="t"/>
              </v:shape>
            </v:group>
          </v:group>
        </w:pict>
      </w:r>
      <w:r>
        <w:rPr>
          <w:rFonts w:ascii="Arial" w:hAnsi="Arial" w:cs="Arial" w:eastAsia="Arial" w:hint="default"/>
          <w:sz w:val="2"/>
          <w:szCs w:val="2"/>
        </w:rPr>
      </w:r>
    </w:p>
    <w:p>
      <w:pPr>
        <w:tabs>
          <w:tab w:pos="4195" w:val="left" w:leader="none"/>
          <w:tab w:pos="5706" w:val="left" w:leader="none"/>
          <w:tab w:pos="6606" w:val="left" w:leader="none"/>
          <w:tab w:pos="7398" w:val="left" w:leader="none"/>
          <w:tab w:pos="8736" w:val="left" w:leader="none"/>
          <w:tab w:pos="10247" w:val="left" w:leader="none"/>
          <w:tab w:pos="11087" w:val="left" w:leader="none"/>
          <w:tab w:pos="12293" w:val="left" w:leader="none"/>
          <w:tab w:pos="13792" w:val="left" w:leader="none"/>
        </w:tabs>
        <w:spacing w:before="2"/>
        <w:ind w:left="0" w:right="202" w:firstLine="0"/>
        <w:jc w:val="center"/>
        <w:rPr>
          <w:rFonts w:ascii="Arial" w:hAnsi="Arial" w:cs="Arial" w:eastAsia="Arial" w:hint="default"/>
          <w:sz w:val="14"/>
          <w:szCs w:val="14"/>
        </w:rPr>
      </w:pPr>
      <w:r>
        <w:rPr>
          <w:rFonts w:ascii="宋体" w:hAnsi="宋体" w:cs="宋体" w:eastAsia="宋体" w:hint="default"/>
          <w:sz w:val="14"/>
          <w:szCs w:val="14"/>
        </w:rPr>
        <w:t>加：会计政策变更</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sz w:val="14"/>
          <w:szCs w:val="14"/>
        </w:rPr>
        <w:t>前期差错更正</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spacing w:line="240" w:lineRule="auto" w:before="5"/>
        <w:rPr>
          <w:rFonts w:ascii="Arial" w:hAnsi="Arial" w:cs="Arial" w:eastAsia="Arial" w:hint="default"/>
          <w:sz w:val="3"/>
          <w:szCs w:val="3"/>
        </w:rPr>
      </w:pPr>
    </w:p>
    <w:tbl>
      <w:tblPr>
        <w:tblW w:w="0" w:type="auto"/>
        <w:jc w:val="left"/>
        <w:tblInd w:w="381" w:type="dxa"/>
        <w:tblLayout w:type="fixed"/>
        <w:tblCellMar>
          <w:top w:w="0" w:type="dxa"/>
          <w:left w:w="0" w:type="dxa"/>
          <w:bottom w:w="0" w:type="dxa"/>
          <w:right w:w="0" w:type="dxa"/>
        </w:tblCellMar>
        <w:tblLook w:val="01E0"/>
      </w:tblPr>
      <w:tblGrid>
        <w:gridCol w:w="3075"/>
        <w:gridCol w:w="1611"/>
        <w:gridCol w:w="1611"/>
        <w:gridCol w:w="2971"/>
        <w:gridCol w:w="1540"/>
        <w:gridCol w:w="3305"/>
      </w:tblGrid>
      <w:tr>
        <w:trPr>
          <w:trHeight w:val="252"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二、本年年初余额</w:t>
            </w:r>
            <w:r>
              <w:rPr>
                <w:rFonts w:ascii="Microsoft JhengHei" w:hAnsi="Microsoft JhengHei" w:cs="Microsoft JhengHei" w:eastAsia="Microsoft JhengHei" w:hint="default"/>
                <w:sz w:val="14"/>
                <w:szCs w:val="14"/>
              </w:rPr>
            </w:r>
          </w:p>
        </w:tc>
        <w:tc>
          <w:tcPr>
            <w:tcW w:w="1611"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right="242"/>
              <w:jc w:val="right"/>
              <w:rPr>
                <w:rFonts w:ascii="Arial" w:hAnsi="Arial" w:cs="Arial" w:eastAsia="Arial" w:hint="default"/>
                <w:sz w:val="14"/>
                <w:szCs w:val="14"/>
              </w:rPr>
            </w:pPr>
            <w:r>
              <w:rPr>
                <w:rFonts w:ascii="Arial"/>
                <w:sz w:val="14"/>
              </w:rPr>
              <w:t>47,500,000.00</w:t>
            </w:r>
          </w:p>
        </w:tc>
        <w:tc>
          <w:tcPr>
            <w:tcW w:w="1611"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right="342"/>
              <w:jc w:val="right"/>
              <w:rPr>
                <w:rFonts w:ascii="Arial" w:hAnsi="Arial" w:cs="Arial" w:eastAsia="Arial" w:hint="default"/>
                <w:sz w:val="14"/>
                <w:szCs w:val="14"/>
              </w:rPr>
            </w:pPr>
            <w:r>
              <w:rPr>
                <w:rFonts w:ascii="Arial"/>
                <w:sz w:val="14"/>
              </w:rPr>
              <w:t>62,385,459.32</w:t>
            </w:r>
          </w:p>
        </w:tc>
        <w:tc>
          <w:tcPr>
            <w:tcW w:w="2971" w:type="dxa"/>
            <w:tcBorders>
              <w:top w:val="nil" w:sz="6" w:space="0" w:color="auto"/>
              <w:left w:val="nil" w:sz="6" w:space="0" w:color="auto"/>
              <w:bottom w:val="single" w:sz="6" w:space="0" w:color="000000"/>
              <w:right w:val="nil" w:sz="6" w:space="0" w:color="auto"/>
            </w:tcBorders>
          </w:tcPr>
          <w:p>
            <w:pPr>
              <w:pStyle w:val="TableParagraph"/>
              <w:tabs>
                <w:tab w:pos="850" w:val="left" w:leader="none"/>
                <w:tab w:pos="1542" w:val="left" w:leader="none"/>
              </w:tabs>
              <w:spacing w:line="240" w:lineRule="auto" w:before="49"/>
              <w:ind w:left="59" w:right="0"/>
              <w:jc w:val="center"/>
              <w:rPr>
                <w:rFonts w:ascii="Arial" w:hAnsi="Arial" w:cs="Arial" w:eastAsia="Arial" w:hint="default"/>
                <w:sz w:val="14"/>
                <w:szCs w:val="14"/>
              </w:rPr>
            </w:pPr>
            <w:r>
              <w:rPr>
                <w:rFonts w:ascii="Arial"/>
                <w:sz w:val="14"/>
              </w:rPr>
              <w:t>-</w:t>
              <w:tab/>
              <w:t>-</w:t>
              <w:tab/>
            </w:r>
            <w:r>
              <w:rPr>
                <w:rFonts w:ascii="Arial"/>
                <w:w w:val="105"/>
                <w:sz w:val="14"/>
              </w:rPr>
              <w:t>4,376,663.12</w:t>
            </w:r>
            <w:r>
              <w:rPr>
                <w:rFonts w:ascii="Arial"/>
                <w:sz w:val="14"/>
              </w:rPr>
            </w:r>
          </w:p>
        </w:tc>
        <w:tc>
          <w:tcPr>
            <w:tcW w:w="1540"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left="285" w:right="0"/>
              <w:jc w:val="left"/>
              <w:rPr>
                <w:rFonts w:ascii="Arial" w:hAnsi="Arial" w:cs="Arial" w:eastAsia="Arial" w:hint="default"/>
                <w:sz w:val="14"/>
                <w:szCs w:val="14"/>
              </w:rPr>
            </w:pPr>
            <w:r>
              <w:rPr>
                <w:rFonts w:ascii="Arial"/>
                <w:w w:val="105"/>
                <w:sz w:val="14"/>
              </w:rPr>
              <w:t>53,513,503.59</w:t>
            </w:r>
            <w:r>
              <w:rPr>
                <w:rFonts w:ascii="Arial"/>
                <w:sz w:val="14"/>
              </w:rPr>
            </w:r>
          </w:p>
        </w:tc>
        <w:tc>
          <w:tcPr>
            <w:tcW w:w="3305" w:type="dxa"/>
            <w:tcBorders>
              <w:top w:val="nil" w:sz="6" w:space="0" w:color="auto"/>
              <w:left w:val="nil" w:sz="6" w:space="0" w:color="auto"/>
              <w:bottom w:val="single" w:sz="6" w:space="0" w:color="000000"/>
              <w:right w:val="nil" w:sz="6" w:space="0" w:color="auto"/>
            </w:tcBorders>
          </w:tcPr>
          <w:p>
            <w:pPr>
              <w:pStyle w:val="TableParagraph"/>
              <w:tabs>
                <w:tab w:pos="1206" w:val="left" w:leader="none"/>
                <w:tab w:pos="1894" w:val="left" w:leader="none"/>
              </w:tabs>
              <w:spacing w:line="240" w:lineRule="auto" w:before="49"/>
              <w:ind w:right="72"/>
              <w:jc w:val="right"/>
              <w:rPr>
                <w:rFonts w:ascii="Arial" w:hAnsi="Arial" w:cs="Arial" w:eastAsia="Arial" w:hint="default"/>
                <w:sz w:val="14"/>
                <w:szCs w:val="14"/>
              </w:rPr>
            </w:pPr>
            <w:r>
              <w:rPr>
                <w:rFonts w:ascii="Arial"/>
                <w:sz w:val="14"/>
              </w:rPr>
              <w:t>-</w:t>
              <w:tab/>
              <w:t>-</w:t>
              <w:tab/>
              <w:t>167,775,626.03</w:t>
            </w:r>
          </w:p>
        </w:tc>
      </w:tr>
      <w:tr>
        <w:trPr>
          <w:trHeight w:val="250"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三、本年增减变动金额</w:t>
            </w:r>
            <w:r>
              <w:rPr>
                <w:rFonts w:ascii="Microsoft JhengHei" w:hAnsi="Microsoft JhengHei" w:cs="Microsoft JhengHei" w:eastAsia="Microsoft JhengHei" w:hint="default"/>
                <w:sz w:val="14"/>
                <w:szCs w:val="14"/>
              </w:rPr>
            </w:r>
          </w:p>
        </w:tc>
        <w:tc>
          <w:tcPr>
            <w:tcW w:w="1611"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242"/>
              <w:jc w:val="right"/>
              <w:rPr>
                <w:rFonts w:ascii="Arial" w:hAnsi="Arial" w:cs="Arial" w:eastAsia="Arial" w:hint="default"/>
                <w:sz w:val="14"/>
                <w:szCs w:val="14"/>
              </w:rPr>
            </w:pPr>
            <w:r>
              <w:rPr>
                <w:rFonts w:ascii="Arial"/>
                <w:sz w:val="14"/>
              </w:rPr>
              <w:t>16,000,000.00</w:t>
            </w:r>
          </w:p>
        </w:tc>
        <w:tc>
          <w:tcPr>
            <w:tcW w:w="1611"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343"/>
              <w:jc w:val="right"/>
              <w:rPr>
                <w:rFonts w:ascii="Arial" w:hAnsi="Arial" w:cs="Arial" w:eastAsia="Arial" w:hint="default"/>
                <w:sz w:val="14"/>
                <w:szCs w:val="14"/>
              </w:rPr>
            </w:pPr>
            <w:r>
              <w:rPr>
                <w:rFonts w:ascii="Arial"/>
                <w:sz w:val="14"/>
              </w:rPr>
              <w:t>630,334,934.33</w:t>
            </w:r>
          </w:p>
        </w:tc>
        <w:tc>
          <w:tcPr>
            <w:tcW w:w="2971" w:type="dxa"/>
            <w:tcBorders>
              <w:top w:val="single" w:sz="6" w:space="0" w:color="000000"/>
              <w:left w:val="nil" w:sz="6" w:space="0" w:color="auto"/>
              <w:bottom w:val="single" w:sz="6" w:space="0" w:color="000000"/>
              <w:right w:val="nil" w:sz="6" w:space="0" w:color="auto"/>
            </w:tcBorders>
          </w:tcPr>
          <w:p>
            <w:pPr>
              <w:pStyle w:val="TableParagraph"/>
              <w:tabs>
                <w:tab w:pos="850" w:val="left" w:leader="none"/>
                <w:tab w:pos="1542" w:val="left" w:leader="none"/>
              </w:tabs>
              <w:spacing w:line="240" w:lineRule="auto" w:before="38"/>
              <w:ind w:left="59" w:right="0"/>
              <w:jc w:val="center"/>
              <w:rPr>
                <w:rFonts w:ascii="Arial" w:hAnsi="Arial" w:cs="Arial" w:eastAsia="Arial" w:hint="default"/>
                <w:sz w:val="14"/>
                <w:szCs w:val="14"/>
              </w:rPr>
            </w:pPr>
            <w:r>
              <w:rPr>
                <w:rFonts w:ascii="Arial"/>
                <w:sz w:val="14"/>
              </w:rPr>
              <w:t>-</w:t>
              <w:tab/>
              <w:t>-</w:t>
              <w:tab/>
            </w:r>
            <w:r>
              <w:rPr>
                <w:rFonts w:ascii="Arial"/>
                <w:w w:val="105"/>
                <w:sz w:val="14"/>
              </w:rPr>
              <w:t>2,644,038.24</w:t>
            </w:r>
            <w:r>
              <w:rPr>
                <w:rFonts w:ascii="Arial"/>
                <w:sz w:val="14"/>
              </w:rPr>
            </w:r>
          </w:p>
        </w:tc>
        <w:tc>
          <w:tcPr>
            <w:tcW w:w="1540"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left="285" w:right="0"/>
              <w:jc w:val="left"/>
              <w:rPr>
                <w:rFonts w:ascii="Arial" w:hAnsi="Arial" w:cs="Arial" w:eastAsia="Arial" w:hint="default"/>
                <w:sz w:val="14"/>
                <w:szCs w:val="14"/>
              </w:rPr>
            </w:pPr>
            <w:r>
              <w:rPr>
                <w:rFonts w:ascii="Arial"/>
                <w:w w:val="105"/>
                <w:sz w:val="14"/>
              </w:rPr>
              <w:t>55,250,407.02</w:t>
            </w:r>
            <w:r>
              <w:rPr>
                <w:rFonts w:ascii="Arial"/>
                <w:sz w:val="14"/>
              </w:rPr>
            </w:r>
          </w:p>
        </w:tc>
        <w:tc>
          <w:tcPr>
            <w:tcW w:w="3305" w:type="dxa"/>
            <w:tcBorders>
              <w:top w:val="single" w:sz="6" w:space="0" w:color="000000"/>
              <w:left w:val="nil" w:sz="6" w:space="0" w:color="auto"/>
              <w:bottom w:val="single" w:sz="6" w:space="0" w:color="000000"/>
              <w:right w:val="nil" w:sz="6" w:space="0" w:color="auto"/>
            </w:tcBorders>
          </w:tcPr>
          <w:p>
            <w:pPr>
              <w:pStyle w:val="TableParagraph"/>
              <w:tabs>
                <w:tab w:pos="1206" w:val="left" w:leader="none"/>
                <w:tab w:pos="1894" w:val="left" w:leader="none"/>
              </w:tabs>
              <w:spacing w:line="240" w:lineRule="auto" w:before="38"/>
              <w:ind w:right="72"/>
              <w:jc w:val="right"/>
              <w:rPr>
                <w:rFonts w:ascii="Arial" w:hAnsi="Arial" w:cs="Arial" w:eastAsia="Arial" w:hint="default"/>
                <w:sz w:val="14"/>
                <w:szCs w:val="14"/>
              </w:rPr>
            </w:pPr>
            <w:r>
              <w:rPr>
                <w:rFonts w:ascii="Arial"/>
                <w:sz w:val="14"/>
              </w:rPr>
              <w:t>-</w:t>
              <w:tab/>
              <w:t>-</w:t>
              <w:tab/>
              <w:t>704,229,379.59</w:t>
            </w:r>
          </w:p>
        </w:tc>
      </w:tr>
    </w:tbl>
    <w:p>
      <w:pPr>
        <w:tabs>
          <w:tab w:pos="4195" w:val="left" w:leader="none"/>
          <w:tab w:pos="5706" w:val="left" w:leader="none"/>
          <w:tab w:pos="6606" w:val="left" w:leader="none"/>
          <w:tab w:pos="7398" w:val="left" w:leader="none"/>
          <w:tab w:pos="8736" w:val="left" w:leader="none"/>
          <w:tab w:pos="9518" w:val="left" w:leader="none"/>
          <w:tab w:pos="11087" w:val="left" w:leader="none"/>
          <w:tab w:pos="12293" w:val="left" w:leader="none"/>
          <w:tab w:pos="13063" w:val="left" w:leader="none"/>
        </w:tabs>
        <w:spacing w:line="192" w:lineRule="exact" w:before="0"/>
        <w:ind w:left="0" w:right="41" w:firstLine="0"/>
        <w:jc w:val="center"/>
        <w:rPr>
          <w:rFonts w:ascii="Arial" w:hAnsi="Arial" w:cs="Arial" w:eastAsia="Arial" w:hint="default"/>
          <w:sz w:val="14"/>
          <w:szCs w:val="14"/>
        </w:rPr>
      </w:pPr>
      <w:r>
        <w:rPr>
          <w:rFonts w:ascii="宋体" w:hAnsi="宋体" w:cs="宋体" w:eastAsia="宋体" w:hint="default"/>
          <w:sz w:val="14"/>
          <w:szCs w:val="14"/>
        </w:rPr>
        <w:t>（一）净利润</w:t>
        <w:tab/>
      </w:r>
      <w:r>
        <w:rPr>
          <w:rFonts w:ascii="Arial" w:hAnsi="Arial" w:cs="Arial" w:eastAsia="Arial" w:hint="default"/>
          <w:sz w:val="14"/>
          <w:szCs w:val="14"/>
        </w:rPr>
        <w:t>-</w:t>
        <w:tab/>
        <w:t>-</w:t>
        <w:tab/>
        <w:t>-</w:t>
        <w:tab/>
        <w:t>-</w:t>
        <w:tab/>
        <w:t>-</w:t>
        <w:tab/>
        <w:t>57,894,445.26</w:t>
        <w:tab/>
        <w:t>-</w:t>
        <w:tab/>
        <w:t>-</w:t>
        <w:tab/>
      </w:r>
      <w:r>
        <w:rPr>
          <w:rFonts w:ascii="Arial" w:hAnsi="Arial" w:cs="Arial" w:eastAsia="Arial" w:hint="default"/>
          <w:w w:val="105"/>
          <w:sz w:val="14"/>
          <w:szCs w:val="14"/>
        </w:rPr>
        <w:t>57,894,445.26</w:t>
      </w:r>
      <w:r>
        <w:rPr>
          <w:rFonts w:ascii="Arial" w:hAnsi="Arial" w:cs="Arial" w:eastAsia="Arial" w:hint="default"/>
          <w:sz w:val="14"/>
          <w:szCs w:val="14"/>
        </w:rPr>
      </w:r>
    </w:p>
    <w:p>
      <w:pPr>
        <w:tabs>
          <w:tab w:pos="4611" w:val="left" w:leader="none"/>
          <w:tab w:pos="6122" w:val="left" w:leader="none"/>
          <w:tab w:pos="7022" w:val="left" w:leader="none"/>
          <w:tab w:pos="7814" w:val="left" w:leader="none"/>
          <w:tab w:pos="9153" w:val="left" w:leader="none"/>
          <w:tab w:pos="9934" w:val="left" w:leader="none"/>
          <w:tab w:pos="10663" w:val="left" w:leader="none"/>
          <w:tab w:pos="11503" w:val="left" w:leader="none"/>
          <w:tab w:pos="12709" w:val="left" w:leader="none"/>
          <w:tab w:pos="13471" w:val="left" w:leader="none"/>
          <w:tab w:pos="14208" w:val="left" w:leader="none"/>
        </w:tabs>
        <w:spacing w:line="309" w:lineRule="auto" w:before="57"/>
        <w:ind w:left="416" w:right="465" w:firstLine="0"/>
        <w:jc w:val="left"/>
        <w:rPr>
          <w:rFonts w:ascii="Arial" w:hAnsi="Arial" w:cs="Arial" w:eastAsia="Arial" w:hint="default"/>
          <w:sz w:val="14"/>
          <w:szCs w:val="14"/>
        </w:rPr>
      </w:pPr>
      <w:r>
        <w:rPr>
          <w:rFonts w:ascii="宋体" w:hAnsi="宋体" w:cs="宋体" w:eastAsia="宋体" w:hint="default"/>
          <w:sz w:val="14"/>
          <w:szCs w:val="14"/>
        </w:rPr>
        <w:t>（二）其他综合收益</w:t>
        <w:tab/>
      </w:r>
      <w:r>
        <w:rPr>
          <w:rFonts w:ascii="Arial" w:hAnsi="Arial" w:cs="Arial" w:eastAsia="Arial" w:hint="default"/>
          <w:sz w:val="14"/>
          <w:szCs w:val="14"/>
        </w:rPr>
        <w:t>-</w:t>
        <w:tab/>
        <w:t>-</w:t>
        <w:tab/>
        <w:t>-</w:t>
        <w:tab/>
        <w:t>-</w:t>
        <w:tab/>
        <w:t>-</w:t>
        <w:tab/>
        <w:tab/>
        <w:t>-</w:t>
        <w:tab/>
        <w:t>-</w:t>
        <w:tab/>
        <w:t>-</w:t>
        <w:tab/>
        <w:tab/>
      </w:r>
      <w:r>
        <w:rPr>
          <w:rFonts w:ascii="Arial" w:hAnsi="Arial" w:cs="Arial" w:eastAsia="Arial" w:hint="default"/>
          <w:w w:val="105"/>
          <w:sz w:val="14"/>
          <w:szCs w:val="14"/>
        </w:rPr>
        <w:t>-</w:t>
      </w:r>
      <w:r>
        <w:rPr>
          <w:rFonts w:ascii="Arial" w:hAnsi="Arial" w:cs="Arial" w:eastAsia="Arial" w:hint="default"/>
          <w:w w:val="104"/>
          <w:sz w:val="14"/>
          <w:szCs w:val="14"/>
        </w:rPr>
        <w:t> </w:t>
      </w:r>
      <w:r>
        <w:rPr>
          <w:rFonts w:ascii="宋体" w:hAnsi="宋体" w:cs="宋体" w:eastAsia="宋体" w:hint="default"/>
          <w:sz w:val="14"/>
          <w:szCs w:val="14"/>
        </w:rPr>
        <w:t>上述（一）和（二）小计</w:t>
        <w:tab/>
      </w:r>
      <w:r>
        <w:rPr>
          <w:rFonts w:ascii="Arial" w:hAnsi="Arial" w:cs="Arial" w:eastAsia="Arial" w:hint="default"/>
          <w:sz w:val="14"/>
          <w:szCs w:val="14"/>
        </w:rPr>
        <w:t>-</w:t>
        <w:tab/>
        <w:t>-</w:t>
        <w:tab/>
        <w:t>-</w:t>
        <w:tab/>
        <w:t>-</w:t>
        <w:tab/>
        <w:t>-</w:t>
        <w:tab/>
        <w:t>57,894,445.26</w:t>
        <w:tab/>
        <w:t>-</w:t>
        <w:tab/>
        <w:t>-</w:t>
        <w:tab/>
      </w:r>
      <w:r>
        <w:rPr>
          <w:rFonts w:ascii="Arial" w:hAnsi="Arial" w:cs="Arial" w:eastAsia="Arial" w:hint="default"/>
          <w:w w:val="105"/>
          <w:sz w:val="14"/>
          <w:szCs w:val="14"/>
        </w:rPr>
        <w:t>57,894,445.26</w:t>
      </w:r>
      <w:r>
        <w:rPr>
          <w:rFonts w:ascii="Arial" w:hAnsi="Arial" w:cs="Arial" w:eastAsia="Arial" w:hint="default"/>
          <w:sz w:val="14"/>
          <w:szCs w:val="14"/>
        </w:rPr>
      </w:r>
    </w:p>
    <w:p>
      <w:pPr>
        <w:tabs>
          <w:tab w:pos="3883" w:val="left" w:leader="none"/>
          <w:tab w:pos="5311" w:val="left" w:leader="none"/>
          <w:tab w:pos="7022" w:val="left" w:leader="none"/>
          <w:tab w:pos="7814" w:val="left" w:leader="none"/>
          <w:tab w:pos="9153" w:val="left" w:leader="none"/>
          <w:tab w:pos="10663" w:val="left" w:leader="none"/>
          <w:tab w:pos="11503" w:val="left" w:leader="none"/>
          <w:tab w:pos="12709" w:val="left" w:leader="none"/>
          <w:tab w:pos="13397" w:val="left" w:leader="none"/>
        </w:tabs>
        <w:spacing w:line="309" w:lineRule="auto" w:before="11"/>
        <w:ind w:left="579" w:right="457" w:hanging="164"/>
        <w:jc w:val="left"/>
        <w:rPr>
          <w:rFonts w:ascii="Arial" w:hAnsi="Arial" w:cs="Arial" w:eastAsia="Arial" w:hint="default"/>
          <w:sz w:val="14"/>
          <w:szCs w:val="14"/>
        </w:rPr>
      </w:pPr>
      <w:r>
        <w:rPr>
          <w:rFonts w:ascii="宋体" w:hAnsi="宋体" w:cs="宋体" w:eastAsia="宋体" w:hint="default"/>
          <w:sz w:val="14"/>
          <w:szCs w:val="14"/>
        </w:rPr>
        <w:t>（三）股东投入和减少股本</w:t>
        <w:tab/>
      </w:r>
      <w:r>
        <w:rPr>
          <w:rFonts w:ascii="Arial" w:hAnsi="Arial" w:cs="Arial" w:eastAsia="Arial" w:hint="default"/>
          <w:sz w:val="14"/>
          <w:szCs w:val="14"/>
        </w:rPr>
        <w:t>16,000,000.00</w:t>
        <w:tab/>
        <w:t>630,334,934.33</w:t>
        <w:tab/>
        <w:t>-</w:t>
        <w:tab/>
        <w:t>-</w:t>
        <w:tab/>
        <w:t>-</w:t>
        <w:tab/>
        <w:t>-</w:t>
        <w:tab/>
        <w:t>-</w:t>
        <w:tab/>
        <w:t>-</w:t>
        <w:tab/>
      </w:r>
      <w:r>
        <w:rPr>
          <w:rFonts w:ascii="Arial" w:hAnsi="Arial" w:cs="Arial" w:eastAsia="Arial" w:hint="default"/>
          <w:w w:val="105"/>
          <w:sz w:val="14"/>
          <w:szCs w:val="14"/>
        </w:rPr>
        <w:t>646,334,934.33</w:t>
      </w:r>
      <w:r>
        <w:rPr>
          <w:rFonts w:ascii="Arial" w:hAnsi="Arial" w:cs="Arial" w:eastAsia="Arial" w:hint="default"/>
          <w:w w:val="104"/>
          <w:sz w:val="14"/>
          <w:szCs w:val="14"/>
        </w:rPr>
        <w:t> </w:t>
      </w:r>
      <w:r>
        <w:rPr>
          <w:rFonts w:ascii="宋体" w:hAnsi="宋体" w:cs="宋体" w:eastAsia="宋体" w:hint="default"/>
          <w:sz w:val="14"/>
          <w:szCs w:val="14"/>
        </w:rPr>
        <w:t>1.</w:t>
      </w:r>
      <w:r>
        <w:rPr>
          <w:rFonts w:ascii="宋体" w:hAnsi="宋体" w:cs="宋体" w:eastAsia="宋体" w:hint="default"/>
          <w:spacing w:val="-11"/>
          <w:sz w:val="14"/>
          <w:szCs w:val="14"/>
        </w:rPr>
        <w:t> </w:t>
      </w:r>
      <w:r>
        <w:rPr>
          <w:rFonts w:ascii="宋体" w:hAnsi="宋体" w:cs="宋体" w:eastAsia="宋体" w:hint="default"/>
          <w:sz w:val="14"/>
          <w:szCs w:val="14"/>
        </w:rPr>
        <w:t>股东投入股本</w:t>
        <w:tab/>
      </w:r>
      <w:r>
        <w:rPr>
          <w:rFonts w:ascii="Arial" w:hAnsi="Arial" w:cs="Arial" w:eastAsia="Arial" w:hint="default"/>
          <w:sz w:val="14"/>
          <w:szCs w:val="14"/>
        </w:rPr>
        <w:t>16,000,000.00</w:t>
        <w:tab/>
        <w:t>630,334,934.33</w:t>
        <w:tab/>
        <w:t>-</w:t>
        <w:tab/>
        <w:t>-</w:t>
        <w:tab/>
        <w:t>-</w:t>
        <w:tab/>
        <w:t>-</w:t>
        <w:tab/>
        <w:t>-</w:t>
        <w:tab/>
        <w:t>-</w:t>
        <w:tab/>
      </w:r>
      <w:r>
        <w:rPr>
          <w:rFonts w:ascii="Arial" w:hAnsi="Arial" w:cs="Arial" w:eastAsia="Arial" w:hint="default"/>
          <w:w w:val="105"/>
          <w:sz w:val="14"/>
          <w:szCs w:val="14"/>
        </w:rPr>
        <w:t>646,334,934.33</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11"/>
        <w:ind w:left="0" w:right="39" w:firstLine="0"/>
        <w:jc w:val="center"/>
        <w:rPr>
          <w:rFonts w:ascii="Arial" w:hAnsi="Arial" w:cs="Arial" w:eastAsia="Arial" w:hint="default"/>
          <w:sz w:val="14"/>
          <w:szCs w:val="14"/>
        </w:rPr>
      </w:pPr>
      <w:r>
        <w:rPr>
          <w:rFonts w:ascii="宋体" w:hAnsi="宋体" w:cs="宋体" w:eastAsia="宋体" w:hint="default"/>
          <w:sz w:val="14"/>
          <w:szCs w:val="14"/>
        </w:rPr>
        <w:t>2．股份支付计入股东权益的金额</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3．其他</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195" w:val="left" w:leader="none"/>
          <w:tab w:pos="5706" w:val="left" w:leader="none"/>
          <w:tab w:pos="6606" w:val="left" w:leader="none"/>
          <w:tab w:pos="7398" w:val="left" w:leader="none"/>
          <w:tab w:pos="8089" w:val="left" w:leader="none"/>
          <w:tab w:pos="9543" w:val="left" w:leader="none"/>
          <w:tab w:pos="11087" w:val="left" w:leader="none"/>
          <w:tab w:pos="12293" w:val="left" w:leader="none"/>
          <w:tab w:pos="13792" w:val="left" w:leader="none"/>
        </w:tabs>
        <w:spacing w:before="56"/>
        <w:ind w:left="0" w:right="202" w:firstLine="0"/>
        <w:jc w:val="center"/>
        <w:rPr>
          <w:rFonts w:ascii="Arial" w:hAnsi="Arial" w:cs="Arial" w:eastAsia="Arial" w:hint="default"/>
          <w:sz w:val="14"/>
          <w:szCs w:val="14"/>
        </w:rPr>
      </w:pPr>
      <w:r>
        <w:rPr>
          <w:rFonts w:ascii="宋体" w:hAnsi="宋体" w:cs="宋体" w:eastAsia="宋体" w:hint="default"/>
          <w:sz w:val="14"/>
          <w:szCs w:val="14"/>
        </w:rPr>
        <w:t>（四）利润分配</w:t>
        <w:tab/>
      </w:r>
      <w:r>
        <w:rPr>
          <w:rFonts w:ascii="Arial" w:hAnsi="Arial" w:cs="Arial" w:eastAsia="Arial" w:hint="default"/>
          <w:sz w:val="14"/>
          <w:szCs w:val="14"/>
        </w:rPr>
        <w:t>-</w:t>
        <w:tab/>
        <w:t>-</w:t>
        <w:tab/>
        <w:t>-</w:t>
        <w:tab/>
        <w:t>-</w:t>
        <w:tab/>
        <w:t>2,644,038.24</w:t>
        <w:tab/>
        <w:t>(2,644,038.24)</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7926" w:val="left" w:leader="none"/>
          <w:tab w:pos="9380" w:val="left" w:leader="none"/>
          <w:tab w:pos="10924" w:val="left" w:leader="none"/>
          <w:tab w:pos="12130" w:val="left" w:leader="none"/>
          <w:tab w:pos="13629" w:val="left" w:leader="none"/>
        </w:tabs>
        <w:spacing w:before="57"/>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1．提取盈余公积</w:t>
        <w:tab/>
      </w:r>
      <w:r>
        <w:rPr>
          <w:rFonts w:ascii="Arial" w:hAnsi="Arial" w:cs="Arial" w:eastAsia="Arial" w:hint="default"/>
          <w:sz w:val="14"/>
          <w:szCs w:val="14"/>
        </w:rPr>
        <w:t>-</w:t>
        <w:tab/>
        <w:t>-</w:t>
        <w:tab/>
        <w:t>-</w:t>
        <w:tab/>
        <w:t>-</w:t>
        <w:tab/>
        <w:t>2,644,038.24</w:t>
        <w:tab/>
        <w:t>(2,644,038.24)</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2．对股东的分配</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3．其他</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195" w:val="left" w:leader="none"/>
          <w:tab w:pos="5706" w:val="left" w:leader="none"/>
          <w:tab w:pos="6606" w:val="left" w:leader="none"/>
          <w:tab w:pos="7398" w:val="left" w:leader="none"/>
          <w:tab w:pos="8736" w:val="left" w:leader="none"/>
          <w:tab w:pos="10247" w:val="left" w:leader="none"/>
          <w:tab w:pos="11087" w:val="left" w:leader="none"/>
          <w:tab w:pos="12293" w:val="left" w:leader="none"/>
          <w:tab w:pos="13792" w:val="left" w:leader="none"/>
        </w:tabs>
        <w:spacing w:before="56"/>
        <w:ind w:left="0" w:right="202" w:firstLine="0"/>
        <w:jc w:val="center"/>
        <w:rPr>
          <w:rFonts w:ascii="Arial" w:hAnsi="Arial" w:cs="Arial" w:eastAsia="Arial" w:hint="default"/>
          <w:sz w:val="14"/>
          <w:szCs w:val="14"/>
        </w:rPr>
      </w:pPr>
      <w:r>
        <w:rPr>
          <w:rFonts w:ascii="宋体" w:hAnsi="宋体" w:cs="宋体" w:eastAsia="宋体" w:hint="default"/>
          <w:sz w:val="14"/>
          <w:szCs w:val="14"/>
        </w:rPr>
        <w:t>（五）股东权益内部结转</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1．资本公积转增股本</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2．盈余公积转增股本</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3．盈余公积弥补亏损</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4．其他</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195" w:val="left" w:leader="none"/>
          <w:tab w:pos="5706" w:val="left" w:leader="none"/>
          <w:tab w:pos="6606" w:val="left" w:leader="none"/>
          <w:tab w:pos="7398" w:val="left" w:leader="none"/>
          <w:tab w:pos="8736" w:val="left" w:leader="none"/>
          <w:tab w:pos="10247" w:val="left" w:leader="none"/>
          <w:tab w:pos="11087" w:val="left" w:leader="none"/>
          <w:tab w:pos="12293" w:val="left" w:leader="none"/>
          <w:tab w:pos="13792" w:val="left" w:leader="none"/>
        </w:tabs>
        <w:spacing w:before="57"/>
        <w:ind w:left="0" w:right="202" w:firstLine="0"/>
        <w:jc w:val="center"/>
        <w:rPr>
          <w:rFonts w:ascii="Arial" w:hAnsi="Arial" w:cs="Arial" w:eastAsia="Arial" w:hint="default"/>
          <w:sz w:val="14"/>
          <w:szCs w:val="14"/>
        </w:rPr>
      </w:pPr>
      <w:r>
        <w:rPr>
          <w:rFonts w:ascii="宋体" w:hAnsi="宋体" w:cs="宋体" w:eastAsia="宋体" w:hint="default"/>
          <w:sz w:val="14"/>
          <w:szCs w:val="14"/>
        </w:rPr>
        <w:t>（六）专项储备</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1．提取专项储备</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2．使用专项储备</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032" w:val="left" w:leader="none"/>
          <w:tab w:pos="5543" w:val="left" w:leader="none"/>
          <w:tab w:pos="6443" w:val="left" w:leader="none"/>
          <w:tab w:pos="7234" w:val="left" w:leader="none"/>
          <w:tab w:pos="8573" w:val="left" w:leader="none"/>
          <w:tab w:pos="10083" w:val="left" w:leader="none"/>
          <w:tab w:pos="10924" w:val="left" w:leader="none"/>
          <w:tab w:pos="12130" w:val="left" w:leader="none"/>
          <w:tab w:pos="13629" w:val="left" w:leader="none"/>
        </w:tabs>
        <w:spacing w:before="56"/>
        <w:ind w:left="0" w:right="39" w:firstLine="0"/>
        <w:jc w:val="center"/>
        <w:rPr>
          <w:rFonts w:ascii="Arial" w:hAnsi="Arial" w:cs="Arial" w:eastAsia="Arial" w:hint="default"/>
          <w:sz w:val="14"/>
          <w:szCs w:val="14"/>
        </w:rPr>
      </w:pPr>
      <w:r>
        <w:rPr>
          <w:rFonts w:ascii="宋体" w:hAnsi="宋体" w:cs="宋体" w:eastAsia="宋体" w:hint="default"/>
          <w:w w:val="105"/>
          <w:sz w:val="14"/>
          <w:szCs w:val="14"/>
        </w:rPr>
        <w:t>3．其他</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4195" w:val="left" w:leader="none"/>
          <w:tab w:pos="5706" w:val="left" w:leader="none"/>
          <w:tab w:pos="6606" w:val="left" w:leader="none"/>
          <w:tab w:pos="7398" w:val="left" w:leader="none"/>
          <w:tab w:pos="8736" w:val="left" w:leader="none"/>
          <w:tab w:pos="10247" w:val="left" w:leader="none"/>
          <w:tab w:pos="11087" w:val="left" w:leader="none"/>
          <w:tab w:pos="12293" w:val="left" w:leader="none"/>
          <w:tab w:pos="13792" w:val="left" w:leader="none"/>
        </w:tabs>
        <w:spacing w:before="56"/>
        <w:ind w:left="0" w:right="202" w:firstLine="0"/>
        <w:jc w:val="center"/>
        <w:rPr>
          <w:rFonts w:ascii="Arial" w:hAnsi="Arial" w:cs="Arial" w:eastAsia="Arial" w:hint="default"/>
          <w:sz w:val="14"/>
          <w:szCs w:val="14"/>
        </w:rPr>
      </w:pPr>
      <w:r>
        <w:rPr>
          <w:rFonts w:ascii="宋体" w:hAnsi="宋体" w:cs="宋体" w:eastAsia="宋体" w:hint="default"/>
          <w:sz w:val="14"/>
          <w:szCs w:val="14"/>
        </w:rPr>
        <w:t>（七）其他</w:t>
        <w:tab/>
      </w:r>
      <w:r>
        <w:rPr>
          <w:rFonts w:ascii="Arial" w:hAnsi="Arial" w:cs="Arial" w:eastAsia="Arial" w:hint="default"/>
          <w:sz w:val="14"/>
          <w:szCs w:val="14"/>
        </w:rPr>
        <w:t>-</w:t>
        <w:tab/>
        <w:t>-</w:t>
        <w:tab/>
        <w:t>-</w:t>
        <w:tab/>
        <w:t>-</w:t>
        <w:tab/>
        <w:t>-</w:t>
        <w:tab/>
        <w:t>-</w:t>
        <w:tab/>
        <w:t>-</w:t>
        <w:tab/>
        <w:t>-</w:t>
        <w:tab/>
      </w:r>
      <w:r>
        <w:rPr>
          <w:rFonts w:ascii="Arial" w:hAnsi="Arial" w:cs="Arial" w:eastAsia="Arial" w:hint="default"/>
          <w:w w:val="105"/>
          <w:sz w:val="14"/>
          <w:szCs w:val="14"/>
        </w:rPr>
        <w:t>-</w:t>
      </w:r>
      <w:r>
        <w:rPr>
          <w:rFonts w:ascii="Arial" w:hAnsi="Arial" w:cs="Arial" w:eastAsia="Arial" w:hint="default"/>
          <w:sz w:val="14"/>
          <w:szCs w:val="14"/>
        </w:rPr>
      </w:r>
    </w:p>
    <w:p>
      <w:pPr>
        <w:tabs>
          <w:tab w:pos="3466" w:val="left" w:leader="none"/>
          <w:tab w:pos="4895" w:val="left" w:leader="none"/>
          <w:tab w:pos="6606" w:val="left" w:leader="none"/>
          <w:tab w:pos="7398" w:val="left" w:leader="none"/>
          <w:tab w:pos="8089" w:val="left" w:leader="none"/>
          <w:tab w:pos="9436" w:val="left" w:leader="none"/>
          <w:tab w:pos="11087" w:val="left" w:leader="none"/>
          <w:tab w:pos="12293" w:val="left" w:leader="none"/>
          <w:tab w:pos="12981" w:val="left" w:leader="none"/>
        </w:tabs>
        <w:spacing w:before="12"/>
        <w:ind w:left="0" w:right="41" w:firstLine="0"/>
        <w:jc w:val="center"/>
        <w:rPr>
          <w:rFonts w:ascii="Arial" w:hAnsi="Arial" w:cs="Arial" w:eastAsia="Arial" w:hint="default"/>
          <w:sz w:val="14"/>
          <w:szCs w:val="14"/>
        </w:rPr>
      </w:pPr>
      <w:r>
        <w:rPr/>
        <w:pict>
          <v:group style="position:absolute;margin-left:221.432892pt;margin-top:1.725223pt;width:552.65pt;height:.8pt;mso-position-horizontal-relative:page;mso-position-vertical-relative:paragraph;z-index:-680320" coordorigin="4429,35" coordsize="11053,16">
            <v:group style="position:absolute;left:4437;top:36;width:1439;height:2" coordorigin="4437,36" coordsize="1439,2">
              <v:shape style="position:absolute;left:4437;top:36;width:1439;height:2" coordorigin="4437,36" coordsize="1439,0" path="m4437,36l5876,36e" filled="false" stroked="true" strokeweight=".113837pt" strokecolor="#000000">
                <v:path arrowok="t"/>
              </v:shape>
            </v:group>
            <v:group style="position:absolute;left:4436;top:42;width:1441;height:2" coordorigin="4436,42" coordsize="1441,2">
              <v:shape style="position:absolute;left:4436;top:42;width:1441;height:2" coordorigin="4436,42" coordsize="1441,0" path="m4436,42l5877,42e" filled="false" stroked="true" strokeweight=".78059pt" strokecolor="#000000">
                <v:path arrowok="t"/>
              </v:shape>
            </v:group>
            <v:group style="position:absolute;left:5936;top:36;width:1450;height:2" coordorigin="5936,36" coordsize="1450,2">
              <v:shape style="position:absolute;left:5936;top:36;width:1450;height:2" coordorigin="5936,36" coordsize="1450,0" path="m5936,36l7386,36e" filled="false" stroked="true" strokeweight=".113837pt" strokecolor="#000000">
                <v:path arrowok="t"/>
              </v:shape>
            </v:group>
            <v:group style="position:absolute;left:5935;top:42;width:1452;height:2" coordorigin="5935,42" coordsize="1452,2">
              <v:shape style="position:absolute;left:5935;top:42;width:1452;height:2" coordorigin="5935,42" coordsize="1452,0" path="m5935,42l7387,42e" filled="false" stroked="true" strokeweight=".78059pt" strokecolor="#000000">
                <v:path arrowok="t"/>
              </v:shape>
            </v:group>
            <v:group style="position:absolute;left:7447;top:36;width:840;height:2" coordorigin="7447,36" coordsize="840,2">
              <v:shape style="position:absolute;left:7447;top:36;width:840;height:2" coordorigin="7447,36" coordsize="840,0" path="m7447,36l8287,36e" filled="false" stroked="true" strokeweight=".113837pt" strokecolor="#000000">
                <v:path arrowok="t"/>
              </v:shape>
            </v:group>
            <v:group style="position:absolute;left:7446;top:42;width:842;height:2" coordorigin="7446,42" coordsize="842,2">
              <v:shape style="position:absolute;left:7446;top:42;width:842;height:2" coordorigin="7446,42" coordsize="842,0" path="m7446,42l8288,42e" filled="false" stroked="true" strokeweight=".78059pt" strokecolor="#000000">
                <v:path arrowok="t"/>
              </v:shape>
            </v:group>
            <v:group style="position:absolute;left:8347;top:36;width:732;height:2" coordorigin="8347,36" coordsize="732,2">
              <v:shape style="position:absolute;left:8347;top:36;width:732;height:2" coordorigin="8347,36" coordsize="732,0" path="m8347,36l9078,36e" filled="false" stroked="true" strokeweight=".113837pt" strokecolor="#000000">
                <v:path arrowok="t"/>
              </v:shape>
            </v:group>
            <v:group style="position:absolute;left:8346;top:42;width:734;height:2" coordorigin="8346,42" coordsize="734,2">
              <v:shape style="position:absolute;left:8346;top:42;width:734;height:2" coordorigin="8346,42" coordsize="734,0" path="m8346,42l9079,42e" filled="false" stroked="true" strokeweight=".78059pt" strokecolor="#000000">
                <v:path arrowok="t"/>
              </v:shape>
            </v:group>
            <v:group style="position:absolute;left:9138;top:36;width:1279;height:2" coordorigin="9138,36" coordsize="1279,2">
              <v:shape style="position:absolute;left:9138;top:36;width:1279;height:2" coordorigin="9138,36" coordsize="1279,0" path="m9138,36l10417,36e" filled="false" stroked="true" strokeweight=".113837pt" strokecolor="#000000">
                <v:path arrowok="t"/>
              </v:shape>
            </v:group>
            <v:group style="position:absolute;left:9137;top:42;width:1281;height:2" coordorigin="9137,42" coordsize="1281,2">
              <v:shape style="position:absolute;left:9137;top:42;width:1281;height:2" coordorigin="9137,42" coordsize="1281,0" path="m9137,42l10418,42e" filled="false" stroked="true" strokeweight=".78059pt" strokecolor="#000000">
                <v:path arrowok="t"/>
              </v:shape>
            </v:group>
            <v:group style="position:absolute;left:10477;top:36;width:1451;height:2" coordorigin="10477,36" coordsize="1451,2">
              <v:shape style="position:absolute;left:10477;top:36;width:1451;height:2" coordorigin="10477,36" coordsize="1451,0" path="m10477,36l11927,36e" filled="false" stroked="true" strokeweight=".113837pt" strokecolor="#000000">
                <v:path arrowok="t"/>
              </v:shape>
            </v:group>
            <v:group style="position:absolute;left:10476;top:42;width:1453;height:2" coordorigin="10476,42" coordsize="1453,2">
              <v:shape style="position:absolute;left:10476;top:42;width:1453;height:2" coordorigin="10476,42" coordsize="1453,0" path="m10476,42l11928,42e" filled="false" stroked="true" strokeweight=".78059pt" strokecolor="#000000">
                <v:path arrowok="t"/>
              </v:shape>
            </v:group>
            <v:group style="position:absolute;left:11988;top:36;width:780;height:2" coordorigin="11988,36" coordsize="780,2">
              <v:shape style="position:absolute;left:11988;top:36;width:780;height:2" coordorigin="11988,36" coordsize="780,0" path="m11988,36l12767,36e" filled="false" stroked="true" strokeweight=".113837pt" strokecolor="#000000">
                <v:path arrowok="t"/>
              </v:shape>
            </v:group>
            <v:group style="position:absolute;left:11987;top:42;width:782;height:2" coordorigin="11987,42" coordsize="782,2">
              <v:shape style="position:absolute;left:11987;top:42;width:782;height:2" coordorigin="11987,42" coordsize="782,0" path="m11987,42l12768,42e" filled="false" stroked="true" strokeweight=".78059pt" strokecolor="#000000">
                <v:path arrowok="t"/>
              </v:shape>
            </v:group>
            <v:group style="position:absolute;left:12828;top:36;width:1146;height:2" coordorigin="12828,36" coordsize="1146,2">
              <v:shape style="position:absolute;left:12828;top:36;width:1146;height:2" coordorigin="12828,36" coordsize="1146,0" path="m12828,36l13974,36e" filled="false" stroked="true" strokeweight=".113837pt" strokecolor="#000000">
                <v:path arrowok="t"/>
              </v:shape>
            </v:group>
            <v:group style="position:absolute;left:12827;top:42;width:1148;height:2" coordorigin="12827,42" coordsize="1148,2">
              <v:shape style="position:absolute;left:12827;top:42;width:1148;height:2" coordorigin="12827,42" coordsize="1148,0" path="m12827,42l13975,42e" filled="false" stroked="true" strokeweight=".78059pt" strokecolor="#000000">
                <v:path arrowok="t"/>
              </v:shape>
            </v:group>
            <v:group style="position:absolute;left:14034;top:36;width:1439;height:2" coordorigin="14034,36" coordsize="1439,2">
              <v:shape style="position:absolute;left:14034;top:36;width:1439;height:2" coordorigin="14034,36" coordsize="1439,0" path="m14034,36l15472,36e" filled="false" stroked="true" strokeweight=".113837pt" strokecolor="#000000">
                <v:path arrowok="t"/>
              </v:shape>
            </v:group>
            <v:group style="position:absolute;left:14033;top:42;width:1441;height:2" coordorigin="14033,42" coordsize="1441,2">
              <v:shape style="position:absolute;left:14033;top:42;width:1441;height:2" coordorigin="14033,42" coordsize="1441,0" path="m14033,42l15473,42e" filled="false" stroked="true" strokeweight=".78059pt" strokecolor="#000000">
                <v:path arrowok="t"/>
              </v:shape>
            </v:group>
            <w10:wrap type="none"/>
          </v:group>
        </w:pict>
      </w:r>
      <w:r>
        <w:rPr>
          <w:rFonts w:ascii="Microsoft JhengHei" w:hAnsi="Microsoft JhengHei" w:cs="Microsoft JhengHei" w:eastAsia="Microsoft JhengHei" w:hint="default"/>
          <w:b/>
          <w:bCs/>
          <w:w w:val="105"/>
          <w:sz w:val="14"/>
          <w:szCs w:val="14"/>
        </w:rPr>
        <w:t>四、本年年末余额</w:t>
        <w:tab/>
      </w:r>
      <w:r>
        <w:rPr>
          <w:rFonts w:ascii="Arial" w:hAnsi="Arial" w:cs="Arial" w:eastAsia="Arial" w:hint="default"/>
          <w:sz w:val="14"/>
          <w:szCs w:val="14"/>
        </w:rPr>
        <w:t>63,500,000.00</w:t>
        <w:tab/>
        <w:t>692,720,393.65</w:t>
        <w:tab/>
        <w:t>-</w:t>
        <w:tab/>
        <w:t>-</w:t>
        <w:tab/>
        <w:t>7,020,701.36</w:t>
        <w:tab/>
        <w:t>108,763,910.61</w:t>
        <w:tab/>
        <w:t>-</w:t>
        <w:tab/>
        <w:t>-</w:t>
        <w:tab/>
      </w:r>
      <w:r>
        <w:rPr>
          <w:rFonts w:ascii="Arial" w:hAnsi="Arial" w:cs="Arial" w:eastAsia="Arial" w:hint="default"/>
          <w:w w:val="105"/>
          <w:sz w:val="14"/>
          <w:szCs w:val="14"/>
        </w:rPr>
        <w:t>872,005,005.62</w:t>
      </w:r>
      <w:r>
        <w:rPr>
          <w:rFonts w:ascii="Arial" w:hAnsi="Arial" w:cs="Arial" w:eastAsia="Arial" w:hint="default"/>
          <w:sz w:val="14"/>
          <w:szCs w:val="14"/>
        </w:rPr>
      </w:r>
    </w:p>
    <w:p>
      <w:pPr>
        <w:spacing w:line="46" w:lineRule="exact"/>
        <w:ind w:left="3448" w:right="0" w:firstLine="0"/>
        <w:rPr>
          <w:rFonts w:ascii="Arial" w:hAnsi="Arial" w:cs="Arial" w:eastAsia="Arial" w:hint="default"/>
          <w:sz w:val="4"/>
          <w:szCs w:val="4"/>
        </w:rPr>
      </w:pPr>
      <w:r>
        <w:rPr>
          <w:rFonts w:ascii="Arial" w:hAnsi="Arial" w:cs="Arial" w:eastAsia="Arial" w:hint="default"/>
          <w:position w:val="0"/>
          <w:sz w:val="4"/>
          <w:szCs w:val="4"/>
        </w:rPr>
        <w:pict>
          <v:group style="width:552.65pt;height:2.35pt;mso-position-horizontal-relative:char;mso-position-vertical-relative:line" coordorigin="0,0" coordsize="11053,47">
            <v:group style="position:absolute;left:8;top:8;width:1441;height:2" coordorigin="8,8" coordsize="1441,2">
              <v:shape style="position:absolute;left:8;top:8;width:1441;height:2" coordorigin="8,8" coordsize="1441,0" path="m8,8l1448,8e" filled="false" stroked="true" strokeweight=".780615pt" strokecolor="#000000">
                <v:path arrowok="t"/>
              </v:shape>
            </v:group>
            <v:group style="position:absolute;left:8;top:39;width:1441;height:2" coordorigin="8,39" coordsize="1441,2">
              <v:shape style="position:absolute;left:8;top:39;width:1441;height:2" coordorigin="8,39" coordsize="1441,0" path="m8,39l1448,39e" filled="false" stroked="true" strokeweight=".78059pt" strokecolor="#000000">
                <v:path arrowok="t"/>
              </v:shape>
            </v:group>
            <v:group style="position:absolute;left:1507;top:8;width:1452;height:2" coordorigin="1507,8" coordsize="1452,2">
              <v:shape style="position:absolute;left:1507;top:8;width:1452;height:2" coordorigin="1507,8" coordsize="1452,0" path="m1507,8l2959,8e" filled="false" stroked="true" strokeweight=".780615pt" strokecolor="#000000">
                <v:path arrowok="t"/>
              </v:shape>
            </v:group>
            <v:group style="position:absolute;left:1507;top:39;width:1452;height:2" coordorigin="1507,39" coordsize="1452,2">
              <v:shape style="position:absolute;left:1507;top:39;width:1452;height:2" coordorigin="1507,39" coordsize="1452,0" path="m1507,39l2959,39e" filled="false" stroked="true" strokeweight=".78059pt" strokecolor="#000000">
                <v:path arrowok="t"/>
              </v:shape>
            </v:group>
            <v:group style="position:absolute;left:3017;top:8;width:842;height:2" coordorigin="3017,8" coordsize="842,2">
              <v:shape style="position:absolute;left:3017;top:8;width:842;height:2" coordorigin="3017,8" coordsize="842,0" path="m3017,8l3859,8e" filled="false" stroked="true" strokeweight=".780615pt" strokecolor="#000000">
                <v:path arrowok="t"/>
              </v:shape>
            </v:group>
            <v:group style="position:absolute;left:3017;top:39;width:842;height:2" coordorigin="3017,39" coordsize="842,2">
              <v:shape style="position:absolute;left:3017;top:39;width:842;height:2" coordorigin="3017,39" coordsize="842,0" path="m3017,39l3859,39e" filled="false" stroked="true" strokeweight=".78059pt" strokecolor="#000000">
                <v:path arrowok="t"/>
              </v:shape>
            </v:group>
            <v:group style="position:absolute;left:3917;top:8;width:734;height:2" coordorigin="3917,8" coordsize="734,2">
              <v:shape style="position:absolute;left:3917;top:8;width:734;height:2" coordorigin="3917,8" coordsize="734,0" path="m3917,8l4650,8e" filled="false" stroked="true" strokeweight=".780615pt" strokecolor="#000000">
                <v:path arrowok="t"/>
              </v:shape>
            </v:group>
            <v:group style="position:absolute;left:3917;top:39;width:734;height:2" coordorigin="3917,39" coordsize="734,2">
              <v:shape style="position:absolute;left:3917;top:39;width:734;height:2" coordorigin="3917,39" coordsize="734,0" path="m3917,39l4650,39e" filled="false" stroked="true" strokeweight=".78059pt" strokecolor="#000000">
                <v:path arrowok="t"/>
              </v:shape>
            </v:group>
            <v:group style="position:absolute;left:4709;top:8;width:1281;height:2" coordorigin="4709,8" coordsize="1281,2">
              <v:shape style="position:absolute;left:4709;top:8;width:1281;height:2" coordorigin="4709,8" coordsize="1281,0" path="m4709,8l5989,8e" filled="false" stroked="true" strokeweight=".780615pt" strokecolor="#000000">
                <v:path arrowok="t"/>
              </v:shape>
            </v:group>
            <v:group style="position:absolute;left:4709;top:39;width:1281;height:2" coordorigin="4709,39" coordsize="1281,2">
              <v:shape style="position:absolute;left:4709;top:39;width:1281;height:2" coordorigin="4709,39" coordsize="1281,0" path="m4709,39l5989,39e" filled="false" stroked="true" strokeweight=".78059pt" strokecolor="#000000">
                <v:path arrowok="t"/>
              </v:shape>
            </v:group>
            <v:group style="position:absolute;left:6048;top:8;width:1453;height:2" coordorigin="6048,8" coordsize="1453,2">
              <v:shape style="position:absolute;left:6048;top:8;width:1453;height:2" coordorigin="6048,8" coordsize="1453,0" path="m6048,8l7500,8e" filled="false" stroked="true" strokeweight=".780615pt" strokecolor="#000000">
                <v:path arrowok="t"/>
              </v:shape>
            </v:group>
            <v:group style="position:absolute;left:6048;top:39;width:1453;height:2" coordorigin="6048,39" coordsize="1453,2">
              <v:shape style="position:absolute;left:6048;top:39;width:1453;height:2" coordorigin="6048,39" coordsize="1453,0" path="m6048,39l7500,39e" filled="false" stroked="true" strokeweight=".78059pt" strokecolor="#000000">
                <v:path arrowok="t"/>
              </v:shape>
            </v:group>
            <v:group style="position:absolute;left:7558;top:8;width:782;height:2" coordorigin="7558,8" coordsize="782,2">
              <v:shape style="position:absolute;left:7558;top:8;width:782;height:2" coordorigin="7558,8" coordsize="782,0" path="m7558,8l8340,8e" filled="false" stroked="true" strokeweight=".780615pt" strokecolor="#000000">
                <v:path arrowok="t"/>
              </v:shape>
            </v:group>
            <v:group style="position:absolute;left:7558;top:39;width:782;height:2" coordorigin="7558,39" coordsize="782,2">
              <v:shape style="position:absolute;left:7558;top:39;width:782;height:2" coordorigin="7558,39" coordsize="782,0" path="m7558,39l8340,39e" filled="false" stroked="true" strokeweight=".78059pt" strokecolor="#000000">
                <v:path arrowok="t"/>
              </v:shape>
            </v:group>
            <v:group style="position:absolute;left:8398;top:8;width:1148;height:2" coordorigin="8398,8" coordsize="1148,2">
              <v:shape style="position:absolute;left:8398;top:8;width:1148;height:2" coordorigin="8398,8" coordsize="1148,0" path="m8398,8l9546,8e" filled="false" stroked="true" strokeweight=".780615pt" strokecolor="#000000">
                <v:path arrowok="t"/>
              </v:shape>
            </v:group>
            <v:group style="position:absolute;left:8398;top:39;width:1148;height:2" coordorigin="8398,39" coordsize="1148,2">
              <v:shape style="position:absolute;left:8398;top:39;width:1148;height:2" coordorigin="8398,39" coordsize="1148,0" path="m8398,39l9546,39e" filled="false" stroked="true" strokeweight=".78059pt" strokecolor="#000000">
                <v:path arrowok="t"/>
              </v:shape>
            </v:group>
            <v:group style="position:absolute;left:9604;top:8;width:1441;height:2" coordorigin="9604,8" coordsize="1441,2">
              <v:shape style="position:absolute;left:9604;top:8;width:1441;height:2" coordorigin="9604,8" coordsize="1441,0" path="m9604,8l11045,8e" filled="false" stroked="true" strokeweight=".780615pt" strokecolor="#000000">
                <v:path arrowok="t"/>
              </v:shape>
            </v:group>
            <v:group style="position:absolute;left:9604;top:39;width:1441;height:2" coordorigin="9604,39" coordsize="1441,2">
              <v:shape style="position:absolute;left:9604;top:39;width:1441;height:2" coordorigin="9604,39" coordsize="1441,0" path="m9604,39l11045,39e" filled="false" stroked="true" strokeweight=".78059pt" strokecolor="#000000">
                <v:path arrowok="t"/>
              </v:shape>
            </v:group>
          </v:group>
        </w:pict>
      </w:r>
      <w:r>
        <w:rPr>
          <w:rFonts w:ascii="Arial" w:hAnsi="Arial" w:cs="Arial" w:eastAsia="Arial" w:hint="default"/>
          <w:position w:val="0"/>
          <w:sz w:val="4"/>
          <w:szCs w:val="4"/>
        </w:rPr>
      </w:r>
    </w:p>
    <w:p>
      <w:pPr>
        <w:spacing w:line="240" w:lineRule="auto" w:before="2"/>
        <w:rPr>
          <w:rFonts w:ascii="Arial" w:hAnsi="Arial" w:cs="Arial" w:eastAsia="Arial" w:hint="default"/>
          <w:sz w:val="20"/>
          <w:szCs w:val="20"/>
        </w:rPr>
      </w:pPr>
    </w:p>
    <w:p>
      <w:pPr>
        <w:spacing w:line="20" w:lineRule="exact"/>
        <w:ind w:left="379" w:right="0" w:firstLine="0"/>
        <w:rPr>
          <w:rFonts w:ascii="Arial" w:hAnsi="Arial" w:cs="Arial" w:eastAsia="Arial" w:hint="default"/>
          <w:sz w:val="2"/>
          <w:szCs w:val="2"/>
        </w:rPr>
      </w:pPr>
      <w:r>
        <w:rPr>
          <w:rFonts w:ascii="Arial" w:hAnsi="Arial" w:cs="Arial" w:eastAsia="Arial" w:hint="default"/>
          <w:sz w:val="2"/>
          <w:szCs w:val="2"/>
        </w:rPr>
        <w:pict>
          <v:group style="width:706.1pt;height:.8pt;mso-position-horizontal-relative:char;mso-position-vertical-relative:line" coordorigin="0,0" coordsize="14122,16">
            <v:group style="position:absolute;left:9;top:1;width:14105;height:2" coordorigin="9,1" coordsize="14105,2">
              <v:shape style="position:absolute;left:9;top:1;width:14105;height:2" coordorigin="9,1" coordsize="14105,0" path="m9,1l14113,1e" filled="false" stroked="true" strokeweight=".113837pt" strokecolor="#000000">
                <v:path arrowok="t"/>
              </v:shape>
            </v:group>
            <v:group style="position:absolute;left:8;top:8;width:14107;height:2" coordorigin="8,8" coordsize="14107,2">
              <v:shape style="position:absolute;left:8;top:8;width:14107;height:2" coordorigin="8,8" coordsize="14107,0" path="m8,8l14114,8e" filled="false" stroked="true" strokeweight=".780566pt" strokecolor="#000000">
                <v:path arrowok="t"/>
              </v:shape>
            </v:group>
          </v:group>
        </w:pict>
      </w:r>
      <w:r>
        <w:rPr>
          <w:rFonts w:ascii="Arial" w:hAnsi="Arial" w:cs="Arial" w:eastAsia="Arial" w:hint="default"/>
          <w:sz w:val="2"/>
          <w:szCs w:val="2"/>
        </w:rPr>
      </w:r>
    </w:p>
    <w:p>
      <w:pPr>
        <w:tabs>
          <w:tab w:pos="4036" w:val="left" w:leader="none"/>
          <w:tab w:pos="7791" w:val="left" w:leader="none"/>
        </w:tabs>
        <w:spacing w:before="2"/>
        <w:ind w:left="456" w:right="465" w:firstLine="0"/>
        <w:jc w:val="left"/>
        <w:rPr>
          <w:rFonts w:ascii="宋体" w:hAnsi="宋体" w:cs="宋体" w:eastAsia="宋体" w:hint="default"/>
          <w:sz w:val="14"/>
          <w:szCs w:val="14"/>
        </w:rPr>
      </w:pPr>
      <w:r>
        <w:rPr>
          <w:rFonts w:ascii="宋体" w:hAnsi="宋体" w:cs="宋体" w:eastAsia="宋体" w:hint="default"/>
          <w:sz w:val="14"/>
          <w:szCs w:val="14"/>
        </w:rPr>
        <w:t>公司负责人：刘祥</w:t>
        <w:tab/>
        <w:t>主管会计工作负责人：赵辉</w:t>
        <w:tab/>
      </w:r>
      <w:r>
        <w:rPr>
          <w:rFonts w:ascii="宋体" w:hAnsi="宋体" w:cs="宋体" w:eastAsia="宋体" w:hint="default"/>
          <w:w w:val="105"/>
          <w:sz w:val="14"/>
          <w:szCs w:val="14"/>
        </w:rPr>
        <w:t>会计机构负责人：赵辉</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6840" w:h="11910" w:orient="landscape"/>
          <w:pgMar w:top="1060" w:bottom="1460" w:left="980" w:right="9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268" w:top="1100" w:bottom="1460" w:left="980" w:right="98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2899" w:val="left" w:leader="none"/>
        </w:tabs>
        <w:spacing w:before="112"/>
        <w:ind w:left="1311" w:right="-7" w:firstLine="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36"/>
          <w:sz w:val="15"/>
          <w:szCs w:val="15"/>
        </w:rPr>
        <w:t> </w:t>
      </w:r>
      <w:r>
        <w:rPr>
          <w:rFonts w:ascii="宋体" w:hAnsi="宋体" w:cs="宋体" w:eastAsia="宋体" w:hint="default"/>
          <w:sz w:val="15"/>
          <w:szCs w:val="15"/>
        </w:rPr>
        <w:t>目</w:t>
        <w:tab/>
      </w:r>
      <w:r>
        <w:rPr>
          <w:rFonts w:ascii="宋体" w:hAnsi="宋体" w:cs="宋体" w:eastAsia="宋体" w:hint="default"/>
          <w:w w:val="95"/>
          <w:sz w:val="15"/>
          <w:szCs w:val="15"/>
        </w:rPr>
        <w:t>附注</w:t>
      </w:r>
      <w:r>
        <w:rPr>
          <w:rFonts w:ascii="宋体" w:hAnsi="宋体" w:cs="宋体" w:eastAsia="宋体" w:hint="default"/>
          <w:sz w:val="15"/>
          <w:szCs w:val="15"/>
        </w:rPr>
      </w:r>
    </w:p>
    <w:p>
      <w:pPr>
        <w:pStyle w:val="Heading5"/>
        <w:spacing w:line="240" w:lineRule="auto" w:before="185"/>
        <w:ind w:right="0"/>
        <w:jc w:val="left"/>
      </w:pPr>
      <w:r>
        <w:rPr/>
        <w:br w:type="column"/>
      </w:r>
      <w:r>
        <w:rPr/>
        <w:t>合并股东权益变动表（续）</w:t>
      </w:r>
    </w:p>
    <w:p>
      <w:pPr>
        <w:tabs>
          <w:tab w:pos="10170" w:val="left" w:leader="none"/>
        </w:tabs>
        <w:spacing w:before="66"/>
        <w:ind w:left="3323" w:right="0" w:firstLine="0"/>
        <w:jc w:val="left"/>
        <w:rPr>
          <w:rFonts w:ascii="宋体" w:hAnsi="宋体" w:cs="宋体" w:eastAsia="宋体" w:hint="default"/>
          <w:sz w:val="15"/>
          <w:szCs w:val="15"/>
        </w:rPr>
      </w:pPr>
      <w:r>
        <w:rPr>
          <w:rFonts w:ascii="宋体" w:hAnsi="宋体" w:cs="宋体" w:eastAsia="宋体" w:hint="default"/>
          <w:w w:val="105"/>
          <w:sz w:val="15"/>
          <w:szCs w:val="15"/>
        </w:rPr>
        <w:t>2010年度</w:t>
        <w:tab/>
        <w:t>单位：人民币元</w:t>
      </w:r>
      <w:r>
        <w:rPr>
          <w:rFonts w:ascii="宋体" w:hAnsi="宋体" w:cs="宋体" w:eastAsia="宋体" w:hint="default"/>
          <w:sz w:val="15"/>
          <w:szCs w:val="15"/>
        </w:rPr>
      </w:r>
    </w:p>
    <w:p>
      <w:pPr>
        <w:spacing w:before="49"/>
        <w:ind w:left="5413" w:right="5736" w:firstLine="0"/>
        <w:jc w:val="center"/>
        <w:rPr>
          <w:rFonts w:ascii="宋体" w:hAnsi="宋体" w:cs="宋体" w:eastAsia="宋体" w:hint="default"/>
          <w:sz w:val="15"/>
          <w:szCs w:val="15"/>
        </w:rPr>
      </w:pPr>
      <w:r>
        <w:rPr>
          <w:rFonts w:ascii="宋体" w:hAnsi="宋体" w:cs="宋体" w:eastAsia="宋体" w:hint="default"/>
          <w:sz w:val="15"/>
          <w:szCs w:val="15"/>
        </w:rPr>
        <w:t>上期数</w:t>
      </w:r>
    </w:p>
    <w:p>
      <w:pPr>
        <w:spacing w:before="58"/>
        <w:ind w:left="3570" w:right="0" w:firstLine="0"/>
        <w:jc w:val="left"/>
        <w:rPr>
          <w:rFonts w:ascii="宋体" w:hAnsi="宋体" w:cs="宋体" w:eastAsia="宋体" w:hint="default"/>
          <w:sz w:val="15"/>
          <w:szCs w:val="15"/>
        </w:rPr>
      </w:pPr>
      <w:r>
        <w:rPr/>
        <w:pict>
          <v:group style="position:absolute;margin-left:56.711216pt;margin-top:2.612626pt;width:716.95pt;height:.85pt;mso-position-horizontal-relative:page;mso-position-vertical-relative:paragraph;z-index:-680200" coordorigin="1134,52" coordsize="14339,17">
            <v:group style="position:absolute;left:1143;top:53;width:2624;height:2" coordorigin="1143,53" coordsize="2624,2">
              <v:shape style="position:absolute;left:1143;top:53;width:2624;height:2" coordorigin="1143,53" coordsize="2624,0" path="m1143,53l3767,53e" filled="false" stroked="true" strokeweight=".115671pt" strokecolor="#000000">
                <v:path arrowok="t"/>
              </v:shape>
            </v:group>
            <v:group style="position:absolute;left:1142;top:60;width:2626;height:2" coordorigin="1142,60" coordsize="2626,2">
              <v:shape style="position:absolute;left:1142;top:60;width:2626;height:2" coordorigin="1142,60" coordsize="2626,0" path="m1142,60l3768,60e" filled="false" stroked="true" strokeweight=".793173pt" strokecolor="#000000">
                <v:path arrowok="t"/>
              </v:shape>
            </v:group>
            <v:group style="position:absolute;left:3829;top:53;width:386;height:2" coordorigin="3829,53" coordsize="386,2">
              <v:shape style="position:absolute;left:3829;top:53;width:386;height:2" coordorigin="3829,53" coordsize="386,0" path="m3829,53l4215,53e" filled="false" stroked="true" strokeweight=".115671pt" strokecolor="#000000">
                <v:path arrowok="t"/>
              </v:shape>
            </v:group>
            <v:group style="position:absolute;left:3828;top:60;width:388;height:2" coordorigin="3828,60" coordsize="388,2">
              <v:shape style="position:absolute;left:3828;top:60;width:388;height:2" coordorigin="3828,60" coordsize="388,0" path="m3828,60l4216,60e" filled="false" stroked="true" strokeweight=".793173pt" strokecolor="#000000">
                <v:path arrowok="t"/>
              </v:shape>
            </v:group>
            <v:group style="position:absolute;left:4276;top:53;width:11188;height:2" coordorigin="4276,53" coordsize="11188,2">
              <v:shape style="position:absolute;left:4276;top:53;width:11188;height:2" coordorigin="4276,53" coordsize="11188,0" path="m4276,53l15464,53e" filled="false" stroked="true" strokeweight=".115671pt" strokecolor="#000000">
                <v:path arrowok="t"/>
              </v:shape>
            </v:group>
            <v:group style="position:absolute;left:4275;top:60;width:11190;height:2" coordorigin="4275,60" coordsize="11190,2">
              <v:shape style="position:absolute;left:4275;top:60;width:11190;height:2" coordorigin="4275,60" coordsize="11190,0" path="m4275,60l15465,60e" filled="false" stroked="true" strokeweight=".793173pt" strokecolor="#000000">
                <v:path arrowok="t"/>
              </v:shape>
            </v:group>
            <w10:wrap type="none"/>
          </v:group>
        </w:pict>
      </w:r>
      <w:r>
        <w:rPr>
          <w:rFonts w:ascii="宋体" w:hAnsi="宋体" w:cs="宋体" w:eastAsia="宋体" w:hint="default"/>
          <w:sz w:val="15"/>
          <w:szCs w:val="15"/>
        </w:rPr>
        <w:t>归属于母公司股东权益</w:t>
      </w:r>
    </w:p>
    <w:p>
      <w:pPr>
        <w:spacing w:line="240" w:lineRule="auto" w:before="13"/>
        <w:rPr>
          <w:rFonts w:ascii="宋体" w:hAnsi="宋体" w:cs="宋体" w:eastAsia="宋体" w:hint="default"/>
          <w:sz w:val="3"/>
          <w:szCs w:val="3"/>
        </w:rPr>
      </w:pPr>
    </w:p>
    <w:p>
      <w:pPr>
        <w:spacing w:line="20" w:lineRule="exact"/>
        <w:ind w:left="49" w:right="0" w:firstLine="0"/>
        <w:rPr>
          <w:rFonts w:ascii="宋体" w:hAnsi="宋体" w:cs="宋体" w:eastAsia="宋体" w:hint="default"/>
          <w:sz w:val="2"/>
          <w:szCs w:val="2"/>
        </w:rPr>
      </w:pPr>
      <w:r>
        <w:rPr>
          <w:rFonts w:ascii="宋体" w:hAnsi="宋体" w:cs="宋体" w:eastAsia="宋体" w:hint="default"/>
          <w:sz w:val="2"/>
          <w:szCs w:val="2"/>
        </w:rPr>
        <w:pict>
          <v:group style="width:426.05pt;height:.85pt;mso-position-horizontal-relative:char;mso-position-vertical-relative:line" coordorigin="0,0" coordsize="8521,17">
            <v:group style="position:absolute;left:9;top:1;width:8503;height:2" coordorigin="9,1" coordsize="8503,2">
              <v:shape style="position:absolute;left:9;top:1;width:8503;height:2" coordorigin="9,1" coordsize="8503,0" path="m9,1l8511,1e" filled="false" stroked="true" strokeweight=".115671pt" strokecolor="#000000">
                <v:path arrowok="t"/>
              </v:shape>
            </v:group>
            <v:group style="position:absolute;left:8;top:8;width:8505;height:2" coordorigin="8,8" coordsize="8505,2">
              <v:shape style="position:absolute;left:8;top:8;width:8505;height:2" coordorigin="8,8" coordsize="8505,0" path="m8,8l8512,8e" filled="false" stroked="true" strokeweight=".793173pt" strokecolor="#000000">
                <v:path arrowok="t"/>
              </v:shape>
            </v:group>
          </v:group>
        </w:pict>
      </w:r>
      <w:r>
        <w:rPr>
          <w:rFonts w:ascii="宋体" w:hAnsi="宋体" w:cs="宋体" w:eastAsia="宋体" w:hint="default"/>
          <w:sz w:val="2"/>
          <w:szCs w:val="2"/>
        </w:rPr>
      </w:r>
    </w:p>
    <w:p>
      <w:pPr>
        <w:tabs>
          <w:tab w:pos="2030" w:val="left" w:leader="none"/>
          <w:tab w:pos="3186" w:val="left" w:leader="none"/>
          <w:tab w:pos="5211" w:val="left" w:leader="none"/>
          <w:tab w:pos="6590" w:val="left" w:leader="none"/>
          <w:tab w:pos="8014" w:val="left" w:leader="none"/>
          <w:tab w:pos="8722" w:val="left" w:leader="none"/>
          <w:tab w:pos="10065" w:val="left" w:leader="none"/>
        </w:tabs>
        <w:spacing w:before="0"/>
        <w:ind w:left="644" w:right="0" w:firstLine="0"/>
        <w:jc w:val="left"/>
        <w:rPr>
          <w:rFonts w:ascii="宋体" w:hAnsi="宋体" w:cs="宋体" w:eastAsia="宋体" w:hint="default"/>
          <w:sz w:val="15"/>
          <w:szCs w:val="15"/>
        </w:rPr>
      </w:pPr>
      <w:r>
        <w:rPr/>
        <w:pict>
          <v:group style="position:absolute;margin-left:213.36232pt;margin-top:12.023326pt;width:560.3pt;height:.85pt;mso-position-horizontal-relative:page;mso-position-vertical-relative:paragraph;z-index:-680176" coordorigin="4267,240" coordsize="11206,17">
            <v:group style="position:absolute;left:4276;top:242;width:1468;height:2" coordorigin="4276,242" coordsize="1468,2">
              <v:shape style="position:absolute;left:4276;top:242;width:1468;height:2" coordorigin="4276,242" coordsize="1468,0" path="m4276,242l5744,242e" filled="false" stroked="true" strokeweight=".115671pt" strokecolor="#000000">
                <v:path arrowok="t"/>
              </v:shape>
            </v:group>
            <v:group style="position:absolute;left:4275;top:249;width:1470;height:2" coordorigin="4275,249" coordsize="1470,2">
              <v:shape style="position:absolute;left:4275;top:249;width:1470;height:2" coordorigin="4275,249" coordsize="1470,0" path="m4275,249l5745,249e" filled="false" stroked="true" strokeweight=".793173pt" strokecolor="#000000">
                <v:path arrowok="t"/>
              </v:shape>
            </v:group>
            <v:group style="position:absolute;left:5806;top:242;width:1481;height:2" coordorigin="5806,242" coordsize="1481,2">
              <v:shape style="position:absolute;left:5806;top:242;width:1481;height:2" coordorigin="5806,242" coordsize="1481,0" path="m5806,242l7286,242e" filled="false" stroked="true" strokeweight=".115671pt" strokecolor="#000000">
                <v:path arrowok="t"/>
              </v:shape>
            </v:group>
            <v:group style="position:absolute;left:5805;top:249;width:1483;height:2" coordorigin="5805,249" coordsize="1483,2">
              <v:shape style="position:absolute;left:5805;top:249;width:1483;height:2" coordorigin="5805,249" coordsize="1483,0" path="m5805,249l7287,249e" filled="false" stroked="true" strokeweight=".793173pt" strokecolor="#000000">
                <v:path arrowok="t"/>
              </v:shape>
            </v:group>
            <v:group style="position:absolute;left:7348;top:242;width:858;height:2" coordorigin="7348,242" coordsize="858,2">
              <v:shape style="position:absolute;left:7348;top:242;width:858;height:2" coordorigin="7348,242" coordsize="858,0" path="m7348,242l8205,242e" filled="false" stroked="true" strokeweight=".115671pt" strokecolor="#000000">
                <v:path arrowok="t"/>
              </v:shape>
            </v:group>
            <v:group style="position:absolute;left:7347;top:249;width:860;height:2" coordorigin="7347,249" coordsize="860,2">
              <v:shape style="position:absolute;left:7347;top:249;width:860;height:2" coordorigin="7347,249" coordsize="860,0" path="m7347,249l8206,249e" filled="false" stroked="true" strokeweight=".793173pt" strokecolor="#000000">
                <v:path arrowok="t"/>
              </v:shape>
            </v:group>
            <v:group style="position:absolute;left:8267;top:242;width:746;height:2" coordorigin="8267,242" coordsize="746,2">
              <v:shape style="position:absolute;left:8267;top:242;width:746;height:2" coordorigin="8267,242" coordsize="746,0" path="m8267,242l9013,242e" filled="false" stroked="true" strokeweight=".115671pt" strokecolor="#000000">
                <v:path arrowok="t"/>
              </v:shape>
            </v:group>
            <v:group style="position:absolute;left:8266;top:249;width:748;height:2" coordorigin="8266,249" coordsize="748,2">
              <v:shape style="position:absolute;left:8266;top:249;width:748;height:2" coordorigin="8266,249" coordsize="748,0" path="m8266,249l9013,249e" filled="false" stroked="true" strokeweight=".793173pt" strokecolor="#000000">
                <v:path arrowok="t"/>
              </v:shape>
            </v:group>
            <v:group style="position:absolute;left:9074;top:242;width:1306;height:2" coordorigin="9074,242" coordsize="1306,2">
              <v:shape style="position:absolute;left:9074;top:242;width:1306;height:2" coordorigin="9074,242" coordsize="1306,0" path="m9074,242l10379,242e" filled="false" stroked="true" strokeweight=".115671pt" strokecolor="#000000">
                <v:path arrowok="t"/>
              </v:shape>
            </v:group>
            <v:group style="position:absolute;left:9073;top:249;width:1308;height:2" coordorigin="9073,249" coordsize="1308,2">
              <v:shape style="position:absolute;left:9073;top:249;width:1308;height:2" coordorigin="9073,249" coordsize="1308,0" path="m9073,249l10380,249e" filled="false" stroked="true" strokeweight=".793173pt" strokecolor="#000000">
                <v:path arrowok="t"/>
              </v:shape>
            </v:group>
            <v:group style="position:absolute;left:10441;top:242;width:1480;height:2" coordorigin="10441,242" coordsize="1480,2">
              <v:shape style="position:absolute;left:10441;top:242;width:1480;height:2" coordorigin="10441,242" coordsize="1480,0" path="m10441,242l11921,242e" filled="false" stroked="true" strokeweight=".115671pt" strokecolor="#000000">
                <v:path arrowok="t"/>
              </v:shape>
            </v:group>
            <v:group style="position:absolute;left:10440;top:249;width:1482;height:2" coordorigin="10440,249" coordsize="1482,2">
              <v:shape style="position:absolute;left:10440;top:249;width:1482;height:2" coordorigin="10440,249" coordsize="1482,0" path="m10440,249l11922,249e" filled="false" stroked="true" strokeweight=".793173pt" strokecolor="#000000">
                <v:path arrowok="t"/>
              </v:shape>
            </v:group>
            <v:group style="position:absolute;left:11982;top:242;width:797;height:2" coordorigin="11982,242" coordsize="797,2">
              <v:shape style="position:absolute;left:11982;top:242;width:797;height:2" coordorigin="11982,242" coordsize="797,0" path="m11982,242l12779,242e" filled="false" stroked="true" strokeweight=".115671pt" strokecolor="#000000">
                <v:path arrowok="t"/>
              </v:shape>
            </v:group>
            <v:group style="position:absolute;left:11981;top:249;width:798;height:2" coordorigin="11981,249" coordsize="798,2">
              <v:shape style="position:absolute;left:11981;top:249;width:798;height:2" coordorigin="11981,249" coordsize="798,0" path="m11981,249l12779,249e" filled="false" stroked="true" strokeweight=".793173pt" strokecolor="#000000">
                <v:path arrowok="t"/>
              </v:shape>
            </v:group>
            <v:group style="position:absolute;left:12840;top:242;width:1094;height:2" coordorigin="12840,242" coordsize="1094,2">
              <v:shape style="position:absolute;left:12840;top:242;width:1094;height:2" coordorigin="12840,242" coordsize="1094,0" path="m12840,242l13934,242e" filled="false" stroked="true" strokeweight=".115671pt" strokecolor="#000000">
                <v:path arrowok="t"/>
              </v:shape>
            </v:group>
            <v:group style="position:absolute;left:12839;top:249;width:1096;height:2" coordorigin="12839,249" coordsize="1096,2">
              <v:shape style="position:absolute;left:12839;top:249;width:1096;height:2" coordorigin="12839,249" coordsize="1096,0" path="m12839,249l13935,249e" filled="false" stroked="true" strokeweight=".793173pt" strokecolor="#000000">
                <v:path arrowok="t"/>
              </v:shape>
            </v:group>
            <v:group style="position:absolute;left:13996;top:242;width:1468;height:2" coordorigin="13996,242" coordsize="1468,2">
              <v:shape style="position:absolute;left:13996;top:242;width:1468;height:2" coordorigin="13996,242" coordsize="1468,0" path="m13996,242l15464,242e" filled="false" stroked="true" strokeweight=".115671pt" strokecolor="#000000">
                <v:path arrowok="t"/>
              </v:shape>
            </v:group>
            <v:group style="position:absolute;left:13995;top:249;width:1470;height:2" coordorigin="13995,249" coordsize="1470,2">
              <v:shape style="position:absolute;left:13995;top:249;width:1470;height:2" coordorigin="13995,249" coordsize="1470,0" path="m13995,249l15465,249e" filled="false" stroked="true" strokeweight=".793173pt" strokecolor="#000000">
                <v:path arrowok="t"/>
              </v:shape>
            </v:group>
            <w10:wrap type="none"/>
          </v:group>
        </w:pict>
      </w:r>
      <w:r>
        <w:rPr>
          <w:rFonts w:ascii="宋体" w:hAnsi="宋体" w:cs="宋体" w:eastAsia="宋体" w:hint="default"/>
          <w:w w:val="95"/>
          <w:sz w:val="15"/>
          <w:szCs w:val="15"/>
        </w:rPr>
        <w:t>股本</w:t>
        <w:tab/>
        <w:t>资本公积</w:t>
        <w:tab/>
      </w:r>
      <w:r>
        <w:rPr>
          <w:rFonts w:ascii="宋体" w:hAnsi="宋体" w:cs="宋体" w:eastAsia="宋体" w:hint="default"/>
          <w:sz w:val="15"/>
          <w:szCs w:val="15"/>
        </w:rPr>
        <w:t>减：库存股 </w:t>
      </w:r>
      <w:r>
        <w:rPr>
          <w:rFonts w:ascii="宋体" w:hAnsi="宋体" w:cs="宋体" w:eastAsia="宋体" w:hint="default"/>
          <w:spacing w:val="32"/>
          <w:sz w:val="15"/>
          <w:szCs w:val="15"/>
        </w:rPr>
        <w:t> </w:t>
      </w:r>
      <w:r>
        <w:rPr>
          <w:rFonts w:ascii="宋体" w:hAnsi="宋体" w:cs="宋体" w:eastAsia="宋体" w:hint="default"/>
          <w:sz w:val="15"/>
          <w:szCs w:val="15"/>
        </w:rPr>
        <w:t>专项储备</w:t>
        <w:tab/>
      </w:r>
      <w:r>
        <w:rPr>
          <w:rFonts w:ascii="宋体" w:hAnsi="宋体" w:cs="宋体" w:eastAsia="宋体" w:hint="default"/>
          <w:w w:val="95"/>
          <w:sz w:val="15"/>
          <w:szCs w:val="15"/>
        </w:rPr>
        <w:t>盈余公积</w:t>
        <w:tab/>
        <w:t>未分配利润</w:t>
        <w:tab/>
        <w:t>其他</w:t>
        <w:tab/>
        <w:t>少数股东权益</w:t>
        <w:tab/>
      </w:r>
      <w:r>
        <w:rPr>
          <w:rFonts w:ascii="宋体" w:hAnsi="宋体" w:cs="宋体" w:eastAsia="宋体" w:hint="default"/>
          <w:sz w:val="15"/>
          <w:szCs w:val="15"/>
        </w:rPr>
        <w:t>股东权益合计</w:t>
      </w:r>
    </w:p>
    <w:p>
      <w:pPr>
        <w:spacing w:after="0"/>
        <w:jc w:val="left"/>
        <w:rPr>
          <w:rFonts w:ascii="宋体" w:hAnsi="宋体" w:cs="宋体" w:eastAsia="宋体" w:hint="default"/>
          <w:sz w:val="15"/>
          <w:szCs w:val="15"/>
        </w:rPr>
        <w:sectPr>
          <w:type w:val="continuous"/>
          <w:pgSz w:w="16840" w:h="11910" w:orient="landscape"/>
          <w:pgMar w:top="1060" w:bottom="1460" w:left="980" w:right="980"/>
          <w:cols w:num="2" w:equalWidth="0">
            <w:col w:w="3198" w:space="40"/>
            <w:col w:w="11642"/>
          </w:cols>
        </w:sectPr>
      </w:pPr>
    </w:p>
    <w:p>
      <w:pPr>
        <w:tabs>
          <w:tab w:pos="3538" w:val="left" w:leader="none"/>
          <w:tab w:pos="5080" w:val="left" w:leader="none"/>
          <w:tab w:pos="6743" w:val="left" w:leader="none"/>
          <w:tab w:pos="7551" w:val="left" w:leader="none"/>
          <w:tab w:pos="8257" w:val="left" w:leader="none"/>
          <w:tab w:pos="9707" w:val="left" w:leader="none"/>
          <w:tab w:pos="11317" w:val="left" w:leader="none"/>
          <w:tab w:pos="12472" w:val="left" w:leader="none"/>
          <w:tab w:pos="13166" w:val="left" w:leader="none"/>
        </w:tabs>
        <w:spacing w:before="10"/>
        <w:ind w:left="0" w:right="283" w:firstLine="0"/>
        <w:jc w:val="center"/>
        <w:rPr>
          <w:rFonts w:ascii="Arial" w:hAnsi="Arial" w:cs="Arial" w:eastAsia="Arial" w:hint="default"/>
          <w:sz w:val="15"/>
          <w:szCs w:val="15"/>
        </w:rPr>
      </w:pPr>
      <w:r>
        <w:rPr>
          <w:rFonts w:ascii="Microsoft JhengHei" w:hAnsi="Microsoft JhengHei" w:cs="Microsoft JhengHei" w:eastAsia="Microsoft JhengHei" w:hint="default"/>
          <w:b/>
          <w:bCs/>
          <w:sz w:val="15"/>
          <w:szCs w:val="15"/>
        </w:rPr>
        <w:t>一、上年年末余额</w:t>
        <w:tab/>
      </w:r>
      <w:r>
        <w:rPr>
          <w:rFonts w:ascii="Arial" w:hAnsi="Arial" w:cs="Arial" w:eastAsia="Arial" w:hint="default"/>
          <w:w w:val="95"/>
          <w:sz w:val="15"/>
          <w:szCs w:val="15"/>
        </w:rPr>
        <w:t>47,500,000.00</w:t>
        <w:tab/>
        <w:t>62,385,459.32</w:t>
        <w:tab/>
        <w:t>-</w:t>
        <w:tab/>
        <w:t>-</w:t>
        <w:tab/>
        <w:t>2,511,021.38</w:t>
        <w:tab/>
        <w:t>20,483,745.55</w:t>
        <w:tab/>
        <w:t>-</w:t>
        <w:tab/>
        <w:t>-</w:t>
        <w:tab/>
      </w:r>
      <w:r>
        <w:rPr>
          <w:rFonts w:ascii="Arial" w:hAnsi="Arial" w:cs="Arial" w:eastAsia="Arial" w:hint="default"/>
          <w:sz w:val="15"/>
          <w:szCs w:val="15"/>
        </w:rPr>
        <w:t>132,880,226.25</w:t>
      </w:r>
    </w:p>
    <w:p>
      <w:pPr>
        <w:spacing w:line="240" w:lineRule="auto" w:before="4"/>
        <w:rPr>
          <w:rFonts w:ascii="Arial" w:hAnsi="Arial" w:cs="Arial" w:eastAsia="Arial" w:hint="default"/>
          <w:sz w:val="2"/>
          <w:szCs w:val="2"/>
        </w:rPr>
      </w:pPr>
    </w:p>
    <w:p>
      <w:pPr>
        <w:spacing w:line="20" w:lineRule="exact"/>
        <w:ind w:left="3287" w:right="0" w:firstLine="0"/>
        <w:rPr>
          <w:rFonts w:ascii="Arial" w:hAnsi="Arial" w:cs="Arial" w:eastAsia="Arial" w:hint="default"/>
          <w:sz w:val="2"/>
          <w:szCs w:val="2"/>
        </w:rPr>
      </w:pPr>
      <w:r>
        <w:rPr>
          <w:rFonts w:ascii="Arial" w:hAnsi="Arial" w:cs="Arial" w:eastAsia="Arial" w:hint="default"/>
          <w:sz w:val="2"/>
          <w:szCs w:val="2"/>
        </w:rPr>
        <w:pict>
          <v:group style="width:560.3pt;height:.85pt;mso-position-horizontal-relative:char;mso-position-vertical-relative:line" coordorigin="0,0" coordsize="11206,17">
            <v:group style="position:absolute;left:9;top:1;width:1468;height:2" coordorigin="9,1" coordsize="1468,2">
              <v:shape style="position:absolute;left:9;top:1;width:1468;height:2" coordorigin="9,1" coordsize="1468,0" path="m9,1l1477,1e" filled="false" stroked="true" strokeweight=".115671pt" strokecolor="#000000">
                <v:path arrowok="t"/>
              </v:shape>
            </v:group>
            <v:group style="position:absolute;left:8;top:8;width:1470;height:2" coordorigin="8,8" coordsize="1470,2">
              <v:shape style="position:absolute;left:8;top:8;width:1470;height:2" coordorigin="8,8" coordsize="1470,0" path="m8,8l1478,8e" filled="false" stroked="true" strokeweight=".793173pt" strokecolor="#000000">
                <v:path arrowok="t"/>
              </v:shape>
            </v:group>
            <v:group style="position:absolute;left:1538;top:1;width:1481;height:2" coordorigin="1538,1" coordsize="1481,2">
              <v:shape style="position:absolute;left:1538;top:1;width:1481;height:2" coordorigin="1538,1" coordsize="1481,0" path="m1538,1l3019,1e" filled="false" stroked="true" strokeweight=".115671pt" strokecolor="#000000">
                <v:path arrowok="t"/>
              </v:shape>
            </v:group>
            <v:group style="position:absolute;left:1537;top:8;width:1483;height:2" coordorigin="1537,8" coordsize="1483,2">
              <v:shape style="position:absolute;left:1537;top:8;width:1483;height:2" coordorigin="1537,8" coordsize="1483,0" path="m1537,8l3020,8e" filled="false" stroked="true" strokeweight=".793173pt" strokecolor="#000000">
                <v:path arrowok="t"/>
              </v:shape>
            </v:group>
            <v:group style="position:absolute;left:3080;top:1;width:858;height:2" coordorigin="3080,1" coordsize="858,2">
              <v:shape style="position:absolute;left:3080;top:1;width:858;height:2" coordorigin="3080,1" coordsize="858,0" path="m3080,1l3938,1e" filled="false" stroked="true" strokeweight=".115671pt" strokecolor="#000000">
                <v:path arrowok="t"/>
              </v:shape>
            </v:group>
            <v:group style="position:absolute;left:3079;top:8;width:860;height:2" coordorigin="3079,8" coordsize="860,2">
              <v:shape style="position:absolute;left:3079;top:8;width:860;height:2" coordorigin="3079,8" coordsize="860,0" path="m3079,8l3939,8e" filled="false" stroked="true" strokeweight=".793173pt" strokecolor="#000000">
                <v:path arrowok="t"/>
              </v:shape>
            </v:group>
            <v:group style="position:absolute;left:3999;top:1;width:746;height:2" coordorigin="3999,1" coordsize="746,2">
              <v:shape style="position:absolute;left:3999;top:1;width:746;height:2" coordorigin="3999,1" coordsize="746,0" path="m3999,1l4745,1e" filled="false" stroked="true" strokeweight=".115671pt" strokecolor="#000000">
                <v:path arrowok="t"/>
              </v:shape>
            </v:group>
            <v:group style="position:absolute;left:3998;top:8;width:748;height:2" coordorigin="3998,8" coordsize="748,2">
              <v:shape style="position:absolute;left:3998;top:8;width:748;height:2" coordorigin="3998,8" coordsize="748,0" path="m3998,8l4746,8e" filled="false" stroked="true" strokeweight=".793173pt" strokecolor="#000000">
                <v:path arrowok="t"/>
              </v:shape>
            </v:group>
            <v:group style="position:absolute;left:4807;top:1;width:1306;height:2" coordorigin="4807,1" coordsize="1306,2">
              <v:shape style="position:absolute;left:4807;top:1;width:1306;height:2" coordorigin="4807,1" coordsize="1306,0" path="m4807,1l6112,1e" filled="false" stroked="true" strokeweight=".115671pt" strokecolor="#000000">
                <v:path arrowok="t"/>
              </v:shape>
            </v:group>
            <v:group style="position:absolute;left:4806;top:8;width:1308;height:2" coordorigin="4806,8" coordsize="1308,2">
              <v:shape style="position:absolute;left:4806;top:8;width:1308;height:2" coordorigin="4806,8" coordsize="1308,0" path="m4806,8l6113,8e" filled="false" stroked="true" strokeweight=".793173pt" strokecolor="#000000">
                <v:path arrowok="t"/>
              </v:shape>
            </v:group>
            <v:group style="position:absolute;left:6174;top:1;width:1480;height:2" coordorigin="6174,1" coordsize="1480,2">
              <v:shape style="position:absolute;left:6174;top:1;width:1480;height:2" coordorigin="6174,1" coordsize="1480,0" path="m6174,1l7654,1e" filled="false" stroked="true" strokeweight=".115671pt" strokecolor="#000000">
                <v:path arrowok="t"/>
              </v:shape>
            </v:group>
            <v:group style="position:absolute;left:6173;top:8;width:1482;height:2" coordorigin="6173,8" coordsize="1482,2">
              <v:shape style="position:absolute;left:6173;top:8;width:1482;height:2" coordorigin="6173,8" coordsize="1482,0" path="m6173,8l7655,8e" filled="false" stroked="true" strokeweight=".793173pt" strokecolor="#000000">
                <v:path arrowok="t"/>
              </v:shape>
            </v:group>
            <v:group style="position:absolute;left:7715;top:1;width:797;height:2" coordorigin="7715,1" coordsize="797,2">
              <v:shape style="position:absolute;left:7715;top:1;width:797;height:2" coordorigin="7715,1" coordsize="797,0" path="m7715,1l8511,1e" filled="false" stroked="true" strokeweight=".115671pt" strokecolor="#000000">
                <v:path arrowok="t"/>
              </v:shape>
            </v:group>
            <v:group style="position:absolute;left:7714;top:8;width:798;height:2" coordorigin="7714,8" coordsize="798,2">
              <v:shape style="position:absolute;left:7714;top:8;width:798;height:2" coordorigin="7714,8" coordsize="798,0" path="m7714,8l8512,8e" filled="false" stroked="true" strokeweight=".793173pt" strokecolor="#000000">
                <v:path arrowok="t"/>
              </v:shape>
            </v:group>
            <v:group style="position:absolute;left:8573;top:1;width:1094;height:2" coordorigin="8573,1" coordsize="1094,2">
              <v:shape style="position:absolute;left:8573;top:1;width:1094;height:2" coordorigin="8573,1" coordsize="1094,0" path="m8573,1l9667,1e" filled="false" stroked="true" strokeweight=".115671pt" strokecolor="#000000">
                <v:path arrowok="t"/>
              </v:shape>
            </v:group>
            <v:group style="position:absolute;left:8572;top:8;width:1096;height:2" coordorigin="8572,8" coordsize="1096,2">
              <v:shape style="position:absolute;left:8572;top:8;width:1096;height:2" coordorigin="8572,8" coordsize="1096,0" path="m8572,8l9668,8e" filled="false" stroked="true" strokeweight=".793173pt" strokecolor="#000000">
                <v:path arrowok="t"/>
              </v:shape>
            </v:group>
            <v:group style="position:absolute;left:9729;top:1;width:1468;height:2" coordorigin="9729,1" coordsize="1468,2">
              <v:shape style="position:absolute;left:9729;top:1;width:1468;height:2" coordorigin="9729,1" coordsize="1468,0" path="m9729,1l11196,1e" filled="false" stroked="true" strokeweight=".115671pt" strokecolor="#000000">
                <v:path arrowok="t"/>
              </v:shape>
            </v:group>
            <v:group style="position:absolute;left:9728;top:8;width:1470;height:2" coordorigin="9728,8" coordsize="1470,2">
              <v:shape style="position:absolute;left:9728;top:8;width:1470;height:2" coordorigin="9728,8" coordsize="1470,0" path="m9728,8l11197,8e" filled="false" stroked="true" strokeweight=".793173pt" strokecolor="#000000">
                <v:path arrowok="t"/>
              </v:shape>
            </v:group>
          </v:group>
        </w:pict>
      </w:r>
      <w:r>
        <w:rPr>
          <w:rFonts w:ascii="Arial" w:hAnsi="Arial" w:cs="Arial" w:eastAsia="Arial" w:hint="default"/>
          <w:sz w:val="2"/>
          <w:szCs w:val="2"/>
        </w:rPr>
      </w:r>
    </w:p>
    <w:p>
      <w:pPr>
        <w:tabs>
          <w:tab w:pos="4282" w:val="left" w:leader="none"/>
          <w:tab w:pos="5824" w:val="left" w:leader="none"/>
          <w:tab w:pos="6743" w:val="left" w:leader="none"/>
          <w:tab w:pos="7551" w:val="left" w:leader="none"/>
          <w:tab w:pos="8917" w:val="left" w:leader="none"/>
          <w:tab w:pos="10459" w:val="left" w:leader="none"/>
          <w:tab w:pos="11317" w:val="left" w:leader="none"/>
          <w:tab w:pos="12472" w:val="left" w:leader="none"/>
          <w:tab w:pos="14002" w:val="left" w:leader="none"/>
        </w:tabs>
        <w:spacing w:before="0"/>
        <w:ind w:left="0" w:right="440" w:firstLine="0"/>
        <w:jc w:val="center"/>
        <w:rPr>
          <w:rFonts w:ascii="Arial" w:hAnsi="Arial" w:cs="Arial" w:eastAsia="Arial" w:hint="default"/>
          <w:sz w:val="15"/>
          <w:szCs w:val="15"/>
        </w:rPr>
      </w:pPr>
      <w:r>
        <w:rPr>
          <w:rFonts w:ascii="宋体" w:hAnsi="宋体" w:cs="宋体" w:eastAsia="宋体" w:hint="default"/>
          <w:w w:val="95"/>
          <w:sz w:val="15"/>
          <w:szCs w:val="15"/>
        </w:rPr>
        <w:t>加：会计政策变更</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w w:val="95"/>
          <w:sz w:val="15"/>
          <w:szCs w:val="15"/>
        </w:rPr>
        <w:t>前期差错更正</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spacing w:line="240" w:lineRule="auto" w:before="4"/>
        <w:rPr>
          <w:rFonts w:ascii="Arial" w:hAnsi="Arial" w:cs="Arial" w:eastAsia="Arial" w:hint="default"/>
          <w:sz w:val="3"/>
          <w:szCs w:val="3"/>
        </w:rPr>
      </w:pPr>
    </w:p>
    <w:tbl>
      <w:tblPr>
        <w:tblW w:w="0" w:type="auto"/>
        <w:jc w:val="left"/>
        <w:tblInd w:w="156" w:type="dxa"/>
        <w:tblLayout w:type="fixed"/>
        <w:tblCellMar>
          <w:top w:w="0" w:type="dxa"/>
          <w:left w:w="0" w:type="dxa"/>
          <w:bottom w:w="0" w:type="dxa"/>
          <w:right w:w="0" w:type="dxa"/>
        </w:tblCellMar>
        <w:tblLook w:val="01E0"/>
      </w:tblPr>
      <w:tblGrid>
        <w:gridCol w:w="3138"/>
        <w:gridCol w:w="6313"/>
        <w:gridCol w:w="1579"/>
        <w:gridCol w:w="3297"/>
      </w:tblGrid>
      <w:tr>
        <w:trPr>
          <w:trHeight w:val="257"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二、本年年初余额</w:t>
            </w:r>
            <w:r>
              <w:rPr>
                <w:rFonts w:ascii="Microsoft JhengHei" w:hAnsi="Microsoft JhengHei" w:cs="Microsoft JhengHei" w:eastAsia="Microsoft JhengHei" w:hint="default"/>
                <w:sz w:val="15"/>
                <w:szCs w:val="15"/>
              </w:rPr>
            </w:r>
          </w:p>
        </w:tc>
        <w:tc>
          <w:tcPr>
            <w:tcW w:w="6313" w:type="dxa"/>
            <w:tcBorders>
              <w:top w:val="nil" w:sz="6" w:space="0" w:color="auto"/>
              <w:left w:val="nil" w:sz="6" w:space="0" w:color="auto"/>
              <w:bottom w:val="single" w:sz="6" w:space="0" w:color="000000"/>
              <w:right w:val="nil" w:sz="6" w:space="0" w:color="auto"/>
            </w:tcBorders>
          </w:tcPr>
          <w:p>
            <w:pPr>
              <w:pStyle w:val="TableParagraph"/>
              <w:tabs>
                <w:tab w:pos="1541" w:val="left" w:leader="none"/>
                <w:tab w:pos="3212" w:val="left" w:leader="none"/>
                <w:tab w:pos="4020" w:val="left" w:leader="none"/>
                <w:tab w:pos="4718" w:val="left" w:leader="none"/>
              </w:tabs>
              <w:spacing w:line="240" w:lineRule="auto" w:before="43"/>
              <w:ind w:right="289"/>
              <w:jc w:val="right"/>
              <w:rPr>
                <w:rFonts w:ascii="Arial" w:hAnsi="Arial" w:cs="Arial" w:eastAsia="Arial" w:hint="default"/>
                <w:sz w:val="15"/>
                <w:szCs w:val="15"/>
              </w:rPr>
            </w:pPr>
            <w:r>
              <w:rPr>
                <w:rFonts w:ascii="Arial"/>
                <w:w w:val="95"/>
                <w:sz w:val="15"/>
              </w:rPr>
              <w:t>47,500,000.00</w:t>
              <w:tab/>
              <w:t>62,385,459.32</w:t>
              <w:tab/>
              <w:t>-</w:t>
              <w:tab/>
              <w:t>-</w:t>
              <w:tab/>
              <w:t>2,511,021.38</w:t>
            </w:r>
            <w:r>
              <w:rPr>
                <w:rFonts w:ascii="Arial"/>
                <w:sz w:val="15"/>
              </w:rPr>
            </w:r>
          </w:p>
        </w:tc>
        <w:tc>
          <w:tcPr>
            <w:tcW w:w="1579" w:type="dxa"/>
            <w:tcBorders>
              <w:top w:val="nil" w:sz="6" w:space="0" w:color="auto"/>
              <w:left w:val="nil" w:sz="6" w:space="0" w:color="auto"/>
              <w:bottom w:val="single" w:sz="6" w:space="0" w:color="000000"/>
              <w:right w:val="nil" w:sz="6" w:space="0" w:color="auto"/>
            </w:tcBorders>
          </w:tcPr>
          <w:p>
            <w:pPr>
              <w:pStyle w:val="TableParagraph"/>
              <w:spacing w:line="240" w:lineRule="auto" w:before="43"/>
              <w:ind w:right="36"/>
              <w:jc w:val="center"/>
              <w:rPr>
                <w:rFonts w:ascii="Arial" w:hAnsi="Arial" w:cs="Arial" w:eastAsia="Arial" w:hint="default"/>
                <w:sz w:val="15"/>
                <w:szCs w:val="15"/>
              </w:rPr>
            </w:pPr>
            <w:r>
              <w:rPr>
                <w:rFonts w:ascii="Arial"/>
                <w:sz w:val="15"/>
              </w:rPr>
              <w:t>20,483,745.55</w:t>
            </w:r>
          </w:p>
        </w:tc>
        <w:tc>
          <w:tcPr>
            <w:tcW w:w="3297" w:type="dxa"/>
            <w:tcBorders>
              <w:top w:val="nil" w:sz="6" w:space="0" w:color="auto"/>
              <w:left w:val="nil" w:sz="6" w:space="0" w:color="auto"/>
              <w:bottom w:val="single" w:sz="6" w:space="0" w:color="000000"/>
              <w:right w:val="nil" w:sz="6" w:space="0" w:color="auto"/>
            </w:tcBorders>
          </w:tcPr>
          <w:p>
            <w:pPr>
              <w:pStyle w:val="TableParagraph"/>
              <w:tabs>
                <w:tab w:pos="1155" w:val="left" w:leader="none"/>
                <w:tab w:pos="1849" w:val="left" w:leader="none"/>
              </w:tabs>
              <w:spacing w:line="240" w:lineRule="auto" w:before="43"/>
              <w:ind w:right="81"/>
              <w:jc w:val="right"/>
              <w:rPr>
                <w:rFonts w:ascii="Arial" w:hAnsi="Arial" w:cs="Arial" w:eastAsia="Arial" w:hint="default"/>
                <w:sz w:val="15"/>
                <w:szCs w:val="15"/>
              </w:rPr>
            </w:pPr>
            <w:r>
              <w:rPr>
                <w:rFonts w:ascii="Arial"/>
                <w:w w:val="95"/>
                <w:sz w:val="15"/>
              </w:rPr>
              <w:t>-</w:t>
              <w:tab/>
              <w:t>-</w:t>
              <w:tab/>
              <w:t>132,880,226.25</w:t>
            </w:r>
            <w:r>
              <w:rPr>
                <w:rFonts w:ascii="Arial"/>
                <w:sz w:val="15"/>
              </w:rPr>
            </w:r>
          </w:p>
        </w:tc>
      </w:tr>
      <w:tr>
        <w:trPr>
          <w:trHeight w:val="254"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三、本年增减变动金额</w:t>
            </w:r>
            <w:r>
              <w:rPr>
                <w:rFonts w:ascii="Microsoft JhengHei" w:hAnsi="Microsoft JhengHei" w:cs="Microsoft JhengHei" w:eastAsia="Microsoft JhengHei" w:hint="default"/>
                <w:sz w:val="15"/>
                <w:szCs w:val="15"/>
              </w:rPr>
            </w:r>
          </w:p>
        </w:tc>
        <w:tc>
          <w:tcPr>
            <w:tcW w:w="6313" w:type="dxa"/>
            <w:tcBorders>
              <w:top w:val="single" w:sz="6" w:space="0" w:color="000000"/>
              <w:left w:val="nil" w:sz="6" w:space="0" w:color="auto"/>
              <w:bottom w:val="single" w:sz="6" w:space="0" w:color="000000"/>
              <w:right w:val="nil" w:sz="6" w:space="0" w:color="auto"/>
            </w:tcBorders>
          </w:tcPr>
          <w:p>
            <w:pPr>
              <w:pStyle w:val="TableParagraph"/>
              <w:tabs>
                <w:tab w:pos="1541" w:val="left" w:leader="none"/>
                <w:tab w:pos="2460" w:val="left" w:leader="none"/>
                <w:tab w:pos="3268" w:val="left" w:leader="none"/>
                <w:tab w:pos="3966" w:val="left" w:leader="none"/>
              </w:tabs>
              <w:spacing w:line="240" w:lineRule="auto" w:before="32"/>
              <w:ind w:right="289"/>
              <w:jc w:val="right"/>
              <w:rPr>
                <w:rFonts w:ascii="Arial" w:hAnsi="Arial" w:cs="Arial" w:eastAsia="Arial" w:hint="default"/>
                <w:sz w:val="15"/>
                <w:szCs w:val="15"/>
              </w:rPr>
            </w:pPr>
            <w:r>
              <w:rPr>
                <w:rFonts w:ascii="Arial"/>
                <w:w w:val="95"/>
                <w:sz w:val="15"/>
              </w:rPr>
              <w:t>-</w:t>
              <w:tab/>
              <w:t>-</w:t>
              <w:tab/>
              <w:t>-</w:t>
              <w:tab/>
              <w:t>-</w:t>
              <w:tab/>
              <w:t>1,865,641.74</w:t>
            </w:r>
            <w:r>
              <w:rPr>
                <w:rFonts w:ascii="Arial"/>
                <w:sz w:val="15"/>
              </w:rPr>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20"/>
              <w:jc w:val="center"/>
              <w:rPr>
                <w:rFonts w:ascii="Arial" w:hAnsi="Arial" w:cs="Arial" w:eastAsia="Arial" w:hint="default"/>
                <w:sz w:val="15"/>
                <w:szCs w:val="15"/>
              </w:rPr>
            </w:pPr>
            <w:r>
              <w:rPr>
                <w:rFonts w:ascii="Arial"/>
                <w:sz w:val="15"/>
              </w:rPr>
              <w:t>33,029,758.04</w:t>
            </w:r>
          </w:p>
        </w:tc>
        <w:tc>
          <w:tcPr>
            <w:tcW w:w="3297" w:type="dxa"/>
            <w:tcBorders>
              <w:top w:val="single" w:sz="6" w:space="0" w:color="000000"/>
              <w:left w:val="nil" w:sz="6" w:space="0" w:color="auto"/>
              <w:bottom w:val="single" w:sz="6" w:space="0" w:color="000000"/>
              <w:right w:val="nil" w:sz="6" w:space="0" w:color="auto"/>
            </w:tcBorders>
          </w:tcPr>
          <w:p>
            <w:pPr>
              <w:pStyle w:val="TableParagraph"/>
              <w:tabs>
                <w:tab w:pos="1155" w:val="left" w:leader="none"/>
                <w:tab w:pos="1941" w:val="left" w:leader="none"/>
              </w:tabs>
              <w:spacing w:line="240" w:lineRule="auto" w:before="32"/>
              <w:ind w:right="73"/>
              <w:jc w:val="right"/>
              <w:rPr>
                <w:rFonts w:ascii="Arial" w:hAnsi="Arial" w:cs="Arial" w:eastAsia="Arial" w:hint="default"/>
                <w:sz w:val="15"/>
                <w:szCs w:val="15"/>
              </w:rPr>
            </w:pPr>
            <w:r>
              <w:rPr>
                <w:rFonts w:ascii="Arial"/>
                <w:w w:val="95"/>
                <w:sz w:val="15"/>
              </w:rPr>
              <w:t>-</w:t>
              <w:tab/>
              <w:t>-</w:t>
              <w:tab/>
              <w:t>34,895,399.78</w:t>
            </w:r>
            <w:r>
              <w:rPr>
                <w:rFonts w:ascii="Arial"/>
                <w:sz w:val="15"/>
              </w:rPr>
            </w:r>
          </w:p>
        </w:tc>
      </w:tr>
      <w:tr>
        <w:trPr>
          <w:trHeight w:val="276"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6313" w:type="dxa"/>
            <w:tcBorders>
              <w:top w:val="single" w:sz="6" w:space="0" w:color="000000"/>
              <w:left w:val="nil" w:sz="6" w:space="0" w:color="auto"/>
              <w:bottom w:val="nil" w:sz="6" w:space="0" w:color="auto"/>
              <w:right w:val="nil" w:sz="6" w:space="0" w:color="auto"/>
            </w:tcBorders>
          </w:tcPr>
          <w:p>
            <w:pPr>
              <w:pStyle w:val="TableParagraph"/>
              <w:tabs>
                <w:tab w:pos="2721" w:val="left" w:leader="none"/>
                <w:tab w:pos="3640" w:val="left" w:leader="none"/>
                <w:tab w:pos="4447" w:val="left" w:leader="none"/>
                <w:tab w:pos="5814" w:val="left" w:leader="none"/>
              </w:tabs>
              <w:spacing w:line="240" w:lineRule="auto" w:before="32"/>
              <w:ind w:left="1179" w:right="0"/>
              <w:jc w:val="left"/>
              <w:rPr>
                <w:rFonts w:ascii="Arial" w:hAnsi="Arial" w:cs="Arial" w:eastAsia="Arial" w:hint="default"/>
                <w:sz w:val="15"/>
                <w:szCs w:val="15"/>
              </w:rPr>
            </w:pPr>
            <w:r>
              <w:rPr>
                <w:rFonts w:ascii="Arial"/>
                <w:w w:val="95"/>
                <w:sz w:val="15"/>
              </w:rPr>
              <w:t>-</w:t>
              <w:tab/>
              <w:t>-</w:t>
              <w:tab/>
              <w:t>-</w:t>
              <w:tab/>
              <w:t>-</w:t>
              <w:tab/>
            </w:r>
            <w:r>
              <w:rPr>
                <w:rFonts w:ascii="Arial"/>
                <w:sz w:val="15"/>
              </w:rPr>
              <w:t>-</w:t>
            </w:r>
          </w:p>
        </w:tc>
        <w:tc>
          <w:tcPr>
            <w:tcW w:w="1579" w:type="dxa"/>
            <w:tcBorders>
              <w:top w:val="single" w:sz="6" w:space="0" w:color="000000"/>
              <w:left w:val="nil" w:sz="6" w:space="0" w:color="auto"/>
              <w:bottom w:val="nil" w:sz="6" w:space="0" w:color="auto"/>
              <w:right w:val="nil" w:sz="6" w:space="0" w:color="auto"/>
            </w:tcBorders>
          </w:tcPr>
          <w:p>
            <w:pPr>
              <w:pStyle w:val="TableParagraph"/>
              <w:spacing w:line="240" w:lineRule="auto" w:before="32"/>
              <w:ind w:right="20"/>
              <w:jc w:val="center"/>
              <w:rPr>
                <w:rFonts w:ascii="Arial" w:hAnsi="Arial" w:cs="Arial" w:eastAsia="Arial" w:hint="default"/>
                <w:sz w:val="15"/>
                <w:szCs w:val="15"/>
              </w:rPr>
            </w:pPr>
            <w:r>
              <w:rPr>
                <w:rFonts w:ascii="Arial"/>
                <w:sz w:val="15"/>
              </w:rPr>
              <w:t>44,395,399.78</w:t>
            </w:r>
          </w:p>
        </w:tc>
        <w:tc>
          <w:tcPr>
            <w:tcW w:w="3297" w:type="dxa"/>
            <w:tcBorders>
              <w:top w:val="single" w:sz="6" w:space="0" w:color="000000"/>
              <w:left w:val="nil" w:sz="6" w:space="0" w:color="auto"/>
              <w:bottom w:val="nil" w:sz="6" w:space="0" w:color="auto"/>
              <w:right w:val="nil" w:sz="6" w:space="0" w:color="auto"/>
            </w:tcBorders>
          </w:tcPr>
          <w:p>
            <w:pPr>
              <w:pStyle w:val="TableParagraph"/>
              <w:tabs>
                <w:tab w:pos="1155" w:val="left" w:leader="none"/>
                <w:tab w:pos="1941" w:val="left" w:leader="none"/>
              </w:tabs>
              <w:spacing w:line="240" w:lineRule="auto" w:before="32"/>
              <w:ind w:right="73"/>
              <w:jc w:val="right"/>
              <w:rPr>
                <w:rFonts w:ascii="Arial" w:hAnsi="Arial" w:cs="Arial" w:eastAsia="Arial" w:hint="default"/>
                <w:sz w:val="15"/>
                <w:szCs w:val="15"/>
              </w:rPr>
            </w:pPr>
            <w:r>
              <w:rPr>
                <w:rFonts w:ascii="Arial"/>
                <w:w w:val="95"/>
                <w:sz w:val="15"/>
              </w:rPr>
              <w:t>-</w:t>
              <w:tab/>
              <w:t>-</w:t>
              <w:tab/>
              <w:t>44,395,399.78</w:t>
            </w:r>
            <w:r>
              <w:rPr>
                <w:rFonts w:ascii="Arial"/>
                <w:sz w:val="15"/>
              </w:rPr>
            </w:r>
          </w:p>
        </w:tc>
      </w:tr>
    </w:tbl>
    <w:p>
      <w:pPr>
        <w:tabs>
          <w:tab w:pos="4474" w:val="left" w:leader="none"/>
          <w:tab w:pos="6016" w:val="left" w:leader="none"/>
          <w:tab w:pos="6935" w:val="left" w:leader="none"/>
          <w:tab w:pos="7743" w:val="left" w:leader="none"/>
          <w:tab w:pos="9109" w:val="left" w:leader="none"/>
          <w:tab w:pos="10651" w:val="left" w:leader="none"/>
          <w:tab w:pos="11509" w:val="left" w:leader="none"/>
          <w:tab w:pos="12664" w:val="left" w:leader="none"/>
          <w:tab w:pos="14194" w:val="left" w:leader="none"/>
        </w:tabs>
        <w:spacing w:line="190" w:lineRule="exact" w:before="0"/>
        <w:ind w:left="191" w:right="465" w:firstLine="0"/>
        <w:jc w:val="left"/>
        <w:rPr>
          <w:rFonts w:ascii="Arial" w:hAnsi="Arial" w:cs="Arial" w:eastAsia="Arial" w:hint="default"/>
          <w:sz w:val="15"/>
          <w:szCs w:val="15"/>
        </w:rPr>
      </w:pPr>
      <w:r>
        <w:rPr>
          <w:rFonts w:ascii="宋体" w:hAnsi="宋体" w:cs="宋体" w:eastAsia="宋体" w:hint="default"/>
          <w:w w:val="95"/>
          <w:sz w:val="15"/>
          <w:szCs w:val="15"/>
        </w:rPr>
        <w:t>（二）其他综合收益</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282" w:val="left" w:leader="none"/>
          <w:tab w:pos="5824" w:val="left" w:leader="none"/>
          <w:tab w:pos="6743" w:val="left" w:leader="none"/>
          <w:tab w:pos="7551" w:val="left" w:leader="none"/>
          <w:tab w:pos="8917" w:val="left" w:leader="none"/>
          <w:tab w:pos="9715" w:val="left" w:leader="none"/>
          <w:tab w:pos="11317" w:val="left" w:leader="none"/>
          <w:tab w:pos="12472" w:val="left" w:leader="none"/>
          <w:tab w:pos="13250" w:val="left" w:leader="none"/>
        </w:tabs>
        <w:spacing w:before="47"/>
        <w:ind w:left="0" w:right="283" w:firstLine="0"/>
        <w:jc w:val="center"/>
        <w:rPr>
          <w:rFonts w:ascii="Arial" w:hAnsi="Arial" w:cs="Arial" w:eastAsia="Arial" w:hint="default"/>
          <w:sz w:val="15"/>
          <w:szCs w:val="15"/>
        </w:rPr>
      </w:pPr>
      <w:r>
        <w:rPr>
          <w:rFonts w:ascii="宋体" w:hAnsi="宋体" w:cs="宋体" w:eastAsia="宋体" w:hint="default"/>
          <w:w w:val="95"/>
          <w:sz w:val="15"/>
          <w:szCs w:val="15"/>
        </w:rPr>
        <w:t>上述（一）和（二）小计</w:t>
        <w:tab/>
      </w:r>
      <w:r>
        <w:rPr>
          <w:rFonts w:ascii="Arial" w:hAnsi="Arial" w:cs="Arial" w:eastAsia="Arial" w:hint="default"/>
          <w:w w:val="95"/>
          <w:sz w:val="15"/>
          <w:szCs w:val="15"/>
        </w:rPr>
        <w:t>-</w:t>
        <w:tab/>
        <w:t>-</w:t>
        <w:tab/>
        <w:t>-</w:t>
        <w:tab/>
        <w:t>-</w:t>
        <w:tab/>
        <w:t>-</w:t>
        <w:tab/>
        <w:t>44,395,399.78</w:t>
        <w:tab/>
        <w:t>-</w:t>
        <w:tab/>
        <w:t>-</w:t>
        <w:tab/>
      </w:r>
      <w:r>
        <w:rPr>
          <w:rFonts w:ascii="Arial" w:hAnsi="Arial" w:cs="Arial" w:eastAsia="Arial" w:hint="default"/>
          <w:sz w:val="15"/>
          <w:szCs w:val="15"/>
        </w:rPr>
        <w:t>44,395,399.78</w:t>
      </w:r>
    </w:p>
    <w:p>
      <w:pPr>
        <w:tabs>
          <w:tab w:pos="4282" w:val="left" w:leader="none"/>
          <w:tab w:pos="5824" w:val="left" w:leader="none"/>
          <w:tab w:pos="6743" w:val="left" w:leader="none"/>
          <w:tab w:pos="7551" w:val="left" w:leader="none"/>
          <w:tab w:pos="8917" w:val="left" w:leader="none"/>
          <w:tab w:pos="10459" w:val="left" w:leader="none"/>
          <w:tab w:pos="11317" w:val="left" w:leader="none"/>
          <w:tab w:pos="12472" w:val="left" w:leader="none"/>
          <w:tab w:pos="14002" w:val="left" w:leader="none"/>
        </w:tabs>
        <w:spacing w:before="47"/>
        <w:ind w:left="0" w:right="440" w:firstLine="0"/>
        <w:jc w:val="center"/>
        <w:rPr>
          <w:rFonts w:ascii="Arial" w:hAnsi="Arial" w:cs="Arial" w:eastAsia="Arial" w:hint="default"/>
          <w:sz w:val="15"/>
          <w:szCs w:val="15"/>
        </w:rPr>
      </w:pPr>
      <w:r>
        <w:rPr>
          <w:rFonts w:ascii="宋体" w:hAnsi="宋体" w:cs="宋体" w:eastAsia="宋体" w:hint="default"/>
          <w:w w:val="95"/>
          <w:sz w:val="15"/>
          <w:szCs w:val="15"/>
        </w:rPr>
        <w:t>（三）股东投入和减少股本</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w w:val="110"/>
          <w:sz w:val="15"/>
          <w:szCs w:val="15"/>
        </w:rPr>
        <w:t>1</w:t>
      </w:r>
      <w:r>
        <w:rPr>
          <w:rFonts w:ascii="宋体" w:hAnsi="宋体" w:cs="宋体" w:eastAsia="宋体" w:hint="default"/>
          <w:w w:val="55"/>
          <w:sz w:val="15"/>
          <w:szCs w:val="15"/>
        </w:rPr>
        <w:t>.</w:t>
      </w:r>
      <w:r>
        <w:rPr>
          <w:rFonts w:ascii="宋体" w:hAnsi="宋体" w:cs="宋体" w:eastAsia="宋体" w:hint="default"/>
          <w:spacing w:val="-34"/>
          <w:sz w:val="15"/>
          <w:szCs w:val="15"/>
        </w:rPr>
        <w:t> </w:t>
      </w:r>
      <w:r>
        <w:rPr>
          <w:rFonts w:ascii="宋体" w:hAnsi="宋体" w:cs="宋体" w:eastAsia="宋体" w:hint="default"/>
          <w:w w:val="99"/>
          <w:sz w:val="15"/>
          <w:szCs w:val="15"/>
        </w:rPr>
        <w:t>股东投入股本</w:t>
      </w:r>
      <w:r>
        <w:rPr>
          <w:rFonts w:ascii="宋体" w:hAnsi="宋体" w:cs="宋体" w:eastAsia="宋体"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tab/>
      </w:r>
      <w:r>
        <w:rPr>
          <w:rFonts w:ascii="Arial" w:hAnsi="Arial" w:cs="Arial" w:eastAsia="Arial" w:hint="default"/>
          <w:w w:val="99"/>
          <w:sz w:val="15"/>
          <w:szCs w:val="15"/>
        </w:rPr>
        <w:t>-</w:t>
      </w:r>
      <w:r>
        <w:rPr>
          <w:rFonts w:ascii="Arial" w:hAnsi="Arial" w:cs="Arial" w:eastAsia="Arial" w:hint="default"/>
          <w:sz w:val="15"/>
          <w:szCs w:val="15"/>
        </w:rPr>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w w:val="95"/>
          <w:sz w:val="15"/>
          <w:szCs w:val="15"/>
        </w:rPr>
        <w:t>2．股份支付计入股东权益的金额</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3．其他</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282" w:val="left" w:leader="none"/>
          <w:tab w:pos="5824" w:val="left" w:leader="none"/>
          <w:tab w:pos="6743" w:val="left" w:leader="none"/>
          <w:tab w:pos="7551" w:val="left" w:leader="none"/>
          <w:tab w:pos="8249" w:val="left" w:leader="none"/>
          <w:tab w:pos="9657" w:val="left" w:leader="none"/>
          <w:tab w:pos="11317" w:val="left" w:leader="none"/>
          <w:tab w:pos="12472" w:val="left" w:leader="none"/>
          <w:tab w:pos="13284" w:val="left" w:leader="none"/>
        </w:tabs>
        <w:spacing w:before="47"/>
        <w:ind w:left="0" w:right="234" w:firstLine="0"/>
        <w:jc w:val="center"/>
        <w:rPr>
          <w:rFonts w:ascii="Arial" w:hAnsi="Arial" w:cs="Arial" w:eastAsia="Arial" w:hint="default"/>
          <w:sz w:val="15"/>
          <w:szCs w:val="15"/>
        </w:rPr>
      </w:pPr>
      <w:r>
        <w:rPr>
          <w:rFonts w:ascii="宋体" w:hAnsi="宋体" w:cs="宋体" w:eastAsia="宋体" w:hint="default"/>
          <w:w w:val="95"/>
          <w:sz w:val="15"/>
          <w:szCs w:val="15"/>
        </w:rPr>
        <w:t>（四）利润分配</w:t>
        <w:tab/>
      </w:r>
      <w:r>
        <w:rPr>
          <w:rFonts w:ascii="Arial" w:hAnsi="Arial" w:cs="Arial" w:eastAsia="Arial" w:hint="default"/>
          <w:w w:val="95"/>
          <w:sz w:val="15"/>
          <w:szCs w:val="15"/>
        </w:rPr>
        <w:t>-</w:t>
        <w:tab/>
        <w:t>-</w:t>
        <w:tab/>
        <w:t>-</w:t>
        <w:tab/>
        <w:t>-</w:t>
        <w:tab/>
        <w:t>1,865,641.74</w:t>
        <w:tab/>
        <w:t>(11,365,641.74)</w:t>
        <w:tab/>
        <w:t>-</w:t>
        <w:tab/>
        <w:t>-</w:t>
        <w:tab/>
      </w:r>
      <w:r>
        <w:rPr>
          <w:rFonts w:ascii="Arial" w:hAnsi="Arial" w:cs="Arial" w:eastAsia="Arial" w:hint="default"/>
          <w:sz w:val="15"/>
          <w:szCs w:val="15"/>
        </w:rPr>
        <w:t>(9,500,000.00)</w:t>
      </w:r>
    </w:p>
    <w:p>
      <w:pPr>
        <w:tabs>
          <w:tab w:pos="4115" w:val="left" w:leader="none"/>
          <w:tab w:pos="5657" w:val="left" w:leader="none"/>
          <w:tab w:pos="6576" w:val="left" w:leader="none"/>
          <w:tab w:pos="7384" w:val="left" w:leader="none"/>
          <w:tab w:pos="8082" w:val="left" w:leader="none"/>
          <w:tab w:pos="9574"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1．提取盈余公积</w:t>
        <w:tab/>
      </w:r>
      <w:r>
        <w:rPr>
          <w:rFonts w:ascii="Arial" w:hAnsi="Arial" w:cs="Arial" w:eastAsia="Arial" w:hint="default"/>
          <w:w w:val="95"/>
          <w:sz w:val="15"/>
          <w:szCs w:val="15"/>
        </w:rPr>
        <w:t>-</w:t>
        <w:tab/>
        <w:t>-</w:t>
        <w:tab/>
        <w:t>-</w:t>
        <w:tab/>
        <w:t>-</w:t>
        <w:tab/>
        <w:t>1,865,641.74</w:t>
        <w:tab/>
        <w:t>(1,865,641.74)</w:t>
        <w:tab/>
        <w:t>-</w:t>
        <w:tab/>
        <w:t>-</w:t>
        <w:tab/>
      </w:r>
      <w:r>
        <w:rPr>
          <w:rFonts w:ascii="Arial" w:hAnsi="Arial" w:cs="Arial" w:eastAsia="Arial" w:hint="default"/>
          <w:sz w:val="15"/>
          <w:szCs w:val="15"/>
        </w:rPr>
        <w:t>-</w:t>
      </w:r>
    </w:p>
    <w:p>
      <w:pPr>
        <w:tabs>
          <w:tab w:pos="4474" w:val="left" w:leader="none"/>
          <w:tab w:pos="6016" w:val="left" w:leader="none"/>
          <w:tab w:pos="6935" w:val="left" w:leader="none"/>
          <w:tab w:pos="7743" w:val="left" w:leader="none"/>
          <w:tab w:pos="9109" w:val="left" w:leader="none"/>
          <w:tab w:pos="9933" w:val="left" w:leader="none"/>
          <w:tab w:pos="11509" w:val="left" w:leader="none"/>
          <w:tab w:pos="12664" w:val="left" w:leader="none"/>
          <w:tab w:pos="13476" w:val="left" w:leader="none"/>
        </w:tabs>
        <w:spacing w:before="47"/>
        <w:ind w:left="358" w:right="0" w:firstLine="0"/>
        <w:jc w:val="left"/>
        <w:rPr>
          <w:rFonts w:ascii="Arial" w:hAnsi="Arial" w:cs="Arial" w:eastAsia="Arial" w:hint="default"/>
          <w:sz w:val="15"/>
          <w:szCs w:val="15"/>
        </w:rPr>
      </w:pPr>
      <w:r>
        <w:rPr>
          <w:rFonts w:ascii="宋体" w:hAnsi="宋体" w:cs="宋体" w:eastAsia="宋体" w:hint="default"/>
          <w:sz w:val="15"/>
          <w:szCs w:val="15"/>
        </w:rPr>
        <w:t>2．对股东的分配</w:t>
        <w:tab/>
      </w:r>
      <w:r>
        <w:rPr>
          <w:rFonts w:ascii="Arial" w:hAnsi="Arial" w:cs="Arial" w:eastAsia="Arial" w:hint="default"/>
          <w:w w:val="95"/>
          <w:sz w:val="15"/>
          <w:szCs w:val="15"/>
        </w:rPr>
        <w:t>-</w:t>
        <w:tab/>
        <w:t>-</w:t>
        <w:tab/>
        <w:t>-</w:t>
        <w:tab/>
        <w:t>-</w:t>
        <w:tab/>
        <w:t>-</w:t>
        <w:tab/>
        <w:t>(9,500,000.00)</w:t>
        <w:tab/>
        <w:t>-</w:t>
        <w:tab/>
        <w:t>-</w:t>
        <w:tab/>
      </w:r>
      <w:r>
        <w:rPr>
          <w:rFonts w:ascii="Arial" w:hAnsi="Arial" w:cs="Arial" w:eastAsia="Arial" w:hint="default"/>
          <w:sz w:val="15"/>
          <w:szCs w:val="15"/>
        </w:rPr>
        <w:t>(9,500,000.00)</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3．其他</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282" w:val="left" w:leader="none"/>
          <w:tab w:pos="5824" w:val="left" w:leader="none"/>
          <w:tab w:pos="6743" w:val="left" w:leader="none"/>
          <w:tab w:pos="7551" w:val="left" w:leader="none"/>
          <w:tab w:pos="8917" w:val="left" w:leader="none"/>
          <w:tab w:pos="10459" w:val="left" w:leader="none"/>
          <w:tab w:pos="11317" w:val="left" w:leader="none"/>
          <w:tab w:pos="12472" w:val="left" w:leader="none"/>
          <w:tab w:pos="14002" w:val="left" w:leader="none"/>
        </w:tabs>
        <w:spacing w:before="47"/>
        <w:ind w:left="0" w:right="440" w:firstLine="0"/>
        <w:jc w:val="center"/>
        <w:rPr>
          <w:rFonts w:ascii="Arial" w:hAnsi="Arial" w:cs="Arial" w:eastAsia="Arial" w:hint="default"/>
          <w:sz w:val="15"/>
          <w:szCs w:val="15"/>
        </w:rPr>
      </w:pPr>
      <w:r>
        <w:rPr>
          <w:rFonts w:ascii="宋体" w:hAnsi="宋体" w:cs="宋体" w:eastAsia="宋体" w:hint="default"/>
          <w:w w:val="95"/>
          <w:sz w:val="15"/>
          <w:szCs w:val="15"/>
        </w:rPr>
        <w:t>（五）股东权益内部结转</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1．资本公积转增股本</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2．盈余公积转增股本</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3．盈余公积弥补亏损</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4．其他</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282" w:val="left" w:leader="none"/>
          <w:tab w:pos="5824" w:val="left" w:leader="none"/>
          <w:tab w:pos="6743" w:val="left" w:leader="none"/>
          <w:tab w:pos="7551" w:val="left" w:leader="none"/>
          <w:tab w:pos="8917" w:val="left" w:leader="none"/>
          <w:tab w:pos="10459" w:val="left" w:leader="none"/>
          <w:tab w:pos="11317" w:val="left" w:leader="none"/>
          <w:tab w:pos="12472" w:val="left" w:leader="none"/>
          <w:tab w:pos="14002" w:val="left" w:leader="none"/>
        </w:tabs>
        <w:spacing w:before="47"/>
        <w:ind w:left="0" w:right="440" w:firstLine="0"/>
        <w:jc w:val="center"/>
        <w:rPr>
          <w:rFonts w:ascii="Arial" w:hAnsi="Arial" w:cs="Arial" w:eastAsia="Arial" w:hint="default"/>
          <w:sz w:val="15"/>
          <w:szCs w:val="15"/>
        </w:rPr>
      </w:pPr>
      <w:r>
        <w:rPr>
          <w:rFonts w:ascii="宋体" w:hAnsi="宋体" w:cs="宋体" w:eastAsia="宋体" w:hint="default"/>
          <w:w w:val="95"/>
          <w:sz w:val="15"/>
          <w:szCs w:val="15"/>
        </w:rPr>
        <w:t>（六）专项储备</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6"/>
        <w:ind w:left="0" w:right="273" w:firstLine="0"/>
        <w:jc w:val="center"/>
        <w:rPr>
          <w:rFonts w:ascii="Arial" w:hAnsi="Arial" w:cs="Arial" w:eastAsia="Arial" w:hint="default"/>
          <w:sz w:val="15"/>
          <w:szCs w:val="15"/>
        </w:rPr>
      </w:pPr>
      <w:r>
        <w:rPr>
          <w:rFonts w:ascii="宋体" w:hAnsi="宋体" w:cs="宋体" w:eastAsia="宋体" w:hint="default"/>
          <w:sz w:val="15"/>
          <w:szCs w:val="15"/>
        </w:rPr>
        <w:t>1．提取专项储备</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2．使用专项储备</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115" w:val="left" w:leader="none"/>
          <w:tab w:pos="5657" w:val="left" w:leader="none"/>
          <w:tab w:pos="6576" w:val="left" w:leader="none"/>
          <w:tab w:pos="7384" w:val="left" w:leader="none"/>
          <w:tab w:pos="8751" w:val="left" w:leader="none"/>
          <w:tab w:pos="10292" w:val="left" w:leader="none"/>
          <w:tab w:pos="11150" w:val="left" w:leader="none"/>
          <w:tab w:pos="12305" w:val="left" w:leader="none"/>
          <w:tab w:pos="13835" w:val="left" w:leader="none"/>
        </w:tabs>
        <w:spacing w:before="47"/>
        <w:ind w:left="0" w:right="273" w:firstLine="0"/>
        <w:jc w:val="center"/>
        <w:rPr>
          <w:rFonts w:ascii="Arial" w:hAnsi="Arial" w:cs="Arial" w:eastAsia="Arial" w:hint="default"/>
          <w:sz w:val="15"/>
          <w:szCs w:val="15"/>
        </w:rPr>
      </w:pPr>
      <w:r>
        <w:rPr>
          <w:rFonts w:ascii="宋体" w:hAnsi="宋体" w:cs="宋体" w:eastAsia="宋体" w:hint="default"/>
          <w:sz w:val="15"/>
          <w:szCs w:val="15"/>
        </w:rPr>
        <w:t>3．其他</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4282" w:val="left" w:leader="none"/>
          <w:tab w:pos="5824" w:val="left" w:leader="none"/>
          <w:tab w:pos="6743" w:val="left" w:leader="none"/>
          <w:tab w:pos="7551" w:val="left" w:leader="none"/>
          <w:tab w:pos="8917" w:val="left" w:leader="none"/>
          <w:tab w:pos="10459" w:val="left" w:leader="none"/>
          <w:tab w:pos="11317" w:val="left" w:leader="none"/>
          <w:tab w:pos="12472" w:val="left" w:leader="none"/>
          <w:tab w:pos="14002" w:val="left" w:leader="none"/>
        </w:tabs>
        <w:spacing w:line="207" w:lineRule="exact" w:before="47"/>
        <w:ind w:left="0" w:right="440" w:firstLine="0"/>
        <w:jc w:val="center"/>
        <w:rPr>
          <w:rFonts w:ascii="Arial" w:hAnsi="Arial" w:cs="Arial" w:eastAsia="Arial" w:hint="default"/>
          <w:sz w:val="15"/>
          <w:szCs w:val="15"/>
        </w:rPr>
      </w:pPr>
      <w:r>
        <w:rPr>
          <w:rFonts w:ascii="宋体" w:hAnsi="宋体" w:cs="宋体" w:eastAsia="宋体" w:hint="default"/>
          <w:w w:val="95"/>
          <w:sz w:val="15"/>
          <w:szCs w:val="15"/>
        </w:rPr>
        <w:t>（七）其他</w:t>
        <w:tab/>
      </w:r>
      <w:r>
        <w:rPr>
          <w:rFonts w:ascii="Arial" w:hAnsi="Arial" w:cs="Arial" w:eastAsia="Arial" w:hint="default"/>
          <w:w w:val="95"/>
          <w:sz w:val="15"/>
          <w:szCs w:val="15"/>
        </w:rPr>
        <w:t>-</w:t>
        <w:tab/>
        <w:t>-</w:t>
        <w:tab/>
        <w:t>-</w:t>
        <w:tab/>
        <w:t>-</w:t>
        <w:tab/>
        <w:t>-</w:t>
        <w:tab/>
        <w:t>-</w:t>
        <w:tab/>
        <w:t>-</w:t>
        <w:tab/>
        <w:t>-</w:t>
        <w:tab/>
      </w:r>
      <w:r>
        <w:rPr>
          <w:rFonts w:ascii="Arial" w:hAnsi="Arial" w:cs="Arial" w:eastAsia="Arial" w:hint="default"/>
          <w:sz w:val="15"/>
          <w:szCs w:val="15"/>
        </w:rPr>
        <w:t>-</w:t>
      </w:r>
    </w:p>
    <w:p>
      <w:pPr>
        <w:tabs>
          <w:tab w:pos="3538" w:val="left" w:leader="none"/>
          <w:tab w:pos="5080" w:val="left" w:leader="none"/>
          <w:tab w:pos="6743" w:val="left" w:leader="none"/>
          <w:tab w:pos="7551" w:val="left" w:leader="none"/>
          <w:tab w:pos="8257" w:val="left" w:leader="none"/>
          <w:tab w:pos="9715" w:val="left" w:leader="none"/>
          <w:tab w:pos="11317" w:val="left" w:leader="none"/>
          <w:tab w:pos="12472" w:val="left" w:leader="none"/>
          <w:tab w:pos="13174" w:val="left" w:leader="none"/>
        </w:tabs>
        <w:spacing w:line="261" w:lineRule="exact" w:before="0"/>
        <w:ind w:left="0" w:right="275" w:firstLine="0"/>
        <w:jc w:val="center"/>
        <w:rPr>
          <w:rFonts w:ascii="Arial" w:hAnsi="Arial" w:cs="Arial" w:eastAsia="Arial" w:hint="default"/>
          <w:sz w:val="15"/>
          <w:szCs w:val="15"/>
        </w:rPr>
      </w:pPr>
      <w:r>
        <w:rPr/>
        <w:pict>
          <v:group style="position:absolute;margin-left:213.36232pt;margin-top:1.69653pt;width:560.3pt;height:.85pt;mso-position-horizontal-relative:page;mso-position-vertical-relative:paragraph;z-index:-680152" coordorigin="4267,34" coordsize="11206,17">
            <v:group style="position:absolute;left:4276;top:35;width:1468;height:2" coordorigin="4276,35" coordsize="1468,2">
              <v:shape style="position:absolute;left:4276;top:35;width:1468;height:2" coordorigin="4276,35" coordsize="1468,0" path="m4276,35l5744,35e" filled="false" stroked="true" strokeweight=".115671pt" strokecolor="#000000">
                <v:path arrowok="t"/>
              </v:shape>
            </v:group>
            <v:group style="position:absolute;left:4275;top:42;width:1470;height:2" coordorigin="4275,42" coordsize="1470,2">
              <v:shape style="position:absolute;left:4275;top:42;width:1470;height:2" coordorigin="4275,42" coordsize="1470,0" path="m4275,42l5745,42e" filled="false" stroked="true" strokeweight=".793165pt" strokecolor="#000000">
                <v:path arrowok="t"/>
              </v:shape>
            </v:group>
            <v:group style="position:absolute;left:5806;top:35;width:1481;height:2" coordorigin="5806,35" coordsize="1481,2">
              <v:shape style="position:absolute;left:5806;top:35;width:1481;height:2" coordorigin="5806,35" coordsize="1481,0" path="m5806,35l7286,35e" filled="false" stroked="true" strokeweight=".115671pt" strokecolor="#000000">
                <v:path arrowok="t"/>
              </v:shape>
            </v:group>
            <v:group style="position:absolute;left:5805;top:42;width:1483;height:2" coordorigin="5805,42" coordsize="1483,2">
              <v:shape style="position:absolute;left:5805;top:42;width:1483;height:2" coordorigin="5805,42" coordsize="1483,0" path="m5805,42l7287,42e" filled="false" stroked="true" strokeweight=".793165pt" strokecolor="#000000">
                <v:path arrowok="t"/>
              </v:shape>
            </v:group>
            <v:group style="position:absolute;left:7348;top:35;width:858;height:2" coordorigin="7348,35" coordsize="858,2">
              <v:shape style="position:absolute;left:7348;top:35;width:858;height:2" coordorigin="7348,35" coordsize="858,0" path="m7348,35l8205,35e" filled="false" stroked="true" strokeweight=".115671pt" strokecolor="#000000">
                <v:path arrowok="t"/>
              </v:shape>
            </v:group>
            <v:group style="position:absolute;left:7347;top:42;width:860;height:2" coordorigin="7347,42" coordsize="860,2">
              <v:shape style="position:absolute;left:7347;top:42;width:860;height:2" coordorigin="7347,42" coordsize="860,0" path="m7347,42l8206,42e" filled="false" stroked="true" strokeweight=".793165pt" strokecolor="#000000">
                <v:path arrowok="t"/>
              </v:shape>
            </v:group>
            <v:group style="position:absolute;left:8267;top:35;width:746;height:2" coordorigin="8267,35" coordsize="746,2">
              <v:shape style="position:absolute;left:8267;top:35;width:746;height:2" coordorigin="8267,35" coordsize="746,0" path="m8267,35l9013,35e" filled="false" stroked="true" strokeweight=".115671pt" strokecolor="#000000">
                <v:path arrowok="t"/>
              </v:shape>
            </v:group>
            <v:group style="position:absolute;left:8266;top:42;width:748;height:2" coordorigin="8266,42" coordsize="748,2">
              <v:shape style="position:absolute;left:8266;top:42;width:748;height:2" coordorigin="8266,42" coordsize="748,0" path="m8266,42l9013,42e" filled="false" stroked="true" strokeweight=".793165pt" strokecolor="#000000">
                <v:path arrowok="t"/>
              </v:shape>
            </v:group>
            <v:group style="position:absolute;left:9074;top:35;width:1306;height:2" coordorigin="9074,35" coordsize="1306,2">
              <v:shape style="position:absolute;left:9074;top:35;width:1306;height:2" coordorigin="9074,35" coordsize="1306,0" path="m9074,35l10379,35e" filled="false" stroked="true" strokeweight=".115671pt" strokecolor="#000000">
                <v:path arrowok="t"/>
              </v:shape>
            </v:group>
            <v:group style="position:absolute;left:9073;top:42;width:1308;height:2" coordorigin="9073,42" coordsize="1308,2">
              <v:shape style="position:absolute;left:9073;top:42;width:1308;height:2" coordorigin="9073,42" coordsize="1308,0" path="m9073,42l10380,42e" filled="false" stroked="true" strokeweight=".793165pt" strokecolor="#000000">
                <v:path arrowok="t"/>
              </v:shape>
            </v:group>
            <v:group style="position:absolute;left:10441;top:35;width:1480;height:2" coordorigin="10441,35" coordsize="1480,2">
              <v:shape style="position:absolute;left:10441;top:35;width:1480;height:2" coordorigin="10441,35" coordsize="1480,0" path="m10441,35l11921,35e" filled="false" stroked="true" strokeweight=".115671pt" strokecolor="#000000">
                <v:path arrowok="t"/>
              </v:shape>
            </v:group>
            <v:group style="position:absolute;left:10440;top:42;width:1482;height:2" coordorigin="10440,42" coordsize="1482,2">
              <v:shape style="position:absolute;left:10440;top:42;width:1482;height:2" coordorigin="10440,42" coordsize="1482,0" path="m10440,42l11922,42e" filled="false" stroked="true" strokeweight=".793165pt" strokecolor="#000000">
                <v:path arrowok="t"/>
              </v:shape>
            </v:group>
            <v:group style="position:absolute;left:11982;top:35;width:797;height:2" coordorigin="11982,35" coordsize="797,2">
              <v:shape style="position:absolute;left:11982;top:35;width:797;height:2" coordorigin="11982,35" coordsize="797,0" path="m11982,35l12779,35e" filled="false" stroked="true" strokeweight=".115671pt" strokecolor="#000000">
                <v:path arrowok="t"/>
              </v:shape>
            </v:group>
            <v:group style="position:absolute;left:11981;top:42;width:798;height:2" coordorigin="11981,42" coordsize="798,2">
              <v:shape style="position:absolute;left:11981;top:42;width:798;height:2" coordorigin="11981,42" coordsize="798,0" path="m11981,42l12779,42e" filled="false" stroked="true" strokeweight=".793165pt" strokecolor="#000000">
                <v:path arrowok="t"/>
              </v:shape>
            </v:group>
            <v:group style="position:absolute;left:12840;top:35;width:1094;height:2" coordorigin="12840,35" coordsize="1094,2">
              <v:shape style="position:absolute;left:12840;top:35;width:1094;height:2" coordorigin="12840,35" coordsize="1094,0" path="m12840,35l13934,35e" filled="false" stroked="true" strokeweight=".115671pt" strokecolor="#000000">
                <v:path arrowok="t"/>
              </v:shape>
            </v:group>
            <v:group style="position:absolute;left:12839;top:42;width:1096;height:2" coordorigin="12839,42" coordsize="1096,2">
              <v:shape style="position:absolute;left:12839;top:42;width:1096;height:2" coordorigin="12839,42" coordsize="1096,0" path="m12839,42l13935,42e" filled="false" stroked="true" strokeweight=".793165pt" strokecolor="#000000">
                <v:path arrowok="t"/>
              </v:shape>
            </v:group>
            <v:group style="position:absolute;left:13996;top:35;width:1468;height:2" coordorigin="13996,35" coordsize="1468,2">
              <v:shape style="position:absolute;left:13996;top:35;width:1468;height:2" coordorigin="13996,35" coordsize="1468,0" path="m13996,35l15464,35e" filled="false" stroked="true" strokeweight=".115671pt" strokecolor="#000000">
                <v:path arrowok="t"/>
              </v:shape>
            </v:group>
            <v:group style="position:absolute;left:13995;top:42;width:1470;height:2" coordorigin="13995,42" coordsize="1470,2">
              <v:shape style="position:absolute;left:13995;top:42;width:1470;height:2" coordorigin="13995,42" coordsize="1470,0" path="m13995,42l15465,42e" filled="false" stroked="true" strokeweight=".793165pt" strokecolor="#000000">
                <v:path arrowok="t"/>
              </v:shape>
            </v:group>
            <w10:wrap type="none"/>
          </v:group>
        </w:pict>
      </w:r>
      <w:r>
        <w:rPr>
          <w:rFonts w:ascii="Microsoft JhengHei" w:hAnsi="Microsoft JhengHei" w:cs="Microsoft JhengHei" w:eastAsia="Microsoft JhengHei" w:hint="default"/>
          <w:b/>
          <w:bCs/>
          <w:sz w:val="15"/>
          <w:szCs w:val="15"/>
        </w:rPr>
        <w:t>四、本年年末余额</w:t>
        <w:tab/>
      </w:r>
      <w:r>
        <w:rPr>
          <w:rFonts w:ascii="Arial" w:hAnsi="Arial" w:cs="Arial" w:eastAsia="Arial" w:hint="default"/>
          <w:w w:val="95"/>
          <w:sz w:val="15"/>
          <w:szCs w:val="15"/>
        </w:rPr>
        <w:t>47,500,000.00</w:t>
        <w:tab/>
        <w:t>62,385,459.32</w:t>
        <w:tab/>
        <w:t>-</w:t>
        <w:tab/>
        <w:t>-</w:t>
        <w:tab/>
        <w:t>4,376,663.12</w:t>
        <w:tab/>
        <w:t>53,513,503.59</w:t>
        <w:tab/>
        <w:t>-</w:t>
        <w:tab/>
        <w:t>-</w:t>
        <w:tab/>
      </w:r>
      <w:r>
        <w:rPr>
          <w:rFonts w:ascii="Arial" w:hAnsi="Arial" w:cs="Arial" w:eastAsia="Arial" w:hint="default"/>
          <w:sz w:val="15"/>
          <w:szCs w:val="15"/>
        </w:rPr>
        <w:t>167,775,626.03</w:t>
      </w:r>
    </w:p>
    <w:p>
      <w:pPr>
        <w:spacing w:line="47" w:lineRule="exact"/>
        <w:ind w:left="3287" w:right="0" w:firstLine="0"/>
        <w:rPr>
          <w:rFonts w:ascii="Arial" w:hAnsi="Arial" w:cs="Arial" w:eastAsia="Arial" w:hint="default"/>
          <w:sz w:val="4"/>
          <w:szCs w:val="4"/>
        </w:rPr>
      </w:pPr>
      <w:r>
        <w:rPr>
          <w:rFonts w:ascii="Arial" w:hAnsi="Arial" w:cs="Arial" w:eastAsia="Arial" w:hint="default"/>
          <w:position w:val="0"/>
          <w:sz w:val="4"/>
          <w:szCs w:val="4"/>
        </w:rPr>
        <w:pict>
          <v:group style="width:560.3pt;height:2.4pt;mso-position-horizontal-relative:char;mso-position-vertical-relative:line" coordorigin="0,0" coordsize="11206,48">
            <v:group style="position:absolute;left:8;top:8;width:1470;height:2" coordorigin="8,8" coordsize="1470,2">
              <v:shape style="position:absolute;left:8;top:8;width:1470;height:2" coordorigin="8,8" coordsize="1470,0" path="m8,8l1478,8e" filled="false" stroked="true" strokeweight=".79319pt" strokecolor="#000000">
                <v:path arrowok="t"/>
              </v:shape>
            </v:group>
            <v:group style="position:absolute;left:8;top:40;width:1470;height:2" coordorigin="8,40" coordsize="1470,2">
              <v:shape style="position:absolute;left:8;top:40;width:1470;height:2" coordorigin="8,40" coordsize="1470,0" path="m8,40l1478,40e" filled="false" stroked="true" strokeweight=".793165pt" strokecolor="#000000">
                <v:path arrowok="t"/>
              </v:shape>
            </v:group>
            <v:group style="position:absolute;left:1537;top:8;width:1483;height:2" coordorigin="1537,8" coordsize="1483,2">
              <v:shape style="position:absolute;left:1537;top:8;width:1483;height:2" coordorigin="1537,8" coordsize="1483,0" path="m1537,8l3020,8e" filled="false" stroked="true" strokeweight=".79319pt" strokecolor="#000000">
                <v:path arrowok="t"/>
              </v:shape>
            </v:group>
            <v:group style="position:absolute;left:1537;top:40;width:1483;height:2" coordorigin="1537,40" coordsize="1483,2">
              <v:shape style="position:absolute;left:1537;top:40;width:1483;height:2" coordorigin="1537,40" coordsize="1483,0" path="m1537,40l3020,40e" filled="false" stroked="true" strokeweight=".793165pt" strokecolor="#000000">
                <v:path arrowok="t"/>
              </v:shape>
            </v:group>
            <v:group style="position:absolute;left:3079;top:8;width:860;height:2" coordorigin="3079,8" coordsize="860,2">
              <v:shape style="position:absolute;left:3079;top:8;width:860;height:2" coordorigin="3079,8" coordsize="860,0" path="m3079,8l3939,8e" filled="false" stroked="true" strokeweight=".79319pt" strokecolor="#000000">
                <v:path arrowok="t"/>
              </v:shape>
            </v:group>
            <v:group style="position:absolute;left:3079;top:40;width:860;height:2" coordorigin="3079,40" coordsize="860,2">
              <v:shape style="position:absolute;left:3079;top:40;width:860;height:2" coordorigin="3079,40" coordsize="860,0" path="m3079,40l3939,40e" filled="false" stroked="true" strokeweight=".793165pt" strokecolor="#000000">
                <v:path arrowok="t"/>
              </v:shape>
            </v:group>
            <v:group style="position:absolute;left:3998;top:8;width:748;height:2" coordorigin="3998,8" coordsize="748,2">
              <v:shape style="position:absolute;left:3998;top:8;width:748;height:2" coordorigin="3998,8" coordsize="748,0" path="m3998,8l4746,8e" filled="false" stroked="true" strokeweight=".79319pt" strokecolor="#000000">
                <v:path arrowok="t"/>
              </v:shape>
            </v:group>
            <v:group style="position:absolute;left:3998;top:40;width:748;height:2" coordorigin="3998,40" coordsize="748,2">
              <v:shape style="position:absolute;left:3998;top:40;width:748;height:2" coordorigin="3998,40" coordsize="748,0" path="m3998,40l4746,40e" filled="false" stroked="true" strokeweight=".793165pt" strokecolor="#000000">
                <v:path arrowok="t"/>
              </v:shape>
            </v:group>
            <v:group style="position:absolute;left:4806;top:8;width:1308;height:2" coordorigin="4806,8" coordsize="1308,2">
              <v:shape style="position:absolute;left:4806;top:8;width:1308;height:2" coordorigin="4806,8" coordsize="1308,0" path="m4806,8l6113,8e" filled="false" stroked="true" strokeweight=".79319pt" strokecolor="#000000">
                <v:path arrowok="t"/>
              </v:shape>
            </v:group>
            <v:group style="position:absolute;left:4806;top:40;width:1308;height:2" coordorigin="4806,40" coordsize="1308,2">
              <v:shape style="position:absolute;left:4806;top:40;width:1308;height:2" coordorigin="4806,40" coordsize="1308,0" path="m4806,40l6113,40e" filled="false" stroked="true" strokeweight=".793165pt" strokecolor="#000000">
                <v:path arrowok="t"/>
              </v:shape>
            </v:group>
            <v:group style="position:absolute;left:6173;top:8;width:1482;height:2" coordorigin="6173,8" coordsize="1482,2">
              <v:shape style="position:absolute;left:6173;top:8;width:1482;height:2" coordorigin="6173,8" coordsize="1482,0" path="m6173,8l7655,8e" filled="false" stroked="true" strokeweight=".79319pt" strokecolor="#000000">
                <v:path arrowok="t"/>
              </v:shape>
            </v:group>
            <v:group style="position:absolute;left:6173;top:40;width:1482;height:2" coordorigin="6173,40" coordsize="1482,2">
              <v:shape style="position:absolute;left:6173;top:40;width:1482;height:2" coordorigin="6173,40" coordsize="1482,0" path="m6173,40l7655,40e" filled="false" stroked="true" strokeweight=".793165pt" strokecolor="#000000">
                <v:path arrowok="t"/>
              </v:shape>
            </v:group>
            <v:group style="position:absolute;left:7714;top:8;width:798;height:2" coordorigin="7714,8" coordsize="798,2">
              <v:shape style="position:absolute;left:7714;top:8;width:798;height:2" coordorigin="7714,8" coordsize="798,0" path="m7714,8l8512,8e" filled="false" stroked="true" strokeweight=".79319pt" strokecolor="#000000">
                <v:path arrowok="t"/>
              </v:shape>
            </v:group>
            <v:group style="position:absolute;left:7714;top:40;width:798;height:2" coordorigin="7714,40" coordsize="798,2">
              <v:shape style="position:absolute;left:7714;top:40;width:798;height:2" coordorigin="7714,40" coordsize="798,0" path="m7714,40l8512,40e" filled="false" stroked="true" strokeweight=".793165pt" strokecolor="#000000">
                <v:path arrowok="t"/>
              </v:shape>
            </v:group>
            <v:group style="position:absolute;left:8572;top:8;width:1096;height:2" coordorigin="8572,8" coordsize="1096,2">
              <v:shape style="position:absolute;left:8572;top:8;width:1096;height:2" coordorigin="8572,8" coordsize="1096,0" path="m8572,8l9668,8e" filled="false" stroked="true" strokeweight=".79319pt" strokecolor="#000000">
                <v:path arrowok="t"/>
              </v:shape>
            </v:group>
            <v:group style="position:absolute;left:8572;top:40;width:1096;height:2" coordorigin="8572,40" coordsize="1096,2">
              <v:shape style="position:absolute;left:8572;top:40;width:1096;height:2" coordorigin="8572,40" coordsize="1096,0" path="m8572,40l9668,40e" filled="false" stroked="true" strokeweight=".793165pt" strokecolor="#000000">
                <v:path arrowok="t"/>
              </v:shape>
            </v:group>
            <v:group style="position:absolute;left:9728;top:8;width:1470;height:2" coordorigin="9728,8" coordsize="1470,2">
              <v:shape style="position:absolute;left:9728;top:8;width:1470;height:2" coordorigin="9728,8" coordsize="1470,0" path="m9728,8l11197,8e" filled="false" stroked="true" strokeweight=".79319pt" strokecolor="#000000">
                <v:path arrowok="t"/>
              </v:shape>
            </v:group>
            <v:group style="position:absolute;left:9728;top:40;width:1470;height:2" coordorigin="9728,40" coordsize="1470,2">
              <v:shape style="position:absolute;left:9728;top:40;width:1470;height:2" coordorigin="9728,40" coordsize="1470,0" path="m9728,40l11197,40e" filled="false" stroked="true" strokeweight=".793165pt" strokecolor="#000000">
                <v:path arrowok="t"/>
              </v:shape>
            </v:group>
          </v:group>
        </w:pict>
      </w:r>
      <w:r>
        <w:rPr>
          <w:rFonts w:ascii="Arial" w:hAnsi="Arial" w:cs="Arial" w:eastAsia="Arial" w:hint="default"/>
          <w:position w:val="0"/>
          <w:sz w:val="4"/>
          <w:szCs w:val="4"/>
        </w:rPr>
      </w:r>
    </w:p>
    <w:p>
      <w:pPr>
        <w:spacing w:line="240" w:lineRule="auto" w:before="4"/>
        <w:rPr>
          <w:rFonts w:ascii="Arial" w:hAnsi="Arial" w:cs="Arial" w:eastAsia="Arial" w:hint="default"/>
          <w:sz w:val="20"/>
          <w:szCs w:val="20"/>
        </w:rPr>
      </w:pPr>
    </w:p>
    <w:p>
      <w:pPr>
        <w:spacing w:line="20" w:lineRule="exact"/>
        <w:ind w:left="154" w:right="0" w:firstLine="0"/>
        <w:rPr>
          <w:rFonts w:ascii="Arial" w:hAnsi="Arial" w:cs="Arial" w:eastAsia="Arial" w:hint="default"/>
          <w:sz w:val="2"/>
          <w:szCs w:val="2"/>
        </w:rPr>
      </w:pPr>
      <w:r>
        <w:rPr>
          <w:rFonts w:ascii="Arial" w:hAnsi="Arial" w:cs="Arial" w:eastAsia="Arial" w:hint="default"/>
          <w:sz w:val="2"/>
          <w:szCs w:val="2"/>
        </w:rPr>
        <w:pict>
          <v:group style="width:716.95pt;height:.85pt;mso-position-horizontal-relative:char;mso-position-vertical-relative:line" coordorigin="0,0" coordsize="14339,17">
            <v:group style="position:absolute;left:9;top:1;width:14321;height:2" coordorigin="9,1" coordsize="14321,2">
              <v:shape style="position:absolute;left:9;top:1;width:14321;height:2" coordorigin="9,1" coordsize="14321,0" path="m9,1l14329,1e" filled="false" stroked="true" strokeweight=".115671pt" strokecolor="#000000">
                <v:path arrowok="t"/>
              </v:shape>
            </v:group>
            <v:group style="position:absolute;left:8;top:8;width:14323;height:2" coordorigin="8,8" coordsize="14323,2">
              <v:shape style="position:absolute;left:8;top:8;width:14323;height:2" coordorigin="8,8" coordsize="14323,0" path="m8,8l14330,8e" filled="false" stroked="true" strokeweight=".79314pt" strokecolor="#000000">
                <v:path arrowok="t"/>
              </v:shape>
            </v:group>
          </v:group>
        </w:pict>
      </w:r>
      <w:r>
        <w:rPr>
          <w:rFonts w:ascii="Arial" w:hAnsi="Arial" w:cs="Arial" w:eastAsia="Arial" w:hint="default"/>
          <w:sz w:val="2"/>
          <w:szCs w:val="2"/>
        </w:rPr>
      </w:r>
    </w:p>
    <w:p>
      <w:pPr>
        <w:tabs>
          <w:tab w:pos="3324" w:val="left" w:leader="none"/>
          <w:tab w:pos="7157" w:val="left" w:leader="none"/>
        </w:tabs>
        <w:spacing w:before="0"/>
        <w:ind w:left="233" w:right="465" w:firstLine="0"/>
        <w:jc w:val="left"/>
        <w:rPr>
          <w:rFonts w:ascii="宋体" w:hAnsi="宋体" w:cs="宋体" w:eastAsia="宋体" w:hint="default"/>
          <w:sz w:val="15"/>
          <w:szCs w:val="15"/>
        </w:rPr>
      </w:pPr>
      <w:r>
        <w:rPr>
          <w:rFonts w:ascii="宋体" w:hAnsi="宋体" w:cs="宋体" w:eastAsia="宋体" w:hint="default"/>
          <w:w w:val="95"/>
          <w:sz w:val="15"/>
          <w:szCs w:val="15"/>
        </w:rPr>
        <w:t>公司负责人：刘祥</w:t>
        <w:tab/>
        <w:t>主管会计工作负责人：赵辉</w:t>
        <w:tab/>
      </w:r>
      <w:r>
        <w:rPr>
          <w:rFonts w:ascii="宋体" w:hAnsi="宋体" w:cs="宋体" w:eastAsia="宋体" w:hint="default"/>
          <w:sz w:val="15"/>
          <w:szCs w:val="15"/>
        </w:rPr>
        <w:t>会计机构负责人：赵辉</w:t>
      </w:r>
    </w:p>
    <w:p>
      <w:pPr>
        <w:spacing w:after="0"/>
        <w:jc w:val="left"/>
        <w:rPr>
          <w:rFonts w:ascii="宋体" w:hAnsi="宋体" w:cs="宋体" w:eastAsia="宋体" w:hint="default"/>
          <w:sz w:val="15"/>
          <w:szCs w:val="15"/>
        </w:rPr>
        <w:sectPr>
          <w:type w:val="continuous"/>
          <w:pgSz w:w="16840" w:h="11910" w:orient="landscape"/>
          <w:pgMar w:top="1060" w:bottom="1460" w:left="980" w:right="98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9"/>
          <w:footerReference w:type="default" r:id="rId40"/>
          <w:pgSz w:w="11910" w:h="16840"/>
          <w:pgMar w:header="867" w:footer="1267" w:top="1060" w:bottom="1460" w:left="1560" w:right="1440"/>
          <w:pgNumType w:start="92"/>
        </w:sectPr>
      </w:pPr>
    </w:p>
    <w:p>
      <w:pPr>
        <w:spacing w:before="175"/>
        <w:ind w:left="3464" w:right="0" w:firstLine="0"/>
        <w:jc w:val="center"/>
        <w:rPr>
          <w:rFonts w:ascii="宋体" w:hAnsi="宋体" w:cs="宋体" w:eastAsia="宋体" w:hint="default"/>
          <w:sz w:val="28"/>
          <w:szCs w:val="28"/>
        </w:rPr>
      </w:pPr>
      <w:r>
        <w:rPr>
          <w:rFonts w:ascii="宋体" w:hAnsi="宋体" w:cs="宋体" w:eastAsia="宋体" w:hint="default"/>
          <w:sz w:val="28"/>
          <w:szCs w:val="28"/>
        </w:rPr>
        <w:t>合并现金流量表</w:t>
      </w:r>
    </w:p>
    <w:p>
      <w:pPr>
        <w:spacing w:before="42"/>
        <w:ind w:left="0" w:right="596" w:firstLine="0"/>
        <w:jc w:val="right"/>
        <w:rPr>
          <w:rFonts w:ascii="宋体" w:hAnsi="宋体" w:cs="宋体" w:eastAsia="宋体" w:hint="default"/>
          <w:sz w:val="15"/>
          <w:szCs w:val="15"/>
        </w:rPr>
      </w:pPr>
      <w:r>
        <w:rPr>
          <w:rFonts w:ascii="宋体" w:hAnsi="宋体" w:cs="宋体" w:eastAsia="宋体" w:hint="default"/>
          <w:spacing w:val="-1"/>
          <w:w w:val="110"/>
          <w:sz w:val="15"/>
          <w:szCs w:val="15"/>
        </w:rPr>
        <w:t>2010年度</w:t>
      </w:r>
      <w:r>
        <w:rPr>
          <w:rFonts w:ascii="宋体" w:hAnsi="宋体" w:cs="宋体" w:eastAsia="宋体" w:hint="default"/>
          <w:spacing w:val="-1"/>
          <w:sz w:val="15"/>
          <w:szCs w:val="15"/>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6"/>
          <w:szCs w:val="16"/>
        </w:rPr>
      </w:pPr>
    </w:p>
    <w:p>
      <w:pPr>
        <w:spacing w:before="0"/>
        <w:ind w:left="2028" w:right="0" w:firstLine="0"/>
        <w:jc w:val="left"/>
        <w:rPr>
          <w:rFonts w:ascii="宋体" w:hAnsi="宋体" w:cs="宋体" w:eastAsia="宋体" w:hint="default"/>
          <w:sz w:val="15"/>
          <w:szCs w:val="15"/>
        </w:rPr>
      </w:pPr>
      <w:r>
        <w:rPr>
          <w:rFonts w:ascii="宋体" w:hAnsi="宋体" w:cs="宋体" w:eastAsia="宋体" w:hint="default"/>
          <w:w w:val="105"/>
          <w:sz w:val="15"/>
          <w:szCs w:val="15"/>
        </w:rPr>
        <w:t>单位：人民币元</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60" w:bottom="1460" w:left="1560" w:right="1440"/>
          <w:cols w:num="2" w:equalWidth="0">
            <w:col w:w="5447" w:space="40"/>
            <w:col w:w="3423"/>
          </w:cols>
        </w:sectPr>
      </w:pPr>
    </w:p>
    <w:p>
      <w:pPr>
        <w:spacing w:line="240" w:lineRule="auto" w:before="6"/>
        <w:rPr>
          <w:rFonts w:ascii="宋体" w:hAnsi="宋体" w:cs="宋体" w:eastAsia="宋体" w:hint="default"/>
          <w:sz w:val="21"/>
          <w:szCs w:val="21"/>
        </w:rPr>
      </w:pPr>
    </w:p>
    <w:tbl>
      <w:tblPr>
        <w:tblW w:w="0" w:type="auto"/>
        <w:jc w:val="left"/>
        <w:tblInd w:w="218" w:type="dxa"/>
        <w:tblLayout w:type="fixed"/>
        <w:tblCellMar>
          <w:top w:w="0" w:type="dxa"/>
          <w:left w:w="0" w:type="dxa"/>
          <w:bottom w:w="0" w:type="dxa"/>
          <w:right w:w="0" w:type="dxa"/>
        </w:tblCellMar>
        <w:tblLook w:val="01E0"/>
      </w:tblPr>
      <w:tblGrid>
        <w:gridCol w:w="4242"/>
        <w:gridCol w:w="105"/>
        <w:gridCol w:w="903"/>
        <w:gridCol w:w="1505"/>
        <w:gridCol w:w="158"/>
        <w:gridCol w:w="1550"/>
      </w:tblGrid>
      <w:tr>
        <w:trPr>
          <w:trHeight w:val="286" w:hRule="exact"/>
        </w:trPr>
        <w:tc>
          <w:tcPr>
            <w:tcW w:w="4242" w:type="dxa"/>
            <w:tcBorders>
              <w:top w:val="nil" w:sz="6" w:space="0" w:color="auto"/>
              <w:left w:val="nil" w:sz="6" w:space="0" w:color="auto"/>
              <w:bottom w:val="single" w:sz="5" w:space="0" w:color="000000"/>
              <w:right w:val="nil" w:sz="6" w:space="0" w:color="auto"/>
            </w:tcBorders>
          </w:tcPr>
          <w:p>
            <w:pPr>
              <w:pStyle w:val="TableParagraph"/>
              <w:spacing w:line="240" w:lineRule="auto" w:before="48"/>
              <w:ind w:right="30"/>
              <w:jc w:val="center"/>
              <w:rPr>
                <w:rFonts w:ascii="宋体" w:hAnsi="宋体" w:cs="宋体" w:eastAsia="宋体" w:hint="default"/>
                <w:sz w:val="15"/>
                <w:szCs w:val="15"/>
              </w:rPr>
            </w:pPr>
            <w:r>
              <w:rPr>
                <w:rFonts w:ascii="宋体" w:hAnsi="宋体" w:cs="宋体" w:eastAsia="宋体" w:hint="default"/>
                <w:w w:val="105"/>
                <w:sz w:val="15"/>
                <w:szCs w:val="15"/>
              </w:rPr>
              <w:t>项</w:t>
            </w:r>
            <w:r>
              <w:rPr>
                <w:rFonts w:ascii="宋体" w:hAnsi="宋体" w:cs="宋体" w:eastAsia="宋体" w:hint="default"/>
                <w:spacing w:val="-38"/>
                <w:w w:val="105"/>
                <w:sz w:val="15"/>
                <w:szCs w:val="15"/>
              </w:rPr>
              <w:t> </w:t>
            </w:r>
            <w:r>
              <w:rPr>
                <w:rFonts w:ascii="宋体" w:hAnsi="宋体" w:cs="宋体" w:eastAsia="宋体" w:hint="default"/>
                <w:w w:val="105"/>
                <w:sz w:val="15"/>
                <w:szCs w:val="15"/>
              </w:rPr>
              <w:t>目</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single" w:sz="5" w:space="0" w:color="000000"/>
              <w:right w:val="nil" w:sz="6" w:space="0" w:color="auto"/>
            </w:tcBorders>
          </w:tcPr>
          <w:p>
            <w:pPr>
              <w:pStyle w:val="TableParagraph"/>
              <w:spacing w:line="240" w:lineRule="auto" w:before="48"/>
              <w:ind w:left="9" w:right="0"/>
              <w:jc w:val="center"/>
              <w:rPr>
                <w:rFonts w:ascii="宋体" w:hAnsi="宋体" w:cs="宋体" w:eastAsia="宋体" w:hint="default"/>
                <w:sz w:val="15"/>
                <w:szCs w:val="15"/>
              </w:rPr>
            </w:pPr>
            <w:r>
              <w:rPr>
                <w:rFonts w:ascii="宋体" w:hAnsi="宋体" w:cs="宋体" w:eastAsia="宋体" w:hint="default"/>
                <w:w w:val="105"/>
                <w:sz w:val="15"/>
                <w:szCs w:val="15"/>
              </w:rPr>
              <w:t>附注</w:t>
            </w:r>
            <w:r>
              <w:rPr>
                <w:rFonts w:ascii="宋体" w:hAnsi="宋体" w:cs="宋体" w:eastAsia="宋体" w:hint="default"/>
                <w:sz w:val="15"/>
                <w:szCs w:val="15"/>
              </w:rPr>
            </w:r>
          </w:p>
        </w:tc>
        <w:tc>
          <w:tcPr>
            <w:tcW w:w="1505" w:type="dxa"/>
            <w:tcBorders>
              <w:top w:val="nil" w:sz="6" w:space="0" w:color="auto"/>
              <w:left w:val="nil" w:sz="6" w:space="0" w:color="auto"/>
              <w:bottom w:val="single" w:sz="5" w:space="0" w:color="000000"/>
              <w:right w:val="nil" w:sz="6" w:space="0" w:color="auto"/>
            </w:tcBorders>
          </w:tcPr>
          <w:p>
            <w:pPr>
              <w:pStyle w:val="TableParagraph"/>
              <w:spacing w:line="240" w:lineRule="auto" w:before="48"/>
              <w:ind w:left="569" w:right="0"/>
              <w:jc w:val="left"/>
              <w:rPr>
                <w:rFonts w:ascii="宋体" w:hAnsi="宋体" w:cs="宋体" w:eastAsia="宋体" w:hint="default"/>
                <w:sz w:val="15"/>
                <w:szCs w:val="15"/>
              </w:rPr>
            </w:pPr>
            <w:r>
              <w:rPr>
                <w:rFonts w:ascii="宋体" w:hAnsi="宋体" w:cs="宋体" w:eastAsia="宋体" w:hint="default"/>
                <w:w w:val="105"/>
                <w:sz w:val="15"/>
                <w:szCs w:val="15"/>
              </w:rPr>
              <w:t>本期数</w:t>
            </w:r>
            <w:r>
              <w:rPr>
                <w:rFonts w:ascii="宋体" w:hAnsi="宋体" w:cs="宋体" w:eastAsia="宋体" w:hint="default"/>
                <w:sz w:val="15"/>
                <w:szCs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5" w:space="0" w:color="000000"/>
              <w:right w:val="nil" w:sz="6" w:space="0" w:color="auto"/>
            </w:tcBorders>
          </w:tcPr>
          <w:p>
            <w:pPr>
              <w:pStyle w:val="TableParagraph"/>
              <w:spacing w:line="240" w:lineRule="auto" w:before="48"/>
              <w:ind w:left="9" w:right="0"/>
              <w:jc w:val="center"/>
              <w:rPr>
                <w:rFonts w:ascii="宋体" w:hAnsi="宋体" w:cs="宋体" w:eastAsia="宋体" w:hint="default"/>
                <w:sz w:val="15"/>
                <w:szCs w:val="15"/>
              </w:rPr>
            </w:pPr>
            <w:r>
              <w:rPr>
                <w:rFonts w:ascii="宋体" w:hAnsi="宋体" w:cs="宋体" w:eastAsia="宋体" w:hint="default"/>
                <w:w w:val="105"/>
                <w:sz w:val="15"/>
                <w:szCs w:val="15"/>
              </w:rPr>
              <w:t>上期数</w:t>
            </w:r>
            <w:r>
              <w:rPr>
                <w:rFonts w:ascii="宋体" w:hAnsi="宋体" w:cs="宋体" w:eastAsia="宋体" w:hint="default"/>
                <w:sz w:val="15"/>
                <w:szCs w:val="15"/>
              </w:rPr>
            </w:r>
          </w:p>
        </w:tc>
      </w:tr>
      <w:tr>
        <w:trPr>
          <w:trHeight w:val="486" w:hRule="exact"/>
        </w:trPr>
        <w:tc>
          <w:tcPr>
            <w:tcW w:w="4242" w:type="dxa"/>
            <w:tcBorders>
              <w:top w:val="single" w:sz="5" w:space="0" w:color="000000"/>
              <w:left w:val="nil" w:sz="6" w:space="0" w:color="auto"/>
              <w:bottom w:val="nil" w:sz="6" w:space="0" w:color="auto"/>
              <w:right w:val="nil" w:sz="6" w:space="0" w:color="auto"/>
            </w:tcBorders>
          </w:tcPr>
          <w:p>
            <w:pPr>
              <w:pStyle w:val="TableParagraph"/>
              <w:spacing w:line="207" w:lineRule="exact"/>
              <w:ind w:left="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5"/>
                <w:sz w:val="15"/>
                <w:szCs w:val="15"/>
              </w:rPr>
              <w:t>一、经营活动产生的现金流量：</w:t>
            </w:r>
            <w:r>
              <w:rPr>
                <w:rFonts w:ascii="Microsoft JhengHei" w:hAnsi="Microsoft JhengHei" w:cs="Microsoft JhengHei" w:eastAsia="Microsoft JhengHei" w:hint="default"/>
                <w:sz w:val="15"/>
                <w:szCs w:val="15"/>
              </w:rPr>
            </w:r>
          </w:p>
          <w:p>
            <w:pPr>
              <w:pStyle w:val="TableParagraph"/>
              <w:spacing w:line="240" w:lineRule="auto" w:before="24"/>
              <w:ind w:left="272" w:right="0"/>
              <w:jc w:val="left"/>
              <w:rPr>
                <w:rFonts w:ascii="宋体" w:hAnsi="宋体" w:cs="宋体" w:eastAsia="宋体" w:hint="default"/>
                <w:sz w:val="15"/>
                <w:szCs w:val="15"/>
              </w:rPr>
            </w:pPr>
            <w:r>
              <w:rPr>
                <w:rFonts w:ascii="宋体" w:hAnsi="宋体" w:cs="宋体" w:eastAsia="宋体" w:hint="default"/>
                <w:w w:val="105"/>
                <w:sz w:val="15"/>
                <w:szCs w:val="15"/>
              </w:rPr>
              <w:t>销售商品、提供劳务收到的现金</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single" w:sz="5" w:space="0" w:color="000000"/>
              <w:left w:val="nil" w:sz="6" w:space="0" w:color="auto"/>
              <w:bottom w:val="nil" w:sz="6" w:space="0" w:color="auto"/>
              <w:right w:val="nil" w:sz="6" w:space="0" w:color="auto"/>
            </w:tcBorders>
          </w:tcPr>
          <w:p>
            <w:pPr/>
          </w:p>
        </w:tc>
        <w:tc>
          <w:tcPr>
            <w:tcW w:w="1505" w:type="dxa"/>
            <w:tcBorders>
              <w:top w:val="single" w:sz="5"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72"/>
              <w:jc w:val="right"/>
              <w:rPr>
                <w:rFonts w:ascii="Arial" w:hAnsi="Arial" w:cs="Arial" w:eastAsia="Arial" w:hint="default"/>
                <w:sz w:val="15"/>
                <w:szCs w:val="15"/>
              </w:rPr>
            </w:pPr>
            <w:r>
              <w:rPr>
                <w:rFonts w:ascii="Arial"/>
                <w:spacing w:val="-1"/>
                <w:sz w:val="15"/>
              </w:rPr>
              <w:t>179,029,033.94</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single" w:sz="5"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72"/>
              <w:jc w:val="right"/>
              <w:rPr>
                <w:rFonts w:ascii="Arial" w:hAnsi="Arial" w:cs="Arial" w:eastAsia="Arial" w:hint="default"/>
                <w:sz w:val="15"/>
                <w:szCs w:val="15"/>
              </w:rPr>
            </w:pPr>
            <w:r>
              <w:rPr>
                <w:rFonts w:ascii="Arial"/>
                <w:spacing w:val="-1"/>
                <w:sz w:val="15"/>
              </w:rPr>
              <w:t>162,998,454.36</w:t>
            </w:r>
            <w:r>
              <w:rPr>
                <w:rFonts w:ascii="Arial"/>
                <w:sz w:val="15"/>
              </w:rPr>
            </w:r>
          </w:p>
        </w:tc>
      </w:tr>
      <w:tr>
        <w:trPr>
          <w:trHeight w:val="23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186" w:lineRule="exact"/>
              <w:ind w:left="204" w:right="0"/>
              <w:jc w:val="left"/>
              <w:rPr>
                <w:rFonts w:ascii="宋体" w:hAnsi="宋体" w:cs="宋体" w:eastAsia="宋体" w:hint="default"/>
                <w:sz w:val="15"/>
                <w:szCs w:val="15"/>
              </w:rPr>
            </w:pPr>
            <w:r>
              <w:rPr>
                <w:rFonts w:ascii="宋体" w:hAnsi="宋体" w:cs="宋体" w:eastAsia="宋体" w:hint="default"/>
                <w:w w:val="105"/>
                <w:sz w:val="15"/>
                <w:szCs w:val="15"/>
              </w:rPr>
              <w:t>收到的税费返还</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8,275,568.46</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8,729,571.44</w:t>
            </w:r>
            <w:r>
              <w:rPr>
                <w:rFonts w:ascii="Arial"/>
                <w:sz w:val="15"/>
              </w:rPr>
            </w:r>
          </w:p>
        </w:tc>
      </w:tr>
      <w:tr>
        <w:trPr>
          <w:trHeight w:val="22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186" w:lineRule="exact"/>
              <w:ind w:left="204" w:right="0"/>
              <w:jc w:val="left"/>
              <w:rPr>
                <w:rFonts w:ascii="宋体" w:hAnsi="宋体" w:cs="宋体" w:eastAsia="宋体" w:hint="default"/>
                <w:sz w:val="15"/>
                <w:szCs w:val="15"/>
              </w:rPr>
            </w:pPr>
            <w:r>
              <w:rPr>
                <w:rFonts w:ascii="宋体" w:hAnsi="宋体" w:cs="宋体" w:eastAsia="宋体" w:hint="default"/>
                <w:w w:val="105"/>
                <w:sz w:val="15"/>
                <w:szCs w:val="15"/>
              </w:rPr>
              <w:t>收到其他与经营活动有关的现金</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186" w:lineRule="exact"/>
              <w:ind w:left="9" w:right="0"/>
              <w:jc w:val="center"/>
              <w:rPr>
                <w:rFonts w:ascii="宋体" w:hAnsi="宋体" w:cs="宋体" w:eastAsia="宋体" w:hint="default"/>
                <w:sz w:val="15"/>
                <w:szCs w:val="15"/>
              </w:rPr>
            </w:pPr>
            <w:r>
              <w:rPr>
                <w:rFonts w:ascii="宋体" w:hAnsi="宋体" w:cs="宋体" w:eastAsia="宋体" w:hint="default"/>
                <w:sz w:val="15"/>
                <w:szCs w:val="15"/>
              </w:rPr>
              <w:t>五(三十三)</w:t>
            </w:r>
          </w:p>
        </w:tc>
        <w:tc>
          <w:tcPr>
            <w:tcW w:w="1505"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7,889,750.77</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6,773,331.08</w:t>
            </w:r>
            <w:r>
              <w:rPr>
                <w:rFonts w:ascii="Arial"/>
                <w:sz w:val="15"/>
              </w:rPr>
            </w:r>
          </w:p>
        </w:tc>
      </w:tr>
      <w:tr>
        <w:trPr>
          <w:trHeight w:val="23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w w:val="105"/>
                <w:sz w:val="15"/>
                <w:szCs w:val="15"/>
              </w:rPr>
              <w:t>经营活动现金流入小计</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72"/>
              <w:jc w:val="right"/>
              <w:rPr>
                <w:rFonts w:ascii="Arial" w:hAnsi="Arial" w:cs="Arial" w:eastAsia="Arial" w:hint="default"/>
                <w:sz w:val="15"/>
                <w:szCs w:val="15"/>
              </w:rPr>
            </w:pPr>
            <w:r>
              <w:rPr>
                <w:rFonts w:ascii="Arial"/>
                <w:spacing w:val="-1"/>
                <w:sz w:val="15"/>
              </w:rPr>
              <w:t>195,194,353.17</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72"/>
              <w:jc w:val="right"/>
              <w:rPr>
                <w:rFonts w:ascii="Arial" w:hAnsi="Arial" w:cs="Arial" w:eastAsia="Arial" w:hint="default"/>
                <w:sz w:val="15"/>
                <w:szCs w:val="15"/>
              </w:rPr>
            </w:pPr>
            <w:r>
              <w:rPr>
                <w:rFonts w:ascii="Arial"/>
                <w:spacing w:val="-1"/>
                <w:sz w:val="15"/>
              </w:rPr>
              <w:t>178,501,356.88</w:t>
            </w:r>
            <w:r>
              <w:rPr>
                <w:rFonts w:ascii="Arial"/>
                <w:sz w:val="15"/>
              </w:rPr>
            </w:r>
          </w:p>
        </w:tc>
      </w:tr>
      <w:tr>
        <w:trPr>
          <w:trHeight w:val="24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w w:val="105"/>
                <w:sz w:val="15"/>
                <w:szCs w:val="15"/>
              </w:rPr>
              <w:t>购买商品、接受劳务支付的现金</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single" w:sz="5" w:space="0" w:color="000000"/>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5"/>
                <w:szCs w:val="15"/>
              </w:rPr>
            </w:pPr>
            <w:r>
              <w:rPr>
                <w:rFonts w:ascii="Arial"/>
                <w:spacing w:val="-1"/>
                <w:sz w:val="15"/>
              </w:rPr>
              <w:t>118,195,225.52</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single" w:sz="5" w:space="0" w:color="000000"/>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5"/>
                <w:szCs w:val="15"/>
              </w:rPr>
            </w:pPr>
            <w:r>
              <w:rPr>
                <w:rFonts w:ascii="Arial"/>
                <w:spacing w:val="-1"/>
                <w:sz w:val="15"/>
              </w:rPr>
              <w:t>86,536,251.27</w:t>
            </w:r>
            <w:r>
              <w:rPr>
                <w:rFonts w:ascii="Arial"/>
                <w:sz w:val="15"/>
              </w:rPr>
            </w:r>
          </w:p>
        </w:tc>
      </w:tr>
      <w:tr>
        <w:trPr>
          <w:trHeight w:val="23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186" w:lineRule="exact"/>
              <w:ind w:left="204" w:right="0"/>
              <w:jc w:val="left"/>
              <w:rPr>
                <w:rFonts w:ascii="宋体" w:hAnsi="宋体" w:cs="宋体" w:eastAsia="宋体" w:hint="default"/>
                <w:sz w:val="15"/>
                <w:szCs w:val="15"/>
              </w:rPr>
            </w:pPr>
            <w:r>
              <w:rPr>
                <w:rFonts w:ascii="宋体" w:hAnsi="宋体" w:cs="宋体" w:eastAsia="宋体" w:hint="default"/>
                <w:w w:val="105"/>
                <w:sz w:val="15"/>
                <w:szCs w:val="15"/>
              </w:rPr>
              <w:t>支付给职工以及为职工支付的现金</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25,685,775.63</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16,681,819.93</w:t>
            </w:r>
            <w:r>
              <w:rPr>
                <w:rFonts w:ascii="Arial"/>
                <w:sz w:val="15"/>
              </w:rPr>
            </w:r>
          </w:p>
        </w:tc>
      </w:tr>
      <w:tr>
        <w:trPr>
          <w:trHeight w:val="23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186" w:lineRule="exact"/>
              <w:ind w:left="204" w:right="0"/>
              <w:jc w:val="left"/>
              <w:rPr>
                <w:rFonts w:ascii="宋体" w:hAnsi="宋体" w:cs="宋体" w:eastAsia="宋体" w:hint="default"/>
                <w:sz w:val="15"/>
                <w:szCs w:val="15"/>
              </w:rPr>
            </w:pPr>
            <w:r>
              <w:rPr>
                <w:rFonts w:ascii="宋体" w:hAnsi="宋体" w:cs="宋体" w:eastAsia="宋体" w:hint="default"/>
                <w:w w:val="105"/>
                <w:sz w:val="15"/>
                <w:szCs w:val="15"/>
              </w:rPr>
              <w:t>支付的各项税费</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22,542,648.09</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19,225,983.74</w:t>
            </w:r>
            <w:r>
              <w:rPr>
                <w:rFonts w:ascii="Arial"/>
                <w:sz w:val="15"/>
              </w:rPr>
            </w:r>
          </w:p>
        </w:tc>
      </w:tr>
      <w:tr>
        <w:trPr>
          <w:trHeight w:val="22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186" w:lineRule="exact"/>
              <w:ind w:left="204" w:right="0"/>
              <w:jc w:val="left"/>
              <w:rPr>
                <w:rFonts w:ascii="宋体" w:hAnsi="宋体" w:cs="宋体" w:eastAsia="宋体" w:hint="default"/>
                <w:sz w:val="15"/>
                <w:szCs w:val="15"/>
              </w:rPr>
            </w:pPr>
            <w:r>
              <w:rPr>
                <w:rFonts w:ascii="宋体" w:hAnsi="宋体" w:cs="宋体" w:eastAsia="宋体" w:hint="default"/>
                <w:w w:val="105"/>
                <w:sz w:val="15"/>
                <w:szCs w:val="15"/>
              </w:rPr>
              <w:t>支付其他与经营活动有关的现金</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186" w:lineRule="exact"/>
              <w:ind w:left="9" w:right="0"/>
              <w:jc w:val="center"/>
              <w:rPr>
                <w:rFonts w:ascii="宋体" w:hAnsi="宋体" w:cs="宋体" w:eastAsia="宋体" w:hint="default"/>
                <w:sz w:val="15"/>
                <w:szCs w:val="15"/>
              </w:rPr>
            </w:pPr>
            <w:r>
              <w:rPr>
                <w:rFonts w:ascii="宋体" w:hAnsi="宋体" w:cs="宋体" w:eastAsia="宋体" w:hint="default"/>
                <w:sz w:val="15"/>
                <w:szCs w:val="15"/>
              </w:rPr>
              <w:t>五(三十三)</w:t>
            </w:r>
          </w:p>
        </w:tc>
        <w:tc>
          <w:tcPr>
            <w:tcW w:w="1505"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31,775,327.97</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72"/>
              <w:jc w:val="right"/>
              <w:rPr>
                <w:rFonts w:ascii="Arial" w:hAnsi="Arial" w:cs="Arial" w:eastAsia="Arial" w:hint="default"/>
                <w:sz w:val="15"/>
                <w:szCs w:val="15"/>
              </w:rPr>
            </w:pPr>
            <w:r>
              <w:rPr>
                <w:rFonts w:ascii="Arial"/>
                <w:spacing w:val="-1"/>
                <w:sz w:val="15"/>
              </w:rPr>
              <w:t>26,097,357.50</w:t>
            </w:r>
            <w:r>
              <w:rPr>
                <w:rFonts w:ascii="Arial"/>
                <w:sz w:val="15"/>
              </w:rPr>
            </w:r>
          </w:p>
        </w:tc>
      </w:tr>
      <w:tr>
        <w:trPr>
          <w:trHeight w:val="23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w w:val="105"/>
                <w:sz w:val="15"/>
                <w:szCs w:val="15"/>
              </w:rPr>
              <w:t>经营活动现金流出小计</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72"/>
              <w:jc w:val="right"/>
              <w:rPr>
                <w:rFonts w:ascii="Arial" w:hAnsi="Arial" w:cs="Arial" w:eastAsia="Arial" w:hint="default"/>
                <w:sz w:val="15"/>
                <w:szCs w:val="15"/>
              </w:rPr>
            </w:pPr>
            <w:r>
              <w:rPr>
                <w:rFonts w:ascii="Arial"/>
                <w:spacing w:val="-1"/>
                <w:sz w:val="15"/>
              </w:rPr>
              <w:t>198,198,977.21</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72"/>
              <w:jc w:val="right"/>
              <w:rPr>
                <w:rFonts w:ascii="Arial" w:hAnsi="Arial" w:cs="Arial" w:eastAsia="Arial" w:hint="default"/>
                <w:sz w:val="15"/>
                <w:szCs w:val="15"/>
              </w:rPr>
            </w:pPr>
            <w:r>
              <w:rPr>
                <w:rFonts w:ascii="Arial"/>
                <w:spacing w:val="-1"/>
                <w:sz w:val="15"/>
              </w:rPr>
              <w:t>148,541,412.44</w:t>
            </w:r>
            <w:r>
              <w:rPr>
                <w:rFonts w:ascii="Arial"/>
                <w:sz w:val="15"/>
              </w:rPr>
            </w:r>
          </w:p>
        </w:tc>
      </w:tr>
      <w:tr>
        <w:trPr>
          <w:trHeight w:val="24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92" w:right="0"/>
              <w:jc w:val="left"/>
              <w:rPr>
                <w:rFonts w:ascii="宋体" w:hAnsi="宋体" w:cs="宋体" w:eastAsia="宋体" w:hint="default"/>
                <w:sz w:val="15"/>
                <w:szCs w:val="15"/>
              </w:rPr>
            </w:pPr>
            <w:r>
              <w:rPr>
                <w:rFonts w:ascii="宋体" w:hAnsi="宋体" w:cs="宋体" w:eastAsia="宋体" w:hint="default"/>
                <w:w w:val="105"/>
                <w:sz w:val="15"/>
                <w:szCs w:val="15"/>
              </w:rPr>
              <w:t>经营活动产生的现金流量净额</w:t>
            </w:r>
            <w:r>
              <w:rPr>
                <w:rFonts w:ascii="宋体" w:hAnsi="宋体" w:cs="宋体" w:eastAsia="宋体" w:hint="default"/>
                <w:sz w:val="15"/>
                <w:szCs w:val="15"/>
              </w:rPr>
            </w:r>
          </w:p>
        </w:tc>
        <w:tc>
          <w:tcPr>
            <w:tcW w:w="105"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505" w:type="dxa"/>
            <w:tcBorders>
              <w:top w:val="single" w:sz="5" w:space="0" w:color="000000"/>
              <w:left w:val="nil" w:sz="6" w:space="0" w:color="auto"/>
              <w:bottom w:val="single" w:sz="16" w:space="0" w:color="000000"/>
              <w:right w:val="nil" w:sz="6" w:space="0" w:color="auto"/>
            </w:tcBorders>
          </w:tcPr>
          <w:p>
            <w:pPr>
              <w:pStyle w:val="TableParagraph"/>
              <w:spacing w:line="240" w:lineRule="auto" w:before="33"/>
              <w:ind w:right="29"/>
              <w:jc w:val="right"/>
              <w:rPr>
                <w:rFonts w:ascii="Arial" w:hAnsi="Arial" w:cs="Arial" w:eastAsia="Arial" w:hint="default"/>
                <w:sz w:val="15"/>
                <w:szCs w:val="15"/>
              </w:rPr>
            </w:pPr>
            <w:r>
              <w:rPr>
                <w:rFonts w:ascii="Arial"/>
                <w:spacing w:val="-1"/>
                <w:sz w:val="15"/>
              </w:rPr>
              <w:t>(3,004,624.04)</w:t>
            </w:r>
            <w:r>
              <w:rPr>
                <w:rFonts w:ascii="Arial"/>
                <w:sz w:val="15"/>
              </w:rPr>
            </w:r>
          </w:p>
        </w:tc>
        <w:tc>
          <w:tcPr>
            <w:tcW w:w="158" w:type="dxa"/>
            <w:tcBorders>
              <w:top w:val="nil" w:sz="6" w:space="0" w:color="auto"/>
              <w:left w:val="nil" w:sz="6" w:space="0" w:color="auto"/>
              <w:bottom w:val="nil" w:sz="6" w:space="0" w:color="auto"/>
              <w:right w:val="nil" w:sz="6" w:space="0" w:color="auto"/>
            </w:tcBorders>
          </w:tcPr>
          <w:p>
            <w:pPr/>
          </w:p>
        </w:tc>
        <w:tc>
          <w:tcPr>
            <w:tcW w:w="1550" w:type="dxa"/>
            <w:tcBorders>
              <w:top w:val="single" w:sz="5" w:space="0" w:color="000000"/>
              <w:left w:val="nil" w:sz="6" w:space="0" w:color="auto"/>
              <w:bottom w:val="single" w:sz="16" w:space="0" w:color="000000"/>
              <w:right w:val="nil" w:sz="6" w:space="0" w:color="auto"/>
            </w:tcBorders>
          </w:tcPr>
          <w:p>
            <w:pPr>
              <w:pStyle w:val="TableParagraph"/>
              <w:spacing w:line="240" w:lineRule="auto" w:before="33"/>
              <w:ind w:right="72"/>
              <w:jc w:val="right"/>
              <w:rPr>
                <w:rFonts w:ascii="Arial" w:hAnsi="Arial" w:cs="Arial" w:eastAsia="Arial" w:hint="default"/>
                <w:sz w:val="15"/>
                <w:szCs w:val="15"/>
              </w:rPr>
            </w:pPr>
            <w:r>
              <w:rPr>
                <w:rFonts w:ascii="Arial"/>
                <w:spacing w:val="-1"/>
                <w:sz w:val="15"/>
              </w:rPr>
              <w:t>29,959,944.44</w:t>
            </w:r>
            <w:r>
              <w:rPr>
                <w:rFonts w:ascii="Arial"/>
                <w:sz w:val="15"/>
              </w:rPr>
            </w:r>
          </w:p>
        </w:tc>
      </w:tr>
    </w:tbl>
    <w:p>
      <w:pPr>
        <w:spacing w:line="240" w:lineRule="auto" w:before="2"/>
        <w:rPr>
          <w:rFonts w:ascii="宋体" w:hAnsi="宋体" w:cs="宋体" w:eastAsia="宋体" w:hint="default"/>
          <w:sz w:val="12"/>
          <w:szCs w:val="12"/>
        </w:rPr>
      </w:pPr>
    </w:p>
    <w:p>
      <w:pPr>
        <w:spacing w:before="1"/>
        <w:ind w:left="247" w:right="133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5"/>
          <w:sz w:val="15"/>
          <w:szCs w:val="15"/>
        </w:rPr>
        <w:t>二、投资活动产生的现金流量：</w:t>
      </w:r>
      <w:r>
        <w:rPr>
          <w:rFonts w:ascii="Microsoft JhengHei" w:hAnsi="Microsoft JhengHei" w:cs="Microsoft JhengHei" w:eastAsia="Microsoft JhengHei" w:hint="default"/>
          <w:sz w:val="15"/>
          <w:szCs w:val="15"/>
        </w:rPr>
      </w:r>
    </w:p>
    <w:p>
      <w:pPr>
        <w:tabs>
          <w:tab w:pos="6673" w:val="left" w:leader="none"/>
          <w:tab w:pos="8381" w:val="left" w:leader="none"/>
        </w:tabs>
        <w:spacing w:before="24"/>
        <w:ind w:left="423" w:right="176" w:firstLine="0"/>
        <w:jc w:val="left"/>
        <w:rPr>
          <w:rFonts w:ascii="Arial" w:hAnsi="Arial" w:cs="Arial" w:eastAsia="Arial" w:hint="default"/>
          <w:sz w:val="15"/>
          <w:szCs w:val="15"/>
        </w:rPr>
      </w:pPr>
      <w:r>
        <w:rPr>
          <w:rFonts w:ascii="宋体" w:hAnsi="宋体" w:cs="宋体" w:eastAsia="宋体" w:hint="default"/>
          <w:sz w:val="15"/>
          <w:szCs w:val="15"/>
        </w:rPr>
        <w:t>收回投资所收到的现金</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tabs>
          <w:tab w:pos="6373" w:val="left" w:leader="none"/>
          <w:tab w:pos="7527" w:val="left" w:leader="none"/>
        </w:tabs>
        <w:spacing w:before="31"/>
        <w:ind w:left="124" w:right="0" w:firstLine="0"/>
        <w:jc w:val="center"/>
        <w:rPr>
          <w:rFonts w:ascii="Arial" w:hAnsi="Arial" w:cs="Arial" w:eastAsia="Arial" w:hint="default"/>
          <w:sz w:val="15"/>
          <w:szCs w:val="15"/>
        </w:rPr>
      </w:pPr>
      <w:r>
        <w:rPr>
          <w:rFonts w:ascii="宋体" w:hAnsi="宋体" w:cs="宋体" w:eastAsia="宋体" w:hint="default"/>
          <w:sz w:val="15"/>
          <w:szCs w:val="15"/>
        </w:rPr>
        <w:t>取得投资收益收到的现金</w:t>
        <w:tab/>
      </w:r>
      <w:r>
        <w:rPr>
          <w:rFonts w:ascii="Arial" w:hAnsi="Arial" w:cs="Arial" w:eastAsia="Arial" w:hint="default"/>
          <w:sz w:val="15"/>
          <w:szCs w:val="15"/>
        </w:rPr>
        <w:t>-</w:t>
        <w:tab/>
      </w:r>
      <w:r>
        <w:rPr>
          <w:rFonts w:ascii="Arial" w:hAnsi="Arial" w:cs="Arial" w:eastAsia="Arial" w:hint="default"/>
          <w:w w:val="105"/>
          <w:sz w:val="15"/>
          <w:szCs w:val="15"/>
        </w:rPr>
        <w:t>113,848.96</w:t>
      </w:r>
      <w:r>
        <w:rPr>
          <w:rFonts w:ascii="Arial" w:hAnsi="Arial" w:cs="Arial" w:eastAsia="Arial" w:hint="default"/>
          <w:sz w:val="15"/>
          <w:szCs w:val="15"/>
        </w:rPr>
      </w:r>
    </w:p>
    <w:p>
      <w:pPr>
        <w:tabs>
          <w:tab w:pos="6373" w:val="left" w:leader="none"/>
          <w:tab w:pos="7396" w:val="left" w:leader="none"/>
        </w:tabs>
        <w:spacing w:before="31"/>
        <w:ind w:left="124" w:right="0" w:firstLine="0"/>
        <w:jc w:val="center"/>
        <w:rPr>
          <w:rFonts w:ascii="Arial" w:hAnsi="Arial" w:cs="Arial" w:eastAsia="Arial" w:hint="default"/>
          <w:sz w:val="15"/>
          <w:szCs w:val="15"/>
        </w:rPr>
      </w:pPr>
      <w:r>
        <w:rPr>
          <w:rFonts w:ascii="宋体" w:hAnsi="宋体" w:cs="宋体" w:eastAsia="宋体" w:hint="default"/>
          <w:sz w:val="15"/>
          <w:szCs w:val="15"/>
        </w:rPr>
        <w:t>处置固定资产、无形资产和其他长期资产收回的现金净额</w:t>
        <w:tab/>
      </w:r>
      <w:r>
        <w:rPr>
          <w:rFonts w:ascii="Arial" w:hAnsi="Arial" w:cs="Arial" w:eastAsia="Arial" w:hint="default"/>
          <w:sz w:val="15"/>
          <w:szCs w:val="15"/>
        </w:rPr>
        <w:t>-</w:t>
        <w:tab/>
      </w:r>
      <w:r>
        <w:rPr>
          <w:rFonts w:ascii="Arial" w:hAnsi="Arial" w:cs="Arial" w:eastAsia="Arial" w:hint="default"/>
          <w:w w:val="105"/>
          <w:sz w:val="15"/>
          <w:szCs w:val="15"/>
        </w:rPr>
        <w:t>1,899,786.60</w:t>
      </w:r>
      <w:r>
        <w:rPr>
          <w:rFonts w:ascii="Arial" w:hAnsi="Arial" w:cs="Arial" w:eastAsia="Arial" w:hint="default"/>
          <w:sz w:val="15"/>
          <w:szCs w:val="15"/>
        </w:rPr>
      </w:r>
    </w:p>
    <w:p>
      <w:pPr>
        <w:tabs>
          <w:tab w:pos="6200" w:val="left" w:leader="none"/>
          <w:tab w:pos="7908" w:val="left" w:leader="none"/>
        </w:tabs>
        <w:spacing w:before="31"/>
        <w:ind w:left="86" w:right="0" w:firstLine="0"/>
        <w:jc w:val="center"/>
        <w:rPr>
          <w:rFonts w:ascii="Arial" w:hAnsi="Arial" w:cs="Arial" w:eastAsia="Arial" w:hint="default"/>
          <w:sz w:val="15"/>
          <w:szCs w:val="15"/>
        </w:rPr>
      </w:pPr>
      <w:r>
        <w:rPr>
          <w:rFonts w:ascii="宋体" w:hAnsi="宋体" w:cs="宋体" w:eastAsia="宋体" w:hint="default"/>
          <w:sz w:val="15"/>
          <w:szCs w:val="15"/>
        </w:rPr>
        <w:t>处置子公司及其他营业单位收到的现金净额</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tabs>
          <w:tab w:pos="6673" w:val="left" w:leader="none"/>
          <w:tab w:pos="8381" w:val="left" w:leader="none"/>
        </w:tabs>
        <w:spacing w:before="31"/>
        <w:ind w:left="423" w:right="176" w:firstLine="0"/>
        <w:jc w:val="left"/>
        <w:rPr>
          <w:rFonts w:ascii="Arial" w:hAnsi="Arial" w:cs="Arial" w:eastAsia="Arial" w:hint="default"/>
          <w:sz w:val="15"/>
          <w:szCs w:val="15"/>
        </w:rPr>
      </w:pPr>
      <w:r>
        <w:rPr>
          <w:rFonts w:ascii="宋体" w:hAnsi="宋体" w:cs="宋体" w:eastAsia="宋体" w:hint="default"/>
          <w:sz w:val="15"/>
          <w:szCs w:val="15"/>
        </w:rPr>
        <w:t>收到其他与投资活动有关的现金</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spacing w:line="20" w:lineRule="exact"/>
        <w:ind w:left="5562" w:right="0" w:firstLine="0"/>
        <w:rPr>
          <w:rFonts w:ascii="Arial" w:hAnsi="Arial" w:cs="Arial" w:eastAsia="Arial" w:hint="default"/>
          <w:sz w:val="2"/>
          <w:szCs w:val="2"/>
        </w:rPr>
      </w:pPr>
      <w:r>
        <w:rPr>
          <w:rFonts w:ascii="Arial"/>
          <w:sz w:val="2"/>
        </w:rPr>
        <w:pict>
          <v:group style="width:70.6pt;height:.7pt;mso-position-horizontal-relative:char;mso-position-vertical-relative:line" coordorigin="0,0" coordsize="1412,14">
            <v:shape style="position:absolute;left:0;top:0;width:1411;height:14" type="#_x0000_t75" stroked="false">
              <v:imagedata r:id="rId41" o:title=""/>
            </v:shape>
          </v:group>
        </w:pict>
      </w:r>
      <w:r>
        <w:rPr>
          <w:rFonts w:ascii="Arial"/>
          <w:sz w:val="2"/>
        </w:rPr>
      </w:r>
      <w:r>
        <w:rPr>
          <w:rFonts w:ascii="Times New Roman"/>
          <w:spacing w:val="144"/>
          <w:sz w:val="2"/>
        </w:rPr>
        <w:t> </w:t>
      </w:r>
      <w:r>
        <w:rPr>
          <w:rFonts w:ascii="Arial"/>
          <w:spacing w:val="144"/>
          <w:sz w:val="2"/>
        </w:rPr>
        <w:pict>
          <v:group style="width:77.55pt;height:.7pt;mso-position-horizontal-relative:char;mso-position-vertical-relative:line" coordorigin="0,0" coordsize="1551,14">
            <v:shape style="position:absolute;left:0;top:0;width:1550;height:14" type="#_x0000_t75" stroked="false">
              <v:imagedata r:id="rId42" o:title=""/>
            </v:shape>
          </v:group>
        </w:pict>
      </w:r>
      <w:r>
        <w:rPr>
          <w:rFonts w:ascii="Arial"/>
          <w:spacing w:val="144"/>
          <w:sz w:val="2"/>
        </w:rPr>
      </w:r>
    </w:p>
    <w:p>
      <w:pPr>
        <w:tabs>
          <w:tab w:pos="6673" w:val="left" w:leader="none"/>
          <w:tab w:pos="7696" w:val="left" w:leader="none"/>
        </w:tabs>
        <w:spacing w:before="11"/>
        <w:ind w:left="511" w:right="176" w:firstLine="0"/>
        <w:jc w:val="left"/>
        <w:rPr>
          <w:rFonts w:ascii="Arial" w:hAnsi="Arial" w:cs="Arial" w:eastAsia="Arial" w:hint="default"/>
          <w:sz w:val="15"/>
          <w:szCs w:val="15"/>
        </w:rPr>
      </w:pPr>
      <w:r>
        <w:rPr>
          <w:rFonts w:ascii="宋体" w:hAnsi="宋体" w:cs="宋体" w:eastAsia="宋体" w:hint="default"/>
          <w:sz w:val="15"/>
          <w:szCs w:val="15"/>
        </w:rPr>
        <w:t>投资活动现金流入小计</w:t>
        <w:tab/>
      </w:r>
      <w:r>
        <w:rPr>
          <w:rFonts w:ascii="Arial" w:hAnsi="Arial" w:cs="Arial" w:eastAsia="Arial" w:hint="default"/>
          <w:sz w:val="15"/>
          <w:szCs w:val="15"/>
        </w:rPr>
        <w:t>-</w:t>
        <w:tab/>
      </w:r>
      <w:r>
        <w:rPr>
          <w:rFonts w:ascii="Arial" w:hAnsi="Arial" w:cs="Arial" w:eastAsia="Arial" w:hint="default"/>
          <w:w w:val="105"/>
          <w:sz w:val="15"/>
          <w:szCs w:val="15"/>
        </w:rPr>
        <w:t>2,013,635.56</w:t>
      </w:r>
      <w:r>
        <w:rPr>
          <w:rFonts w:ascii="Arial" w:hAnsi="Arial" w:cs="Arial" w:eastAsia="Arial" w:hint="default"/>
          <w:sz w:val="15"/>
          <w:szCs w:val="15"/>
        </w:rPr>
      </w:r>
    </w:p>
    <w:p>
      <w:pPr>
        <w:spacing w:line="20" w:lineRule="exact"/>
        <w:ind w:left="5555" w:right="0" w:firstLine="0"/>
        <w:rPr>
          <w:rFonts w:ascii="Arial" w:hAnsi="Arial" w:cs="Arial" w:eastAsia="Arial" w:hint="default"/>
          <w:sz w:val="2"/>
          <w:szCs w:val="2"/>
        </w:rPr>
      </w:pPr>
      <w:r>
        <w:rPr>
          <w:rFonts w:ascii="Arial"/>
          <w:sz w:val="2"/>
        </w:rPr>
        <w:pict>
          <v:group style="width:71.25pt;height:.7pt;mso-position-horizontal-relative:char;mso-position-vertical-relative:line" coordorigin="0,0" coordsize="1425,14">
            <v:group style="position:absolute;left:8;top:1;width:1410;height:2" coordorigin="8,1" coordsize="1410,2">
              <v:shape style="position:absolute;left:8;top:1;width:1410;height:2" coordorigin="8,1" coordsize="1410,0" path="m8,1l1417,1e" filled="false" stroked="true" strokeweight=".098452pt" strokecolor="#000000">
                <v:path arrowok="t"/>
              </v:shape>
            </v:group>
            <v:group style="position:absolute;left:7;top:7;width:1412;height:2" coordorigin="7,7" coordsize="1412,2">
              <v:shape style="position:absolute;left:7;top:7;width:1412;height:2" coordorigin="7,7" coordsize="1412,0" path="m7,7l1418,7e" filled="false" stroked="true" strokeweight=".675089pt" strokecolor="#000000">
                <v:path arrowok="t"/>
              </v:shape>
            </v:group>
          </v:group>
        </w:pict>
      </w:r>
      <w:r>
        <w:rPr>
          <w:rFonts w:ascii="Arial"/>
          <w:sz w:val="2"/>
        </w:rPr>
      </w:r>
      <w:r>
        <w:rPr>
          <w:rFonts w:ascii="Times New Roman"/>
          <w:spacing w:val="135"/>
          <w:sz w:val="2"/>
        </w:rPr>
        <w:t> </w:t>
      </w:r>
      <w:r>
        <w:rPr>
          <w:rFonts w:ascii="Arial"/>
          <w:spacing w:val="135"/>
          <w:sz w:val="2"/>
        </w:rPr>
        <w:pict>
          <v:group style="width:78.2pt;height:.7pt;mso-position-horizontal-relative:char;mso-position-vertical-relative:line" coordorigin="0,0" coordsize="1564,14">
            <v:group style="position:absolute;left:8;top:1;width:1549;height:2" coordorigin="8,1" coordsize="1549,2">
              <v:shape style="position:absolute;left:8;top:1;width:1549;height:2" coordorigin="8,1" coordsize="1549,0" path="m8,1l1556,1e" filled="false" stroked="true" strokeweight=".098452pt" strokecolor="#000000">
                <v:path arrowok="t"/>
              </v:shape>
            </v:group>
            <v:group style="position:absolute;left:7;top:7;width:1551;height:2" coordorigin="7,7" coordsize="1551,2">
              <v:shape style="position:absolute;left:7;top:7;width:1551;height:2" coordorigin="7,7" coordsize="1551,0" path="m7,7l1557,7e" filled="false" stroked="true" strokeweight=".675089pt" strokecolor="#000000">
                <v:path arrowok="t"/>
              </v:shape>
            </v:group>
          </v:group>
        </w:pict>
      </w:r>
      <w:r>
        <w:rPr>
          <w:rFonts w:ascii="Arial"/>
          <w:spacing w:val="135"/>
          <w:sz w:val="2"/>
        </w:rPr>
      </w:r>
    </w:p>
    <w:p>
      <w:pPr>
        <w:tabs>
          <w:tab w:pos="5688" w:val="left" w:leader="none"/>
          <w:tab w:pos="7310" w:val="left" w:leader="none"/>
        </w:tabs>
        <w:spacing w:before="11"/>
        <w:ind w:left="124" w:right="0" w:firstLine="0"/>
        <w:jc w:val="center"/>
        <w:rPr>
          <w:rFonts w:ascii="Arial" w:hAnsi="Arial" w:cs="Arial" w:eastAsia="Arial" w:hint="default"/>
          <w:sz w:val="15"/>
          <w:szCs w:val="15"/>
        </w:rPr>
      </w:pPr>
      <w:r>
        <w:rPr>
          <w:rFonts w:ascii="宋体" w:hAnsi="宋体" w:cs="宋体" w:eastAsia="宋体" w:hint="default"/>
          <w:sz w:val="15"/>
          <w:szCs w:val="15"/>
        </w:rPr>
        <w:t>购建固定资产、无形资产和其他长期资产支付的现金</w:t>
        <w:tab/>
      </w:r>
      <w:r>
        <w:rPr>
          <w:rFonts w:ascii="Arial" w:hAnsi="Arial" w:cs="Arial" w:eastAsia="Arial" w:hint="default"/>
          <w:spacing w:val="-1"/>
          <w:sz w:val="15"/>
          <w:szCs w:val="15"/>
        </w:rPr>
        <w:t>1,590,826.50</w:t>
        <w:tab/>
      </w:r>
      <w:r>
        <w:rPr>
          <w:rFonts w:ascii="Arial" w:hAnsi="Arial" w:cs="Arial" w:eastAsia="Arial" w:hint="default"/>
          <w:spacing w:val="-1"/>
          <w:w w:val="105"/>
          <w:sz w:val="15"/>
          <w:szCs w:val="15"/>
        </w:rPr>
        <w:t>16,129,934.50</w:t>
      </w:r>
      <w:r>
        <w:rPr>
          <w:rFonts w:ascii="Arial" w:hAnsi="Arial" w:cs="Arial" w:eastAsia="Arial" w:hint="default"/>
          <w:sz w:val="15"/>
          <w:szCs w:val="15"/>
        </w:rPr>
      </w:r>
    </w:p>
    <w:p>
      <w:pPr>
        <w:tabs>
          <w:tab w:pos="6373" w:val="left" w:leader="none"/>
          <w:tab w:pos="7527" w:val="left" w:leader="none"/>
        </w:tabs>
        <w:spacing w:before="31"/>
        <w:ind w:left="124" w:right="0" w:firstLine="0"/>
        <w:jc w:val="center"/>
        <w:rPr>
          <w:rFonts w:ascii="Arial" w:hAnsi="Arial" w:cs="Arial" w:eastAsia="Arial" w:hint="default"/>
          <w:sz w:val="15"/>
          <w:szCs w:val="15"/>
        </w:rPr>
      </w:pPr>
      <w:r>
        <w:rPr>
          <w:rFonts w:ascii="宋体" w:hAnsi="宋体" w:cs="宋体" w:eastAsia="宋体" w:hint="default"/>
          <w:sz w:val="15"/>
          <w:szCs w:val="15"/>
        </w:rPr>
        <w:t>投资支付的现金</w:t>
        <w:tab/>
      </w:r>
      <w:r>
        <w:rPr>
          <w:rFonts w:ascii="Arial" w:hAnsi="Arial" w:cs="Arial" w:eastAsia="Arial" w:hint="default"/>
          <w:sz w:val="15"/>
          <w:szCs w:val="15"/>
        </w:rPr>
        <w:t>-</w:t>
        <w:tab/>
      </w:r>
      <w:r>
        <w:rPr>
          <w:rFonts w:ascii="Arial" w:hAnsi="Arial" w:cs="Arial" w:eastAsia="Arial" w:hint="default"/>
          <w:w w:val="105"/>
          <w:sz w:val="15"/>
          <w:szCs w:val="15"/>
        </w:rPr>
        <w:t>695,800.00</w:t>
      </w:r>
      <w:r>
        <w:rPr>
          <w:rFonts w:ascii="Arial" w:hAnsi="Arial" w:cs="Arial" w:eastAsia="Arial" w:hint="default"/>
          <w:sz w:val="15"/>
          <w:szCs w:val="15"/>
        </w:rPr>
      </w:r>
    </w:p>
    <w:p>
      <w:pPr>
        <w:tabs>
          <w:tab w:pos="6200" w:val="left" w:leader="none"/>
          <w:tab w:pos="7908" w:val="left" w:leader="none"/>
        </w:tabs>
        <w:spacing w:before="31"/>
        <w:ind w:left="86" w:right="0" w:firstLine="0"/>
        <w:jc w:val="center"/>
        <w:rPr>
          <w:rFonts w:ascii="Arial" w:hAnsi="Arial" w:cs="Arial" w:eastAsia="Arial" w:hint="default"/>
          <w:sz w:val="15"/>
          <w:szCs w:val="15"/>
        </w:rPr>
      </w:pPr>
      <w:r>
        <w:rPr>
          <w:rFonts w:ascii="宋体" w:hAnsi="宋体" w:cs="宋体" w:eastAsia="宋体" w:hint="default"/>
          <w:sz w:val="15"/>
          <w:szCs w:val="15"/>
        </w:rPr>
        <w:t>质押贷款净增加额</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tabs>
          <w:tab w:pos="6200" w:val="left" w:leader="none"/>
          <w:tab w:pos="7908" w:val="left" w:leader="none"/>
        </w:tabs>
        <w:spacing w:before="31"/>
        <w:ind w:left="86" w:right="0" w:firstLine="0"/>
        <w:jc w:val="center"/>
        <w:rPr>
          <w:rFonts w:ascii="Arial" w:hAnsi="Arial" w:cs="Arial" w:eastAsia="Arial" w:hint="default"/>
          <w:sz w:val="15"/>
          <w:szCs w:val="15"/>
        </w:rPr>
      </w:pPr>
      <w:r>
        <w:rPr>
          <w:rFonts w:ascii="宋体" w:hAnsi="宋体" w:cs="宋体" w:eastAsia="宋体" w:hint="default"/>
          <w:sz w:val="15"/>
          <w:szCs w:val="15"/>
        </w:rPr>
        <w:t>取得子公司及其他营业单位支付的现金净额</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tabs>
          <w:tab w:pos="6673" w:val="left" w:leader="none"/>
          <w:tab w:pos="8381" w:val="left" w:leader="none"/>
        </w:tabs>
        <w:spacing w:before="31"/>
        <w:ind w:left="423" w:right="176" w:firstLine="0"/>
        <w:jc w:val="left"/>
        <w:rPr>
          <w:rFonts w:ascii="Arial" w:hAnsi="Arial" w:cs="Arial" w:eastAsia="Arial" w:hint="default"/>
          <w:sz w:val="15"/>
          <w:szCs w:val="15"/>
        </w:rPr>
      </w:pPr>
      <w:r>
        <w:rPr>
          <w:rFonts w:ascii="宋体" w:hAnsi="宋体" w:cs="宋体" w:eastAsia="宋体" w:hint="default"/>
          <w:sz w:val="15"/>
          <w:szCs w:val="15"/>
        </w:rPr>
        <w:t>支付其他与投资活动有关的现金</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spacing w:line="20" w:lineRule="exact"/>
        <w:ind w:left="5562" w:right="0" w:firstLine="0"/>
        <w:rPr>
          <w:rFonts w:ascii="Arial" w:hAnsi="Arial" w:cs="Arial" w:eastAsia="Arial" w:hint="default"/>
          <w:sz w:val="2"/>
          <w:szCs w:val="2"/>
        </w:rPr>
      </w:pPr>
      <w:r>
        <w:rPr>
          <w:rFonts w:ascii="Arial"/>
          <w:sz w:val="2"/>
        </w:rPr>
        <w:pict>
          <v:group style="width:70.6pt;height:.7pt;mso-position-horizontal-relative:char;mso-position-vertical-relative:line" coordorigin="0,0" coordsize="1412,14">
            <v:shape style="position:absolute;left:0;top:0;width:1411;height:14" type="#_x0000_t75" stroked="false">
              <v:imagedata r:id="rId41" o:title=""/>
            </v:shape>
          </v:group>
        </w:pict>
      </w:r>
      <w:r>
        <w:rPr>
          <w:rFonts w:ascii="Arial"/>
          <w:sz w:val="2"/>
        </w:rPr>
      </w:r>
      <w:r>
        <w:rPr>
          <w:rFonts w:ascii="Times New Roman"/>
          <w:spacing w:val="144"/>
          <w:sz w:val="2"/>
        </w:rPr>
        <w:t> </w:t>
      </w:r>
      <w:r>
        <w:rPr>
          <w:rFonts w:ascii="Arial"/>
          <w:spacing w:val="144"/>
          <w:sz w:val="2"/>
        </w:rPr>
        <w:pict>
          <v:group style="width:77.55pt;height:.7pt;mso-position-horizontal-relative:char;mso-position-vertical-relative:line" coordorigin="0,0" coordsize="1551,14">
            <v:shape style="position:absolute;left:0;top:0;width:1550;height:14" type="#_x0000_t75" stroked="false">
              <v:imagedata r:id="rId43" o:title=""/>
            </v:shape>
          </v:group>
        </w:pict>
      </w:r>
      <w:r>
        <w:rPr>
          <w:rFonts w:ascii="Arial"/>
          <w:spacing w:val="144"/>
          <w:sz w:val="2"/>
        </w:rPr>
      </w:r>
    </w:p>
    <w:p>
      <w:pPr>
        <w:tabs>
          <w:tab w:pos="5987" w:val="left" w:leader="none"/>
          <w:tab w:pos="7609" w:val="left" w:leader="none"/>
        </w:tabs>
        <w:spacing w:before="11"/>
        <w:ind w:left="511" w:right="176" w:firstLine="0"/>
        <w:jc w:val="left"/>
        <w:rPr>
          <w:rFonts w:ascii="Arial" w:hAnsi="Arial" w:cs="Arial" w:eastAsia="Arial" w:hint="default"/>
          <w:sz w:val="15"/>
          <w:szCs w:val="15"/>
        </w:rPr>
      </w:pPr>
      <w:r>
        <w:rPr>
          <w:rFonts w:ascii="宋体" w:hAnsi="宋体" w:cs="宋体" w:eastAsia="宋体" w:hint="default"/>
          <w:sz w:val="15"/>
          <w:szCs w:val="15"/>
        </w:rPr>
        <w:t>投资活动现金流出小计</w:t>
        <w:tab/>
      </w:r>
      <w:r>
        <w:rPr>
          <w:rFonts w:ascii="Arial" w:hAnsi="Arial" w:cs="Arial" w:eastAsia="Arial" w:hint="default"/>
          <w:spacing w:val="-1"/>
          <w:sz w:val="15"/>
          <w:szCs w:val="15"/>
        </w:rPr>
        <w:t>1,590,826.50</w:t>
        <w:tab/>
      </w:r>
      <w:r>
        <w:rPr>
          <w:rFonts w:ascii="Arial" w:hAnsi="Arial" w:cs="Arial" w:eastAsia="Arial" w:hint="default"/>
          <w:spacing w:val="-1"/>
          <w:w w:val="105"/>
          <w:sz w:val="15"/>
          <w:szCs w:val="15"/>
        </w:rPr>
        <w:t>16,825,734.50</w:t>
      </w:r>
      <w:r>
        <w:rPr>
          <w:rFonts w:ascii="Arial" w:hAnsi="Arial" w:cs="Arial" w:eastAsia="Arial" w:hint="default"/>
          <w:sz w:val="15"/>
          <w:szCs w:val="15"/>
        </w:rPr>
      </w:r>
    </w:p>
    <w:p>
      <w:pPr>
        <w:spacing w:line="20" w:lineRule="exact"/>
        <w:ind w:left="5555" w:right="0" w:firstLine="0"/>
        <w:rPr>
          <w:rFonts w:ascii="Arial" w:hAnsi="Arial" w:cs="Arial" w:eastAsia="Arial" w:hint="default"/>
          <w:sz w:val="2"/>
          <w:szCs w:val="2"/>
        </w:rPr>
      </w:pPr>
      <w:r>
        <w:rPr>
          <w:rFonts w:ascii="Arial"/>
          <w:sz w:val="2"/>
        </w:rPr>
        <w:pict>
          <v:group style="width:71.25pt;height:.7pt;mso-position-horizontal-relative:char;mso-position-vertical-relative:line" coordorigin="0,0" coordsize="1425,14">
            <v:group style="position:absolute;left:8;top:1;width:1410;height:2" coordorigin="8,1" coordsize="1410,2">
              <v:shape style="position:absolute;left:8;top:1;width:1410;height:2" coordorigin="8,1" coordsize="1410,0" path="m8,1l1417,1e" filled="false" stroked="true" strokeweight=".098452pt" strokecolor="#000000">
                <v:path arrowok="t"/>
              </v:shape>
            </v:group>
            <v:group style="position:absolute;left:7;top:7;width:1412;height:2" coordorigin="7,7" coordsize="1412,2">
              <v:shape style="position:absolute;left:7;top:7;width:1412;height:2" coordorigin="7,7" coordsize="1412,0" path="m7,7l1418,7e" filled="false" stroked="true" strokeweight=".675068pt" strokecolor="#000000">
                <v:path arrowok="t"/>
              </v:shape>
            </v:group>
          </v:group>
        </w:pict>
      </w:r>
      <w:r>
        <w:rPr>
          <w:rFonts w:ascii="Arial"/>
          <w:sz w:val="2"/>
        </w:rPr>
      </w:r>
      <w:r>
        <w:rPr>
          <w:rFonts w:ascii="Times New Roman"/>
          <w:spacing w:val="135"/>
          <w:sz w:val="2"/>
        </w:rPr>
        <w:t> </w:t>
      </w:r>
      <w:r>
        <w:rPr>
          <w:rFonts w:ascii="Arial"/>
          <w:spacing w:val="135"/>
          <w:sz w:val="2"/>
        </w:rPr>
        <w:pict>
          <v:group style="width:78.2pt;height:.7pt;mso-position-horizontal-relative:char;mso-position-vertical-relative:line" coordorigin="0,0" coordsize="1564,14">
            <v:group style="position:absolute;left:8;top:1;width:1549;height:2" coordorigin="8,1" coordsize="1549,2">
              <v:shape style="position:absolute;left:8;top:1;width:1549;height:2" coordorigin="8,1" coordsize="1549,0" path="m8,1l1556,1e" filled="false" stroked="true" strokeweight=".098452pt" strokecolor="#000000">
                <v:path arrowok="t"/>
              </v:shape>
            </v:group>
            <v:group style="position:absolute;left:7;top:7;width:1551;height:2" coordorigin="7,7" coordsize="1551,2">
              <v:shape style="position:absolute;left:7;top:7;width:1551;height:2" coordorigin="7,7" coordsize="1551,0" path="m7,7l1557,7e" filled="false" stroked="true" strokeweight=".675068pt" strokecolor="#000000">
                <v:path arrowok="t"/>
              </v:shape>
            </v:group>
          </v:group>
        </w:pict>
      </w:r>
      <w:r>
        <w:rPr>
          <w:rFonts w:ascii="Arial"/>
          <w:spacing w:val="135"/>
          <w:sz w:val="2"/>
        </w:rPr>
      </w:r>
    </w:p>
    <w:p>
      <w:pPr>
        <w:tabs>
          <w:tab w:pos="5926" w:val="left" w:leader="none"/>
          <w:tab w:pos="7548" w:val="left" w:leader="none"/>
        </w:tabs>
        <w:spacing w:line="513" w:lineRule="auto" w:before="16"/>
        <w:ind w:left="247" w:right="254" w:firstLine="264"/>
        <w:jc w:val="left"/>
        <w:rPr>
          <w:rFonts w:ascii="Microsoft JhengHei" w:hAnsi="Microsoft JhengHei" w:cs="Microsoft JhengHei" w:eastAsia="Microsoft JhengHei" w:hint="default"/>
          <w:sz w:val="15"/>
          <w:szCs w:val="15"/>
        </w:rPr>
      </w:pPr>
      <w:r>
        <w:rPr/>
        <w:pict>
          <v:group style="position:absolute;margin-left:355.778564pt;margin-top:11.922653pt;width:71.25pt;height:2.050pt;mso-position-horizontal-relative:page;mso-position-vertical-relative:paragraph;z-index:-679720" coordorigin="7116,238" coordsize="1425,41">
            <v:group style="position:absolute;left:7122;top:245;width:1412;height:2" coordorigin="7122,245" coordsize="1412,2">
              <v:shape style="position:absolute;left:7122;top:245;width:1412;height:2" coordorigin="7122,245" coordsize="1412,0" path="m7122,245l8534,245e" filled="false" stroked="true" strokeweight=".675068pt" strokecolor="#000000">
                <v:path arrowok="t"/>
              </v:shape>
            </v:group>
            <v:group style="position:absolute;left:7122;top:272;width:1412;height:2" coordorigin="7122,272" coordsize="1412,2">
              <v:shape style="position:absolute;left:7122;top:272;width:1412;height:2" coordorigin="7122,272" coordsize="1412,0" path="m7122,272l8534,272e" filled="false" stroked="true" strokeweight=".67511pt" strokecolor="#000000">
                <v:path arrowok="t"/>
              </v:shape>
            </v:group>
            <w10:wrap type="none"/>
          </v:group>
        </w:pict>
      </w:r>
      <w:r>
        <w:rPr/>
        <w:pict>
          <v:group style="position:absolute;margin-left:434.239044pt;margin-top:11.922653pt;width:78.2pt;height:2.050pt;mso-position-horizontal-relative:page;mso-position-vertical-relative:paragraph;z-index:-679648" coordorigin="8685,238" coordsize="1564,41">
            <v:group style="position:absolute;left:8692;top:245;width:1551;height:2" coordorigin="8692,245" coordsize="1551,2">
              <v:shape style="position:absolute;left:8692;top:245;width:1551;height:2" coordorigin="8692,245" coordsize="1551,0" path="m8692,245l10242,245e" filled="false" stroked="true" strokeweight=".675068pt" strokecolor="#000000">
                <v:path arrowok="t"/>
              </v:shape>
            </v:group>
            <v:group style="position:absolute;left:8692;top:272;width:1551;height:2" coordorigin="8692,272" coordsize="1551,2">
              <v:shape style="position:absolute;left:8692;top:272;width:1551;height:2" coordorigin="8692,272" coordsize="1551,0" path="m8692,272l10242,272e" filled="false" stroked="true" strokeweight=".67511pt" strokecolor="#000000">
                <v:path arrowok="t"/>
              </v:shape>
            </v:group>
            <w10:wrap type="none"/>
          </v:group>
        </w:pict>
      </w:r>
      <w:r>
        <w:rPr/>
        <w:pict>
          <v:shape style="position:absolute;margin-left:97.440903pt;margin-top:37.686665pt;width:414.7pt;height:71.650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2"/>
                    <w:gridCol w:w="1471"/>
                    <w:gridCol w:w="3120"/>
                  </w:tblGrid>
                  <w:tr>
                    <w:trPr>
                      <w:trHeight w:val="239"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188" w:lineRule="exact"/>
                          <w:ind w:left="35" w:right="0"/>
                          <w:jc w:val="left"/>
                          <w:rPr>
                            <w:rFonts w:ascii="宋体" w:hAnsi="宋体" w:cs="宋体" w:eastAsia="宋体" w:hint="default"/>
                            <w:sz w:val="15"/>
                            <w:szCs w:val="15"/>
                          </w:rPr>
                        </w:pPr>
                        <w:r>
                          <w:rPr>
                            <w:rFonts w:ascii="宋体" w:hAnsi="宋体" w:cs="宋体" w:eastAsia="宋体" w:hint="default"/>
                            <w:w w:val="105"/>
                            <w:sz w:val="15"/>
                            <w:szCs w:val="15"/>
                          </w:rPr>
                          <w:t>吸收投资收到的现金</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tabs>
                            <w:tab w:pos="2819" w:val="left" w:leader="none"/>
                          </w:tabs>
                          <w:spacing w:line="240" w:lineRule="auto" w:before="26"/>
                          <w:ind w:left="252" w:right="0"/>
                          <w:jc w:val="left"/>
                          <w:rPr>
                            <w:rFonts w:ascii="Arial" w:hAnsi="Arial" w:cs="Arial" w:eastAsia="Arial" w:hint="default"/>
                            <w:sz w:val="15"/>
                            <w:szCs w:val="15"/>
                          </w:rPr>
                        </w:pPr>
                        <w:r>
                          <w:rPr>
                            <w:rFonts w:ascii="Arial"/>
                            <w:spacing w:val="-1"/>
                            <w:sz w:val="15"/>
                          </w:rPr>
                          <w:t>653,280,000.00</w:t>
                          <w:tab/>
                        </w:r>
                        <w:r>
                          <w:rPr>
                            <w:rFonts w:ascii="Arial"/>
                            <w:w w:val="105"/>
                            <w:sz w:val="15"/>
                          </w:rPr>
                          <w:t>-</w:t>
                        </w:r>
                        <w:r>
                          <w:rPr>
                            <w:rFonts w:ascii="Arial"/>
                            <w:sz w:val="15"/>
                          </w:rPr>
                        </w:r>
                      </w:p>
                    </w:tc>
                  </w:tr>
                  <w:tr>
                    <w:trPr>
                      <w:trHeight w:val="23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186" w:lineRule="exact"/>
                          <w:ind w:left="171" w:right="0"/>
                          <w:jc w:val="left"/>
                          <w:rPr>
                            <w:rFonts w:ascii="宋体" w:hAnsi="宋体" w:cs="宋体" w:eastAsia="宋体" w:hint="default"/>
                            <w:sz w:val="15"/>
                            <w:szCs w:val="15"/>
                          </w:rPr>
                        </w:pPr>
                        <w:r>
                          <w:rPr>
                            <w:rFonts w:ascii="宋体" w:hAnsi="宋体" w:cs="宋体" w:eastAsia="宋体" w:hint="default"/>
                            <w:w w:val="105"/>
                            <w:sz w:val="15"/>
                            <w:szCs w:val="15"/>
                          </w:rPr>
                          <w:t>其中：子公司吸收少数股东投资收到的现金</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tabs>
                            <w:tab w:pos="2819" w:val="left" w:leader="none"/>
                          </w:tabs>
                          <w:spacing w:line="240" w:lineRule="auto" w:before="24"/>
                          <w:ind w:left="1110" w:right="0"/>
                          <w:jc w:val="left"/>
                          <w:rPr>
                            <w:rFonts w:ascii="Arial" w:hAnsi="Arial" w:cs="Arial" w:eastAsia="Arial" w:hint="default"/>
                            <w:sz w:val="15"/>
                            <w:szCs w:val="15"/>
                          </w:rPr>
                        </w:pPr>
                        <w:r>
                          <w:rPr>
                            <w:rFonts w:ascii="Arial"/>
                            <w:sz w:val="15"/>
                          </w:rPr>
                          <w:t>-</w:t>
                          <w:tab/>
                        </w:r>
                        <w:r>
                          <w:rPr>
                            <w:rFonts w:ascii="Arial"/>
                            <w:w w:val="105"/>
                            <w:sz w:val="15"/>
                          </w:rPr>
                          <w:t>-</w:t>
                        </w:r>
                        <w:r>
                          <w:rPr>
                            <w:rFonts w:ascii="Arial"/>
                            <w:sz w:val="15"/>
                          </w:rPr>
                        </w:r>
                      </w:p>
                    </w:tc>
                  </w:tr>
                  <w:tr>
                    <w:trPr>
                      <w:trHeight w:val="23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5"/>
                            <w:szCs w:val="15"/>
                          </w:rPr>
                        </w:pPr>
                        <w:r>
                          <w:rPr>
                            <w:rFonts w:ascii="宋体" w:hAnsi="宋体" w:cs="宋体" w:eastAsia="宋体" w:hint="default"/>
                            <w:w w:val="105"/>
                            <w:sz w:val="15"/>
                            <w:szCs w:val="15"/>
                          </w:rPr>
                          <w:t>取得借款收到的现金</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tabs>
                            <w:tab w:pos="2819" w:val="left" w:leader="none"/>
                          </w:tabs>
                          <w:spacing w:line="240" w:lineRule="auto" w:before="24"/>
                          <w:ind w:left="1110" w:right="0"/>
                          <w:jc w:val="left"/>
                          <w:rPr>
                            <w:rFonts w:ascii="Arial" w:hAnsi="Arial" w:cs="Arial" w:eastAsia="Arial" w:hint="default"/>
                            <w:sz w:val="15"/>
                            <w:szCs w:val="15"/>
                          </w:rPr>
                        </w:pPr>
                        <w:r>
                          <w:rPr>
                            <w:rFonts w:ascii="Arial"/>
                            <w:sz w:val="15"/>
                          </w:rPr>
                          <w:t>-</w:t>
                          <w:tab/>
                        </w:r>
                        <w:r>
                          <w:rPr>
                            <w:rFonts w:ascii="Arial"/>
                            <w:w w:val="105"/>
                            <w:sz w:val="15"/>
                          </w:rPr>
                          <w:t>-</w:t>
                        </w:r>
                        <w:r>
                          <w:rPr>
                            <w:rFonts w:ascii="Arial"/>
                            <w:sz w:val="15"/>
                          </w:rPr>
                        </w:r>
                      </w:p>
                    </w:tc>
                  </w:tr>
                  <w:tr>
                    <w:trPr>
                      <w:trHeight w:val="23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186" w:lineRule="exact"/>
                          <w:ind w:left="171" w:right="0"/>
                          <w:jc w:val="left"/>
                          <w:rPr>
                            <w:rFonts w:ascii="宋体" w:hAnsi="宋体" w:cs="宋体" w:eastAsia="宋体" w:hint="default"/>
                            <w:sz w:val="15"/>
                            <w:szCs w:val="15"/>
                          </w:rPr>
                        </w:pPr>
                        <w:r>
                          <w:rPr>
                            <w:rFonts w:ascii="宋体" w:hAnsi="宋体" w:cs="宋体" w:eastAsia="宋体" w:hint="default"/>
                            <w:w w:val="105"/>
                            <w:sz w:val="15"/>
                            <w:szCs w:val="15"/>
                          </w:rPr>
                          <w:t>发行债券收到的现金</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tabs>
                            <w:tab w:pos="2819" w:val="left" w:leader="none"/>
                          </w:tabs>
                          <w:spacing w:line="240" w:lineRule="auto" w:before="24"/>
                          <w:ind w:left="1110" w:right="0"/>
                          <w:jc w:val="left"/>
                          <w:rPr>
                            <w:rFonts w:ascii="Arial" w:hAnsi="Arial" w:cs="Arial" w:eastAsia="Arial" w:hint="default"/>
                            <w:sz w:val="15"/>
                            <w:szCs w:val="15"/>
                          </w:rPr>
                        </w:pPr>
                        <w:r>
                          <w:rPr>
                            <w:rFonts w:ascii="Arial"/>
                            <w:sz w:val="15"/>
                          </w:rPr>
                          <w:t>-</w:t>
                          <w:tab/>
                        </w:r>
                        <w:r>
                          <w:rPr>
                            <w:rFonts w:ascii="Arial"/>
                            <w:w w:val="105"/>
                            <w:sz w:val="15"/>
                          </w:rPr>
                          <w:t>-</w:t>
                        </w:r>
                        <w:r>
                          <w:rPr>
                            <w:rFonts w:ascii="Arial"/>
                            <w:sz w:val="15"/>
                          </w:rPr>
                        </w:r>
                      </w:p>
                    </w:tc>
                  </w:tr>
                  <w:tr>
                    <w:trPr>
                      <w:trHeight w:val="22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5"/>
                            <w:szCs w:val="15"/>
                          </w:rPr>
                        </w:pPr>
                        <w:r>
                          <w:rPr>
                            <w:rFonts w:ascii="宋体" w:hAnsi="宋体" w:cs="宋体" w:eastAsia="宋体" w:hint="default"/>
                            <w:w w:val="105"/>
                            <w:sz w:val="15"/>
                            <w:szCs w:val="15"/>
                          </w:rPr>
                          <w:t>收到其他与筹资活动有关的现金</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Style w:val="TableParagraph"/>
                          <w:spacing w:line="186" w:lineRule="exact"/>
                          <w:ind w:left="566" w:right="0"/>
                          <w:jc w:val="left"/>
                          <w:rPr>
                            <w:rFonts w:ascii="宋体" w:hAnsi="宋体" w:cs="宋体" w:eastAsia="宋体" w:hint="default"/>
                            <w:sz w:val="15"/>
                            <w:szCs w:val="15"/>
                          </w:rPr>
                        </w:pPr>
                        <w:r>
                          <w:rPr>
                            <w:rFonts w:ascii="宋体" w:hAnsi="宋体" w:cs="宋体" w:eastAsia="宋体" w:hint="default"/>
                            <w:sz w:val="15"/>
                            <w:szCs w:val="15"/>
                          </w:rPr>
                          <w:t>五(三十三)</w:t>
                        </w:r>
                      </w:p>
                    </w:tc>
                    <w:tc>
                      <w:tcPr>
                        <w:tcW w:w="3120" w:type="dxa"/>
                        <w:tcBorders>
                          <w:top w:val="nil" w:sz="6" w:space="0" w:color="auto"/>
                          <w:left w:val="nil" w:sz="6" w:space="0" w:color="auto"/>
                          <w:bottom w:val="single" w:sz="5" w:space="0" w:color="000000"/>
                          <w:right w:val="nil" w:sz="6" w:space="0" w:color="auto"/>
                        </w:tcBorders>
                      </w:tcPr>
                      <w:p>
                        <w:pPr>
                          <w:pStyle w:val="TableParagraph"/>
                          <w:tabs>
                            <w:tab w:pos="1708" w:val="left" w:leader="none"/>
                          </w:tabs>
                          <w:spacing w:line="240" w:lineRule="auto" w:before="24"/>
                          <w:ind w:right="72"/>
                          <w:jc w:val="right"/>
                          <w:rPr>
                            <w:rFonts w:ascii="Arial" w:hAnsi="Arial" w:cs="Arial" w:eastAsia="Arial" w:hint="default"/>
                            <w:sz w:val="15"/>
                            <w:szCs w:val="15"/>
                          </w:rPr>
                        </w:pPr>
                        <w:r>
                          <w:rPr>
                            <w:rFonts w:ascii="Arial"/>
                            <w:spacing w:val="-1"/>
                            <w:sz w:val="15"/>
                          </w:rPr>
                          <w:t>1,353,450.83</w:t>
                          <w:tab/>
                          <w:t>6,881,860.00</w:t>
                        </w:r>
                        <w:r>
                          <w:rPr>
                            <w:rFonts w:ascii="Arial"/>
                            <w:sz w:val="15"/>
                          </w:rPr>
                        </w:r>
                      </w:p>
                    </w:tc>
                  </w:tr>
                  <w:tr>
                    <w:trPr>
                      <w:trHeight w:val="23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ind w:left="123" w:right="0"/>
                          <w:jc w:val="left"/>
                          <w:rPr>
                            <w:rFonts w:ascii="宋体" w:hAnsi="宋体" w:cs="宋体" w:eastAsia="宋体" w:hint="default"/>
                            <w:sz w:val="15"/>
                            <w:szCs w:val="15"/>
                          </w:rPr>
                        </w:pPr>
                        <w:r>
                          <w:rPr>
                            <w:rFonts w:ascii="宋体" w:hAnsi="宋体" w:cs="宋体" w:eastAsia="宋体" w:hint="default"/>
                            <w:w w:val="105"/>
                            <w:sz w:val="15"/>
                            <w:szCs w:val="15"/>
                          </w:rPr>
                          <w:t>筹资活动现金流入小计</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single" w:sz="5" w:space="0" w:color="000000"/>
                          <w:left w:val="nil" w:sz="6" w:space="0" w:color="auto"/>
                          <w:bottom w:val="single" w:sz="5" w:space="0" w:color="000000"/>
                          <w:right w:val="nil" w:sz="6" w:space="0" w:color="auto"/>
                        </w:tcBorders>
                      </w:tcPr>
                      <w:p>
                        <w:pPr>
                          <w:pStyle w:val="TableParagraph"/>
                          <w:tabs>
                            <w:tab w:pos="1881" w:val="left" w:leader="none"/>
                          </w:tabs>
                          <w:spacing w:line="240" w:lineRule="auto" w:before="28"/>
                          <w:ind w:right="72"/>
                          <w:jc w:val="right"/>
                          <w:rPr>
                            <w:rFonts w:ascii="Arial" w:hAnsi="Arial" w:cs="Arial" w:eastAsia="Arial" w:hint="default"/>
                            <w:sz w:val="15"/>
                            <w:szCs w:val="15"/>
                          </w:rPr>
                        </w:pPr>
                        <w:r>
                          <w:rPr>
                            <w:rFonts w:ascii="Arial"/>
                            <w:spacing w:val="-1"/>
                            <w:sz w:val="15"/>
                          </w:rPr>
                          <w:t>654,633,450.83</w:t>
                          <w:tab/>
                          <w:t>6,881,860.00</w:t>
                        </w:r>
                        <w:r>
                          <w:rPr>
                            <w:rFonts w:ascii="Arial"/>
                            <w:sz w:val="15"/>
                          </w:rPr>
                        </w:r>
                      </w:p>
                    </w:tc>
                  </w:tr>
                </w:tbl>
                <w:p>
                  <w:pPr/>
                </w:p>
              </w:txbxContent>
            </v:textbox>
            <w10:wrap type="none"/>
          </v:shape>
        </w:pict>
      </w:r>
      <w:r>
        <w:rPr>
          <w:rFonts w:ascii="宋体" w:hAnsi="宋体" w:cs="宋体" w:eastAsia="宋体" w:hint="default"/>
          <w:sz w:val="15"/>
          <w:szCs w:val="15"/>
        </w:rPr>
        <w:t>投资活动产生的现金流量净额</w:t>
        <w:tab/>
      </w:r>
      <w:r>
        <w:rPr>
          <w:rFonts w:ascii="Arial" w:hAnsi="Arial" w:cs="Arial" w:eastAsia="Arial" w:hint="default"/>
          <w:spacing w:val="-1"/>
          <w:sz w:val="15"/>
          <w:szCs w:val="15"/>
        </w:rPr>
        <w:t>(1,590,826.50)</w:t>
        <w:tab/>
      </w:r>
      <w:r>
        <w:rPr>
          <w:rFonts w:ascii="Arial" w:hAnsi="Arial" w:cs="Arial" w:eastAsia="Arial" w:hint="default"/>
          <w:spacing w:val="-1"/>
          <w:w w:val="105"/>
          <w:sz w:val="15"/>
          <w:szCs w:val="15"/>
        </w:rPr>
        <w:t>(14,812,098.94)</w:t>
      </w:r>
      <w:r>
        <w:rPr>
          <w:rFonts w:ascii="Arial" w:hAnsi="Arial" w:cs="Arial" w:eastAsia="Arial" w:hint="default"/>
          <w:spacing w:val="-1"/>
          <w:w w:val="104"/>
          <w:sz w:val="15"/>
          <w:szCs w:val="15"/>
        </w:rPr>
        <w:t> </w:t>
      </w:r>
      <w:r>
        <w:rPr>
          <w:rFonts w:ascii="Microsoft JhengHei" w:hAnsi="Microsoft JhengHei" w:cs="Microsoft JhengHei" w:eastAsia="Microsoft JhengHei" w:hint="default"/>
          <w:b/>
          <w:bCs/>
          <w:w w:val="105"/>
          <w:sz w:val="15"/>
          <w:szCs w:val="15"/>
        </w:rPr>
        <w:t>三、筹资活动产生的现金流量：</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6"/>
          <w:szCs w:val="16"/>
        </w:rPr>
      </w:pPr>
    </w:p>
    <w:p>
      <w:pPr>
        <w:spacing w:line="20" w:lineRule="exact"/>
        <w:ind w:left="556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6pt;height:.7pt;mso-position-horizontal-relative:char;mso-position-vertical-relative:line" coordorigin="0,0" coordsize="1412,14">
            <v:shape style="position:absolute;left:0;top:0;width:1411;height:14" type="#_x0000_t75" stroked="false">
              <v:imagedata r:id="rId44" o:title=""/>
            </v:shape>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12"/>
          <w:szCs w:val="12"/>
        </w:rPr>
      </w:pPr>
    </w:p>
    <w:p>
      <w:pPr>
        <w:spacing w:line="20" w:lineRule="exact"/>
        <w:ind w:left="555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25pt;height:.7pt;mso-position-horizontal-relative:char;mso-position-vertical-relative:line" coordorigin="0,0" coordsize="1425,14">
            <v:group style="position:absolute;left:8;top:1;width:1410;height:2" coordorigin="8,1" coordsize="1410,2">
              <v:shape style="position:absolute;left:8;top:1;width:1410;height:2" coordorigin="8,1" coordsize="1410,0" path="m8,1l1417,1e" filled="false" stroked="true" strokeweight=".098452pt" strokecolor="#000000">
                <v:path arrowok="t"/>
              </v:shape>
            </v:group>
            <v:group style="position:absolute;left:7;top:7;width:1412;height:2" coordorigin="7,7" coordsize="1412,2">
              <v:shape style="position:absolute;left:7;top:7;width:1412;height:2" coordorigin="7,7" coordsize="1412,0" path="m7,7l1418,7e" filled="false" stroked="true" strokeweight=".67511pt" strokecolor="#000000">
                <v:path arrowok="t"/>
              </v:shape>
            </v:group>
          </v:group>
        </w:pict>
      </w:r>
      <w:r>
        <w:rPr>
          <w:rFonts w:ascii="Microsoft JhengHei" w:hAnsi="Microsoft JhengHei" w:cs="Microsoft JhengHei" w:eastAsia="Microsoft JhengHei" w:hint="default"/>
          <w:sz w:val="2"/>
          <w:szCs w:val="2"/>
        </w:rPr>
      </w:r>
    </w:p>
    <w:p>
      <w:pPr>
        <w:tabs>
          <w:tab w:pos="6673" w:val="left" w:leader="none"/>
          <w:tab w:pos="8381" w:val="left" w:leader="none"/>
        </w:tabs>
        <w:spacing w:line="194" w:lineRule="exact" w:before="0"/>
        <w:ind w:left="423" w:right="176" w:firstLine="0"/>
        <w:jc w:val="left"/>
        <w:rPr>
          <w:rFonts w:ascii="Arial" w:hAnsi="Arial" w:cs="Arial" w:eastAsia="Arial" w:hint="default"/>
          <w:sz w:val="15"/>
          <w:szCs w:val="15"/>
        </w:rPr>
      </w:pPr>
      <w:r>
        <w:rPr>
          <w:rFonts w:ascii="宋体" w:hAnsi="宋体" w:cs="宋体" w:eastAsia="宋体" w:hint="default"/>
          <w:sz w:val="15"/>
          <w:szCs w:val="15"/>
        </w:rPr>
        <w:t>偿还债务支付的现金</w:t>
        <w:tab/>
      </w:r>
      <w:r>
        <w:rPr>
          <w:rFonts w:ascii="Arial" w:hAnsi="Arial" w:cs="Arial" w:eastAsia="Arial" w:hint="default"/>
          <w:sz w:val="15"/>
          <w:szCs w:val="15"/>
        </w:rPr>
        <w:t>-</w:t>
        <w:tab/>
      </w:r>
      <w:r>
        <w:rPr>
          <w:rFonts w:ascii="Arial" w:hAnsi="Arial" w:cs="Arial" w:eastAsia="Arial" w:hint="default"/>
          <w:w w:val="105"/>
          <w:sz w:val="15"/>
          <w:szCs w:val="15"/>
        </w:rPr>
        <w:t>-</w:t>
      </w:r>
      <w:r>
        <w:rPr>
          <w:rFonts w:ascii="Arial" w:hAnsi="Arial" w:cs="Arial" w:eastAsia="Arial" w:hint="default"/>
          <w:sz w:val="15"/>
          <w:szCs w:val="15"/>
        </w:rPr>
      </w:r>
    </w:p>
    <w:p>
      <w:pPr>
        <w:tabs>
          <w:tab w:pos="6673" w:val="left" w:leader="none"/>
          <w:tab w:pos="7696" w:val="left" w:leader="none"/>
        </w:tabs>
        <w:spacing w:before="31"/>
        <w:ind w:left="423" w:right="176" w:firstLine="0"/>
        <w:jc w:val="left"/>
        <w:rPr>
          <w:rFonts w:ascii="Arial" w:hAnsi="Arial" w:cs="Arial" w:eastAsia="Arial" w:hint="default"/>
          <w:sz w:val="15"/>
          <w:szCs w:val="15"/>
        </w:rPr>
      </w:pPr>
      <w:r>
        <w:rPr/>
        <w:pict>
          <v:group style="position:absolute;margin-left:355.778564pt;margin-top:60.520027pt;width:71.25pt;height:2.050pt;mso-position-horizontal-relative:page;mso-position-vertical-relative:paragraph;z-index:-679696" coordorigin="7116,1210" coordsize="1425,41">
            <v:group style="position:absolute;left:7122;top:1217;width:1412;height:2" coordorigin="7122,1217" coordsize="1412,2">
              <v:shape style="position:absolute;left:7122;top:1217;width:1412;height:2" coordorigin="7122,1217" coordsize="1412,0" path="m7122,1217l8534,1217e" filled="false" stroked="true" strokeweight=".67511pt" strokecolor="#000000">
                <v:path arrowok="t"/>
              </v:shape>
            </v:group>
            <v:group style="position:absolute;left:7122;top:1244;width:1412;height:2" coordorigin="7122,1244" coordsize="1412,2">
              <v:shape style="position:absolute;left:7122;top:1244;width:1412;height:2" coordorigin="7122,1244" coordsize="1412,0" path="m7122,1244l8534,1244e" filled="false" stroked="true" strokeweight=".67511pt" strokecolor="#000000">
                <v:path arrowok="t"/>
              </v:shape>
            </v:group>
            <w10:wrap type="none"/>
          </v:group>
        </w:pict>
      </w:r>
      <w:r>
        <w:rPr>
          <w:rFonts w:ascii="宋体" w:hAnsi="宋体" w:cs="宋体" w:eastAsia="宋体" w:hint="default"/>
          <w:sz w:val="15"/>
          <w:szCs w:val="15"/>
        </w:rPr>
        <w:t>分配股利、利润或偿付利息支付的现金</w:t>
        <w:tab/>
      </w:r>
      <w:r>
        <w:rPr>
          <w:rFonts w:ascii="Arial" w:hAnsi="Arial" w:cs="Arial" w:eastAsia="Arial" w:hint="default"/>
          <w:sz w:val="15"/>
          <w:szCs w:val="15"/>
        </w:rPr>
        <w:t>-</w:t>
        <w:tab/>
      </w:r>
      <w:r>
        <w:rPr>
          <w:rFonts w:ascii="Arial" w:hAnsi="Arial" w:cs="Arial" w:eastAsia="Arial" w:hint="default"/>
          <w:w w:val="105"/>
          <w:sz w:val="15"/>
          <w:szCs w:val="15"/>
        </w:rPr>
        <w:t>9,500,000.00</w:t>
      </w:r>
      <w:r>
        <w:rPr>
          <w:rFonts w:ascii="Arial" w:hAnsi="Arial" w:cs="Arial" w:eastAsia="Arial" w:hint="default"/>
          <w:sz w:val="15"/>
          <w:szCs w:val="15"/>
        </w:rPr>
      </w:r>
    </w:p>
    <w:p>
      <w:pPr>
        <w:spacing w:line="240" w:lineRule="auto" w:before="5"/>
        <w:rPr>
          <w:rFonts w:ascii="Arial" w:hAnsi="Arial" w:cs="Arial" w:eastAsia="Arial" w:hint="default"/>
          <w:sz w:val="3"/>
          <w:szCs w:val="3"/>
        </w:rPr>
      </w:pPr>
    </w:p>
    <w:tbl>
      <w:tblPr>
        <w:tblW w:w="0" w:type="auto"/>
        <w:jc w:val="left"/>
        <w:tblInd w:w="212" w:type="dxa"/>
        <w:tblLayout w:type="fixed"/>
        <w:tblCellMar>
          <w:top w:w="0" w:type="dxa"/>
          <w:left w:w="0" w:type="dxa"/>
          <w:bottom w:w="0" w:type="dxa"/>
          <w:right w:w="0" w:type="dxa"/>
        </w:tblCellMar>
        <w:tblLook w:val="01E0"/>
      </w:tblPr>
      <w:tblGrid>
        <w:gridCol w:w="3878"/>
        <w:gridCol w:w="1471"/>
        <w:gridCol w:w="3120"/>
      </w:tblGrid>
      <w:tr>
        <w:trPr>
          <w:trHeight w:val="467"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90" w:lineRule="auto"/>
              <w:ind w:left="211" w:right="564" w:firstLine="136"/>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r>
              <w:rPr>
                <w:rFonts w:ascii="宋体" w:hAnsi="宋体" w:cs="宋体" w:eastAsia="宋体" w:hint="default"/>
                <w:w w:val="104"/>
                <w:sz w:val="15"/>
                <w:szCs w:val="15"/>
              </w:rPr>
              <w:t> </w:t>
            </w:r>
            <w:r>
              <w:rPr>
                <w:rFonts w:ascii="宋体" w:hAnsi="宋体" w:cs="宋体" w:eastAsia="宋体" w:hint="default"/>
                <w:w w:val="105"/>
                <w:sz w:val="15"/>
                <w:szCs w:val="15"/>
              </w:rPr>
              <w:t>支付其他与筹资活动有关的现金</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9"/>
                <w:szCs w:val="19"/>
              </w:rPr>
            </w:pPr>
          </w:p>
          <w:p>
            <w:pPr>
              <w:pStyle w:val="TableParagraph"/>
              <w:spacing w:line="240" w:lineRule="auto"/>
              <w:ind w:right="173"/>
              <w:jc w:val="right"/>
              <w:rPr>
                <w:rFonts w:ascii="宋体" w:hAnsi="宋体" w:cs="宋体" w:eastAsia="宋体" w:hint="default"/>
                <w:sz w:val="15"/>
                <w:szCs w:val="15"/>
              </w:rPr>
            </w:pPr>
            <w:r>
              <w:rPr>
                <w:rFonts w:ascii="宋体" w:hAnsi="宋体" w:cs="宋体" w:eastAsia="宋体" w:hint="default"/>
                <w:w w:val="95"/>
                <w:sz w:val="15"/>
                <w:szCs w:val="15"/>
              </w:rPr>
              <w:t>五(三十三)</w:t>
            </w:r>
            <w:r>
              <w:rPr>
                <w:rFonts w:ascii="宋体" w:hAnsi="宋体" w:cs="宋体" w:eastAsia="宋体" w:hint="default"/>
                <w:sz w:val="15"/>
                <w:szCs w:val="15"/>
              </w:rPr>
            </w:r>
          </w:p>
        </w:tc>
        <w:tc>
          <w:tcPr>
            <w:tcW w:w="3120" w:type="dxa"/>
            <w:tcBorders>
              <w:top w:val="nil" w:sz="6" w:space="0" w:color="auto"/>
              <w:left w:val="nil" w:sz="6" w:space="0" w:color="auto"/>
              <w:bottom w:val="single" w:sz="5" w:space="0" w:color="000000"/>
              <w:right w:val="nil" w:sz="6" w:space="0" w:color="auto"/>
            </w:tcBorders>
          </w:tcPr>
          <w:p>
            <w:pPr>
              <w:pStyle w:val="TableParagraph"/>
              <w:tabs>
                <w:tab w:pos="2819" w:val="left" w:leader="none"/>
              </w:tabs>
              <w:spacing w:line="240" w:lineRule="auto" w:before="26"/>
              <w:ind w:left="1110" w:right="0"/>
              <w:jc w:val="left"/>
              <w:rPr>
                <w:rFonts w:ascii="Arial" w:hAnsi="Arial" w:cs="Arial" w:eastAsia="Arial" w:hint="default"/>
                <w:sz w:val="15"/>
                <w:szCs w:val="15"/>
              </w:rPr>
            </w:pPr>
            <w:r>
              <w:rPr>
                <w:rFonts w:ascii="Arial"/>
                <w:sz w:val="15"/>
              </w:rPr>
              <w:t>-</w:t>
              <w:tab/>
            </w:r>
            <w:r>
              <w:rPr>
                <w:rFonts w:ascii="Arial"/>
                <w:w w:val="105"/>
                <w:sz w:val="15"/>
              </w:rPr>
              <w:t>-</w:t>
            </w:r>
            <w:r>
              <w:rPr>
                <w:rFonts w:ascii="Arial"/>
                <w:sz w:val="15"/>
              </w:rPr>
            </w:r>
          </w:p>
          <w:p>
            <w:pPr>
              <w:pStyle w:val="TableParagraph"/>
              <w:tabs>
                <w:tab w:pos="2133" w:val="left" w:leader="none"/>
              </w:tabs>
              <w:spacing w:line="240" w:lineRule="auto" w:before="65"/>
              <w:ind w:left="339" w:right="0"/>
              <w:jc w:val="left"/>
              <w:rPr>
                <w:rFonts w:ascii="Arial" w:hAnsi="Arial" w:cs="Arial" w:eastAsia="Arial" w:hint="default"/>
                <w:sz w:val="15"/>
                <w:szCs w:val="15"/>
              </w:rPr>
            </w:pPr>
            <w:r>
              <w:rPr>
                <w:rFonts w:ascii="Arial"/>
                <w:spacing w:val="-1"/>
                <w:sz w:val="15"/>
              </w:rPr>
              <w:t>11,823,339.87</w:t>
              <w:tab/>
            </w:r>
            <w:r>
              <w:rPr>
                <w:rFonts w:ascii="Arial"/>
                <w:spacing w:val="-1"/>
                <w:w w:val="105"/>
                <w:sz w:val="15"/>
              </w:rPr>
              <w:t>1,353,450.83</w:t>
            </w:r>
            <w:r>
              <w:rPr>
                <w:rFonts w:ascii="Arial"/>
                <w:sz w:val="15"/>
              </w:rPr>
            </w:r>
          </w:p>
        </w:tc>
      </w:tr>
      <w:tr>
        <w:trPr>
          <w:trHeight w:val="238"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ind w:left="299" w:right="0"/>
              <w:jc w:val="left"/>
              <w:rPr>
                <w:rFonts w:ascii="宋体" w:hAnsi="宋体" w:cs="宋体" w:eastAsia="宋体" w:hint="default"/>
                <w:sz w:val="15"/>
                <w:szCs w:val="15"/>
              </w:rPr>
            </w:pPr>
            <w:r>
              <w:rPr>
                <w:rFonts w:ascii="宋体" w:hAnsi="宋体" w:cs="宋体" w:eastAsia="宋体" w:hint="default"/>
                <w:w w:val="105"/>
                <w:sz w:val="15"/>
                <w:szCs w:val="15"/>
              </w:rPr>
              <w:t>筹资活动现金流出小计</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single" w:sz="5" w:space="0" w:color="000000"/>
              <w:left w:val="nil" w:sz="6" w:space="0" w:color="auto"/>
              <w:bottom w:val="single" w:sz="5" w:space="0" w:color="000000"/>
              <w:right w:val="nil" w:sz="6" w:space="0" w:color="auto"/>
            </w:tcBorders>
          </w:tcPr>
          <w:p>
            <w:pPr>
              <w:pStyle w:val="TableParagraph"/>
              <w:spacing w:line="20" w:lineRule="exact"/>
              <w:ind w:right="0"/>
              <w:jc w:val="left"/>
              <w:rPr>
                <w:rFonts w:ascii="Arial" w:hAnsi="Arial" w:cs="Arial" w:eastAsia="Arial" w:hint="default"/>
                <w:sz w:val="2"/>
                <w:szCs w:val="2"/>
              </w:rPr>
            </w:pPr>
            <w:r>
              <w:rPr>
                <w:rFonts w:ascii="Arial" w:hAnsi="Arial" w:cs="Arial" w:eastAsia="Arial" w:hint="default"/>
                <w:sz w:val="2"/>
                <w:szCs w:val="2"/>
              </w:rPr>
              <w:pict>
                <v:group style="width:70.6pt;height:.7pt;mso-position-horizontal-relative:char;mso-position-vertical-relative:line" coordorigin="0,0" coordsize="1412,14">
                  <v:shape style="position:absolute;left:0;top:0;width:1411;height:14" type="#_x0000_t75" stroked="false">
                    <v:imagedata r:id="rId44" o:title=""/>
                  </v:shape>
                </v:group>
              </w:pict>
            </w:r>
            <w:r>
              <w:rPr>
                <w:rFonts w:ascii="Arial" w:hAnsi="Arial" w:cs="Arial" w:eastAsia="Arial" w:hint="default"/>
                <w:sz w:val="2"/>
                <w:szCs w:val="2"/>
              </w:rPr>
            </w:r>
          </w:p>
          <w:p>
            <w:pPr>
              <w:pStyle w:val="TableParagraph"/>
              <w:tabs>
                <w:tab w:pos="1708" w:val="left" w:leader="none"/>
              </w:tabs>
              <w:spacing w:line="240" w:lineRule="auto" w:before="21"/>
              <w:ind w:right="72"/>
              <w:jc w:val="right"/>
              <w:rPr>
                <w:rFonts w:ascii="Arial" w:hAnsi="Arial" w:cs="Arial" w:eastAsia="Arial" w:hint="default"/>
                <w:sz w:val="15"/>
                <w:szCs w:val="15"/>
              </w:rPr>
            </w:pPr>
            <w:r>
              <w:rPr>
                <w:rFonts w:ascii="Arial"/>
                <w:spacing w:val="-1"/>
                <w:sz w:val="15"/>
              </w:rPr>
              <w:t>11,823,339.87</w:t>
              <w:tab/>
              <w:t>10,853,450.83</w:t>
            </w:r>
            <w:r>
              <w:rPr>
                <w:rFonts w:ascii="Arial"/>
                <w:sz w:val="15"/>
              </w:rPr>
            </w:r>
          </w:p>
        </w:tc>
      </w:tr>
      <w:tr>
        <w:trPr>
          <w:trHeight w:val="248"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99" w:right="0"/>
              <w:jc w:val="left"/>
              <w:rPr>
                <w:rFonts w:ascii="宋体" w:hAnsi="宋体" w:cs="宋体" w:eastAsia="宋体" w:hint="default"/>
                <w:sz w:val="15"/>
                <w:szCs w:val="15"/>
              </w:rPr>
            </w:pPr>
            <w:r>
              <w:rPr>
                <w:rFonts w:ascii="宋体" w:hAnsi="宋体" w:cs="宋体" w:eastAsia="宋体" w:hint="default"/>
                <w:w w:val="105"/>
                <w:sz w:val="15"/>
                <w:szCs w:val="15"/>
              </w:rPr>
              <w:t>筹资活动产生的现金流量净额</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single" w:sz="5" w:space="0" w:color="000000"/>
              <w:left w:val="nil" w:sz="6" w:space="0" w:color="auto"/>
              <w:bottom w:val="single" w:sz="16" w:space="0" w:color="000000"/>
              <w:right w:val="nil" w:sz="6" w:space="0" w:color="auto"/>
            </w:tcBorders>
          </w:tcPr>
          <w:p>
            <w:pPr>
              <w:pStyle w:val="TableParagraph"/>
              <w:spacing w:line="20" w:lineRule="exact"/>
              <w:ind w:left="-7" w:right="0"/>
              <w:jc w:val="left"/>
              <w:rPr>
                <w:rFonts w:ascii="Arial" w:hAnsi="Arial" w:cs="Arial" w:eastAsia="Arial" w:hint="default"/>
                <w:sz w:val="2"/>
                <w:szCs w:val="2"/>
              </w:rPr>
            </w:pPr>
            <w:r>
              <w:rPr>
                <w:rFonts w:ascii="Arial" w:hAnsi="Arial" w:cs="Arial" w:eastAsia="Arial" w:hint="default"/>
                <w:sz w:val="2"/>
                <w:szCs w:val="2"/>
              </w:rPr>
              <w:pict>
                <v:group style="width:71.25pt;height:.7pt;mso-position-horizontal-relative:char;mso-position-vertical-relative:line" coordorigin="0,0" coordsize="1425,14">
                  <v:group style="position:absolute;left:8;top:1;width:1410;height:2" coordorigin="8,1" coordsize="1410,2">
                    <v:shape style="position:absolute;left:8;top:1;width:1410;height:2" coordorigin="8,1" coordsize="1410,0" path="m8,1l1417,1e" filled="false" stroked="true" strokeweight=".098452pt" strokecolor="#000000">
                      <v:path arrowok="t"/>
                    </v:shape>
                  </v:group>
                  <v:group style="position:absolute;left:7;top:7;width:1412;height:2" coordorigin="7,7" coordsize="1412,2">
                    <v:shape style="position:absolute;left:7;top:7;width:1412;height:2" coordorigin="7,7" coordsize="1412,0" path="m7,7l1418,7e" filled="false" stroked="true" strokeweight=".675068pt" strokecolor="#000000">
                      <v:path arrowok="t"/>
                    </v:shape>
                  </v:group>
                </v:group>
              </w:pict>
            </w:r>
            <w:r>
              <w:rPr>
                <w:rFonts w:ascii="Arial" w:hAnsi="Arial" w:cs="Arial" w:eastAsia="Arial" w:hint="default"/>
                <w:sz w:val="2"/>
                <w:szCs w:val="2"/>
              </w:rPr>
            </w:r>
          </w:p>
          <w:p>
            <w:pPr>
              <w:pStyle w:val="TableParagraph"/>
              <w:tabs>
                <w:tab w:pos="1820" w:val="left" w:leader="none"/>
              </w:tabs>
              <w:spacing w:line="240" w:lineRule="auto" w:before="26"/>
              <w:ind w:right="29"/>
              <w:jc w:val="right"/>
              <w:rPr>
                <w:rFonts w:ascii="Arial" w:hAnsi="Arial" w:cs="Arial" w:eastAsia="Arial" w:hint="default"/>
                <w:sz w:val="15"/>
                <w:szCs w:val="15"/>
              </w:rPr>
            </w:pPr>
            <w:r>
              <w:rPr>
                <w:rFonts w:ascii="Arial"/>
                <w:spacing w:val="-1"/>
                <w:sz w:val="15"/>
              </w:rPr>
              <w:t>642,810,110.96</w:t>
              <w:tab/>
              <w:t>(3,971,590.83)</w:t>
            </w:r>
            <w:r>
              <w:rPr>
                <w:rFonts w:ascii="Arial"/>
                <w:sz w:val="15"/>
              </w:rPr>
            </w:r>
          </w:p>
        </w:tc>
      </w:tr>
      <w:tr>
        <w:trPr>
          <w:trHeight w:val="248"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5"/>
                <w:sz w:val="15"/>
                <w:szCs w:val="15"/>
              </w:rPr>
              <w:t>四、汇率变动对现金的影响</w:t>
            </w:r>
            <w:r>
              <w:rPr>
                <w:rFonts w:ascii="Microsoft JhengHei" w:hAnsi="Microsoft JhengHei" w:cs="Microsoft JhengHei" w:eastAsia="Microsoft JhengHei"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single" w:sz="16" w:space="0" w:color="000000"/>
              <w:left w:val="nil" w:sz="6" w:space="0" w:color="auto"/>
              <w:bottom w:val="single" w:sz="5" w:space="0" w:color="000000"/>
              <w:right w:val="nil" w:sz="6" w:space="0" w:color="auto"/>
            </w:tcBorders>
          </w:tcPr>
          <w:p>
            <w:pPr>
              <w:pStyle w:val="TableParagraph"/>
              <w:tabs>
                <w:tab w:pos="2819" w:val="left" w:leader="none"/>
              </w:tabs>
              <w:spacing w:line="240" w:lineRule="auto" w:before="20"/>
              <w:ind w:left="1110" w:right="0"/>
              <w:jc w:val="left"/>
              <w:rPr>
                <w:rFonts w:ascii="Arial" w:hAnsi="Arial" w:cs="Arial" w:eastAsia="Arial" w:hint="default"/>
                <w:sz w:val="15"/>
                <w:szCs w:val="15"/>
              </w:rPr>
            </w:pPr>
            <w:r>
              <w:rPr>
                <w:rFonts w:ascii="Arial"/>
                <w:sz w:val="15"/>
              </w:rPr>
              <w:t>-</w:t>
              <w:tab/>
            </w:r>
            <w:r>
              <w:rPr>
                <w:rFonts w:ascii="Arial"/>
                <w:w w:val="105"/>
                <w:sz w:val="15"/>
              </w:rPr>
              <w:t>-</w:t>
            </w:r>
            <w:r>
              <w:rPr>
                <w:rFonts w:ascii="Arial"/>
                <w:sz w:val="15"/>
              </w:rPr>
            </w:r>
          </w:p>
        </w:tc>
      </w:tr>
      <w:tr>
        <w:trPr>
          <w:trHeight w:val="238"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5"/>
                <w:sz w:val="15"/>
                <w:szCs w:val="15"/>
              </w:rPr>
              <w:t>五、现金及现金等价物净增加额</w:t>
            </w:r>
            <w:r>
              <w:rPr>
                <w:rFonts w:ascii="Microsoft JhengHei" w:hAnsi="Microsoft JhengHei" w:cs="Microsoft JhengHei" w:eastAsia="Microsoft JhengHei"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single" w:sz="5" w:space="0" w:color="000000"/>
              <w:left w:val="nil" w:sz="6" w:space="0" w:color="auto"/>
              <w:bottom w:val="single" w:sz="5" w:space="0" w:color="000000"/>
              <w:right w:val="nil" w:sz="6" w:space="0" w:color="auto"/>
            </w:tcBorders>
          </w:tcPr>
          <w:p>
            <w:pPr>
              <w:pStyle w:val="TableParagraph"/>
              <w:spacing w:line="20" w:lineRule="exact"/>
              <w:ind w:right="0"/>
              <w:jc w:val="left"/>
              <w:rPr>
                <w:rFonts w:ascii="Arial" w:hAnsi="Arial" w:cs="Arial" w:eastAsia="Arial" w:hint="default"/>
                <w:sz w:val="2"/>
                <w:szCs w:val="2"/>
              </w:rPr>
            </w:pPr>
            <w:r>
              <w:rPr>
                <w:rFonts w:ascii="Arial" w:hAnsi="Arial" w:cs="Arial" w:eastAsia="Arial" w:hint="default"/>
                <w:sz w:val="2"/>
                <w:szCs w:val="2"/>
              </w:rPr>
              <w:pict>
                <v:group style="width:70.6pt;height:.7pt;mso-position-horizontal-relative:char;mso-position-vertical-relative:line" coordorigin="0,0" coordsize="1412,14">
                  <v:shape style="position:absolute;left:0;top:0;width:1411;height:14" type="#_x0000_t75" stroked="false">
                    <v:imagedata r:id="rId41" o:title=""/>
                  </v:shape>
                </v:group>
              </w:pict>
            </w:r>
            <w:r>
              <w:rPr>
                <w:rFonts w:ascii="Arial" w:hAnsi="Arial" w:cs="Arial" w:eastAsia="Arial" w:hint="default"/>
                <w:sz w:val="2"/>
                <w:szCs w:val="2"/>
              </w:rPr>
            </w:r>
          </w:p>
          <w:p>
            <w:pPr>
              <w:pStyle w:val="TableParagraph"/>
              <w:tabs>
                <w:tab w:pos="1803" w:val="left" w:leader="none"/>
              </w:tabs>
              <w:spacing w:line="240" w:lineRule="auto" w:before="21"/>
              <w:ind w:right="72"/>
              <w:jc w:val="right"/>
              <w:rPr>
                <w:rFonts w:ascii="Arial" w:hAnsi="Arial" w:cs="Arial" w:eastAsia="Arial" w:hint="default"/>
                <w:sz w:val="15"/>
                <w:szCs w:val="15"/>
              </w:rPr>
            </w:pPr>
            <w:r>
              <w:rPr>
                <w:rFonts w:ascii="Arial"/>
                <w:spacing w:val="-1"/>
                <w:sz w:val="15"/>
              </w:rPr>
              <w:t>638,214,660.42</w:t>
              <w:tab/>
              <w:t>11,176,254.67</w:t>
            </w:r>
            <w:r>
              <w:rPr>
                <w:rFonts w:ascii="Arial"/>
                <w:sz w:val="15"/>
              </w:rPr>
            </w:r>
          </w:p>
        </w:tc>
      </w:tr>
      <w:tr>
        <w:trPr>
          <w:trHeight w:val="238"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w w:val="105"/>
                <w:sz w:val="15"/>
                <w:szCs w:val="15"/>
              </w:rPr>
              <w:t>加：年初现金及现金等价物余额</w:t>
            </w:r>
            <w:r>
              <w:rPr>
                <w:rFonts w:ascii="宋体" w:hAnsi="宋体" w:cs="宋体" w:eastAsia="宋体" w:hint="default"/>
                <w:sz w:val="15"/>
                <w:szCs w:val="15"/>
              </w:rPr>
            </w:r>
          </w:p>
        </w:tc>
        <w:tc>
          <w:tcPr>
            <w:tcW w:w="1471" w:type="dxa"/>
            <w:tcBorders>
              <w:top w:val="nil" w:sz="6" w:space="0" w:color="auto"/>
              <w:left w:val="nil" w:sz="6" w:space="0" w:color="auto"/>
              <w:bottom w:val="nil" w:sz="6" w:space="0" w:color="auto"/>
              <w:right w:val="nil" w:sz="6" w:space="0" w:color="auto"/>
            </w:tcBorders>
          </w:tcPr>
          <w:p>
            <w:pPr/>
          </w:p>
        </w:tc>
        <w:tc>
          <w:tcPr>
            <w:tcW w:w="3120" w:type="dxa"/>
            <w:tcBorders>
              <w:top w:val="single" w:sz="5" w:space="0" w:color="000000"/>
              <w:left w:val="nil" w:sz="6" w:space="0" w:color="auto"/>
              <w:bottom w:val="single" w:sz="5" w:space="0" w:color="000000"/>
              <w:right w:val="nil" w:sz="6" w:space="0" w:color="auto"/>
            </w:tcBorders>
          </w:tcPr>
          <w:p>
            <w:pPr>
              <w:pStyle w:val="TableParagraph"/>
              <w:spacing w:line="20" w:lineRule="exact"/>
              <w:ind w:left="-7" w:right="0"/>
              <w:jc w:val="left"/>
              <w:rPr>
                <w:rFonts w:ascii="Arial" w:hAnsi="Arial" w:cs="Arial" w:eastAsia="Arial" w:hint="default"/>
                <w:sz w:val="2"/>
                <w:szCs w:val="2"/>
              </w:rPr>
            </w:pPr>
            <w:r>
              <w:rPr>
                <w:rFonts w:ascii="Arial" w:hAnsi="Arial" w:cs="Arial" w:eastAsia="Arial" w:hint="default"/>
                <w:sz w:val="2"/>
                <w:szCs w:val="2"/>
              </w:rPr>
              <w:pict>
                <v:group style="width:71.25pt;height:.7pt;mso-position-horizontal-relative:char;mso-position-vertical-relative:line" coordorigin="0,0" coordsize="1425,14">
                  <v:group style="position:absolute;left:8;top:1;width:1410;height:2" coordorigin="8,1" coordsize="1410,2">
                    <v:shape style="position:absolute;left:8;top:1;width:1410;height:2" coordorigin="8,1" coordsize="1410,0" path="m8,1l1417,1e" filled="false" stroked="true" strokeweight=".098452pt" strokecolor="#000000">
                      <v:path arrowok="t"/>
                    </v:shape>
                  </v:group>
                  <v:group style="position:absolute;left:7;top:7;width:1412;height:2" coordorigin="7,7" coordsize="1412,2">
                    <v:shape style="position:absolute;left:7;top:7;width:1412;height:2" coordorigin="7,7" coordsize="1412,0" path="m7,7l1418,7e" filled="false" stroked="true" strokeweight=".67511pt" strokecolor="#000000">
                      <v:path arrowok="t"/>
                    </v:shape>
                  </v:group>
                </v:group>
              </w:pict>
            </w:r>
            <w:r>
              <w:rPr>
                <w:rFonts w:ascii="Arial" w:hAnsi="Arial" w:cs="Arial" w:eastAsia="Arial" w:hint="default"/>
                <w:sz w:val="2"/>
                <w:szCs w:val="2"/>
              </w:rPr>
            </w:r>
          </w:p>
          <w:p>
            <w:pPr>
              <w:pStyle w:val="TableParagraph"/>
              <w:tabs>
                <w:tab w:pos="1708" w:val="left" w:leader="none"/>
              </w:tabs>
              <w:spacing w:line="240" w:lineRule="auto" w:before="21"/>
              <w:ind w:right="72"/>
              <w:jc w:val="right"/>
              <w:rPr>
                <w:rFonts w:ascii="Arial" w:hAnsi="Arial" w:cs="Arial" w:eastAsia="Arial" w:hint="default"/>
                <w:sz w:val="15"/>
                <w:szCs w:val="15"/>
              </w:rPr>
            </w:pPr>
            <w:r>
              <w:rPr>
                <w:rFonts w:ascii="Arial"/>
                <w:spacing w:val="-1"/>
                <w:sz w:val="15"/>
              </w:rPr>
              <w:t>91,199,601.64</w:t>
              <w:tab/>
              <w:t>80,023,346.97</w:t>
            </w:r>
            <w:r>
              <w:rPr>
                <w:rFonts w:ascii="Arial"/>
                <w:sz w:val="15"/>
              </w:rPr>
            </w:r>
          </w:p>
        </w:tc>
      </w:tr>
      <w:tr>
        <w:trPr>
          <w:trHeight w:val="248"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5"/>
                <w:sz w:val="15"/>
                <w:szCs w:val="15"/>
              </w:rPr>
              <w:t>六、年末现金及现金等价物余额</w:t>
            </w:r>
            <w:r>
              <w:rPr>
                <w:rFonts w:ascii="Microsoft JhengHei" w:hAnsi="Microsoft JhengHei" w:cs="Microsoft JhengHei" w:eastAsia="Microsoft JhengHei" w:hint="default"/>
                <w:sz w:val="15"/>
                <w:szCs w:val="15"/>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3"/>
              <w:jc w:val="right"/>
              <w:rPr>
                <w:rFonts w:ascii="宋体" w:hAnsi="宋体" w:cs="宋体" w:eastAsia="宋体" w:hint="default"/>
                <w:sz w:val="15"/>
                <w:szCs w:val="15"/>
              </w:rPr>
            </w:pPr>
            <w:r>
              <w:rPr>
                <w:rFonts w:ascii="宋体" w:hAnsi="宋体" w:cs="宋体" w:eastAsia="宋体" w:hint="default"/>
                <w:w w:val="95"/>
                <w:sz w:val="15"/>
                <w:szCs w:val="15"/>
              </w:rPr>
              <w:t>五(三十三)</w:t>
            </w:r>
            <w:r>
              <w:rPr>
                <w:rFonts w:ascii="宋体" w:hAnsi="宋体" w:cs="宋体" w:eastAsia="宋体" w:hint="default"/>
                <w:sz w:val="15"/>
                <w:szCs w:val="15"/>
              </w:rPr>
            </w:r>
          </w:p>
        </w:tc>
        <w:tc>
          <w:tcPr>
            <w:tcW w:w="3120" w:type="dxa"/>
            <w:tcBorders>
              <w:top w:val="single" w:sz="5" w:space="0" w:color="000000"/>
              <w:left w:val="nil" w:sz="6" w:space="0" w:color="auto"/>
              <w:bottom w:val="single" w:sz="16" w:space="0" w:color="000000"/>
              <w:right w:val="nil" w:sz="6" w:space="0" w:color="auto"/>
            </w:tcBorders>
          </w:tcPr>
          <w:p>
            <w:pPr>
              <w:pStyle w:val="TableParagraph"/>
              <w:spacing w:line="20" w:lineRule="exact"/>
              <w:ind w:left="-7" w:right="0"/>
              <w:jc w:val="left"/>
              <w:rPr>
                <w:rFonts w:ascii="Arial" w:hAnsi="Arial" w:cs="Arial" w:eastAsia="Arial" w:hint="default"/>
                <w:sz w:val="2"/>
                <w:szCs w:val="2"/>
              </w:rPr>
            </w:pPr>
            <w:r>
              <w:rPr>
                <w:rFonts w:ascii="Arial" w:hAnsi="Arial" w:cs="Arial" w:eastAsia="Arial" w:hint="default"/>
                <w:sz w:val="2"/>
                <w:szCs w:val="2"/>
              </w:rPr>
              <w:pict>
                <v:group style="width:71.25pt;height:.7pt;mso-position-horizontal-relative:char;mso-position-vertical-relative:line" coordorigin="0,0" coordsize="1425,14">
                  <v:group style="position:absolute;left:8;top:1;width:1410;height:2" coordorigin="8,1" coordsize="1410,2">
                    <v:shape style="position:absolute;left:8;top:1;width:1410;height:2" coordorigin="8,1" coordsize="1410,0" path="m8,1l1417,1e" filled="false" stroked="true" strokeweight=".098452pt" strokecolor="#000000">
                      <v:path arrowok="t"/>
                    </v:shape>
                  </v:group>
                  <v:group style="position:absolute;left:7;top:7;width:1412;height:2" coordorigin="7,7" coordsize="1412,2">
                    <v:shape style="position:absolute;left:7;top:7;width:1412;height:2" coordorigin="7,7" coordsize="1412,0" path="m7,7l1418,7e" filled="false" stroked="true" strokeweight=".67511pt" strokecolor="#000000">
                      <v:path arrowok="t"/>
                    </v:shape>
                  </v:group>
                </v:group>
              </w:pict>
            </w:r>
            <w:r>
              <w:rPr>
                <w:rFonts w:ascii="Arial" w:hAnsi="Arial" w:cs="Arial" w:eastAsia="Arial" w:hint="default"/>
                <w:sz w:val="2"/>
                <w:szCs w:val="2"/>
              </w:rPr>
            </w:r>
          </w:p>
          <w:p>
            <w:pPr>
              <w:pStyle w:val="TableParagraph"/>
              <w:tabs>
                <w:tab w:pos="1794" w:val="left" w:leader="none"/>
              </w:tabs>
              <w:spacing w:line="240" w:lineRule="auto" w:before="26"/>
              <w:ind w:right="81"/>
              <w:jc w:val="right"/>
              <w:rPr>
                <w:rFonts w:ascii="Arial" w:hAnsi="Arial" w:cs="Arial" w:eastAsia="Arial" w:hint="default"/>
                <w:sz w:val="15"/>
                <w:szCs w:val="15"/>
              </w:rPr>
            </w:pPr>
            <w:r>
              <w:rPr>
                <w:rFonts w:ascii="Arial"/>
                <w:spacing w:val="-1"/>
                <w:sz w:val="15"/>
              </w:rPr>
              <w:t>729,414,262.06</w:t>
              <w:tab/>
              <w:t>91,199,601.64</w:t>
            </w:r>
            <w:r>
              <w:rPr>
                <w:rFonts w:ascii="Arial"/>
                <w:sz w:val="15"/>
              </w:rPr>
            </w:r>
          </w:p>
        </w:tc>
      </w:tr>
    </w:tbl>
    <w:p>
      <w:pPr>
        <w:spacing w:line="240" w:lineRule="auto" w:before="5"/>
        <w:rPr>
          <w:rFonts w:ascii="Arial" w:hAnsi="Arial" w:cs="Arial" w:eastAsia="Arial" w:hint="default"/>
          <w:sz w:val="17"/>
          <w:szCs w:val="17"/>
        </w:rPr>
      </w:pPr>
    </w:p>
    <w:p>
      <w:pPr>
        <w:spacing w:line="20" w:lineRule="exact"/>
        <w:ind w:left="212" w:right="0" w:firstLine="0"/>
        <w:rPr>
          <w:rFonts w:ascii="Arial" w:hAnsi="Arial" w:cs="Arial" w:eastAsia="Arial" w:hint="default"/>
          <w:sz w:val="2"/>
          <w:szCs w:val="2"/>
        </w:rPr>
      </w:pPr>
      <w:r>
        <w:rPr>
          <w:rFonts w:ascii="Arial" w:hAnsi="Arial" w:cs="Arial" w:eastAsia="Arial" w:hint="default"/>
          <w:sz w:val="2"/>
          <w:szCs w:val="2"/>
        </w:rPr>
        <w:pict>
          <v:group style="width:423.85pt;height:.7pt;mso-position-horizontal-relative:char;mso-position-vertical-relative:line" coordorigin="0,0" coordsize="8477,14">
            <v:group style="position:absolute;left:8;top:1;width:8462;height:2" coordorigin="8,1" coordsize="8462,2">
              <v:shape style="position:absolute;left:8;top:1;width:8462;height:2" coordorigin="8,1" coordsize="8462,0" path="m8,1l8469,1e" filled="false" stroked="true" strokeweight=".098452pt" strokecolor="#000000">
                <v:path arrowok="t"/>
              </v:shape>
            </v:group>
            <v:group style="position:absolute;left:7;top:7;width:8463;height:2" coordorigin="7,7" coordsize="8463,2">
              <v:shape style="position:absolute;left:7;top:7;width:8463;height:2" coordorigin="7,7" coordsize="8463,0" path="m7,7l8470,7e" filled="false" stroked="true" strokeweight=".675068pt" strokecolor="#000000">
                <v:path arrowok="t"/>
              </v:shape>
            </v:group>
          </v:group>
        </w:pict>
      </w:r>
      <w:r>
        <w:rPr>
          <w:rFonts w:ascii="Arial" w:hAnsi="Arial" w:cs="Arial" w:eastAsia="Arial" w:hint="default"/>
          <w:sz w:val="2"/>
          <w:szCs w:val="2"/>
        </w:rPr>
      </w:r>
    </w:p>
    <w:p>
      <w:pPr>
        <w:spacing w:line="240" w:lineRule="auto" w:before="4"/>
        <w:rPr>
          <w:rFonts w:ascii="Arial" w:hAnsi="Arial" w:cs="Arial" w:eastAsia="Arial" w:hint="default"/>
          <w:sz w:val="15"/>
          <w:szCs w:val="15"/>
        </w:rPr>
      </w:pPr>
    </w:p>
    <w:p>
      <w:pPr>
        <w:tabs>
          <w:tab w:pos="2419" w:val="left" w:leader="none"/>
          <w:tab w:pos="5304" w:val="left" w:leader="none"/>
        </w:tabs>
        <w:spacing w:before="48"/>
        <w:ind w:left="291" w:right="1334" w:firstLine="0"/>
        <w:jc w:val="left"/>
        <w:rPr>
          <w:rFonts w:ascii="宋体" w:hAnsi="宋体" w:cs="宋体" w:eastAsia="宋体" w:hint="default"/>
          <w:sz w:val="15"/>
          <w:szCs w:val="15"/>
        </w:rPr>
      </w:pPr>
      <w:r>
        <w:rPr/>
        <w:pict>
          <v:group style="position:absolute;margin-left:355.778564pt;margin-top:-22.93232pt;width:71.25pt;height:2.050pt;mso-position-horizontal-relative:page;mso-position-vertical-relative:paragraph;z-index:-679672" coordorigin="7116,-459" coordsize="1425,41">
            <v:group style="position:absolute;left:7122;top:-452;width:1412;height:2" coordorigin="7122,-452" coordsize="1412,2">
              <v:shape style="position:absolute;left:7122;top:-452;width:1412;height:2" coordorigin="7122,-452" coordsize="1412,0" path="m7122,-452l8534,-452e" filled="false" stroked="true" strokeweight=".67511pt" strokecolor="#000000">
                <v:path arrowok="t"/>
              </v:shape>
            </v:group>
            <v:group style="position:absolute;left:7122;top:-425;width:1412;height:2" coordorigin="7122,-425" coordsize="1412,2">
              <v:shape style="position:absolute;left:7122;top:-425;width:1412;height:2" coordorigin="7122,-425" coordsize="1412,0" path="m7122,-425l8534,-425e" filled="false" stroked="true" strokeweight=".675068pt" strokecolor="#000000">
                <v:path arrowok="t"/>
              </v:shape>
            </v:group>
            <w10:wrap type="none"/>
          </v:group>
        </w:pict>
      </w:r>
      <w:r>
        <w:rPr>
          <w:rFonts w:ascii="宋体" w:hAnsi="宋体" w:cs="宋体" w:eastAsia="宋体" w:hint="default"/>
          <w:sz w:val="15"/>
          <w:szCs w:val="15"/>
        </w:rPr>
        <w:t>公司负责人：刘祥</w:t>
        <w:tab/>
        <w:t>主管会计工作负责人：赵辉</w:t>
        <w:tab/>
      </w:r>
      <w:r>
        <w:rPr>
          <w:rFonts w:ascii="宋体" w:hAnsi="宋体" w:cs="宋体" w:eastAsia="宋体" w:hint="default"/>
          <w:w w:val="105"/>
          <w:sz w:val="15"/>
          <w:szCs w:val="15"/>
        </w:rPr>
        <w:t>会计机构负责人：赵辉</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60" w:bottom="1460" w:left="1560" w:right="1440"/>
        </w:sectPr>
      </w:pPr>
    </w:p>
    <w:p>
      <w:pPr>
        <w:spacing w:line="240" w:lineRule="auto" w:before="5"/>
        <w:rPr>
          <w:rFonts w:ascii="宋体" w:hAnsi="宋体" w:cs="宋体" w:eastAsia="宋体" w:hint="default"/>
          <w:sz w:val="3"/>
          <w:szCs w:val="3"/>
        </w:rPr>
      </w:pPr>
      <w:r>
        <w:rPr/>
        <w:pict>
          <v:group style="position:absolute;margin-left:286.51178pt;margin-top:702.691956pt;width:110.55pt;height:2.4pt;mso-position-horizontal-relative:page;mso-position-vertical-relative:page;z-index:-679480" coordorigin="5730,14054" coordsize="2211,48">
            <v:group style="position:absolute;left:5738;top:14062;width:2195;height:2" coordorigin="5738,14062" coordsize="2195,2">
              <v:shape style="position:absolute;left:5738;top:14062;width:2195;height:2" coordorigin="5738,14062" coordsize="2195,0" path="m5738,14062l7933,14062e" filled="false" stroked="true" strokeweight=".786398pt" strokecolor="#000000">
                <v:path arrowok="t"/>
              </v:shape>
            </v:group>
            <v:group style="position:absolute;left:5738;top:14093;width:2195;height:2" coordorigin="5738,14093" coordsize="2195,2">
              <v:shape style="position:absolute;left:5738;top:14093;width:2195;height:2" coordorigin="5738,14093" coordsize="2195,0" path="m5738,14093l7933,14093e" filled="false" stroked="true" strokeweight=".786448pt" strokecolor="#000000">
                <v:path arrowok="t"/>
              </v:shape>
            </v:group>
            <w10:wrap type="none"/>
          </v:group>
        </w:pict>
      </w:r>
      <w:r>
        <w:rPr/>
        <w:pict>
          <v:group style="position:absolute;margin-left:408.272125pt;margin-top:703.085144pt;width:102.35pt;height:.1pt;mso-position-horizontal-relative:page;mso-position-vertical-relative:page;z-index:-679456" coordorigin="8165,14062" coordsize="2047,2">
            <v:shape style="position:absolute;left:8165;top:14062;width:2047;height:2" coordorigin="8165,14062" coordsize="2047,0" path="m8165,14062l10212,14062e" filled="false" stroked="true" strokeweight=".786398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70"/>
        <w:gridCol w:w="2786"/>
        <w:gridCol w:w="106"/>
        <w:gridCol w:w="3231"/>
        <w:gridCol w:w="233"/>
        <w:gridCol w:w="2047"/>
        <w:gridCol w:w="70"/>
      </w:tblGrid>
      <w:tr>
        <w:trPr>
          <w:trHeight w:val="795" w:hRule="exact"/>
        </w:trPr>
        <w:tc>
          <w:tcPr>
            <w:tcW w:w="70" w:type="dxa"/>
            <w:vMerge w:val="restart"/>
            <w:tcBorders>
              <w:top w:val="single" w:sz="6" w:space="0" w:color="000000"/>
              <w:left w:val="nil" w:sz="6" w:space="0" w:color="auto"/>
              <w:right w:val="nil" w:sz="6" w:space="0" w:color="auto"/>
            </w:tcBorders>
          </w:tcPr>
          <w:p>
            <w:pPr/>
          </w:p>
        </w:tc>
        <w:tc>
          <w:tcPr>
            <w:tcW w:w="2786" w:type="dxa"/>
            <w:tcBorders>
              <w:top w:val="single" w:sz="6" w:space="0" w:color="000000"/>
              <w:left w:val="nil" w:sz="6" w:space="0" w:color="auto"/>
              <w:bottom w:val="nil" w:sz="6" w:space="0" w:color="auto"/>
              <w:right w:val="nil" w:sz="6" w:space="0" w:color="auto"/>
            </w:tcBorders>
          </w:tcPr>
          <w:p>
            <w:pPr/>
          </w:p>
        </w:tc>
        <w:tc>
          <w:tcPr>
            <w:tcW w:w="106" w:type="dxa"/>
            <w:tcBorders>
              <w:top w:val="single" w:sz="6" w:space="0" w:color="000000"/>
              <w:left w:val="nil" w:sz="6" w:space="0" w:color="auto"/>
              <w:bottom w:val="nil" w:sz="6" w:space="0" w:color="auto"/>
              <w:right w:val="nil" w:sz="6" w:space="0" w:color="auto"/>
            </w:tcBorders>
          </w:tcPr>
          <w:p>
            <w:pPr/>
          </w:p>
        </w:tc>
        <w:tc>
          <w:tcPr>
            <w:tcW w:w="3231" w:type="dxa"/>
            <w:tcBorders>
              <w:top w:val="single" w:sz="6" w:space="0" w:color="000000"/>
              <w:left w:val="nil" w:sz="6" w:space="0" w:color="auto"/>
              <w:bottom w:val="nil" w:sz="6" w:space="0" w:color="auto"/>
              <w:right w:val="nil" w:sz="6" w:space="0" w:color="auto"/>
            </w:tcBorders>
          </w:tcPr>
          <w:p>
            <w:pPr>
              <w:pStyle w:val="TableParagraph"/>
              <w:spacing w:line="399" w:lineRule="exact"/>
              <w:ind w:right="597"/>
              <w:jc w:val="center"/>
              <w:rPr>
                <w:rFonts w:ascii="宋体" w:hAnsi="宋体" w:cs="宋体" w:eastAsia="宋体" w:hint="default"/>
                <w:sz w:val="33"/>
                <w:szCs w:val="33"/>
              </w:rPr>
            </w:pPr>
            <w:r>
              <w:rPr>
                <w:rFonts w:ascii="宋体" w:hAnsi="宋体" w:cs="宋体" w:eastAsia="宋体" w:hint="default"/>
                <w:w w:val="95"/>
                <w:sz w:val="33"/>
                <w:szCs w:val="33"/>
              </w:rPr>
              <w:t>母公司资产负债表</w:t>
            </w:r>
            <w:r>
              <w:rPr>
                <w:rFonts w:ascii="宋体" w:hAnsi="宋体" w:cs="宋体" w:eastAsia="宋体" w:hint="default"/>
                <w:sz w:val="33"/>
                <w:szCs w:val="33"/>
              </w:rPr>
            </w:r>
          </w:p>
          <w:p>
            <w:pPr>
              <w:pStyle w:val="TableParagraph"/>
              <w:spacing w:line="240" w:lineRule="auto" w:before="67"/>
              <w:ind w:right="597"/>
              <w:jc w:val="center"/>
              <w:rPr>
                <w:rFonts w:ascii="宋体" w:hAnsi="宋体" w:cs="宋体" w:eastAsia="宋体" w:hint="default"/>
                <w:sz w:val="18"/>
                <w:szCs w:val="18"/>
              </w:rPr>
            </w:pPr>
            <w:r>
              <w:rPr>
                <w:rFonts w:ascii="宋体" w:hAnsi="宋体" w:cs="宋体" w:eastAsia="宋体" w:hint="default"/>
                <w:w w:val="110"/>
                <w:sz w:val="18"/>
                <w:szCs w:val="18"/>
              </w:rPr>
              <w:t>2010年12月31日</w:t>
            </w:r>
          </w:p>
        </w:tc>
        <w:tc>
          <w:tcPr>
            <w:tcW w:w="2350" w:type="dxa"/>
            <w:gridSpan w:val="3"/>
            <w:tcBorders>
              <w:top w:val="single" w:sz="6" w:space="0" w:color="000000"/>
              <w:left w:val="nil" w:sz="6" w:space="0" w:color="auto"/>
              <w:bottom w:val="nil" w:sz="6" w:space="0" w:color="auto"/>
              <w:right w:val="nil" w:sz="6" w:space="0" w:color="auto"/>
            </w:tcBorders>
          </w:tcPr>
          <w:p>
            <w:pPr/>
          </w:p>
        </w:tc>
      </w:tr>
      <w:tr>
        <w:trPr>
          <w:trHeight w:val="485" w:hRule="exact"/>
        </w:trPr>
        <w:tc>
          <w:tcPr>
            <w:tcW w:w="70" w:type="dxa"/>
            <w:vMerge/>
            <w:tcBorders>
              <w:left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4"/>
              <w:jc w:val="right"/>
              <w:rPr>
                <w:rFonts w:ascii="宋体" w:hAnsi="宋体" w:cs="宋体" w:eastAsia="宋体" w:hint="default"/>
                <w:sz w:val="18"/>
                <w:szCs w:val="18"/>
              </w:rPr>
            </w:pPr>
            <w:r>
              <w:rPr>
                <w:rFonts w:ascii="宋体" w:hAnsi="宋体" w:cs="宋体" w:eastAsia="宋体" w:hint="default"/>
                <w:sz w:val="18"/>
                <w:szCs w:val="18"/>
              </w:rPr>
              <w:t>单位：人民币元</w:t>
            </w:r>
          </w:p>
        </w:tc>
        <w:tc>
          <w:tcPr>
            <w:tcW w:w="70" w:type="dxa"/>
            <w:tcBorders>
              <w:top w:val="nil" w:sz="6" w:space="0" w:color="auto"/>
              <w:left w:val="nil" w:sz="6" w:space="0" w:color="auto"/>
              <w:bottom w:val="nil" w:sz="6" w:space="0" w:color="auto"/>
              <w:right w:val="nil" w:sz="6" w:space="0" w:color="auto"/>
            </w:tcBorders>
          </w:tcPr>
          <w:p>
            <w:pPr/>
          </w:p>
        </w:tc>
      </w:tr>
      <w:tr>
        <w:trPr>
          <w:trHeight w:val="469" w:hRule="exact"/>
        </w:trPr>
        <w:tc>
          <w:tcPr>
            <w:tcW w:w="70" w:type="dxa"/>
            <w:vMerge/>
            <w:tcBorders>
              <w:left w:val="nil" w:sz="6" w:space="0" w:color="auto"/>
              <w:right w:val="nil" w:sz="6" w:space="0" w:color="auto"/>
            </w:tcBorders>
          </w:tcPr>
          <w:p>
            <w:pPr/>
          </w:p>
        </w:tc>
        <w:tc>
          <w:tcPr>
            <w:tcW w:w="2786"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37"/>
                <w:sz w:val="18"/>
                <w:szCs w:val="18"/>
              </w:rPr>
              <w:t> </w:t>
            </w:r>
            <w:r>
              <w:rPr>
                <w:rFonts w:ascii="宋体" w:hAnsi="宋体" w:cs="宋体" w:eastAsia="宋体" w:hint="default"/>
                <w:sz w:val="18"/>
                <w:szCs w:val="18"/>
              </w:rPr>
              <w:t>产</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867" w:val="left" w:leader="none"/>
              </w:tabs>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附注</w:t>
              <w:tab/>
              <w:t>期末数</w:t>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70" w:type="dxa"/>
            <w:tcBorders>
              <w:top w:val="nil" w:sz="6" w:space="0" w:color="auto"/>
              <w:left w:val="nil" w:sz="6" w:space="0" w:color="auto"/>
              <w:bottom w:val="nil" w:sz="6" w:space="0" w:color="auto"/>
              <w:right w:val="nil" w:sz="6" w:space="0" w:color="auto"/>
            </w:tcBorders>
          </w:tcPr>
          <w:p>
            <w:pPr/>
          </w:p>
        </w:tc>
      </w:tr>
      <w:tr>
        <w:trPr>
          <w:trHeight w:val="974" w:hRule="exact"/>
        </w:trPr>
        <w:tc>
          <w:tcPr>
            <w:tcW w:w="70" w:type="dxa"/>
            <w:vMerge/>
            <w:tcBorders>
              <w:left w:val="nil" w:sz="6" w:space="0" w:color="auto"/>
              <w:right w:val="nil" w:sz="6" w:space="0" w:color="auto"/>
            </w:tcBorders>
          </w:tcPr>
          <w:p>
            <w:pPr/>
          </w:p>
        </w:tc>
        <w:tc>
          <w:tcPr>
            <w:tcW w:w="278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90" w:lineRule="auto"/>
              <w:ind w:left="135" w:right="1834" w:hanging="103"/>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流动资产：</w:t>
            </w:r>
            <w:r>
              <w:rPr>
                <w:rFonts w:ascii="Microsoft JhengHei" w:hAnsi="Microsoft JhengHei" w:cs="Microsoft JhengHei" w:eastAsia="Microsoft JhengHei" w:hint="default"/>
                <w:b/>
                <w:bCs/>
                <w:spacing w:val="-34"/>
                <w:sz w:val="18"/>
                <w:szCs w:val="18"/>
              </w:rPr>
              <w:t> </w:t>
            </w:r>
            <w:r>
              <w:rPr>
                <w:rFonts w:ascii="宋体" w:hAnsi="宋体" w:cs="宋体" w:eastAsia="宋体" w:hint="default"/>
                <w:sz w:val="18"/>
                <w:szCs w:val="18"/>
              </w:rPr>
              <w:t>货币资金</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single" w:sz="6" w:space="0" w:color="000000"/>
              <w:left w:val="nil" w:sz="6" w:space="0" w:color="auto"/>
              <w:bottom w:val="nil" w:sz="6" w:space="0" w:color="auto"/>
              <w:right w:val="nil" w:sz="6" w:space="0" w:color="auto"/>
            </w:tcBorders>
          </w:tcPr>
          <w:p>
            <w:pPr>
              <w:pStyle w:val="TableParagraph"/>
              <w:spacing w:line="20" w:lineRule="exact"/>
              <w:ind w:left="80" w:right="0"/>
              <w:jc w:val="left"/>
              <w:rPr>
                <w:rFonts w:ascii="宋体" w:hAnsi="宋体" w:cs="宋体" w:eastAsia="宋体" w:hint="default"/>
                <w:sz w:val="2"/>
                <w:szCs w:val="2"/>
              </w:rPr>
            </w:pPr>
            <w:r>
              <w:rPr>
                <w:rFonts w:ascii="宋体" w:hAnsi="宋体" w:cs="宋体" w:eastAsia="宋体" w:hint="default"/>
                <w:sz w:val="2"/>
                <w:szCs w:val="2"/>
              </w:rPr>
              <w:pict>
                <v:group style="width:40.9pt;height:.8pt;mso-position-horizontal-relative:char;mso-position-vertical-relative:line" coordorigin="0,0" coordsize="818,16">
                  <v:group style="position:absolute;left:9;top:1;width:800;height:2" coordorigin="9,1" coordsize="800,2">
                    <v:shape style="position:absolute;left:9;top:1;width:800;height:2" coordorigin="9,1" coordsize="800,0" path="m9,1l809,1e" filled="false" stroked="true" strokeweight=".114688pt" strokecolor="#000000">
                      <v:path arrowok="t"/>
                    </v:shape>
                  </v:group>
                  <v:group style="position:absolute;left:8;top:8;width:802;height:2" coordorigin="8,8" coordsize="802,2">
                    <v:shape style="position:absolute;left:8;top:8;width:802;height:2" coordorigin="8,8" coordsize="802,0" path="m8,8l810,8e" filled="false" stroked="true" strokeweight=".78643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18"/>
                <w:szCs w:val="18"/>
              </w:rPr>
            </w:pPr>
            <w:r>
              <w:rPr>
                <w:rFonts w:ascii="Arial"/>
                <w:spacing w:val="-1"/>
                <w:sz w:val="18"/>
              </w:rPr>
              <w:t>720,469,024.17</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4"/>
              <w:jc w:val="right"/>
              <w:rPr>
                <w:rFonts w:ascii="Arial" w:hAnsi="Arial" w:cs="Arial" w:eastAsia="Arial" w:hint="default"/>
                <w:sz w:val="18"/>
                <w:szCs w:val="18"/>
              </w:rPr>
            </w:pPr>
            <w:r>
              <w:rPr>
                <w:rFonts w:ascii="Arial"/>
                <w:spacing w:val="-1"/>
                <w:sz w:val="18"/>
              </w:rPr>
              <w:t>72,678,312.44</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r>
      <w:tr>
        <w:trPr>
          <w:trHeight w:val="641" w:hRule="exact"/>
        </w:trPr>
        <w:tc>
          <w:tcPr>
            <w:tcW w:w="70" w:type="dxa"/>
            <w:vMerge/>
            <w:tcBorders>
              <w:left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326" w:lineRule="auto" w:before="4"/>
              <w:ind w:left="135" w:right="1379"/>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pacing w:val="-82"/>
                <w:sz w:val="18"/>
                <w:szCs w:val="18"/>
              </w:rPr>
              <w:t> </w:t>
            </w:r>
            <w:r>
              <w:rPr>
                <w:rFonts w:ascii="宋体" w:hAnsi="宋体" w:cs="宋体" w:eastAsia="宋体" w:hint="default"/>
                <w:sz w:val="18"/>
                <w:szCs w:val="18"/>
              </w:rPr>
              <w:t>应收票据</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372" w:lineRule="auto" w:before="45"/>
              <w:ind w:left="1985" w:right="86" w:firstLine="896"/>
              <w:jc w:val="left"/>
              <w:rPr>
                <w:rFonts w:ascii="Arial" w:hAnsi="Arial" w:cs="Arial" w:eastAsia="Arial" w:hint="default"/>
                <w:sz w:val="18"/>
                <w:szCs w:val="18"/>
              </w:rPr>
            </w:pPr>
            <w:r>
              <w:rPr>
                <w:rFonts w:ascii="Arial"/>
                <w:sz w:val="18"/>
              </w:rPr>
              <w:t>-</w:t>
            </w:r>
            <w:r>
              <w:rPr>
                <w:rFonts w:ascii="Arial"/>
                <w:w w:val="100"/>
                <w:sz w:val="18"/>
              </w:rPr>
              <w:t> </w:t>
            </w:r>
            <w:r>
              <w:rPr>
                <w:rFonts w:ascii="Arial"/>
                <w:spacing w:val="-1"/>
                <w:sz w:val="18"/>
              </w:rPr>
              <w:t>29,405,693.80</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372" w:lineRule="auto" w:before="45"/>
              <w:ind w:left="902" w:right="84" w:firstLine="795"/>
              <w:jc w:val="left"/>
              <w:rPr>
                <w:rFonts w:ascii="Arial" w:hAnsi="Arial" w:cs="Arial" w:eastAsia="Arial" w:hint="default"/>
                <w:sz w:val="18"/>
                <w:szCs w:val="18"/>
              </w:rPr>
            </w:pPr>
            <w:r>
              <w:rPr>
                <w:rFonts w:ascii="Arial"/>
                <w:sz w:val="18"/>
              </w:rPr>
              <w:t>-</w:t>
            </w:r>
            <w:r>
              <w:rPr>
                <w:rFonts w:ascii="Arial"/>
                <w:w w:val="100"/>
                <w:sz w:val="18"/>
              </w:rPr>
              <w:t> </w:t>
            </w:r>
            <w:r>
              <w:rPr>
                <w:rFonts w:ascii="Arial"/>
                <w:spacing w:val="-1"/>
                <w:sz w:val="18"/>
              </w:rPr>
              <w:t>3,219,102.50</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r>
      <w:tr>
        <w:trPr>
          <w:trHeight w:val="320" w:hRule="exact"/>
        </w:trPr>
        <w:tc>
          <w:tcPr>
            <w:tcW w:w="70" w:type="dxa"/>
            <w:vMerge/>
            <w:tcBorders>
              <w:left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4"/>
              <w:ind w:right="86"/>
              <w:jc w:val="right"/>
              <w:rPr>
                <w:rFonts w:ascii="Arial" w:hAnsi="Arial" w:cs="Arial" w:eastAsia="Arial" w:hint="default"/>
                <w:sz w:val="18"/>
                <w:szCs w:val="18"/>
              </w:rPr>
            </w:pPr>
            <w:r>
              <w:rPr>
                <w:rFonts w:ascii="宋体" w:hAnsi="宋体" w:cs="宋体" w:eastAsia="宋体" w:hint="default"/>
                <w:w w:val="90"/>
                <w:sz w:val="18"/>
                <w:szCs w:val="18"/>
              </w:rPr>
              <w:t>十一(一)</w:t>
              <w:tab/>
            </w:r>
            <w:r>
              <w:rPr>
                <w:rFonts w:ascii="Arial" w:hAnsi="Arial" w:cs="Arial" w:eastAsia="Arial" w:hint="default"/>
                <w:spacing w:val="-1"/>
                <w:sz w:val="18"/>
                <w:szCs w:val="18"/>
              </w:rPr>
              <w:t>69,934,502.00</w:t>
            </w:r>
            <w:r>
              <w:rPr>
                <w:rFonts w:ascii="Arial" w:hAnsi="Arial" w:cs="Arial" w:eastAsia="Arial"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4"/>
              <w:jc w:val="right"/>
              <w:rPr>
                <w:rFonts w:ascii="Arial" w:hAnsi="Arial" w:cs="Arial" w:eastAsia="Arial" w:hint="default"/>
                <w:sz w:val="18"/>
                <w:szCs w:val="18"/>
              </w:rPr>
            </w:pPr>
            <w:r>
              <w:rPr>
                <w:rFonts w:ascii="Arial"/>
                <w:spacing w:val="-1"/>
                <w:sz w:val="18"/>
              </w:rPr>
              <w:t>30,229,882.91</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r>
      <w:tr>
        <w:trPr>
          <w:trHeight w:val="320" w:hRule="exact"/>
        </w:trPr>
        <w:tc>
          <w:tcPr>
            <w:tcW w:w="70" w:type="dxa"/>
            <w:vMerge/>
            <w:tcBorders>
              <w:left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6"/>
              <w:jc w:val="right"/>
              <w:rPr>
                <w:rFonts w:ascii="Arial" w:hAnsi="Arial" w:cs="Arial" w:eastAsia="Arial" w:hint="default"/>
                <w:sz w:val="18"/>
                <w:szCs w:val="18"/>
              </w:rPr>
            </w:pPr>
            <w:r>
              <w:rPr>
                <w:rFonts w:ascii="Arial"/>
                <w:spacing w:val="-1"/>
                <w:sz w:val="18"/>
              </w:rPr>
              <w:t>3,335,666.92</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4"/>
              <w:jc w:val="right"/>
              <w:rPr>
                <w:rFonts w:ascii="Arial" w:hAnsi="Arial" w:cs="Arial" w:eastAsia="Arial" w:hint="default"/>
                <w:sz w:val="18"/>
                <w:szCs w:val="18"/>
              </w:rPr>
            </w:pPr>
            <w:r>
              <w:rPr>
                <w:rFonts w:ascii="Arial"/>
                <w:spacing w:val="-1"/>
                <w:sz w:val="18"/>
              </w:rPr>
              <w:t>2,702,521.41</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r>
      <w:tr>
        <w:trPr>
          <w:trHeight w:val="962" w:hRule="exact"/>
        </w:trPr>
        <w:tc>
          <w:tcPr>
            <w:tcW w:w="70" w:type="dxa"/>
            <w:vMerge/>
            <w:tcBorders>
              <w:left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326" w:lineRule="auto" w:before="4"/>
              <w:ind w:left="135" w:right="1742"/>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pacing w:val="-86"/>
                <w:sz w:val="18"/>
                <w:szCs w:val="18"/>
              </w:rPr>
              <w:t> </w:t>
            </w:r>
            <w:r>
              <w:rPr>
                <w:rFonts w:ascii="宋体" w:hAnsi="宋体" w:cs="宋体" w:eastAsia="宋体" w:hint="default"/>
                <w:sz w:val="18"/>
                <w:szCs w:val="18"/>
              </w:rPr>
              <w:t>应收股利</w:t>
            </w:r>
            <w:r>
              <w:rPr>
                <w:rFonts w:ascii="宋体" w:hAnsi="宋体" w:cs="宋体" w:eastAsia="宋体" w:hint="default"/>
                <w:spacing w:val="-86"/>
                <w:sz w:val="18"/>
                <w:szCs w:val="18"/>
              </w:rPr>
              <w:t> </w:t>
            </w:r>
            <w:r>
              <w:rPr>
                <w:rFonts w:ascii="宋体" w:hAnsi="宋体" w:cs="宋体" w:eastAsia="宋体" w:hint="default"/>
                <w:sz w:val="18"/>
                <w:szCs w:val="18"/>
              </w:rPr>
              <w:t>其他应收款</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86" w:right="0"/>
              <w:jc w:val="left"/>
              <w:rPr>
                <w:rFonts w:ascii="Arial" w:hAnsi="Arial" w:cs="Arial" w:eastAsia="Arial" w:hint="default"/>
                <w:sz w:val="18"/>
                <w:szCs w:val="18"/>
              </w:rPr>
            </w:pPr>
            <w:r>
              <w:rPr>
                <w:rFonts w:ascii="Arial"/>
                <w:sz w:val="18"/>
              </w:rPr>
              <w:t>2,601,026.47</w:t>
            </w:r>
          </w:p>
          <w:p>
            <w:pPr>
              <w:pStyle w:val="TableParagraph"/>
              <w:spacing w:line="240" w:lineRule="auto" w:before="114"/>
              <w:ind w:right="286"/>
              <w:jc w:val="right"/>
              <w:rPr>
                <w:rFonts w:ascii="Arial" w:hAnsi="Arial" w:cs="Arial" w:eastAsia="Arial" w:hint="default"/>
                <w:sz w:val="18"/>
                <w:szCs w:val="18"/>
              </w:rPr>
            </w:pPr>
            <w:r>
              <w:rPr>
                <w:rFonts w:ascii="Arial"/>
                <w:w w:val="100"/>
                <w:sz w:val="18"/>
              </w:rPr>
              <w:t>-</w:t>
            </w:r>
          </w:p>
          <w:p>
            <w:pPr>
              <w:pStyle w:val="TableParagraph"/>
              <w:tabs>
                <w:tab w:pos="2086" w:val="left" w:leader="none"/>
              </w:tabs>
              <w:spacing w:line="240" w:lineRule="auto" w:before="72"/>
              <w:ind w:left="163" w:right="0"/>
              <w:jc w:val="left"/>
              <w:rPr>
                <w:rFonts w:ascii="Arial" w:hAnsi="Arial" w:cs="Arial" w:eastAsia="Arial" w:hint="default"/>
                <w:sz w:val="18"/>
                <w:szCs w:val="18"/>
              </w:rPr>
            </w:pPr>
            <w:r>
              <w:rPr>
                <w:rFonts w:ascii="宋体" w:hAnsi="宋体" w:cs="宋体" w:eastAsia="宋体" w:hint="default"/>
                <w:w w:val="90"/>
                <w:sz w:val="18"/>
                <w:szCs w:val="18"/>
              </w:rPr>
              <w:t>十一(二)</w:t>
              <w:tab/>
            </w:r>
            <w:r>
              <w:rPr>
                <w:rFonts w:ascii="Arial" w:hAnsi="Arial" w:cs="Arial" w:eastAsia="Arial" w:hint="default"/>
                <w:sz w:val="18"/>
                <w:szCs w:val="18"/>
              </w:rPr>
              <w:t>3,248,609.84</w:t>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6"/>
              <w:jc w:val="right"/>
              <w:rPr>
                <w:rFonts w:ascii="Arial" w:hAnsi="Arial" w:cs="Arial" w:eastAsia="Arial" w:hint="default"/>
                <w:sz w:val="18"/>
                <w:szCs w:val="18"/>
              </w:rPr>
            </w:pPr>
            <w:r>
              <w:rPr>
                <w:rFonts w:ascii="Arial"/>
                <w:w w:val="100"/>
                <w:sz w:val="18"/>
              </w:rPr>
              <w:t>-</w:t>
            </w:r>
          </w:p>
          <w:p>
            <w:pPr>
              <w:pStyle w:val="TableParagraph"/>
              <w:spacing w:line="372" w:lineRule="auto" w:before="114"/>
              <w:ind w:left="902" w:right="84" w:firstLine="795"/>
              <w:jc w:val="left"/>
              <w:rPr>
                <w:rFonts w:ascii="Arial" w:hAnsi="Arial" w:cs="Arial" w:eastAsia="Arial" w:hint="default"/>
                <w:sz w:val="18"/>
                <w:szCs w:val="18"/>
              </w:rPr>
            </w:pPr>
            <w:r>
              <w:rPr>
                <w:rFonts w:ascii="Arial"/>
                <w:sz w:val="18"/>
              </w:rPr>
              <w:t>-</w:t>
            </w:r>
            <w:r>
              <w:rPr>
                <w:rFonts w:ascii="Arial"/>
                <w:w w:val="100"/>
                <w:sz w:val="18"/>
              </w:rPr>
              <w:t> </w:t>
            </w:r>
            <w:r>
              <w:rPr>
                <w:rFonts w:ascii="Arial"/>
                <w:spacing w:val="-1"/>
                <w:sz w:val="18"/>
              </w:rPr>
              <w:t>1,406,813.64</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r>
      <w:tr>
        <w:trPr>
          <w:trHeight w:val="949" w:hRule="exact"/>
        </w:trPr>
        <w:tc>
          <w:tcPr>
            <w:tcW w:w="70" w:type="dxa"/>
            <w:vMerge/>
            <w:tcBorders>
              <w:left w:val="nil" w:sz="6" w:space="0" w:color="auto"/>
              <w:bottom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326" w:lineRule="auto" w:before="4"/>
              <w:ind w:left="135" w:right="656"/>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pacing w:val="-88"/>
                <w:sz w:val="18"/>
                <w:szCs w:val="18"/>
              </w:rPr>
              <w:t> </w:t>
            </w:r>
            <w:r>
              <w:rPr>
                <w:rFonts w:ascii="宋体" w:hAnsi="宋体" w:cs="宋体" w:eastAsia="宋体" w:hint="default"/>
                <w:sz w:val="18"/>
                <w:szCs w:val="18"/>
              </w:rPr>
              <w:t>一年内到期的非流动资产</w:t>
            </w:r>
            <w:r>
              <w:rPr>
                <w:rFonts w:ascii="宋体" w:hAnsi="宋体" w:cs="宋体" w:eastAsia="宋体" w:hint="default"/>
                <w:spacing w:val="-77"/>
                <w:sz w:val="18"/>
                <w:szCs w:val="18"/>
              </w:rPr>
              <w:t> </w:t>
            </w:r>
            <w:r>
              <w:rPr>
                <w:rFonts w:ascii="宋体" w:hAnsi="宋体" w:cs="宋体" w:eastAsia="宋体" w:hint="default"/>
                <w:sz w:val="18"/>
                <w:szCs w:val="18"/>
              </w:rPr>
              <w:t>其他流动资产</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1985" w:right="0"/>
              <w:jc w:val="left"/>
              <w:rPr>
                <w:rFonts w:ascii="Arial" w:hAnsi="Arial" w:cs="Arial" w:eastAsia="Arial" w:hint="default"/>
                <w:sz w:val="18"/>
                <w:szCs w:val="18"/>
              </w:rPr>
            </w:pPr>
            <w:r>
              <w:rPr>
                <w:rFonts w:ascii="Arial"/>
                <w:sz w:val="18"/>
              </w:rPr>
              <w:t>62,291,485.25</w:t>
            </w:r>
          </w:p>
          <w:p>
            <w:pPr>
              <w:pStyle w:val="TableParagraph"/>
              <w:spacing w:line="240" w:lineRule="auto" w:before="113"/>
              <w:ind w:right="286"/>
              <w:jc w:val="right"/>
              <w:rPr>
                <w:rFonts w:ascii="Arial" w:hAnsi="Arial" w:cs="Arial" w:eastAsia="Arial" w:hint="default"/>
                <w:sz w:val="18"/>
                <w:szCs w:val="18"/>
              </w:rPr>
            </w:pPr>
            <w:r>
              <w:rPr>
                <w:rFonts w:ascii="Arial"/>
                <w:w w:val="100"/>
                <w:sz w:val="18"/>
              </w:rPr>
              <w:t>-</w:t>
            </w:r>
          </w:p>
          <w:p>
            <w:pPr>
              <w:pStyle w:val="TableParagraph"/>
              <w:spacing w:line="240" w:lineRule="auto" w:before="113"/>
              <w:ind w:right="286"/>
              <w:jc w:val="right"/>
              <w:rPr>
                <w:rFonts w:ascii="Arial" w:hAnsi="Arial" w:cs="Arial" w:eastAsia="Arial" w:hint="default"/>
                <w:sz w:val="18"/>
                <w:szCs w:val="18"/>
              </w:rPr>
            </w:pPr>
            <w:r>
              <w:rPr>
                <w:rFonts w:ascii="Arial"/>
                <w:w w:val="100"/>
                <w:sz w:val="18"/>
              </w:rPr>
              <w:t>-</w:t>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802" w:right="0"/>
              <w:jc w:val="left"/>
              <w:rPr>
                <w:rFonts w:ascii="Arial" w:hAnsi="Arial" w:cs="Arial" w:eastAsia="Arial" w:hint="default"/>
                <w:sz w:val="18"/>
                <w:szCs w:val="18"/>
              </w:rPr>
            </w:pPr>
            <w:r>
              <w:rPr>
                <w:rFonts w:ascii="Arial"/>
                <w:sz w:val="18"/>
              </w:rPr>
              <w:t>41,251,340.45</w:t>
            </w:r>
          </w:p>
          <w:p>
            <w:pPr>
              <w:pStyle w:val="TableParagraph"/>
              <w:spacing w:line="240" w:lineRule="auto" w:before="113"/>
              <w:ind w:right="286"/>
              <w:jc w:val="right"/>
              <w:rPr>
                <w:rFonts w:ascii="Arial" w:hAnsi="Arial" w:cs="Arial" w:eastAsia="Arial" w:hint="default"/>
                <w:sz w:val="18"/>
                <w:szCs w:val="18"/>
              </w:rPr>
            </w:pPr>
            <w:r>
              <w:rPr>
                <w:rFonts w:ascii="Arial"/>
                <w:w w:val="100"/>
                <w:sz w:val="18"/>
              </w:rPr>
              <w:t>-</w:t>
            </w:r>
          </w:p>
          <w:p>
            <w:pPr>
              <w:pStyle w:val="TableParagraph"/>
              <w:spacing w:line="240" w:lineRule="auto" w:before="113"/>
              <w:ind w:right="286"/>
              <w:jc w:val="right"/>
              <w:rPr>
                <w:rFonts w:ascii="Arial" w:hAnsi="Arial" w:cs="Arial" w:eastAsia="Arial" w:hint="default"/>
                <w:sz w:val="18"/>
                <w:szCs w:val="18"/>
              </w:rPr>
            </w:pPr>
            <w:r>
              <w:rPr>
                <w:rFonts w:ascii="Arial"/>
                <w:w w:val="100"/>
                <w:sz w:val="18"/>
              </w:rPr>
              <w:t>-</w:t>
            </w:r>
          </w:p>
        </w:tc>
        <w:tc>
          <w:tcPr>
            <w:tcW w:w="70" w:type="dxa"/>
            <w:tcBorders>
              <w:top w:val="nil" w:sz="6" w:space="0" w:color="auto"/>
              <w:left w:val="nil" w:sz="6" w:space="0" w:color="auto"/>
              <w:bottom w:val="nil" w:sz="6" w:space="0" w:color="auto"/>
              <w:right w:val="nil" w:sz="6" w:space="0" w:color="auto"/>
            </w:tcBorders>
          </w:tcPr>
          <w:p>
            <w:pPr/>
          </w:p>
        </w:tc>
      </w:tr>
      <w:tr>
        <w:trPr>
          <w:trHeight w:val="320" w:hRule="exact"/>
        </w:trPr>
        <w:tc>
          <w:tcPr>
            <w:tcW w:w="70" w:type="dxa"/>
            <w:tcBorders>
              <w:top w:val="nil" w:sz="6" w:space="0" w:color="auto"/>
              <w:left w:val="nil" w:sz="6" w:space="0" w:color="auto"/>
              <w:bottom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3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06" w:type="dxa"/>
            <w:tcBorders>
              <w:top w:val="nil" w:sz="6" w:space="0" w:color="auto"/>
              <w:left w:val="nil" w:sz="6" w:space="0" w:color="auto"/>
              <w:bottom w:val="nil" w:sz="6" w:space="0" w:color="auto"/>
              <w:right w:val="nil" w:sz="6" w:space="0" w:color="auto"/>
            </w:tcBorders>
          </w:tcPr>
          <w:p>
            <w:pPr/>
          </w:p>
        </w:tc>
        <w:tc>
          <w:tcPr>
            <w:tcW w:w="323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84"/>
              <w:jc w:val="right"/>
              <w:rPr>
                <w:rFonts w:ascii="Arial" w:hAnsi="Arial" w:cs="Arial" w:eastAsia="Arial" w:hint="default"/>
                <w:sz w:val="18"/>
                <w:szCs w:val="18"/>
              </w:rPr>
            </w:pPr>
            <w:r>
              <w:rPr>
                <w:rFonts w:ascii="Arial"/>
                <w:spacing w:val="-1"/>
                <w:sz w:val="18"/>
              </w:rPr>
              <w:t>891,286,008.45</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2047"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84"/>
              <w:jc w:val="right"/>
              <w:rPr>
                <w:rFonts w:ascii="Arial" w:hAnsi="Arial" w:cs="Arial" w:eastAsia="Arial" w:hint="default"/>
                <w:sz w:val="18"/>
                <w:szCs w:val="18"/>
              </w:rPr>
            </w:pPr>
            <w:r>
              <w:rPr>
                <w:rFonts w:ascii="Arial"/>
                <w:spacing w:val="-1"/>
                <w:sz w:val="18"/>
              </w:rPr>
              <w:t>151,487,973.35</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1"/>
          <w:szCs w:val="21"/>
        </w:rPr>
      </w:pPr>
    </w:p>
    <w:p>
      <w:pPr>
        <w:spacing w:line="290" w:lineRule="exact" w:before="0"/>
        <w:ind w:left="22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289" w:type="dxa"/>
        <w:tblLayout w:type="fixed"/>
        <w:tblCellMar>
          <w:top w:w="0" w:type="dxa"/>
          <w:left w:w="0" w:type="dxa"/>
          <w:bottom w:w="0" w:type="dxa"/>
          <w:right w:w="0" w:type="dxa"/>
        </w:tblCellMar>
        <w:tblLook w:val="01E0"/>
      </w:tblPr>
      <w:tblGrid>
        <w:gridCol w:w="2220"/>
        <w:gridCol w:w="1608"/>
        <w:gridCol w:w="4474"/>
      </w:tblGrid>
      <w:tr>
        <w:trPr>
          <w:trHeight w:val="35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75"/>
              <w:ind w:left="1846" w:right="0"/>
              <w:jc w:val="left"/>
              <w:rPr>
                <w:rFonts w:ascii="Arial" w:hAnsi="Arial" w:cs="Arial" w:eastAsia="Arial" w:hint="default"/>
                <w:sz w:val="18"/>
                <w:szCs w:val="18"/>
              </w:rPr>
            </w:pPr>
            <w:r>
              <w:rPr>
                <w:rFonts w:ascii="Arial"/>
                <w:sz w:val="18"/>
              </w:rPr>
              <w:t>-</w:t>
              <w:tab/>
              <w:t>-</w:t>
            </w:r>
          </w:p>
        </w:tc>
      </w:tr>
      <w:tr>
        <w:trPr>
          <w:trHeight w:val="32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735" w:right="0"/>
              <w:jc w:val="left"/>
              <w:rPr>
                <w:rFonts w:ascii="宋体" w:hAnsi="宋体" w:cs="宋体" w:eastAsia="宋体" w:hint="default"/>
                <w:sz w:val="18"/>
                <w:szCs w:val="18"/>
              </w:rPr>
            </w:pPr>
            <w:r>
              <w:rPr>
                <w:rFonts w:ascii="宋体" w:hAnsi="宋体" w:cs="宋体" w:eastAsia="宋体" w:hint="default"/>
                <w:sz w:val="18"/>
                <w:szCs w:val="18"/>
              </w:rPr>
              <w:t>十一(三)</w:t>
            </w:r>
          </w:p>
        </w:tc>
        <w:tc>
          <w:tcPr>
            <w:tcW w:w="4474"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45"/>
              <w:ind w:right="84"/>
              <w:jc w:val="right"/>
              <w:rPr>
                <w:rFonts w:ascii="Arial" w:hAnsi="Arial" w:cs="Arial" w:eastAsia="Arial" w:hint="default"/>
                <w:sz w:val="18"/>
                <w:szCs w:val="18"/>
              </w:rPr>
            </w:pPr>
            <w:r>
              <w:rPr>
                <w:rFonts w:ascii="Arial"/>
                <w:spacing w:val="-1"/>
                <w:sz w:val="18"/>
              </w:rPr>
              <w:t>28,658,215.20</w:t>
              <w:tab/>
              <w:t>28,067,879.25</w:t>
            </w:r>
            <w:r>
              <w:rPr>
                <w:rFonts w:ascii="Arial"/>
                <w:sz w:val="18"/>
              </w:rPr>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45"/>
              <w:ind w:right="84"/>
              <w:jc w:val="right"/>
              <w:rPr>
                <w:rFonts w:ascii="Arial" w:hAnsi="Arial" w:cs="Arial" w:eastAsia="Arial" w:hint="default"/>
                <w:sz w:val="18"/>
                <w:szCs w:val="18"/>
              </w:rPr>
            </w:pPr>
            <w:r>
              <w:rPr>
                <w:rFonts w:ascii="Arial"/>
                <w:spacing w:val="-1"/>
                <w:sz w:val="18"/>
              </w:rPr>
              <w:t>8,707,309.12</w:t>
              <w:tab/>
              <w:t>6,328,385.74</w:t>
            </w:r>
            <w:r>
              <w:rPr>
                <w:rFonts w:ascii="Arial"/>
                <w:sz w:val="18"/>
              </w:rPr>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201" w:right="0"/>
              <w:jc w:val="left"/>
              <w:rPr>
                <w:rFonts w:ascii="Arial" w:hAnsi="Arial" w:cs="Arial" w:eastAsia="Arial" w:hint="default"/>
                <w:sz w:val="18"/>
                <w:szCs w:val="18"/>
              </w:rPr>
            </w:pPr>
            <w:r>
              <w:rPr>
                <w:rFonts w:ascii="Arial"/>
                <w:spacing w:val="-1"/>
                <w:sz w:val="18"/>
              </w:rPr>
              <w:t>344,159.18</w:t>
              <w:tab/>
            </w:r>
            <w:r>
              <w:rPr>
                <w:rFonts w:ascii="Arial"/>
                <w:sz w:val="18"/>
              </w:rPr>
              <w:t>-</w:t>
            </w:r>
          </w:p>
        </w:tc>
      </w:tr>
      <w:tr>
        <w:trPr>
          <w:trHeight w:val="32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45"/>
              <w:ind w:right="84"/>
              <w:jc w:val="right"/>
              <w:rPr>
                <w:rFonts w:ascii="Arial" w:hAnsi="Arial" w:cs="Arial" w:eastAsia="Arial" w:hint="default"/>
                <w:sz w:val="18"/>
                <w:szCs w:val="18"/>
              </w:rPr>
            </w:pPr>
            <w:r>
              <w:rPr>
                <w:rFonts w:ascii="Arial"/>
                <w:spacing w:val="-1"/>
                <w:sz w:val="18"/>
              </w:rPr>
              <w:t>1,309,139.02</w:t>
              <w:tab/>
              <w:t>1,262,702.81</w:t>
            </w:r>
            <w:r>
              <w:rPr>
                <w:rFonts w:ascii="Arial"/>
                <w:sz w:val="18"/>
              </w:rPr>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nil" w:sz="6" w:space="0" w:color="auto"/>
              <w:right w:val="nil" w:sz="6" w:space="0" w:color="auto"/>
            </w:tcBorders>
          </w:tcPr>
          <w:p>
            <w:pPr>
              <w:pStyle w:val="TableParagraph"/>
              <w:tabs>
                <w:tab w:pos="2431" w:val="left" w:leader="none"/>
              </w:tabs>
              <w:spacing w:line="240" w:lineRule="auto" w:before="45"/>
              <w:ind w:right="84"/>
              <w:jc w:val="right"/>
              <w:rPr>
                <w:rFonts w:ascii="Arial" w:hAnsi="Arial" w:cs="Arial" w:eastAsia="Arial" w:hint="default"/>
                <w:sz w:val="18"/>
                <w:szCs w:val="18"/>
              </w:rPr>
            </w:pPr>
            <w:r>
              <w:rPr>
                <w:rFonts w:ascii="Arial"/>
                <w:spacing w:val="-1"/>
                <w:sz w:val="18"/>
              </w:rPr>
              <w:t>1,146,653.64</w:t>
              <w:tab/>
              <w:t>330,159.27</w:t>
            </w:r>
            <w:r>
              <w:rPr>
                <w:rFonts w:ascii="Arial"/>
                <w:sz w:val="18"/>
              </w:rPr>
            </w:r>
          </w:p>
        </w:tc>
      </w:tr>
      <w:tr>
        <w:trPr>
          <w:trHeight w:val="308"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nil" w:sz="6" w:space="0" w:color="auto"/>
              <w:left w:val="nil" w:sz="6" w:space="0" w:color="auto"/>
              <w:bottom w:val="single" w:sz="6" w:space="0" w:color="000000"/>
              <w:right w:val="nil" w:sz="6" w:space="0" w:color="auto"/>
            </w:tcBorders>
          </w:tcPr>
          <w:p>
            <w:pPr>
              <w:pStyle w:val="TableParagraph"/>
              <w:tabs>
                <w:tab w:pos="4125" w:val="left" w:leader="none"/>
              </w:tabs>
              <w:spacing w:line="240" w:lineRule="auto" w:before="45"/>
              <w:ind w:left="1846" w:right="0"/>
              <w:jc w:val="left"/>
              <w:rPr>
                <w:rFonts w:ascii="Arial" w:hAnsi="Arial" w:cs="Arial" w:eastAsia="Arial" w:hint="default"/>
                <w:sz w:val="18"/>
                <w:szCs w:val="18"/>
              </w:rPr>
            </w:pPr>
            <w:r>
              <w:rPr>
                <w:rFonts w:ascii="Arial"/>
                <w:sz w:val="18"/>
              </w:rPr>
              <w:t>-</w:t>
              <w:tab/>
              <w:t>-</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single" w:sz="6" w:space="0" w:color="000000"/>
              <w:left w:val="nil" w:sz="6" w:space="0" w:color="auto"/>
              <w:bottom w:val="single" w:sz="6" w:space="0" w:color="000000"/>
              <w:right w:val="nil" w:sz="6" w:space="0" w:color="auto"/>
            </w:tcBorders>
          </w:tcPr>
          <w:p>
            <w:pPr>
              <w:pStyle w:val="TableParagraph"/>
              <w:spacing w:line="20" w:lineRule="exact"/>
              <w:ind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9.75pt;height:.8pt;mso-position-horizontal-relative:char;mso-position-vertical-relative:line" coordorigin="0,0" coordsize="2195,16">
                  <v:shape style="position:absolute;left:0;top:0;width:2195;height:16" type="#_x0000_t75" stroked="false">
                    <v:imagedata r:id="rId46" o:title=""/>
                  </v:shape>
                </v:group>
              </w:pict>
            </w:r>
            <w:r>
              <w:rPr>
                <w:rFonts w:ascii="Microsoft JhengHei" w:hAnsi="Microsoft JhengHei" w:cs="Microsoft JhengHei" w:eastAsia="Microsoft JhengHei" w:hint="default"/>
                <w:sz w:val="2"/>
                <w:szCs w:val="2"/>
              </w:rPr>
            </w:r>
          </w:p>
          <w:p>
            <w:pPr>
              <w:pStyle w:val="TableParagraph"/>
              <w:tabs>
                <w:tab w:pos="2279" w:val="left" w:leader="none"/>
              </w:tabs>
              <w:spacing w:line="240" w:lineRule="auto" w:before="45"/>
              <w:ind w:right="84"/>
              <w:jc w:val="right"/>
              <w:rPr>
                <w:rFonts w:ascii="Arial" w:hAnsi="Arial" w:cs="Arial" w:eastAsia="Arial" w:hint="default"/>
                <w:sz w:val="18"/>
                <w:szCs w:val="18"/>
              </w:rPr>
            </w:pPr>
            <w:r>
              <w:rPr>
                <w:rFonts w:ascii="Arial"/>
                <w:spacing w:val="-1"/>
                <w:sz w:val="18"/>
              </w:rPr>
              <w:t>40,165,476.16</w:t>
              <w:tab/>
              <w:t>35,989,127.07</w:t>
            </w:r>
            <w:r>
              <w:rPr>
                <w:rFonts w:ascii="Arial"/>
                <w:sz w:val="18"/>
              </w:rPr>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10.55pt;height:.8pt;mso-position-horizontal-relative:char;mso-position-vertical-relative:line" coordorigin="0,0" coordsize="2211,16">
                  <v:group style="position:absolute;left:9;top:1;width:2193;height:2" coordorigin="9,1" coordsize="2193,2">
                    <v:shape style="position:absolute;left:9;top:1;width:2193;height:2" coordorigin="9,1" coordsize="2193,0" path="m9,1l2202,1e" filled="false" stroked="true" strokeweight=".114688pt" strokecolor="#000000">
                      <v:path arrowok="t"/>
                    </v:shape>
                  </v:group>
                  <v:group style="position:absolute;left:8;top:8;width:2195;height:2" coordorigin="8,8" coordsize="2195,2">
                    <v:shape style="position:absolute;left:8;top:8;width:2195;height:2" coordorigin="8,8" coordsize="2195,0" path="m8,8l2203,8e" filled="false" stroked="true" strokeweight=".7864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0" w:lineRule="exact"/>
              <w:ind w:left="-8"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10.55pt;height:.8pt;mso-position-horizontal-relative:char;mso-position-vertical-relative:line" coordorigin="0,0" coordsize="2211,16">
                  <v:group style="position:absolute;left:9;top:1;width:2193;height:2" coordorigin="9,1" coordsize="2193,2">
                    <v:shape style="position:absolute;left:9;top:1;width:2193;height:2" coordorigin="9,1" coordsize="2193,0" path="m9,1l2202,1e" filled="false" stroked="true" strokeweight=".114688pt" strokecolor="#000000">
                      <v:path arrowok="t"/>
                    </v:shape>
                  </v:group>
                  <v:group style="position:absolute;left:8;top:8;width:2195;height:2" coordorigin="8,8" coordsize="2195,2">
                    <v:shape style="position:absolute;left:8;top:8;width:2195;height:2" coordorigin="8,8" coordsize="2195,0" path="m8,8l2203,8e" filled="false" stroked="true" strokeweight=".786448pt" strokecolor="#000000">
                      <v:path arrowok="t"/>
                    </v:shape>
                  </v:group>
                </v:group>
              </w:pict>
            </w:r>
            <w:r>
              <w:rPr>
                <w:rFonts w:ascii="Microsoft JhengHei" w:hAnsi="Microsoft JhengHei" w:cs="Microsoft JhengHei" w:eastAsia="Microsoft JhengHei" w:hint="default"/>
                <w:sz w:val="2"/>
                <w:szCs w:val="2"/>
              </w:rPr>
            </w:r>
          </w:p>
        </w:tc>
      </w:tr>
      <w:tr>
        <w:trPr>
          <w:trHeight w:val="336"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72" w:lineRule="exact"/>
              <w:ind w:left="1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608" w:type="dxa"/>
            <w:tcBorders>
              <w:top w:val="nil" w:sz="6" w:space="0" w:color="auto"/>
              <w:left w:val="nil" w:sz="6" w:space="0" w:color="auto"/>
              <w:bottom w:val="nil" w:sz="6" w:space="0" w:color="auto"/>
              <w:right w:val="nil" w:sz="6" w:space="0" w:color="auto"/>
            </w:tcBorders>
          </w:tcPr>
          <w:p>
            <w:pPr/>
          </w:p>
        </w:tc>
        <w:tc>
          <w:tcPr>
            <w:tcW w:w="4474" w:type="dxa"/>
            <w:tcBorders>
              <w:top w:val="single" w:sz="6" w:space="0" w:color="000000"/>
              <w:left w:val="nil" w:sz="6" w:space="0" w:color="auto"/>
              <w:bottom w:val="single" w:sz="6" w:space="0" w:color="000000"/>
              <w:right w:val="nil" w:sz="6" w:space="0" w:color="auto"/>
            </w:tcBorders>
          </w:tcPr>
          <w:p>
            <w:pPr>
              <w:pStyle w:val="TableParagraph"/>
              <w:tabs>
                <w:tab w:pos="2279" w:val="left" w:leader="none"/>
              </w:tabs>
              <w:spacing w:line="240" w:lineRule="auto" w:before="49"/>
              <w:ind w:right="84"/>
              <w:jc w:val="right"/>
              <w:rPr>
                <w:rFonts w:ascii="Arial" w:hAnsi="Arial" w:cs="Arial" w:eastAsia="Arial" w:hint="default"/>
                <w:sz w:val="18"/>
                <w:szCs w:val="18"/>
              </w:rPr>
            </w:pPr>
            <w:r>
              <w:rPr>
                <w:rFonts w:ascii="Arial"/>
                <w:spacing w:val="-1"/>
                <w:sz w:val="18"/>
              </w:rPr>
              <w:t>931,451,484.61</w:t>
              <w:tab/>
              <w:t>187,477,100.42</w:t>
            </w:r>
            <w:r>
              <w:rPr>
                <w:rFonts w:ascii="Arial"/>
                <w:sz w:val="18"/>
              </w:rPr>
            </w:r>
          </w:p>
        </w:tc>
      </w:tr>
    </w:tbl>
    <w:p>
      <w:pPr>
        <w:spacing w:line="240" w:lineRule="auto" w:before="16"/>
        <w:rPr>
          <w:rFonts w:ascii="Microsoft JhengHei" w:hAnsi="Microsoft JhengHei" w:cs="Microsoft JhengHei" w:eastAsia="Microsoft JhengHei" w:hint="default"/>
          <w:b/>
          <w:bCs/>
          <w:sz w:val="15"/>
          <w:szCs w:val="15"/>
        </w:rPr>
      </w:pPr>
    </w:p>
    <w:p>
      <w:pPr>
        <w:spacing w:line="20" w:lineRule="exact"/>
        <w:ind w:left="18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1pt;height:.8pt;mso-position-horizontal-relative:char;mso-position-vertical-relative:line" coordorigin="0,0" coordsize="8420,16">
            <v:group style="position:absolute;left:9;top:1;width:8402;height:2" coordorigin="9,1" coordsize="8402,2">
              <v:shape style="position:absolute;left:9;top:1;width:8402;height:2" coordorigin="9,1" coordsize="8402,0" path="m9,1l8410,1e" filled="false" stroked="true" strokeweight=".114688pt" strokecolor="#000000">
                <v:path arrowok="t"/>
              </v:shape>
            </v:group>
            <v:group style="position:absolute;left:8;top:8;width:8404;height:2" coordorigin="8,8" coordsize="8404,2">
              <v:shape style="position:absolute;left:8;top:8;width:8404;height:2" coordorigin="8,8" coordsize="8404,0" path="m8,8l8411,8e" filled="false" stroked="true" strokeweight=".78639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footerReference w:type="default" r:id="rId45"/>
          <w:pgSz w:w="11910" w:h="16840"/>
          <w:pgMar w:footer="1838" w:header="867" w:top="1060" w:bottom="2020" w:left="1620" w:right="1480"/>
          <w:pgNumType w:start="93"/>
        </w:sectPr>
      </w:pPr>
    </w:p>
    <w:p>
      <w:pPr>
        <w:spacing w:line="240" w:lineRule="auto" w:before="2"/>
        <w:rPr>
          <w:rFonts w:ascii="Times New Roman" w:hAnsi="Times New Roman" w:cs="Times New Roman" w:eastAsia="Times New Roman" w:hint="default"/>
          <w:sz w:val="3"/>
          <w:szCs w:val="3"/>
        </w:rPr>
      </w:pPr>
      <w:r>
        <w:rPr/>
        <w:pict>
          <v:group style="position:absolute;margin-left:286.658447pt;margin-top:544.569763pt;width:111.75pt;height:.1pt;mso-position-horizontal-relative:page;mso-position-vertical-relative:page;z-index:-679360" coordorigin="5733,10891" coordsize="2235,2">
            <v:shape style="position:absolute;left:5733;top:10891;width:2235;height:2" coordorigin="5733,10891" coordsize="2235,0" path="m5733,10891l7968,10891e" filled="false" stroked="true" strokeweight=".800831pt" strokecolor="#000000">
              <v:path arrowok="t"/>
            </v:shape>
            <w10:wrap type="none"/>
          </v:group>
        </w:pict>
      </w:r>
      <w:r>
        <w:rPr/>
        <w:pict>
          <v:group style="position:absolute;margin-left:286.258026pt;margin-top:686.731628pt;width:112.55pt;height:.85pt;mso-position-horizontal-relative:page;mso-position-vertical-relative:page;z-index:-679336" coordorigin="5725,13735" coordsize="2251,17">
            <v:group style="position:absolute;left:5734;top:13736;width:2234;height:2" coordorigin="5734,13736" coordsize="2234,2">
              <v:shape style="position:absolute;left:5734;top:13736;width:2234;height:2" coordorigin="5734,13736" coordsize="2234,0" path="m5734,13736l7967,13736e" filled="false" stroked="true" strokeweight=".116793pt" strokecolor="#000000">
                <v:path arrowok="t"/>
              </v:shape>
            </v:group>
            <v:group style="position:absolute;left:5733;top:13743;width:2235;height:2" coordorigin="5733,13743" coordsize="2235,2">
              <v:shape style="position:absolute;left:5733;top:13743;width:2235;height:2" coordorigin="5733,13743" coordsize="2235,0" path="m5733,13743l7968,13743e" filled="false" stroked="true" strokeweight=".800831pt" strokecolor="#000000">
                <v:path arrowok="t"/>
              </v:shape>
            </v:group>
            <w10:wrap type="none"/>
          </v:group>
        </w:pict>
      </w:r>
      <w:r>
        <w:rPr/>
        <w:pict>
          <v:group style="position:absolute;margin-left:286.658447pt;margin-top:715.170654pt;width:111.75pt;height:.1pt;mso-position-horizontal-relative:page;mso-position-vertical-relative:page;z-index:-679312" coordorigin="5733,14303" coordsize="2235,2">
            <v:shape style="position:absolute;left:5733;top:14303;width:2235;height:2" coordorigin="5733,14303" coordsize="2235,0" path="m5733,14303l7968,14303e" filled="false" stroked="true" strokeweight=".800882pt" strokecolor="#000000">
              <v:path arrowok="t"/>
            </v:shape>
            <w10:wrap type="none"/>
          </v:group>
        </w:pict>
      </w:r>
      <w:r>
        <w:rPr/>
        <w:pict>
          <v:group style="position:absolute;margin-left:410.247314pt;margin-top:544.569763pt;width:104.25pt;height:.1pt;mso-position-horizontal-relative:page;mso-position-vertical-relative:page;z-index:-679288" coordorigin="8205,10891" coordsize="2085,2">
            <v:shape style="position:absolute;left:8205;top:10891;width:2085;height:2" coordorigin="8205,10891" coordsize="2085,0" path="m8205,10891l10289,10891e" filled="false" stroked="true" strokeweight=".800831pt" strokecolor="#000000">
              <v:path arrowok="t"/>
            </v:shape>
            <w10:wrap type="none"/>
          </v:group>
        </w:pict>
      </w:r>
      <w:r>
        <w:rPr/>
        <w:pict>
          <v:group style="position:absolute;margin-left:410.247314pt;margin-top:715.170654pt;width:104.25pt;height:.1pt;mso-position-horizontal-relative:page;mso-position-vertical-relative:page;z-index:-679264" coordorigin="8205,14303" coordsize="2085,2">
            <v:shape style="position:absolute;left:8205;top:14303;width:2085;height:2" coordorigin="8205,14303" coordsize="2085,0" path="m8205,14303l10289,14303e" filled="false" stroked="true" strokeweight=".800882pt" strokecolor="#000000">
              <v:path arrowok="t"/>
            </v:shape>
            <w10:wrap type="none"/>
          </v:group>
        </w:pict>
      </w: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tbl>
      <w:tblPr>
        <w:tblW w:w="0" w:type="auto"/>
        <w:jc w:val="left"/>
        <w:tblInd w:w="171" w:type="dxa"/>
        <w:tblLayout w:type="fixed"/>
        <w:tblCellMar>
          <w:top w:w="0" w:type="dxa"/>
          <w:left w:w="0" w:type="dxa"/>
          <w:bottom w:w="0" w:type="dxa"/>
          <w:right w:w="0" w:type="dxa"/>
        </w:tblCellMar>
        <w:tblLook w:val="01E0"/>
      </w:tblPr>
      <w:tblGrid>
        <w:gridCol w:w="2306"/>
        <w:gridCol w:w="1696"/>
        <w:gridCol w:w="2235"/>
        <w:gridCol w:w="237"/>
        <w:gridCol w:w="2084"/>
      </w:tblGrid>
      <w:tr>
        <w:trPr>
          <w:trHeight w:val="776" w:hRule="exact"/>
        </w:trPr>
        <w:tc>
          <w:tcPr>
            <w:tcW w:w="2306" w:type="dxa"/>
            <w:vMerge w:val="restart"/>
            <w:tcBorders>
              <w:top w:val="nil" w:sz="6" w:space="0" w:color="auto"/>
              <w:left w:val="nil" w:sz="6" w:space="0" w:color="auto"/>
              <w:right w:val="nil" w:sz="6" w:space="0" w:color="auto"/>
            </w:tcBorders>
          </w:tcPr>
          <w:p>
            <w:pP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413" w:lineRule="exact"/>
              <w:ind w:left="27" w:right="0"/>
              <w:jc w:val="center"/>
              <w:rPr>
                <w:rFonts w:ascii="宋体" w:hAnsi="宋体" w:cs="宋体" w:eastAsia="宋体" w:hint="default"/>
                <w:sz w:val="33"/>
                <w:szCs w:val="33"/>
              </w:rPr>
            </w:pPr>
            <w:r>
              <w:rPr>
                <w:rFonts w:ascii="宋体" w:hAnsi="宋体" w:cs="宋体" w:eastAsia="宋体" w:hint="default"/>
                <w:sz w:val="33"/>
                <w:szCs w:val="33"/>
              </w:rPr>
              <w:t>母公司资产负债表（续）</w:t>
            </w:r>
          </w:p>
          <w:p>
            <w:pPr>
              <w:pStyle w:val="TableParagraph"/>
              <w:spacing w:line="240" w:lineRule="auto" w:before="45"/>
              <w:ind w:left="30" w:right="0"/>
              <w:jc w:val="center"/>
              <w:rPr>
                <w:rFonts w:ascii="宋体" w:hAnsi="宋体" w:cs="宋体" w:eastAsia="宋体" w:hint="default"/>
                <w:sz w:val="18"/>
                <w:szCs w:val="18"/>
              </w:rPr>
            </w:pPr>
            <w:r>
              <w:rPr>
                <w:rFonts w:ascii="宋体" w:hAnsi="宋体" w:cs="宋体" w:eastAsia="宋体" w:hint="default"/>
                <w:w w:val="110"/>
                <w:sz w:val="18"/>
                <w:szCs w:val="18"/>
              </w:rPr>
              <w:t>2010年12月31日</w:t>
            </w:r>
            <w:r>
              <w:rPr>
                <w:rFonts w:ascii="宋体" w:hAnsi="宋体" w:cs="宋体" w:eastAsia="宋体" w:hint="default"/>
                <w:sz w:val="18"/>
                <w:szCs w:val="18"/>
              </w:rPr>
            </w:r>
          </w:p>
        </w:tc>
        <w:tc>
          <w:tcPr>
            <w:tcW w:w="2321" w:type="dxa"/>
            <w:gridSpan w:val="2"/>
            <w:tcBorders>
              <w:top w:val="nil" w:sz="6" w:space="0" w:color="auto"/>
              <w:left w:val="nil" w:sz="6" w:space="0" w:color="auto"/>
              <w:bottom w:val="nil" w:sz="6" w:space="0" w:color="auto"/>
              <w:right w:val="nil" w:sz="6" w:space="0" w:color="auto"/>
            </w:tcBorders>
          </w:tcPr>
          <w:p>
            <w:pPr/>
          </w:p>
        </w:tc>
      </w:tr>
      <w:tr>
        <w:trPr>
          <w:trHeight w:val="477" w:hRule="exact"/>
        </w:trPr>
        <w:tc>
          <w:tcPr>
            <w:tcW w:w="2306" w:type="dxa"/>
            <w:vMerge/>
            <w:tcBorders>
              <w:left w:val="nil" w:sz="6" w:space="0" w:color="auto"/>
              <w:bottom w:val="nil" w:sz="6" w:space="0" w:color="auto"/>
              <w:right w:val="nil" w:sz="6" w:space="0" w:color="auto"/>
            </w:tcBorders>
          </w:tcPr>
          <w:p>
            <w:pPr/>
          </w:p>
        </w:tc>
        <w:tc>
          <w:tcPr>
            <w:tcW w:w="3931" w:type="dxa"/>
            <w:gridSpan w:val="2"/>
            <w:tcBorders>
              <w:top w:val="nil" w:sz="6" w:space="0" w:color="auto"/>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6"/>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443" w:hRule="exact"/>
        </w:trPr>
        <w:tc>
          <w:tcPr>
            <w:tcW w:w="2306" w:type="dxa"/>
            <w:tcBorders>
              <w:top w:val="nil" w:sz="6" w:space="0" w:color="auto"/>
              <w:left w:val="nil" w:sz="6" w:space="0" w:color="auto"/>
              <w:bottom w:val="single" w:sz="6" w:space="0" w:color="000000"/>
              <w:right w:val="nil" w:sz="6" w:space="0" w:color="auto"/>
            </w:tcBorders>
          </w:tcPr>
          <w:p>
            <w:pPr>
              <w:pStyle w:val="TableParagraph"/>
              <w:spacing w:line="240" w:lineRule="auto" w:before="159"/>
              <w:ind w:left="779" w:right="0"/>
              <w:jc w:val="left"/>
              <w:rPr>
                <w:rFonts w:ascii="宋体" w:hAnsi="宋体" w:cs="宋体" w:eastAsia="宋体" w:hint="default"/>
                <w:sz w:val="18"/>
                <w:szCs w:val="18"/>
              </w:rPr>
            </w:pPr>
            <w:r>
              <w:rPr>
                <w:rFonts w:ascii="宋体" w:hAnsi="宋体" w:cs="宋体" w:eastAsia="宋体" w:hint="default"/>
                <w:w w:val="105"/>
                <w:sz w:val="18"/>
                <w:szCs w:val="18"/>
              </w:rPr>
              <w:t>负债和股东权益</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tabs>
                <w:tab w:pos="2542" w:val="left" w:leader="none"/>
              </w:tabs>
              <w:spacing w:line="240" w:lineRule="auto" w:before="159"/>
              <w:ind w:left="961" w:right="0"/>
              <w:jc w:val="left"/>
              <w:rPr>
                <w:rFonts w:ascii="宋体" w:hAnsi="宋体" w:cs="宋体" w:eastAsia="宋体" w:hint="default"/>
                <w:sz w:val="18"/>
                <w:szCs w:val="18"/>
              </w:rPr>
            </w:pPr>
            <w:r>
              <w:rPr>
                <w:rFonts w:ascii="宋体" w:hAnsi="宋体" w:cs="宋体" w:eastAsia="宋体" w:hint="default"/>
                <w:sz w:val="18"/>
                <w:szCs w:val="18"/>
              </w:rPr>
              <w:t>附注</w:t>
              <w:tab/>
            </w:r>
            <w:r>
              <w:rPr>
                <w:rFonts w:ascii="宋体" w:hAnsi="宋体" w:cs="宋体" w:eastAsia="宋体" w:hint="default"/>
                <w:w w:val="105"/>
                <w:sz w:val="18"/>
                <w:szCs w:val="18"/>
              </w:rPr>
              <w:t>期末数</w:t>
            </w:r>
            <w:r>
              <w:rPr>
                <w:rFonts w:ascii="宋体" w:hAnsi="宋体" w:cs="宋体" w:eastAsia="宋体" w:hint="default"/>
                <w:sz w:val="18"/>
                <w:szCs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6" w:space="0" w:color="000000"/>
              <w:right w:val="nil" w:sz="6" w:space="0" w:color="auto"/>
            </w:tcBorders>
          </w:tcPr>
          <w:p>
            <w:pPr>
              <w:pStyle w:val="TableParagraph"/>
              <w:spacing w:line="240" w:lineRule="auto" w:before="159"/>
              <w:ind w:left="14" w:right="0"/>
              <w:jc w:val="center"/>
              <w:rPr>
                <w:rFonts w:ascii="宋体" w:hAnsi="宋体" w:cs="宋体" w:eastAsia="宋体" w:hint="default"/>
                <w:sz w:val="18"/>
                <w:szCs w:val="18"/>
              </w:rPr>
            </w:pPr>
            <w:r>
              <w:rPr>
                <w:rFonts w:ascii="宋体" w:hAnsi="宋体" w:cs="宋体" w:eastAsia="宋体" w:hint="default"/>
                <w:w w:val="105"/>
                <w:sz w:val="18"/>
                <w:szCs w:val="18"/>
              </w:rPr>
              <w:t>期初数</w:t>
            </w:r>
            <w:r>
              <w:rPr>
                <w:rFonts w:ascii="宋体" w:hAnsi="宋体" w:cs="宋体" w:eastAsia="宋体" w:hint="default"/>
                <w:sz w:val="18"/>
                <w:szCs w:val="18"/>
              </w:rPr>
            </w:r>
          </w:p>
        </w:tc>
      </w:tr>
      <w:tr>
        <w:trPr>
          <w:trHeight w:val="859" w:hRule="exact"/>
        </w:trPr>
        <w:tc>
          <w:tcPr>
            <w:tcW w:w="230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59" w:lineRule="auto"/>
              <w:ind w:left="139" w:right="1336" w:hanging="105"/>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流动负债：</w:t>
            </w:r>
            <w:r>
              <w:rPr>
                <w:rFonts w:ascii="Microsoft JhengHei" w:hAnsi="Microsoft JhengHei" w:cs="Microsoft JhengHei" w:eastAsia="Microsoft JhengHei" w:hint="default"/>
                <w:b/>
                <w:bCs/>
                <w:spacing w:val="-13"/>
                <w:sz w:val="18"/>
                <w:szCs w:val="18"/>
              </w:rPr>
              <w:t> </w:t>
            </w:r>
            <w:r>
              <w:rPr>
                <w:rFonts w:ascii="宋体" w:hAnsi="宋体" w:cs="宋体" w:eastAsia="宋体" w:hint="default"/>
                <w:w w:val="105"/>
                <w:sz w:val="18"/>
                <w:szCs w:val="18"/>
              </w:rPr>
              <w:t>短期借款</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72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65pt;height:.85pt;mso-position-horizontal-relative:char;mso-position-vertical-relative:line" coordorigin="0,0" coordsize="833,17">
                  <v:group style="position:absolute;left:9;top:1;width:815;height:2" coordorigin="9,1" coordsize="815,2">
                    <v:shape style="position:absolute;left:9;top:1;width:815;height:2" coordorigin="9,1" coordsize="815,0" path="m9,1l823,1e" filled="false" stroked="true" strokeweight=".116793pt" strokecolor="#000000">
                      <v:path arrowok="t"/>
                    </v:shape>
                  </v:group>
                  <v:group style="position:absolute;left:8;top:8;width:817;height:2" coordorigin="8,8" coordsize="817,2">
                    <v:shape style="position:absolute;left:8;top:8;width:817;height:2" coordorigin="8,8" coordsize="817,0" path="m8,8l824,8e" filled="false" stroked="true" strokeweight=".800865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91"/>
              <w:jc w:val="right"/>
              <w:rPr>
                <w:rFonts w:ascii="Arial" w:hAnsi="Arial" w:cs="Arial" w:eastAsia="Arial" w:hint="default"/>
                <w:sz w:val="18"/>
                <w:szCs w:val="18"/>
              </w:rPr>
            </w:pPr>
            <w:r>
              <w:rPr>
                <w:rFonts w:ascii="Arial"/>
                <w:w w:val="102"/>
                <w:sz w:val="18"/>
              </w:rPr>
              <w:t>-</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1"/>
              <w:jc w:val="right"/>
              <w:rPr>
                <w:rFonts w:ascii="Arial" w:hAnsi="Arial" w:cs="Arial" w:eastAsia="Arial" w:hint="default"/>
                <w:sz w:val="18"/>
                <w:szCs w:val="18"/>
              </w:rPr>
            </w:pPr>
            <w:r>
              <w:rPr>
                <w:rFonts w:ascii="Arial"/>
                <w:w w:val="102"/>
                <w:sz w:val="18"/>
              </w:rPr>
              <w:t>-</w:t>
            </w:r>
            <w:r>
              <w:rPr>
                <w:rFonts w:ascii="Arial"/>
                <w:sz w:val="18"/>
              </w:rPr>
            </w:r>
          </w:p>
        </w:tc>
      </w:tr>
      <w:tr>
        <w:trPr>
          <w:trHeight w:val="565"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交易性金融负债</w:t>
            </w:r>
            <w:r>
              <w:rPr>
                <w:rFonts w:ascii="宋体" w:hAnsi="宋体" w:cs="宋体" w:eastAsia="宋体" w:hint="default"/>
                <w:sz w:val="18"/>
                <w:szCs w:val="18"/>
              </w:rPr>
            </w:r>
          </w:p>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w w:val="105"/>
                <w:sz w:val="18"/>
                <w:szCs w:val="18"/>
              </w:rPr>
              <w:t>应付票据</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326" w:lineRule="auto" w:before="27"/>
              <w:ind w:left="2662" w:right="86" w:firstLine="913"/>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12,893,051.02</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326" w:lineRule="auto" w:before="27"/>
              <w:ind w:left="919"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4,511,502.74</w:t>
            </w:r>
            <w:r>
              <w:rPr>
                <w:rFonts w:ascii="Arial"/>
                <w:sz w:val="18"/>
              </w:rPr>
            </w:r>
          </w:p>
        </w:tc>
      </w:tr>
      <w:tr>
        <w:trPr>
          <w:trHeight w:val="282"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应付账款</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84,813,729.17</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26,532,865.28</w:t>
            </w:r>
            <w:r>
              <w:rPr>
                <w:rFonts w:ascii="Arial"/>
                <w:sz w:val="18"/>
              </w:rPr>
            </w:r>
          </w:p>
        </w:tc>
      </w:tr>
      <w:tr>
        <w:trPr>
          <w:trHeight w:val="283"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预收款项</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7,796,472.55</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2,462,046.33</w:t>
            </w:r>
            <w:r>
              <w:rPr>
                <w:rFonts w:ascii="Arial"/>
                <w:sz w:val="18"/>
              </w:rPr>
            </w:r>
          </w:p>
        </w:tc>
      </w:tr>
      <w:tr>
        <w:trPr>
          <w:trHeight w:val="283"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应付职工薪酬</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3,858,394.00</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2,985,772.51</w:t>
            </w:r>
            <w:r>
              <w:rPr>
                <w:rFonts w:ascii="Arial"/>
                <w:sz w:val="18"/>
              </w:rPr>
            </w:r>
          </w:p>
        </w:tc>
      </w:tr>
      <w:tr>
        <w:trPr>
          <w:trHeight w:val="1399"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应交税费</w:t>
            </w:r>
            <w:r>
              <w:rPr>
                <w:rFonts w:ascii="宋体" w:hAnsi="宋体" w:cs="宋体" w:eastAsia="宋体" w:hint="default"/>
                <w:sz w:val="18"/>
                <w:szCs w:val="18"/>
              </w:rPr>
            </w:r>
          </w:p>
          <w:p>
            <w:pPr>
              <w:pStyle w:val="TableParagraph"/>
              <w:spacing w:line="288" w:lineRule="auto" w:before="46"/>
              <w:ind w:left="139" w:right="1242"/>
              <w:jc w:val="left"/>
              <w:rPr>
                <w:rFonts w:ascii="宋体" w:hAnsi="宋体" w:cs="宋体" w:eastAsia="宋体" w:hint="default"/>
                <w:sz w:val="18"/>
                <w:szCs w:val="18"/>
              </w:rPr>
            </w:pPr>
            <w:r>
              <w:rPr>
                <w:rFonts w:ascii="宋体" w:hAnsi="宋体" w:cs="宋体" w:eastAsia="宋体" w:hint="default"/>
                <w:w w:val="105"/>
                <w:sz w:val="18"/>
                <w:szCs w:val="18"/>
              </w:rPr>
              <w:t>应付股利</w:t>
            </w:r>
            <w:r>
              <w:rPr>
                <w:rFonts w:ascii="宋体" w:hAnsi="宋体" w:cs="宋体" w:eastAsia="宋体" w:hint="default"/>
                <w:w w:val="102"/>
                <w:sz w:val="18"/>
                <w:szCs w:val="18"/>
              </w:rPr>
              <w:t> </w:t>
            </w:r>
            <w:r>
              <w:rPr>
                <w:rFonts w:ascii="宋体" w:hAnsi="宋体" w:cs="宋体" w:eastAsia="宋体" w:hint="default"/>
                <w:sz w:val="18"/>
                <w:szCs w:val="18"/>
              </w:rPr>
              <w:t>其他应付款</w:t>
            </w:r>
          </w:p>
          <w:p>
            <w:pPr>
              <w:pStyle w:val="TableParagraph"/>
              <w:spacing w:line="288" w:lineRule="auto" w:before="10"/>
              <w:ind w:left="139" w:right="134"/>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pacing w:val="-41"/>
                <w:sz w:val="18"/>
                <w:szCs w:val="18"/>
              </w:rPr>
              <w:t> </w:t>
            </w:r>
            <w:r>
              <w:rPr>
                <w:rFonts w:ascii="宋体" w:hAnsi="宋体" w:cs="宋体" w:eastAsia="宋体" w:hint="default"/>
                <w:w w:val="105"/>
                <w:sz w:val="18"/>
                <w:szCs w:val="18"/>
              </w:rPr>
              <w:t>其他流动负债</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Arial" w:hAnsi="Arial" w:cs="Arial" w:eastAsia="Arial" w:hint="default"/>
                <w:sz w:val="18"/>
                <w:szCs w:val="18"/>
              </w:rPr>
            </w:pPr>
            <w:r>
              <w:rPr>
                <w:rFonts w:ascii="Arial"/>
                <w:spacing w:val="-1"/>
                <w:sz w:val="18"/>
              </w:rPr>
              <w:t>418,519.62</w:t>
            </w:r>
            <w:r>
              <w:rPr>
                <w:rFonts w:ascii="Arial"/>
                <w:sz w:val="18"/>
              </w:rPr>
            </w:r>
          </w:p>
          <w:p>
            <w:pPr>
              <w:pStyle w:val="TableParagraph"/>
              <w:spacing w:line="326" w:lineRule="auto" w:before="75"/>
              <w:ind w:left="2765"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1,528,831.29</w:t>
            </w:r>
            <w:r>
              <w:rPr>
                <w:rFonts w:ascii="Arial"/>
                <w:sz w:val="18"/>
              </w:rPr>
            </w:r>
          </w:p>
          <w:p>
            <w:pPr>
              <w:pStyle w:val="TableParagraph"/>
              <w:spacing w:line="240" w:lineRule="auto" w:before="3"/>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1063" w:right="0"/>
              <w:jc w:val="left"/>
              <w:rPr>
                <w:rFonts w:ascii="Arial" w:hAnsi="Arial" w:cs="Arial" w:eastAsia="Arial" w:hint="default"/>
                <w:sz w:val="18"/>
                <w:szCs w:val="18"/>
              </w:rPr>
            </w:pPr>
            <w:r>
              <w:rPr>
                <w:rFonts w:ascii="Arial"/>
                <w:w w:val="105"/>
                <w:sz w:val="18"/>
              </w:rPr>
              <w:t>276,688.14</w:t>
            </w:r>
            <w:r>
              <w:rPr>
                <w:rFonts w:ascii="Arial"/>
                <w:sz w:val="18"/>
              </w:rPr>
            </w:r>
          </w:p>
          <w:p>
            <w:pPr>
              <w:pStyle w:val="TableParagraph"/>
              <w:spacing w:line="326" w:lineRule="auto" w:before="75"/>
              <w:ind w:left="919"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5,841,055.17</w:t>
            </w:r>
            <w:r>
              <w:rPr>
                <w:rFonts w:ascii="Arial"/>
                <w:sz w:val="18"/>
              </w:rPr>
            </w:r>
          </w:p>
          <w:p>
            <w:pPr>
              <w:pStyle w:val="TableParagraph"/>
              <w:spacing w:line="240" w:lineRule="auto" w:before="3"/>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tc>
      </w:tr>
      <w:tr>
        <w:trPr>
          <w:trHeight w:val="282"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w w:val="105"/>
                <w:sz w:val="18"/>
                <w:szCs w:val="18"/>
              </w:rPr>
              <w:t>流动负债合计</w:t>
            </w:r>
            <w:r>
              <w:rPr>
                <w:rFonts w:ascii="宋体" w:hAnsi="宋体" w:cs="宋体" w:eastAsia="宋体"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2560" w:right="0"/>
              <w:jc w:val="left"/>
              <w:rPr>
                <w:rFonts w:ascii="Arial" w:hAnsi="Arial" w:cs="Arial" w:eastAsia="Arial" w:hint="default"/>
                <w:sz w:val="18"/>
                <w:szCs w:val="18"/>
              </w:rPr>
            </w:pPr>
            <w:r>
              <w:rPr>
                <w:rFonts w:ascii="Arial"/>
                <w:w w:val="105"/>
                <w:sz w:val="18"/>
              </w:rPr>
              <w:t>111,308,997.65</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31"/>
              <w:ind w:right="86"/>
              <w:jc w:val="right"/>
              <w:rPr>
                <w:rFonts w:ascii="Arial" w:hAnsi="Arial" w:cs="Arial" w:eastAsia="Arial" w:hint="default"/>
                <w:sz w:val="18"/>
                <w:szCs w:val="18"/>
              </w:rPr>
            </w:pPr>
            <w:r>
              <w:rPr>
                <w:rFonts w:ascii="Arial"/>
                <w:spacing w:val="-1"/>
                <w:sz w:val="18"/>
              </w:rPr>
              <w:t>42,609,930.17</w:t>
            </w:r>
            <w:r>
              <w:rPr>
                <w:rFonts w:ascii="Arial"/>
                <w:sz w:val="18"/>
              </w:rPr>
            </w:r>
          </w:p>
        </w:tc>
      </w:tr>
      <w:tr>
        <w:trPr>
          <w:trHeight w:val="577"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非流动负债：</w:t>
            </w:r>
            <w:r>
              <w:rPr>
                <w:rFonts w:ascii="Microsoft JhengHei" w:hAnsi="Microsoft JhengHei" w:cs="Microsoft JhengHei" w:eastAsia="Microsoft JhengHei" w:hint="default"/>
                <w:sz w:val="18"/>
                <w:szCs w:val="18"/>
              </w:rPr>
            </w:r>
          </w:p>
        </w:tc>
        <w:tc>
          <w:tcPr>
            <w:tcW w:w="3931" w:type="dxa"/>
            <w:gridSpan w:val="2"/>
            <w:tcBorders>
              <w:top w:val="nil" w:sz="6" w:space="0" w:color="auto"/>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r>
        <w:trPr>
          <w:trHeight w:val="1964"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长期借款</w:t>
            </w:r>
            <w:r>
              <w:rPr>
                <w:rFonts w:ascii="宋体" w:hAnsi="宋体" w:cs="宋体" w:eastAsia="宋体" w:hint="default"/>
                <w:sz w:val="18"/>
                <w:szCs w:val="18"/>
              </w:rPr>
            </w:r>
          </w:p>
          <w:p>
            <w:pPr>
              <w:pStyle w:val="TableParagraph"/>
              <w:spacing w:line="288" w:lineRule="auto" w:before="46"/>
              <w:ind w:left="139" w:right="2568"/>
              <w:jc w:val="left"/>
              <w:rPr>
                <w:rFonts w:ascii="宋体" w:hAnsi="宋体" w:cs="宋体" w:eastAsia="宋体" w:hint="default"/>
                <w:sz w:val="18"/>
                <w:szCs w:val="18"/>
              </w:rPr>
            </w:pPr>
            <w:r>
              <w:rPr>
                <w:rFonts w:ascii="宋体" w:hAnsi="宋体" w:cs="宋体" w:eastAsia="宋体" w:hint="default"/>
                <w:w w:val="105"/>
                <w:sz w:val="18"/>
                <w:szCs w:val="18"/>
              </w:rPr>
              <w:t>应付债券</w:t>
            </w:r>
            <w:r>
              <w:rPr>
                <w:rFonts w:ascii="宋体" w:hAnsi="宋体" w:cs="宋体" w:eastAsia="宋体" w:hint="default"/>
                <w:w w:val="102"/>
                <w:sz w:val="18"/>
                <w:szCs w:val="18"/>
              </w:rPr>
              <w:t> </w:t>
            </w:r>
            <w:r>
              <w:rPr>
                <w:rFonts w:ascii="宋体" w:hAnsi="宋体" w:cs="宋体" w:eastAsia="宋体" w:hint="default"/>
                <w:w w:val="105"/>
                <w:sz w:val="18"/>
                <w:szCs w:val="18"/>
              </w:rPr>
              <w:t>长期应付款</w:t>
            </w:r>
            <w:r>
              <w:rPr>
                <w:rFonts w:ascii="宋体" w:hAnsi="宋体" w:cs="宋体" w:eastAsia="宋体" w:hint="default"/>
                <w:w w:val="102"/>
                <w:sz w:val="18"/>
                <w:szCs w:val="18"/>
              </w:rPr>
              <w:t> </w:t>
            </w:r>
            <w:r>
              <w:rPr>
                <w:rFonts w:ascii="宋体" w:hAnsi="宋体" w:cs="宋体" w:eastAsia="宋体" w:hint="default"/>
                <w:w w:val="105"/>
                <w:sz w:val="18"/>
                <w:szCs w:val="18"/>
              </w:rPr>
              <w:t>专项应付款</w:t>
            </w:r>
            <w:r>
              <w:rPr>
                <w:rFonts w:ascii="宋体" w:hAnsi="宋体" w:cs="宋体" w:eastAsia="宋体" w:hint="default"/>
                <w:w w:val="102"/>
                <w:sz w:val="18"/>
                <w:szCs w:val="18"/>
              </w:rPr>
              <w:t> </w:t>
            </w:r>
            <w:r>
              <w:rPr>
                <w:rFonts w:ascii="宋体" w:hAnsi="宋体" w:cs="宋体" w:eastAsia="宋体" w:hint="default"/>
                <w:w w:val="105"/>
                <w:sz w:val="18"/>
                <w:szCs w:val="18"/>
              </w:rPr>
              <w:t>预计负债</w:t>
            </w:r>
            <w:r>
              <w:rPr>
                <w:rFonts w:ascii="宋体" w:hAnsi="宋体" w:cs="宋体" w:eastAsia="宋体" w:hint="default"/>
                <w:w w:val="102"/>
                <w:sz w:val="18"/>
                <w:szCs w:val="18"/>
              </w:rPr>
              <w:t> </w:t>
            </w:r>
            <w:r>
              <w:rPr>
                <w:rFonts w:ascii="宋体" w:hAnsi="宋体" w:cs="宋体" w:eastAsia="宋体" w:hint="default"/>
                <w:sz w:val="18"/>
                <w:szCs w:val="18"/>
              </w:rPr>
              <w:t>递延所得税负债</w:t>
            </w:r>
            <w:r>
              <w:rPr>
                <w:rFonts w:ascii="宋体" w:hAnsi="宋体" w:cs="宋体" w:eastAsia="宋体" w:hint="default"/>
                <w:spacing w:val="-59"/>
                <w:sz w:val="18"/>
                <w:szCs w:val="18"/>
              </w:rPr>
              <w:t> </w:t>
            </w:r>
            <w:r>
              <w:rPr>
                <w:rFonts w:ascii="宋体" w:hAnsi="宋体" w:cs="宋体" w:eastAsia="宋体" w:hint="default"/>
                <w:sz w:val="18"/>
                <w:szCs w:val="18"/>
              </w:rPr>
              <w:t>其他非流动负债</w:t>
            </w:r>
          </w:p>
        </w:tc>
        <w:tc>
          <w:tcPr>
            <w:tcW w:w="2235"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326" w:lineRule="auto" w:before="75"/>
              <w:ind w:left="1069"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3,500,000.00</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326" w:lineRule="auto" w:before="75"/>
              <w:ind w:left="919"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1,000,000.00</w:t>
            </w:r>
            <w:r>
              <w:rPr>
                <w:rFonts w:ascii="Arial"/>
                <w:sz w:val="18"/>
              </w:rPr>
            </w:r>
          </w:p>
        </w:tc>
      </w:tr>
      <w:tr>
        <w:trPr>
          <w:trHeight w:val="283"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w w:val="105"/>
                <w:sz w:val="18"/>
                <w:szCs w:val="18"/>
              </w:rPr>
              <w:t>非流动负债合计</w:t>
            </w:r>
            <w:r>
              <w:rPr>
                <w:rFonts w:ascii="宋体" w:hAnsi="宋体" w:cs="宋体" w:eastAsia="宋体" w:hint="default"/>
                <w:sz w:val="18"/>
                <w:szCs w:val="18"/>
              </w:rPr>
            </w:r>
          </w:p>
        </w:tc>
        <w:tc>
          <w:tcPr>
            <w:tcW w:w="2235" w:type="dxa"/>
            <w:tcBorders>
              <w:top w:val="single" w:sz="6" w:space="0" w:color="000000"/>
              <w:left w:val="nil" w:sz="6" w:space="0" w:color="auto"/>
              <w:bottom w:val="single" w:sz="6" w:space="0" w:color="000000"/>
              <w:right w:val="nil" w:sz="6" w:space="0" w:color="auto"/>
            </w:tcBorders>
          </w:tcPr>
          <w:p>
            <w:pPr>
              <w:pStyle w:val="TableParagraph"/>
              <w:spacing w:line="240" w:lineRule="auto" w:before="31"/>
              <w:ind w:right="86"/>
              <w:jc w:val="right"/>
              <w:rPr>
                <w:rFonts w:ascii="Arial" w:hAnsi="Arial" w:cs="Arial" w:eastAsia="Arial" w:hint="default"/>
                <w:sz w:val="18"/>
                <w:szCs w:val="18"/>
              </w:rPr>
            </w:pPr>
            <w:r>
              <w:rPr>
                <w:rFonts w:ascii="Arial"/>
                <w:spacing w:val="-1"/>
                <w:sz w:val="18"/>
              </w:rPr>
              <w:t>3,500,000.00</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31"/>
              <w:ind w:right="86"/>
              <w:jc w:val="right"/>
              <w:rPr>
                <w:rFonts w:ascii="Arial" w:hAnsi="Arial" w:cs="Arial" w:eastAsia="Arial" w:hint="default"/>
                <w:sz w:val="18"/>
                <w:szCs w:val="18"/>
              </w:rPr>
            </w:pPr>
            <w:r>
              <w:rPr>
                <w:rFonts w:ascii="Arial"/>
                <w:spacing w:val="-1"/>
                <w:sz w:val="18"/>
              </w:rPr>
              <w:t>1,000,000.00</w:t>
            </w:r>
            <w:r>
              <w:rPr>
                <w:rFonts w:ascii="Arial"/>
                <w:sz w:val="18"/>
              </w:rPr>
            </w:r>
          </w:p>
        </w:tc>
      </w:tr>
      <w:tr>
        <w:trPr>
          <w:trHeight w:val="310"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3" w:right="0"/>
              <w:jc w:val="left"/>
              <w:rPr>
                <w:rFonts w:ascii="宋体" w:hAnsi="宋体" w:cs="宋体" w:eastAsia="宋体" w:hint="default"/>
                <w:sz w:val="18"/>
                <w:szCs w:val="18"/>
              </w:rPr>
            </w:pPr>
            <w:r>
              <w:rPr>
                <w:rFonts w:ascii="宋体" w:hAnsi="宋体" w:cs="宋体" w:eastAsia="宋体" w:hint="default"/>
                <w:w w:val="105"/>
                <w:sz w:val="18"/>
                <w:szCs w:val="18"/>
              </w:rPr>
              <w:t>负债合计</w:t>
            </w:r>
            <w:r>
              <w:rPr>
                <w:rFonts w:ascii="宋体" w:hAnsi="宋体" w:cs="宋体" w:eastAsia="宋体" w:hint="default"/>
                <w:sz w:val="18"/>
                <w:szCs w:val="18"/>
              </w:rPr>
            </w:r>
          </w:p>
        </w:tc>
        <w:tc>
          <w:tcPr>
            <w:tcW w:w="2235"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114,808,997.65</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43,609,930.17</w:t>
            </w:r>
            <w:r>
              <w:rPr>
                <w:rFonts w:ascii="Arial"/>
                <w:sz w:val="18"/>
              </w:rPr>
            </w:r>
          </w:p>
        </w:tc>
      </w:tr>
      <w:tr>
        <w:trPr>
          <w:trHeight w:val="855"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59" w:lineRule="auto"/>
              <w:ind w:left="139" w:right="3032" w:hanging="105"/>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股东权益：</w:t>
            </w:r>
            <w:r>
              <w:rPr>
                <w:rFonts w:ascii="Microsoft JhengHei" w:hAnsi="Microsoft JhengHei" w:cs="Microsoft JhengHei" w:eastAsia="Microsoft JhengHei" w:hint="default"/>
                <w:b/>
                <w:bCs/>
                <w:spacing w:val="-13"/>
                <w:sz w:val="18"/>
                <w:szCs w:val="18"/>
              </w:rPr>
              <w:t> </w:t>
            </w:r>
            <w:r>
              <w:rPr>
                <w:rFonts w:ascii="宋体" w:hAnsi="宋体" w:cs="宋体" w:eastAsia="宋体" w:hint="default"/>
                <w:w w:val="105"/>
                <w:sz w:val="18"/>
                <w:szCs w:val="18"/>
              </w:rPr>
              <w:t>股本</w:t>
            </w:r>
            <w:r>
              <w:rPr>
                <w:rFonts w:ascii="宋体" w:hAnsi="宋体" w:cs="宋体" w:eastAsia="宋体" w:hint="default"/>
                <w:sz w:val="18"/>
                <w:szCs w:val="18"/>
              </w:rPr>
            </w:r>
          </w:p>
        </w:tc>
        <w:tc>
          <w:tcPr>
            <w:tcW w:w="223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6"/>
              <w:jc w:val="right"/>
              <w:rPr>
                <w:rFonts w:ascii="Arial" w:hAnsi="Arial" w:cs="Arial" w:eastAsia="Arial" w:hint="default"/>
                <w:sz w:val="18"/>
                <w:szCs w:val="18"/>
              </w:rPr>
            </w:pPr>
            <w:r>
              <w:rPr>
                <w:rFonts w:ascii="Arial"/>
                <w:spacing w:val="-1"/>
                <w:sz w:val="18"/>
              </w:rPr>
              <w:t>63,500,000.00</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6"/>
              <w:jc w:val="right"/>
              <w:rPr>
                <w:rFonts w:ascii="Arial" w:hAnsi="Arial" w:cs="Arial" w:eastAsia="Arial" w:hint="default"/>
                <w:sz w:val="18"/>
                <w:szCs w:val="18"/>
              </w:rPr>
            </w:pPr>
            <w:r>
              <w:rPr>
                <w:rFonts w:ascii="Arial"/>
                <w:spacing w:val="-1"/>
                <w:sz w:val="18"/>
              </w:rPr>
              <w:t>47,500,000.00</w:t>
            </w:r>
            <w:r>
              <w:rPr>
                <w:rFonts w:ascii="Arial"/>
                <w:sz w:val="18"/>
              </w:rPr>
            </w:r>
          </w:p>
        </w:tc>
      </w:tr>
      <w:tr>
        <w:trPr>
          <w:trHeight w:val="1129"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资本公积</w:t>
            </w:r>
            <w:r>
              <w:rPr>
                <w:rFonts w:ascii="宋体" w:hAnsi="宋体" w:cs="宋体" w:eastAsia="宋体" w:hint="default"/>
                <w:sz w:val="18"/>
                <w:szCs w:val="18"/>
              </w:rPr>
            </w:r>
          </w:p>
          <w:p>
            <w:pPr>
              <w:pStyle w:val="TableParagraph"/>
              <w:spacing w:line="288" w:lineRule="auto" w:before="46"/>
              <w:ind w:left="139" w:right="2938"/>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pacing w:val="-68"/>
                <w:sz w:val="18"/>
                <w:szCs w:val="18"/>
              </w:rPr>
              <w:t> </w:t>
            </w:r>
            <w:r>
              <w:rPr>
                <w:rFonts w:ascii="宋体" w:hAnsi="宋体" w:cs="宋体" w:eastAsia="宋体" w:hint="default"/>
                <w:w w:val="105"/>
                <w:sz w:val="18"/>
                <w:szCs w:val="18"/>
              </w:rPr>
              <w:t>专项储备</w:t>
            </w:r>
            <w:r>
              <w:rPr>
                <w:rFonts w:ascii="宋体" w:hAnsi="宋体" w:cs="宋体" w:eastAsia="宋体" w:hint="default"/>
                <w:w w:val="102"/>
                <w:sz w:val="18"/>
                <w:szCs w:val="18"/>
              </w:rPr>
              <w:t> </w:t>
            </w:r>
            <w:r>
              <w:rPr>
                <w:rFonts w:ascii="宋体" w:hAnsi="宋体" w:cs="宋体" w:eastAsia="宋体" w:hint="default"/>
                <w:w w:val="105"/>
                <w:sz w:val="18"/>
                <w:szCs w:val="18"/>
              </w:rPr>
              <w:t>盈余公积</w:t>
            </w:r>
            <w:r>
              <w:rPr>
                <w:rFonts w:ascii="宋体" w:hAnsi="宋体" w:cs="宋体" w:eastAsia="宋体" w:hint="default"/>
                <w:sz w:val="18"/>
                <w:szCs w:val="18"/>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64" w:right="0"/>
              <w:jc w:val="left"/>
              <w:rPr>
                <w:rFonts w:ascii="Arial" w:hAnsi="Arial" w:cs="Arial" w:eastAsia="Arial" w:hint="default"/>
                <w:sz w:val="18"/>
                <w:szCs w:val="18"/>
              </w:rPr>
            </w:pPr>
            <w:r>
              <w:rPr>
                <w:rFonts w:ascii="Arial"/>
                <w:w w:val="105"/>
                <w:sz w:val="18"/>
              </w:rPr>
              <w:t>692,720,393.65</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326" w:lineRule="auto" w:before="75"/>
              <w:ind w:left="1069"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7,020,701.36</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16" w:right="0"/>
              <w:jc w:val="left"/>
              <w:rPr>
                <w:rFonts w:ascii="Arial" w:hAnsi="Arial" w:cs="Arial" w:eastAsia="Arial" w:hint="default"/>
                <w:sz w:val="18"/>
                <w:szCs w:val="18"/>
              </w:rPr>
            </w:pPr>
            <w:r>
              <w:rPr>
                <w:rFonts w:ascii="Arial"/>
                <w:w w:val="105"/>
                <w:sz w:val="18"/>
              </w:rPr>
              <w:t>62,385,459.32</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p>
            <w:pPr>
              <w:pStyle w:val="TableParagraph"/>
              <w:spacing w:line="326" w:lineRule="auto" w:before="75"/>
              <w:ind w:left="919" w:right="86" w:firstLine="810"/>
              <w:jc w:val="left"/>
              <w:rPr>
                <w:rFonts w:ascii="Arial" w:hAnsi="Arial" w:cs="Arial" w:eastAsia="Arial" w:hint="default"/>
                <w:sz w:val="18"/>
                <w:szCs w:val="18"/>
              </w:rPr>
            </w:pPr>
            <w:r>
              <w:rPr>
                <w:rFonts w:ascii="Arial"/>
                <w:w w:val="105"/>
                <w:sz w:val="18"/>
              </w:rPr>
              <w:t>-</w:t>
            </w:r>
            <w:r>
              <w:rPr>
                <w:rFonts w:ascii="Arial"/>
                <w:w w:val="102"/>
                <w:sz w:val="18"/>
              </w:rPr>
              <w:t> </w:t>
            </w:r>
            <w:r>
              <w:rPr>
                <w:rFonts w:ascii="Arial"/>
                <w:spacing w:val="-1"/>
                <w:sz w:val="18"/>
              </w:rPr>
              <w:t>4,376,663.12</w:t>
            </w:r>
            <w:r>
              <w:rPr>
                <w:rFonts w:ascii="Arial"/>
                <w:sz w:val="18"/>
              </w:rPr>
            </w:r>
          </w:p>
        </w:tc>
      </w:tr>
      <w:tr>
        <w:trPr>
          <w:trHeight w:val="553"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未分配利润</w:t>
            </w:r>
            <w:r>
              <w:rPr>
                <w:rFonts w:ascii="宋体" w:hAnsi="宋体" w:cs="宋体" w:eastAsia="宋体" w:hint="default"/>
                <w:sz w:val="18"/>
                <w:szCs w:val="18"/>
              </w:rPr>
            </w:r>
          </w:p>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w w:val="105"/>
                <w:sz w:val="18"/>
                <w:szCs w:val="18"/>
              </w:rPr>
              <w:t>外币报表折算差额</w:t>
            </w:r>
            <w:r>
              <w:rPr>
                <w:rFonts w:ascii="宋体" w:hAnsi="宋体" w:cs="宋体" w:eastAsia="宋体" w:hint="default"/>
                <w:sz w:val="18"/>
                <w:szCs w:val="18"/>
              </w:rPr>
            </w:r>
          </w:p>
        </w:tc>
        <w:tc>
          <w:tcPr>
            <w:tcW w:w="2235"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966" w:right="0"/>
              <w:jc w:val="left"/>
              <w:rPr>
                <w:rFonts w:ascii="Arial" w:hAnsi="Arial" w:cs="Arial" w:eastAsia="Arial" w:hint="default"/>
                <w:sz w:val="18"/>
                <w:szCs w:val="18"/>
              </w:rPr>
            </w:pPr>
            <w:r>
              <w:rPr>
                <w:rFonts w:ascii="Arial"/>
                <w:w w:val="105"/>
                <w:sz w:val="18"/>
              </w:rPr>
              <w:t>53,401,391.95</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806" w:right="0"/>
              <w:jc w:val="left"/>
              <w:rPr>
                <w:rFonts w:ascii="Arial" w:hAnsi="Arial" w:cs="Arial" w:eastAsia="Arial" w:hint="default"/>
                <w:sz w:val="18"/>
                <w:szCs w:val="18"/>
              </w:rPr>
            </w:pPr>
            <w:r>
              <w:rPr>
                <w:rFonts w:ascii="Arial"/>
                <w:w w:val="105"/>
                <w:sz w:val="18"/>
              </w:rPr>
              <w:t>29,605,047.81</w:t>
            </w:r>
            <w:r>
              <w:rPr>
                <w:rFonts w:ascii="Arial"/>
                <w:sz w:val="18"/>
              </w:rPr>
            </w:r>
          </w:p>
          <w:p>
            <w:pPr>
              <w:pStyle w:val="TableParagraph"/>
              <w:spacing w:line="240" w:lineRule="auto" w:before="75"/>
              <w:ind w:right="291"/>
              <w:jc w:val="right"/>
              <w:rPr>
                <w:rFonts w:ascii="Arial" w:hAnsi="Arial" w:cs="Arial" w:eastAsia="Arial" w:hint="default"/>
                <w:sz w:val="18"/>
                <w:szCs w:val="18"/>
              </w:rPr>
            </w:pPr>
            <w:r>
              <w:rPr>
                <w:rFonts w:ascii="Arial"/>
                <w:w w:val="102"/>
                <w:sz w:val="18"/>
              </w:rPr>
              <w:t>-</w:t>
            </w:r>
            <w:r>
              <w:rPr>
                <w:rFonts w:ascii="Arial"/>
                <w:sz w:val="18"/>
              </w:rPr>
            </w:r>
          </w:p>
        </w:tc>
      </w:tr>
      <w:tr>
        <w:trPr>
          <w:trHeight w:val="282"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w w:val="105"/>
                <w:sz w:val="18"/>
                <w:szCs w:val="18"/>
              </w:rPr>
              <w:t>股东权益合计</w:t>
            </w:r>
            <w:r>
              <w:rPr>
                <w:rFonts w:ascii="宋体" w:hAnsi="宋体" w:cs="宋体" w:eastAsia="宋体" w:hint="default"/>
                <w:sz w:val="18"/>
                <w:szCs w:val="18"/>
              </w:rPr>
            </w:r>
          </w:p>
        </w:tc>
        <w:tc>
          <w:tcPr>
            <w:tcW w:w="2235"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96"/>
              <w:jc w:val="right"/>
              <w:rPr>
                <w:rFonts w:ascii="Arial" w:hAnsi="Arial" w:cs="Arial" w:eastAsia="Arial" w:hint="default"/>
                <w:sz w:val="18"/>
                <w:szCs w:val="18"/>
              </w:rPr>
            </w:pPr>
            <w:r>
              <w:rPr>
                <w:rFonts w:ascii="Arial"/>
                <w:spacing w:val="-1"/>
                <w:sz w:val="18"/>
              </w:rPr>
              <w:t>816,642,486.96</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31"/>
              <w:ind w:right="96"/>
              <w:jc w:val="right"/>
              <w:rPr>
                <w:rFonts w:ascii="Arial" w:hAnsi="Arial" w:cs="Arial" w:eastAsia="Arial" w:hint="default"/>
                <w:sz w:val="18"/>
                <w:szCs w:val="18"/>
              </w:rPr>
            </w:pPr>
            <w:r>
              <w:rPr>
                <w:rFonts w:ascii="Arial"/>
                <w:spacing w:val="-1"/>
                <w:sz w:val="18"/>
              </w:rPr>
              <w:t>143,867,170.25</w:t>
            </w:r>
            <w:r>
              <w:rPr>
                <w:rFonts w:ascii="Arial"/>
                <w:sz w:val="18"/>
              </w:rPr>
            </w:r>
          </w:p>
        </w:tc>
      </w:tr>
      <w:tr>
        <w:trPr>
          <w:trHeight w:val="282" w:hRule="exact"/>
        </w:trPr>
        <w:tc>
          <w:tcPr>
            <w:tcW w:w="4002" w:type="dxa"/>
            <w:gridSpan w:val="2"/>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6" w:space="0" w:color="000000"/>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single" w:sz="6" w:space="0" w:color="000000"/>
              <w:right w:val="nil" w:sz="6" w:space="0" w:color="auto"/>
            </w:tcBorders>
          </w:tcPr>
          <w:p>
            <w:pPr/>
          </w:p>
        </w:tc>
      </w:tr>
      <w:tr>
        <w:trPr>
          <w:trHeight w:val="310" w:hRule="exact"/>
        </w:trPr>
        <w:tc>
          <w:tcPr>
            <w:tcW w:w="4002"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负债和股东权益总计</w:t>
            </w:r>
            <w:r>
              <w:rPr>
                <w:rFonts w:ascii="Microsoft JhengHei" w:hAnsi="Microsoft JhengHei" w:cs="Microsoft JhengHei" w:eastAsia="Microsoft JhengHei" w:hint="default"/>
                <w:sz w:val="18"/>
                <w:szCs w:val="18"/>
              </w:rPr>
            </w:r>
          </w:p>
        </w:tc>
        <w:tc>
          <w:tcPr>
            <w:tcW w:w="2235"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931,451,484.61</w:t>
            </w:r>
            <w:r>
              <w:rPr>
                <w:rFonts w:ascii="Arial"/>
                <w:sz w:val="18"/>
              </w:rPr>
            </w:r>
          </w:p>
        </w:tc>
        <w:tc>
          <w:tcPr>
            <w:tcW w:w="237"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187,477,100.42</w:t>
            </w:r>
            <w:r>
              <w:rPr>
                <w:rFonts w:ascii="Arial"/>
                <w:sz w:val="18"/>
              </w:rPr>
            </w:r>
          </w:p>
        </w:tc>
      </w:tr>
    </w:tbl>
    <w:p>
      <w:pPr>
        <w:spacing w:line="240" w:lineRule="auto" w:before="1"/>
        <w:rPr>
          <w:rFonts w:ascii="Times New Roman" w:hAnsi="Times New Roman" w:cs="Times New Roman" w:eastAsia="Times New Roman" w:hint="default"/>
          <w:sz w:val="22"/>
          <w:szCs w:val="22"/>
        </w:rPr>
      </w:pPr>
    </w:p>
    <w:p>
      <w:pPr>
        <w:spacing w:line="20" w:lineRule="exact"/>
        <w:ind w:left="1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pt;height:.85pt;mso-position-horizontal-relative:char;mso-position-vertical-relative:line" coordorigin="0,0" coordsize="8574,17">
            <v:group style="position:absolute;left:9;top:1;width:8556;height:2" coordorigin="9,1" coordsize="8556,2">
              <v:shape style="position:absolute;left:9;top:1;width:8556;height:2" coordorigin="9,1" coordsize="8556,0" path="m9,1l8564,1e" filled="false" stroked="true" strokeweight=".116793pt" strokecolor="#000000">
                <v:path arrowok="t"/>
              </v:shape>
            </v:group>
            <v:group style="position:absolute;left:8;top:8;width:8558;height:2" coordorigin="8,8" coordsize="8558,2">
              <v:shape style="position:absolute;left:8;top:8;width:8558;height:2" coordorigin="8,8" coordsize="8558,0" path="m8,8l8565,8e" filled="false" stroked="true" strokeweight=".80083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67" w:footer="1838" w:top="1060" w:bottom="2020" w:left="1560" w:right="1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47"/>
          <w:pgSz w:w="11910" w:h="16840"/>
          <w:pgMar w:footer="1267" w:header="867" w:top="1060" w:bottom="1460" w:left="1560" w:right="1440"/>
        </w:sectPr>
      </w:pPr>
    </w:p>
    <w:p>
      <w:pPr>
        <w:spacing w:before="117"/>
        <w:ind w:left="3458" w:right="0" w:firstLine="0"/>
        <w:jc w:val="left"/>
        <w:rPr>
          <w:rFonts w:ascii="宋体" w:hAnsi="宋体" w:cs="宋体" w:eastAsia="宋体" w:hint="default"/>
          <w:sz w:val="33"/>
          <w:szCs w:val="33"/>
        </w:rPr>
      </w:pPr>
      <w:r>
        <w:rPr>
          <w:rFonts w:ascii="宋体" w:hAnsi="宋体" w:cs="宋体" w:eastAsia="宋体" w:hint="default"/>
          <w:sz w:val="33"/>
          <w:szCs w:val="33"/>
        </w:rPr>
        <w:t>母公司利润表</w:t>
      </w:r>
    </w:p>
    <w:p>
      <w:pPr>
        <w:spacing w:before="60"/>
        <w:ind w:left="3365" w:right="0" w:firstLine="0"/>
        <w:jc w:val="left"/>
        <w:rPr>
          <w:rFonts w:ascii="宋体" w:hAnsi="宋体" w:cs="宋体" w:eastAsia="宋体" w:hint="default"/>
          <w:sz w:val="18"/>
          <w:szCs w:val="18"/>
        </w:rPr>
      </w:pPr>
      <w:r>
        <w:rPr>
          <w:rFonts w:ascii="宋体" w:hAnsi="宋体" w:cs="宋体" w:eastAsia="宋体" w:hint="default"/>
          <w:w w:val="110"/>
          <w:sz w:val="18"/>
          <w:szCs w:val="18"/>
        </w:rPr>
        <w:t>2010年度</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1862" w:right="0" w:firstLine="0"/>
        <w:jc w:val="left"/>
        <w:rPr>
          <w:rFonts w:ascii="宋体" w:hAnsi="宋体" w:cs="宋体" w:eastAsia="宋体" w:hint="default"/>
          <w:sz w:val="18"/>
          <w:szCs w:val="18"/>
        </w:rPr>
      </w:pPr>
      <w:r>
        <w:rPr>
          <w:rFonts w:ascii="宋体" w:hAnsi="宋体" w:cs="宋体" w:eastAsia="宋体" w:hint="default"/>
          <w:w w:val="105"/>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460" w:left="1560" w:right="1440"/>
          <w:cols w:num="2" w:equalWidth="0">
            <w:col w:w="5486" w:space="40"/>
            <w:col w:w="3384"/>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3444" w:val="left" w:leader="none"/>
          <w:tab w:pos="5038" w:val="left" w:leader="none"/>
          <w:tab w:pos="7456" w:val="left" w:leader="none"/>
        </w:tabs>
        <w:spacing w:before="38"/>
        <w:ind w:left="1401" w:right="176" w:firstLine="0"/>
        <w:jc w:val="left"/>
        <w:rPr>
          <w:rFonts w:ascii="宋体" w:hAnsi="宋体" w:cs="宋体" w:eastAsia="宋体" w:hint="default"/>
          <w:sz w:val="18"/>
          <w:szCs w:val="18"/>
        </w:rPr>
      </w:pPr>
      <w:r>
        <w:rPr>
          <w:rFonts w:ascii="宋体" w:hAnsi="宋体" w:cs="宋体" w:eastAsia="宋体" w:hint="default"/>
          <w:sz w:val="18"/>
          <w:szCs w:val="18"/>
        </w:rPr>
        <w:t>项目</w:t>
        <w:tab/>
        <w:t>附注</w:t>
        <w:tab/>
        <w:t>本期数</w:t>
        <w:tab/>
      </w:r>
      <w:r>
        <w:rPr>
          <w:rFonts w:ascii="宋体" w:hAnsi="宋体" w:cs="宋体" w:eastAsia="宋体" w:hint="default"/>
          <w:w w:val="105"/>
          <w:sz w:val="18"/>
          <w:szCs w:val="18"/>
        </w:rPr>
        <w:t>上期数</w:t>
      </w:r>
      <w:r>
        <w:rPr>
          <w:rFonts w:ascii="宋体" w:hAnsi="宋体" w:cs="宋体" w:eastAsia="宋体" w:hint="default"/>
          <w:sz w:val="18"/>
          <w:szCs w:val="18"/>
        </w:rPr>
      </w:r>
    </w:p>
    <w:p>
      <w:pPr>
        <w:spacing w:line="240" w:lineRule="auto" w:before="2"/>
        <w:rPr>
          <w:rFonts w:ascii="宋体" w:hAnsi="宋体" w:cs="宋体" w:eastAsia="宋体" w:hint="default"/>
          <w:sz w:val="3"/>
          <w:szCs w:val="3"/>
        </w:rPr>
      </w:pPr>
    </w:p>
    <w:p>
      <w:pPr>
        <w:tabs>
          <w:tab w:pos="6669" w:val="left" w:leader="none"/>
        </w:tabs>
        <w:spacing w:line="20" w:lineRule="exact"/>
        <w:ind w:left="143" w:right="0" w:firstLine="0"/>
        <w:rPr>
          <w:rFonts w:ascii="宋体" w:hAnsi="宋体" w:cs="宋体" w:eastAsia="宋体" w:hint="default"/>
          <w:sz w:val="2"/>
          <w:szCs w:val="2"/>
        </w:rPr>
      </w:pPr>
      <w:r>
        <w:rPr>
          <w:rFonts w:ascii="宋体"/>
          <w:sz w:val="2"/>
        </w:rPr>
        <w:pict>
          <v:group style="width:143.85pt;height:.85pt;mso-position-horizontal-relative:char;mso-position-vertical-relative:line" coordorigin="0,0" coordsize="2877,17">
            <v:group style="position:absolute;left:9;top:1;width:2859;height:2" coordorigin="9,1" coordsize="2859,2">
              <v:shape style="position:absolute;left:9;top:1;width:2859;height:2" coordorigin="9,1" coordsize="2859,0" path="m9,1l2868,1e" filled="false" stroked="true" strokeweight=".117769pt" strokecolor="#000000">
                <v:path arrowok="t"/>
              </v:shape>
            </v:group>
            <v:group style="position:absolute;left:8;top:8;width:2861;height:2" coordorigin="8,8" coordsize="2861,2">
              <v:shape style="position:absolute;left:8;top:8;width:2861;height:2" coordorigin="8,8" coordsize="2861,0" path="m8,8l2869,8e" filled="false" stroked="true" strokeweight=".807561pt" strokecolor="#000000">
                <v:path arrowok="t"/>
              </v:shape>
            </v:group>
          </v:group>
        </w:pict>
      </w:r>
      <w:r>
        <w:rPr>
          <w:rFonts w:ascii="宋体"/>
          <w:sz w:val="2"/>
        </w:rPr>
      </w:r>
      <w:r>
        <w:rPr>
          <w:rFonts w:ascii="Times New Roman"/>
          <w:spacing w:val="178"/>
          <w:sz w:val="2"/>
        </w:rPr>
        <w:t> </w:t>
      </w:r>
      <w:r>
        <w:rPr>
          <w:rFonts w:ascii="宋体"/>
          <w:spacing w:val="178"/>
          <w:sz w:val="2"/>
        </w:rPr>
        <w:pict>
          <v:group style="width:42pt;height:.85pt;mso-position-horizontal-relative:char;mso-position-vertical-relative:line" coordorigin="0,0" coordsize="840,17">
            <v:group style="position:absolute;left:9;top:1;width:822;height:2" coordorigin="9,1" coordsize="822,2">
              <v:shape style="position:absolute;left:9;top:1;width:822;height:2" coordorigin="9,1" coordsize="822,0" path="m9,1l830,1e" filled="false" stroked="true" strokeweight=".117769pt" strokecolor="#000000">
                <v:path arrowok="t"/>
              </v:shape>
            </v:group>
            <v:group style="position:absolute;left:8;top:8;width:824;height:2" coordorigin="8,8" coordsize="824,2">
              <v:shape style="position:absolute;left:8;top:8;width:824;height:2" coordorigin="8,8" coordsize="824,0" path="m8,8l831,8e" filled="false" stroked="true" strokeweight=".807561pt" strokecolor="#000000">
                <v:path arrowok="t"/>
              </v:shape>
            </v:group>
          </v:group>
        </w:pict>
      </w:r>
      <w:r>
        <w:rPr>
          <w:rFonts w:ascii="宋体"/>
          <w:spacing w:val="178"/>
          <w:sz w:val="2"/>
        </w:rPr>
      </w:r>
      <w:r>
        <w:rPr>
          <w:rFonts w:ascii="Times New Roman"/>
          <w:spacing w:val="127"/>
          <w:sz w:val="2"/>
        </w:rPr>
        <w:t> </w:t>
      </w:r>
      <w:r>
        <w:rPr>
          <w:rFonts w:ascii="宋体"/>
          <w:spacing w:val="127"/>
          <w:sz w:val="2"/>
        </w:rPr>
        <w:pict>
          <v:group style="width:113.5pt;height:.85pt;mso-position-horizontal-relative:char;mso-position-vertical-relative:line" coordorigin="0,0" coordsize="2270,17">
            <v:group style="position:absolute;left:9;top:1;width:2252;height:2" coordorigin="9,1" coordsize="2252,2">
              <v:shape style="position:absolute;left:9;top:1;width:2252;height:2" coordorigin="9,1" coordsize="2252,0" path="m9,1l2261,1e" filled="false" stroked="true" strokeweight=".117769pt" strokecolor="#000000">
                <v:path arrowok="t"/>
              </v:shape>
            </v:group>
            <v:group style="position:absolute;left:8;top:8;width:2254;height:2" coordorigin="8,8" coordsize="2254,2">
              <v:shape style="position:absolute;left:8;top:8;width:2254;height:2" coordorigin="8,8" coordsize="2254,0" path="m8,8l2261,8e" filled="false" stroked="true" strokeweight=".807561pt" strokecolor="#000000">
                <v:path arrowok="t"/>
              </v:shape>
            </v:group>
          </v:group>
        </w:pict>
      </w:r>
      <w:r>
        <w:rPr>
          <w:rFonts w:ascii="宋体"/>
          <w:spacing w:val="127"/>
          <w:sz w:val="2"/>
        </w:rPr>
      </w:r>
      <w:r>
        <w:rPr>
          <w:rFonts w:ascii="宋体"/>
          <w:spacing w:val="127"/>
          <w:sz w:val="2"/>
        </w:rPr>
        <w:tab/>
      </w:r>
      <w:r>
        <w:rPr>
          <w:rFonts w:ascii="宋体"/>
          <w:spacing w:val="127"/>
          <w:sz w:val="2"/>
        </w:rPr>
        <w:pict>
          <v:group style="width:105.9pt;height:.85pt;mso-position-horizontal-relative:char;mso-position-vertical-relative:line" coordorigin="0,0" coordsize="2118,17">
            <v:group style="position:absolute;left:9;top:1;width:2100;height:2" coordorigin="9,1" coordsize="2100,2">
              <v:shape style="position:absolute;left:9;top:1;width:2100;height:2" coordorigin="9,1" coordsize="2100,0" path="m9,1l2109,1e" filled="false" stroked="true" strokeweight=".117769pt" strokecolor="#000000">
                <v:path arrowok="t"/>
              </v:shape>
            </v:group>
            <v:group style="position:absolute;left:8;top:8;width:2102;height:2" coordorigin="8,8" coordsize="2102,2">
              <v:shape style="position:absolute;left:8;top:8;width:2102;height:2" coordorigin="8,8" coordsize="2102,0" path="m8,8l2110,8e" filled="false" stroked="true" strokeweight=".807561pt" strokecolor="#000000">
                <v:path arrowok="t"/>
              </v:shape>
            </v:group>
          </v:group>
        </w:pict>
      </w:r>
      <w:r>
        <w:rPr>
          <w:rFonts w:ascii="宋体"/>
          <w:spacing w:val="127"/>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tabs>
          <w:tab w:pos="7759" w:val="left" w:leader="none"/>
        </w:tabs>
        <w:spacing w:before="79"/>
        <w:ind w:left="5419" w:right="139" w:firstLine="0"/>
        <w:jc w:val="left"/>
        <w:rPr>
          <w:rFonts w:ascii="Arial" w:hAnsi="Arial" w:cs="Arial" w:eastAsia="Arial" w:hint="default"/>
          <w:sz w:val="18"/>
          <w:szCs w:val="18"/>
        </w:rPr>
      </w:pPr>
      <w:r>
        <w:rPr/>
        <w:pict>
          <v:shape style="position:absolute;margin-left:85.533646pt;margin-top:-135.224304pt;width:431.45pt;height:331.6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0"/>
                    <w:gridCol w:w="1465"/>
                    <w:gridCol w:w="2253"/>
                    <w:gridCol w:w="239"/>
                    <w:gridCol w:w="2102"/>
                  </w:tblGrid>
                  <w:tr>
                    <w:trPr>
                      <w:trHeight w:val="33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一、营业收入</w:t>
                        </w:r>
                        <w:r>
                          <w:rPr>
                            <w:rFonts w:ascii="Microsoft JhengHei" w:hAnsi="Microsoft JhengHei" w:cs="Microsoft JhengHei" w:eastAsia="Microsoft JhengHei" w:hint="default"/>
                            <w:sz w:val="18"/>
                            <w:szCs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1"/>
                          <w:jc w:val="right"/>
                          <w:rPr>
                            <w:rFonts w:ascii="宋体" w:hAnsi="宋体" w:cs="宋体" w:eastAsia="宋体" w:hint="default"/>
                            <w:sz w:val="18"/>
                            <w:szCs w:val="18"/>
                          </w:rPr>
                        </w:pPr>
                        <w:r>
                          <w:rPr>
                            <w:rFonts w:ascii="宋体" w:hAnsi="宋体" w:cs="宋体" w:eastAsia="宋体" w:hint="default"/>
                            <w:w w:val="90"/>
                            <w:sz w:val="18"/>
                            <w:szCs w:val="18"/>
                          </w:rPr>
                          <w:t>十一(四)</w:t>
                        </w:r>
                        <w:r>
                          <w:rPr>
                            <w:rFonts w:ascii="宋体" w:hAnsi="宋体" w:cs="宋体" w:eastAsia="宋体" w:hint="default"/>
                            <w:sz w:val="18"/>
                            <w:szCs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7"/>
                          <w:jc w:val="right"/>
                          <w:rPr>
                            <w:rFonts w:ascii="Arial" w:hAnsi="Arial" w:cs="Arial" w:eastAsia="Arial" w:hint="default"/>
                            <w:sz w:val="18"/>
                            <w:szCs w:val="18"/>
                          </w:rPr>
                        </w:pPr>
                        <w:r>
                          <w:rPr>
                            <w:rFonts w:ascii="Arial"/>
                            <w:spacing w:val="-1"/>
                            <w:sz w:val="18"/>
                          </w:rPr>
                          <w:t>205,299,993.01</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959" w:right="0"/>
                          <w:jc w:val="left"/>
                          <w:rPr>
                            <w:rFonts w:ascii="Arial" w:hAnsi="Arial" w:cs="Arial" w:eastAsia="Arial" w:hint="default"/>
                            <w:sz w:val="18"/>
                            <w:szCs w:val="18"/>
                          </w:rPr>
                        </w:pPr>
                        <w:r>
                          <w:rPr>
                            <w:rFonts w:ascii="Arial"/>
                            <w:w w:val="105"/>
                            <w:sz w:val="18"/>
                          </w:rPr>
                          <w:t>137,430,017.35</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221" w:right="0"/>
                          <w:jc w:val="left"/>
                          <w:rPr>
                            <w:rFonts w:ascii="宋体" w:hAnsi="宋体" w:cs="宋体" w:eastAsia="宋体" w:hint="default"/>
                            <w:sz w:val="18"/>
                            <w:szCs w:val="18"/>
                          </w:rPr>
                        </w:pPr>
                        <w:r>
                          <w:rPr>
                            <w:rFonts w:ascii="宋体" w:hAnsi="宋体" w:cs="宋体" w:eastAsia="宋体" w:hint="default"/>
                            <w:w w:val="105"/>
                            <w:sz w:val="18"/>
                            <w:szCs w:val="18"/>
                          </w:rPr>
                          <w:t>减：营业成本</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23" w:lineRule="exact"/>
                          <w:ind w:right="211"/>
                          <w:jc w:val="right"/>
                          <w:rPr>
                            <w:rFonts w:ascii="宋体" w:hAnsi="宋体" w:cs="宋体" w:eastAsia="宋体" w:hint="default"/>
                            <w:sz w:val="18"/>
                            <w:szCs w:val="18"/>
                          </w:rPr>
                        </w:pPr>
                        <w:r>
                          <w:rPr>
                            <w:rFonts w:ascii="宋体" w:hAnsi="宋体" w:cs="宋体" w:eastAsia="宋体" w:hint="default"/>
                            <w:w w:val="90"/>
                            <w:sz w:val="18"/>
                            <w:szCs w:val="18"/>
                          </w:rPr>
                          <w:t>十一(四)</w:t>
                        </w:r>
                        <w:r>
                          <w:rPr>
                            <w:rFonts w:ascii="宋体" w:hAnsi="宋体" w:cs="宋体" w:eastAsia="宋体" w:hint="default"/>
                            <w:sz w:val="18"/>
                            <w:szCs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138,681,008.53</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62" w:right="0"/>
                          <w:jc w:val="left"/>
                          <w:rPr>
                            <w:rFonts w:ascii="Arial" w:hAnsi="Arial" w:cs="Arial" w:eastAsia="Arial" w:hint="default"/>
                            <w:sz w:val="18"/>
                            <w:szCs w:val="18"/>
                          </w:rPr>
                        </w:pPr>
                        <w:r>
                          <w:rPr>
                            <w:rFonts w:ascii="Arial"/>
                            <w:w w:val="105"/>
                            <w:sz w:val="18"/>
                          </w:rPr>
                          <w:t>80,479,596.87</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349" w:right="0"/>
                          <w:jc w:val="left"/>
                          <w:rPr>
                            <w:rFonts w:ascii="宋体" w:hAnsi="宋体" w:cs="宋体" w:eastAsia="宋体" w:hint="default"/>
                            <w:sz w:val="18"/>
                            <w:szCs w:val="18"/>
                          </w:rPr>
                        </w:pPr>
                        <w:r>
                          <w:rPr>
                            <w:rFonts w:ascii="宋体" w:hAnsi="宋体" w:cs="宋体" w:eastAsia="宋体" w:hint="default"/>
                            <w:w w:val="105"/>
                            <w:sz w:val="18"/>
                            <w:szCs w:val="18"/>
                          </w:rPr>
                          <w:t>营业税金及附加</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1,252,629.35</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321" w:right="0"/>
                          <w:jc w:val="left"/>
                          <w:rPr>
                            <w:rFonts w:ascii="Arial" w:hAnsi="Arial" w:cs="Arial" w:eastAsia="Arial" w:hint="default"/>
                            <w:sz w:val="18"/>
                            <w:szCs w:val="18"/>
                          </w:rPr>
                        </w:pPr>
                        <w:r>
                          <w:rPr>
                            <w:rFonts w:ascii="Arial"/>
                            <w:w w:val="105"/>
                            <w:sz w:val="18"/>
                          </w:rPr>
                          <w:t>879,943.84</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349" w:right="0"/>
                          <w:jc w:val="left"/>
                          <w:rPr>
                            <w:rFonts w:ascii="宋体" w:hAnsi="宋体" w:cs="宋体" w:eastAsia="宋体" w:hint="default"/>
                            <w:sz w:val="18"/>
                            <w:szCs w:val="18"/>
                          </w:rPr>
                        </w:pPr>
                        <w:r>
                          <w:rPr>
                            <w:rFonts w:ascii="宋体" w:hAnsi="宋体" w:cs="宋体" w:eastAsia="宋体" w:hint="default"/>
                            <w:w w:val="105"/>
                            <w:sz w:val="18"/>
                            <w:szCs w:val="18"/>
                          </w:rPr>
                          <w:t>销售费用</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spacing w:val="-1"/>
                            <w:sz w:val="18"/>
                          </w:rPr>
                          <w:t>23,394,263.36</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062" w:right="0"/>
                          <w:jc w:val="left"/>
                          <w:rPr>
                            <w:rFonts w:ascii="Arial" w:hAnsi="Arial" w:cs="Arial" w:eastAsia="Arial" w:hint="default"/>
                            <w:sz w:val="18"/>
                            <w:szCs w:val="18"/>
                          </w:rPr>
                        </w:pPr>
                        <w:r>
                          <w:rPr>
                            <w:rFonts w:ascii="Arial"/>
                            <w:w w:val="105"/>
                            <w:sz w:val="18"/>
                          </w:rPr>
                          <w:t>22,456,424.03</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349" w:right="0"/>
                          <w:jc w:val="left"/>
                          <w:rPr>
                            <w:rFonts w:ascii="宋体" w:hAnsi="宋体" w:cs="宋体" w:eastAsia="宋体" w:hint="default"/>
                            <w:sz w:val="18"/>
                            <w:szCs w:val="18"/>
                          </w:rPr>
                        </w:pPr>
                        <w:r>
                          <w:rPr>
                            <w:rFonts w:ascii="宋体" w:hAnsi="宋体" w:cs="宋体" w:eastAsia="宋体" w:hint="default"/>
                            <w:w w:val="105"/>
                            <w:sz w:val="18"/>
                            <w:szCs w:val="18"/>
                          </w:rPr>
                          <w:t>管理费用</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24,241,637.39</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62" w:right="0"/>
                          <w:jc w:val="left"/>
                          <w:rPr>
                            <w:rFonts w:ascii="Arial" w:hAnsi="Arial" w:cs="Arial" w:eastAsia="Arial" w:hint="default"/>
                            <w:sz w:val="18"/>
                            <w:szCs w:val="18"/>
                          </w:rPr>
                        </w:pPr>
                        <w:r>
                          <w:rPr>
                            <w:rFonts w:ascii="Arial"/>
                            <w:w w:val="105"/>
                            <w:sz w:val="18"/>
                          </w:rPr>
                          <w:t>21,277,795.22</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349" w:right="0"/>
                          <w:jc w:val="left"/>
                          <w:rPr>
                            <w:rFonts w:ascii="宋体" w:hAnsi="宋体" w:cs="宋体" w:eastAsia="宋体" w:hint="default"/>
                            <w:sz w:val="18"/>
                            <w:szCs w:val="18"/>
                          </w:rPr>
                        </w:pPr>
                        <w:r>
                          <w:rPr>
                            <w:rFonts w:ascii="宋体" w:hAnsi="宋体" w:cs="宋体" w:eastAsia="宋体" w:hint="default"/>
                            <w:w w:val="105"/>
                            <w:sz w:val="18"/>
                            <w:szCs w:val="18"/>
                          </w:rPr>
                          <w:t>财务费用</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Arial" w:hAnsi="Arial" w:cs="Arial" w:eastAsia="Arial" w:hint="default"/>
                            <w:sz w:val="18"/>
                            <w:szCs w:val="18"/>
                          </w:rPr>
                        </w:pPr>
                        <w:r>
                          <w:rPr>
                            <w:rFonts w:ascii="Arial"/>
                            <w:spacing w:val="-1"/>
                            <w:sz w:val="18"/>
                          </w:rPr>
                          <w:t>(3,029,476.54)</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248" w:right="0"/>
                          <w:jc w:val="left"/>
                          <w:rPr>
                            <w:rFonts w:ascii="Arial" w:hAnsi="Arial" w:cs="Arial" w:eastAsia="Arial" w:hint="default"/>
                            <w:sz w:val="18"/>
                            <w:szCs w:val="18"/>
                          </w:rPr>
                        </w:pPr>
                        <w:r>
                          <w:rPr>
                            <w:rFonts w:ascii="Arial"/>
                            <w:w w:val="105"/>
                            <w:sz w:val="18"/>
                          </w:rPr>
                          <w:t>(323,048.35)</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349" w:right="0"/>
                          <w:jc w:val="left"/>
                          <w:rPr>
                            <w:rFonts w:ascii="宋体" w:hAnsi="宋体" w:cs="宋体" w:eastAsia="宋体" w:hint="default"/>
                            <w:sz w:val="18"/>
                            <w:szCs w:val="18"/>
                          </w:rPr>
                        </w:pPr>
                        <w:r>
                          <w:rPr>
                            <w:rFonts w:ascii="宋体" w:hAnsi="宋体" w:cs="宋体" w:eastAsia="宋体" w:hint="default"/>
                            <w:w w:val="105"/>
                            <w:sz w:val="18"/>
                            <w:szCs w:val="18"/>
                          </w:rPr>
                          <w:t>资产减值损失</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2,201,953.83</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311" w:right="0"/>
                          <w:jc w:val="left"/>
                          <w:rPr>
                            <w:rFonts w:ascii="Arial" w:hAnsi="Arial" w:cs="Arial" w:eastAsia="Arial" w:hint="default"/>
                            <w:sz w:val="18"/>
                            <w:szCs w:val="18"/>
                          </w:rPr>
                        </w:pPr>
                        <w:r>
                          <w:rPr>
                            <w:rFonts w:ascii="Arial"/>
                            <w:w w:val="105"/>
                            <w:sz w:val="18"/>
                          </w:rPr>
                          <w:t>110,487.67</w:t>
                        </w:r>
                        <w:r>
                          <w:rPr>
                            <w:rFonts w:ascii="Arial"/>
                            <w:sz w:val="18"/>
                          </w:rPr>
                        </w:r>
                      </w:p>
                    </w:tc>
                  </w:tr>
                  <w:tr>
                    <w:trPr>
                      <w:trHeight w:val="28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139" w:right="0"/>
                          <w:jc w:val="left"/>
                          <w:rPr>
                            <w:rFonts w:ascii="宋体" w:hAnsi="宋体" w:cs="宋体" w:eastAsia="宋体" w:hint="default"/>
                            <w:sz w:val="18"/>
                            <w:szCs w:val="18"/>
                          </w:rPr>
                        </w:pPr>
                        <w:r>
                          <w:rPr>
                            <w:rFonts w:ascii="宋体" w:hAnsi="宋体" w:cs="宋体" w:eastAsia="宋体" w:hint="default"/>
                            <w:w w:val="105"/>
                            <w:sz w:val="18"/>
                            <w:szCs w:val="18"/>
                          </w:rPr>
                          <w:t>加：公允价值变动收益</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3"/>
                          <w:jc w:val="right"/>
                          <w:rPr>
                            <w:rFonts w:ascii="Arial" w:hAnsi="Arial" w:cs="Arial" w:eastAsia="Arial" w:hint="default"/>
                            <w:sz w:val="18"/>
                            <w:szCs w:val="18"/>
                          </w:rPr>
                        </w:pPr>
                        <w:r>
                          <w:rPr>
                            <w:rFonts w:ascii="Arial"/>
                            <w:w w:val="103"/>
                            <w:sz w:val="18"/>
                          </w:rPr>
                          <w:t>-</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294"/>
                          <w:jc w:val="right"/>
                          <w:rPr>
                            <w:rFonts w:ascii="Arial" w:hAnsi="Arial" w:cs="Arial" w:eastAsia="Arial" w:hint="default"/>
                            <w:sz w:val="18"/>
                            <w:szCs w:val="18"/>
                          </w:rPr>
                        </w:pPr>
                        <w:r>
                          <w:rPr>
                            <w:rFonts w:ascii="Arial"/>
                            <w:w w:val="103"/>
                            <w:sz w:val="18"/>
                          </w:rPr>
                          <w:t>-</w:t>
                        </w:r>
                        <w:r>
                          <w:rPr>
                            <w:rFonts w:ascii="Arial"/>
                            <w:sz w:val="18"/>
                          </w:rPr>
                        </w:r>
                      </w:p>
                    </w:tc>
                  </w:tr>
                  <w:tr>
                    <w:trPr>
                      <w:trHeight w:val="23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23" w:lineRule="exact"/>
                          <w:ind w:left="349" w:right="0"/>
                          <w:jc w:val="left"/>
                          <w:rPr>
                            <w:rFonts w:ascii="宋体" w:hAnsi="宋体" w:cs="宋体" w:eastAsia="宋体" w:hint="default"/>
                            <w:sz w:val="18"/>
                            <w:szCs w:val="18"/>
                          </w:rPr>
                        </w:pPr>
                        <w:r>
                          <w:rPr>
                            <w:rFonts w:ascii="宋体" w:hAnsi="宋体" w:cs="宋体" w:eastAsia="宋体" w:hint="default"/>
                            <w:w w:val="105"/>
                            <w:sz w:val="18"/>
                            <w:szCs w:val="18"/>
                          </w:rPr>
                          <w:t>投资收益</w:t>
                        </w:r>
                        <w:r>
                          <w:rPr>
                            <w:rFonts w:ascii="宋体" w:hAnsi="宋体" w:cs="宋体" w:eastAsia="宋体" w:hint="default"/>
                            <w:sz w:val="18"/>
                            <w:szCs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23" w:lineRule="exact"/>
                          <w:ind w:right="211"/>
                          <w:jc w:val="right"/>
                          <w:rPr>
                            <w:rFonts w:ascii="宋体" w:hAnsi="宋体" w:cs="宋体" w:eastAsia="宋体" w:hint="default"/>
                            <w:sz w:val="18"/>
                            <w:szCs w:val="18"/>
                          </w:rPr>
                        </w:pPr>
                        <w:r>
                          <w:rPr>
                            <w:rFonts w:ascii="宋体" w:hAnsi="宋体" w:cs="宋体" w:eastAsia="宋体" w:hint="default"/>
                            <w:w w:val="90"/>
                            <w:sz w:val="18"/>
                            <w:szCs w:val="18"/>
                          </w:rPr>
                          <w:t>十一(五)</w:t>
                        </w:r>
                        <w:r>
                          <w:rPr>
                            <w:rFonts w:ascii="宋体" w:hAnsi="宋体" w:cs="宋体" w:eastAsia="宋体" w:hint="default"/>
                            <w:sz w:val="18"/>
                            <w:szCs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590,335.95</w:t>
                        </w:r>
                        <w:r>
                          <w:rPr>
                            <w:rFonts w:ascii="Arial"/>
                            <w:sz w:val="18"/>
                          </w:rPr>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321" w:right="0"/>
                          <w:jc w:val="left"/>
                          <w:rPr>
                            <w:rFonts w:ascii="Arial" w:hAnsi="Arial" w:cs="Arial" w:eastAsia="Arial" w:hint="default"/>
                            <w:sz w:val="18"/>
                            <w:szCs w:val="18"/>
                          </w:rPr>
                        </w:pPr>
                        <w:r>
                          <w:rPr>
                            <w:rFonts w:ascii="Arial"/>
                            <w:w w:val="105"/>
                            <w:sz w:val="18"/>
                          </w:rPr>
                          <w:t>533,702.28</w:t>
                        </w:r>
                        <w:r>
                          <w:rPr>
                            <w:rFonts w:ascii="Arial"/>
                            <w:sz w:val="18"/>
                          </w:rPr>
                        </w:r>
                      </w:p>
                    </w:tc>
                  </w:tr>
                  <w:tr>
                    <w:trPr>
                      <w:trHeight w:val="403" w:hRule="exact"/>
                    </w:trPr>
                    <w:tc>
                      <w:tcPr>
                        <w:tcW w:w="862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1"/>
                          <w:ind w:left="349" w:right="0"/>
                          <w:jc w:val="left"/>
                          <w:rPr>
                            <w:rFonts w:ascii="宋体" w:hAnsi="宋体" w:cs="宋体" w:eastAsia="宋体" w:hint="default"/>
                            <w:sz w:val="18"/>
                            <w:szCs w:val="18"/>
                          </w:rPr>
                        </w:pPr>
                        <w:r>
                          <w:rPr>
                            <w:rFonts w:ascii="宋体" w:hAnsi="宋体" w:cs="宋体" w:eastAsia="宋体" w:hint="default"/>
                            <w:w w:val="105"/>
                            <w:sz w:val="18"/>
                            <w:szCs w:val="18"/>
                          </w:rPr>
                          <w:t>其中：对联营企业和合营企业</w:t>
                        </w:r>
                        <w:r>
                          <w:rPr>
                            <w:rFonts w:ascii="宋体" w:hAnsi="宋体" w:cs="宋体" w:eastAsia="宋体" w:hint="default"/>
                            <w:sz w:val="18"/>
                            <w:szCs w:val="18"/>
                          </w:rPr>
                        </w:r>
                      </w:p>
                    </w:tc>
                  </w:tr>
                  <w:tr>
                    <w:trPr>
                      <w:trHeight w:val="204"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的投资收益</w:t>
                        </w:r>
                        <w:r>
                          <w:rPr>
                            <w:rFonts w:ascii="宋体" w:hAnsi="宋体" w:cs="宋体" w:eastAsia="宋体" w:hint="default"/>
                            <w:sz w:val="18"/>
                            <w:szCs w:val="18"/>
                          </w:rPr>
                        </w:r>
                      </w:p>
                    </w:tc>
                    <w:tc>
                      <w:tcPr>
                        <w:tcW w:w="2253" w:type="dxa"/>
                        <w:tcBorders>
                          <w:top w:val="nil" w:sz="6" w:space="0" w:color="auto"/>
                          <w:left w:val="nil" w:sz="6" w:space="0" w:color="auto"/>
                          <w:bottom w:val="single" w:sz="6" w:space="0" w:color="000000"/>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6" w:space="0" w:color="000000"/>
                          <w:right w:val="nil" w:sz="6" w:space="0" w:color="auto"/>
                        </w:tcBorders>
                      </w:tcPr>
                      <w:p>
                        <w:pP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二、营业利润</w:t>
                        </w:r>
                        <w:r>
                          <w:rPr>
                            <w:rFonts w:ascii="Microsoft JhengHei" w:hAnsi="Microsoft JhengHei" w:cs="Microsoft JhengHei" w:eastAsia="Microsoft JhengHei"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19,148,313.04</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8"/>
                          <w:jc w:val="right"/>
                          <w:rPr>
                            <w:rFonts w:ascii="Arial" w:hAnsi="Arial" w:cs="Arial" w:eastAsia="Arial" w:hint="default"/>
                            <w:sz w:val="18"/>
                            <w:szCs w:val="18"/>
                          </w:rPr>
                        </w:pPr>
                        <w:r>
                          <w:rPr>
                            <w:rFonts w:ascii="Arial"/>
                            <w:spacing w:val="-1"/>
                            <w:sz w:val="18"/>
                          </w:rPr>
                          <w:t>13,082,520.35</w:t>
                        </w:r>
                        <w:r>
                          <w:rPr>
                            <w:rFonts w:ascii="Arial"/>
                            <w:sz w:val="18"/>
                          </w:rPr>
                        </w:r>
                      </w:p>
                    </w:tc>
                  </w:tr>
                  <w:tr>
                    <w:trPr>
                      <w:trHeight w:val="297"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w w:val="105"/>
                            <w:sz w:val="18"/>
                            <w:szCs w:val="18"/>
                          </w:rPr>
                          <w:t>加：营业外收入</w:t>
                        </w:r>
                        <w:r>
                          <w:rPr>
                            <w:rFonts w:ascii="宋体" w:hAnsi="宋体" w:cs="宋体" w:eastAsia="宋体" w:hint="default"/>
                            <w:sz w:val="18"/>
                            <w:szCs w:val="18"/>
                          </w:rPr>
                        </w:r>
                      </w:p>
                    </w:tc>
                    <w:tc>
                      <w:tcPr>
                        <w:tcW w:w="2253"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9,084,720.66</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right="86"/>
                          <w:jc w:val="right"/>
                          <w:rPr>
                            <w:rFonts w:ascii="Arial" w:hAnsi="Arial" w:cs="Arial" w:eastAsia="Arial" w:hint="default"/>
                            <w:sz w:val="18"/>
                            <w:szCs w:val="18"/>
                          </w:rPr>
                        </w:pPr>
                        <w:r>
                          <w:rPr>
                            <w:rFonts w:ascii="Arial"/>
                            <w:spacing w:val="-1"/>
                            <w:sz w:val="18"/>
                          </w:rPr>
                          <w:t>7,768,042.79</w:t>
                        </w:r>
                        <w:r>
                          <w:rPr>
                            <w:rFonts w:ascii="Arial"/>
                            <w:sz w:val="18"/>
                          </w:rPr>
                        </w: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244" w:right="0"/>
                          <w:jc w:val="left"/>
                          <w:rPr>
                            <w:rFonts w:ascii="宋体" w:hAnsi="宋体" w:cs="宋体" w:eastAsia="宋体" w:hint="default"/>
                            <w:sz w:val="18"/>
                            <w:szCs w:val="18"/>
                          </w:rPr>
                        </w:pPr>
                        <w:r>
                          <w:rPr>
                            <w:rFonts w:ascii="宋体" w:hAnsi="宋体" w:cs="宋体" w:eastAsia="宋体" w:hint="default"/>
                            <w:w w:val="105"/>
                            <w:sz w:val="18"/>
                            <w:szCs w:val="18"/>
                          </w:rPr>
                          <w:t>减：营业外支出</w:t>
                        </w:r>
                        <w:r>
                          <w:rPr>
                            <w:rFonts w:ascii="宋体" w:hAnsi="宋体" w:cs="宋体" w:eastAsia="宋体" w:hint="default"/>
                            <w:sz w:val="18"/>
                            <w:szCs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34,694.67</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114,705.08</w:t>
                        </w:r>
                        <w:r>
                          <w:rPr>
                            <w:rFonts w:ascii="Arial"/>
                            <w:sz w:val="18"/>
                          </w:rPr>
                        </w:r>
                      </w:p>
                    </w:tc>
                  </w:tr>
                  <w:tr>
                    <w:trPr>
                      <w:trHeight w:val="272"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455" w:right="0"/>
                          <w:jc w:val="left"/>
                          <w:rPr>
                            <w:rFonts w:ascii="宋体" w:hAnsi="宋体" w:cs="宋体" w:eastAsia="宋体" w:hint="default"/>
                            <w:sz w:val="18"/>
                            <w:szCs w:val="18"/>
                          </w:rPr>
                        </w:pPr>
                        <w:r>
                          <w:rPr>
                            <w:rFonts w:ascii="宋体" w:hAnsi="宋体" w:cs="宋体" w:eastAsia="宋体" w:hint="default"/>
                            <w:w w:val="105"/>
                            <w:sz w:val="18"/>
                            <w:szCs w:val="18"/>
                          </w:rPr>
                          <w:t>其中：非流动资产处置损失</w:t>
                        </w:r>
                        <w:r>
                          <w:rPr>
                            <w:rFonts w:ascii="宋体" w:hAnsi="宋体" w:cs="宋体" w:eastAsia="宋体" w:hint="default"/>
                            <w:sz w:val="18"/>
                            <w:szCs w:val="18"/>
                          </w:rPr>
                        </w:r>
                      </w:p>
                    </w:tc>
                    <w:tc>
                      <w:tcPr>
                        <w:tcW w:w="2253"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14,514.67</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right="294"/>
                          <w:jc w:val="right"/>
                          <w:rPr>
                            <w:rFonts w:ascii="Arial" w:hAnsi="Arial" w:cs="Arial" w:eastAsia="Arial" w:hint="default"/>
                            <w:sz w:val="18"/>
                            <w:szCs w:val="18"/>
                          </w:rPr>
                        </w:pPr>
                        <w:r>
                          <w:rPr>
                            <w:rFonts w:ascii="Arial"/>
                            <w:w w:val="103"/>
                            <w:sz w:val="18"/>
                          </w:rPr>
                          <w:t>-</w:t>
                        </w:r>
                        <w:r>
                          <w:rPr>
                            <w:rFonts w:ascii="Arial"/>
                            <w:sz w:val="18"/>
                          </w:rPr>
                        </w: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三、利润总额</w:t>
                        </w:r>
                        <w:r>
                          <w:rPr>
                            <w:rFonts w:ascii="Microsoft JhengHei" w:hAnsi="Microsoft JhengHei" w:cs="Microsoft JhengHei" w:eastAsia="Microsoft JhengHei"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28,198,339.03</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8"/>
                          <w:jc w:val="right"/>
                          <w:rPr>
                            <w:rFonts w:ascii="Arial" w:hAnsi="Arial" w:cs="Arial" w:eastAsia="Arial" w:hint="default"/>
                            <w:sz w:val="18"/>
                            <w:szCs w:val="18"/>
                          </w:rPr>
                        </w:pPr>
                        <w:r>
                          <w:rPr>
                            <w:rFonts w:ascii="Arial"/>
                            <w:spacing w:val="-1"/>
                            <w:sz w:val="18"/>
                          </w:rPr>
                          <w:t>20,735,858.06</w:t>
                        </w:r>
                        <w:r>
                          <w:rPr>
                            <w:rFonts w:ascii="Arial"/>
                            <w:sz w:val="18"/>
                          </w:rPr>
                        </w: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w w:val="105"/>
                            <w:sz w:val="18"/>
                            <w:szCs w:val="18"/>
                          </w:rPr>
                          <w:t>减：所得税费用</w:t>
                        </w:r>
                        <w:r>
                          <w:rPr>
                            <w:rFonts w:ascii="宋体" w:hAnsi="宋体" w:cs="宋体" w:eastAsia="宋体"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1,757,956.65</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6"/>
                          <w:jc w:val="right"/>
                          <w:rPr>
                            <w:rFonts w:ascii="Arial" w:hAnsi="Arial" w:cs="Arial" w:eastAsia="Arial" w:hint="default"/>
                            <w:sz w:val="18"/>
                            <w:szCs w:val="18"/>
                          </w:rPr>
                        </w:pPr>
                        <w:r>
                          <w:rPr>
                            <w:rFonts w:ascii="Arial"/>
                            <w:spacing w:val="-1"/>
                            <w:sz w:val="18"/>
                          </w:rPr>
                          <w:t>2,079,440.67</w:t>
                        </w:r>
                        <w:r>
                          <w:rPr>
                            <w:rFonts w:ascii="Arial"/>
                            <w:sz w:val="18"/>
                          </w:rPr>
                        </w: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四、净利润</w:t>
                        </w:r>
                        <w:r>
                          <w:rPr>
                            <w:rFonts w:ascii="Microsoft JhengHei" w:hAnsi="Microsoft JhengHei" w:cs="Microsoft JhengHei" w:eastAsia="Microsoft JhengHei"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7"/>
                          <w:jc w:val="right"/>
                          <w:rPr>
                            <w:rFonts w:ascii="Arial" w:hAnsi="Arial" w:cs="Arial" w:eastAsia="Arial" w:hint="default"/>
                            <w:sz w:val="18"/>
                            <w:szCs w:val="18"/>
                          </w:rPr>
                        </w:pPr>
                        <w:r>
                          <w:rPr>
                            <w:rFonts w:ascii="Arial"/>
                            <w:spacing w:val="-1"/>
                            <w:sz w:val="18"/>
                          </w:rPr>
                          <w:t>26,440,382.38</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88"/>
                          <w:jc w:val="right"/>
                          <w:rPr>
                            <w:rFonts w:ascii="Arial" w:hAnsi="Arial" w:cs="Arial" w:eastAsia="Arial" w:hint="default"/>
                            <w:sz w:val="18"/>
                            <w:szCs w:val="18"/>
                          </w:rPr>
                        </w:pPr>
                        <w:r>
                          <w:rPr>
                            <w:rFonts w:ascii="Arial"/>
                            <w:spacing w:val="-1"/>
                            <w:sz w:val="18"/>
                          </w:rPr>
                          <w:t>18,656,417.39</w:t>
                        </w:r>
                        <w:r>
                          <w:rPr>
                            <w:rFonts w:ascii="Arial"/>
                            <w:sz w:val="18"/>
                          </w:rPr>
                        </w:r>
                      </w:p>
                    </w:tc>
                  </w:tr>
                  <w:tr>
                    <w:trPr>
                      <w:trHeight w:val="297"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五、每股收益：</w:t>
                        </w:r>
                        <w:r>
                          <w:rPr>
                            <w:rFonts w:ascii="Microsoft JhengHei" w:hAnsi="Microsoft JhengHei" w:cs="Microsoft JhengHei" w:eastAsia="Microsoft JhengHei" w:hint="default"/>
                            <w:sz w:val="18"/>
                            <w:szCs w:val="18"/>
                          </w:rPr>
                        </w:r>
                      </w:p>
                    </w:tc>
                    <w:tc>
                      <w:tcPr>
                        <w:tcW w:w="2253" w:type="dxa"/>
                        <w:tcBorders>
                          <w:top w:val="single" w:sz="6"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nil" w:sz="6" w:space="0" w:color="auto"/>
                          <w:right w:val="nil" w:sz="6" w:space="0" w:color="auto"/>
                        </w:tcBorders>
                      </w:tcPr>
                      <w:p>
                        <w:pPr/>
                      </w:p>
                    </w:tc>
                  </w:tr>
                  <w:tr>
                    <w:trPr>
                      <w:trHeight w:val="272"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192" w:right="0"/>
                          <w:jc w:val="left"/>
                          <w:rPr>
                            <w:rFonts w:ascii="宋体" w:hAnsi="宋体" w:cs="宋体" w:eastAsia="宋体" w:hint="default"/>
                            <w:sz w:val="18"/>
                            <w:szCs w:val="18"/>
                          </w:rPr>
                        </w:pPr>
                        <w:r>
                          <w:rPr>
                            <w:rFonts w:ascii="宋体" w:hAnsi="宋体" w:cs="宋体" w:eastAsia="宋体" w:hint="default"/>
                            <w:w w:val="105"/>
                            <w:sz w:val="18"/>
                            <w:szCs w:val="18"/>
                          </w:rPr>
                          <w:t>（一）基本每股收益</w:t>
                        </w:r>
                        <w:r>
                          <w:rPr>
                            <w:rFonts w:ascii="宋体" w:hAnsi="宋体" w:cs="宋体" w:eastAsia="宋体" w:hint="default"/>
                            <w:sz w:val="18"/>
                            <w:szCs w:val="18"/>
                          </w:rPr>
                        </w:r>
                      </w:p>
                    </w:tc>
                    <w:tc>
                      <w:tcPr>
                        <w:tcW w:w="2253"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right="293"/>
                          <w:jc w:val="right"/>
                          <w:rPr>
                            <w:rFonts w:ascii="Arial" w:hAnsi="Arial" w:cs="Arial" w:eastAsia="Arial" w:hint="default"/>
                            <w:sz w:val="18"/>
                            <w:szCs w:val="18"/>
                          </w:rPr>
                        </w:pPr>
                        <w:r>
                          <w:rPr>
                            <w:rFonts w:ascii="Arial"/>
                            <w:w w:val="103"/>
                            <w:sz w:val="18"/>
                          </w:rPr>
                          <w:t>-</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right="294"/>
                          <w:jc w:val="right"/>
                          <w:rPr>
                            <w:rFonts w:ascii="Arial" w:hAnsi="Arial" w:cs="Arial" w:eastAsia="Arial" w:hint="default"/>
                            <w:sz w:val="18"/>
                            <w:szCs w:val="18"/>
                          </w:rPr>
                        </w:pPr>
                        <w:r>
                          <w:rPr>
                            <w:rFonts w:ascii="Arial"/>
                            <w:w w:val="103"/>
                            <w:sz w:val="18"/>
                          </w:rPr>
                          <w:t>-</w:t>
                        </w:r>
                        <w:r>
                          <w:rPr>
                            <w:rFonts w:ascii="Arial"/>
                            <w:sz w:val="18"/>
                          </w:rPr>
                        </w: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w w:val="105"/>
                            <w:sz w:val="18"/>
                            <w:szCs w:val="18"/>
                          </w:rPr>
                          <w:t>（二）稀释每股收益</w:t>
                        </w:r>
                        <w:r>
                          <w:rPr>
                            <w:rFonts w:ascii="宋体" w:hAnsi="宋体" w:cs="宋体" w:eastAsia="宋体"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293"/>
                          <w:jc w:val="right"/>
                          <w:rPr>
                            <w:rFonts w:ascii="Arial" w:hAnsi="Arial" w:cs="Arial" w:eastAsia="Arial" w:hint="default"/>
                            <w:sz w:val="18"/>
                            <w:szCs w:val="18"/>
                          </w:rPr>
                        </w:pPr>
                        <w:r>
                          <w:rPr>
                            <w:rFonts w:ascii="Arial"/>
                            <w:w w:val="103"/>
                            <w:sz w:val="18"/>
                          </w:rPr>
                          <w:t>-</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294"/>
                          <w:jc w:val="right"/>
                          <w:rPr>
                            <w:rFonts w:ascii="Arial" w:hAnsi="Arial" w:cs="Arial" w:eastAsia="Arial" w:hint="default"/>
                            <w:sz w:val="18"/>
                            <w:szCs w:val="18"/>
                          </w:rPr>
                        </w:pPr>
                        <w:r>
                          <w:rPr>
                            <w:rFonts w:ascii="Arial"/>
                            <w:w w:val="103"/>
                            <w:sz w:val="18"/>
                          </w:rPr>
                          <w:t>-</w:t>
                        </w:r>
                        <w:r>
                          <w:rPr>
                            <w:rFonts w:ascii="Arial"/>
                            <w:sz w:val="18"/>
                          </w:rPr>
                        </w:r>
                      </w:p>
                    </w:tc>
                  </w:tr>
                  <w:tr>
                    <w:trPr>
                      <w:trHeight w:val="285"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六、其他综合收益</w:t>
                        </w:r>
                        <w:r>
                          <w:rPr>
                            <w:rFonts w:ascii="Microsoft JhengHei" w:hAnsi="Microsoft JhengHei" w:cs="Microsoft JhengHei" w:eastAsia="Microsoft JhengHei"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293"/>
                          <w:jc w:val="right"/>
                          <w:rPr>
                            <w:rFonts w:ascii="Arial" w:hAnsi="Arial" w:cs="Arial" w:eastAsia="Arial" w:hint="default"/>
                            <w:sz w:val="18"/>
                            <w:szCs w:val="18"/>
                          </w:rPr>
                        </w:pPr>
                        <w:r>
                          <w:rPr>
                            <w:rFonts w:ascii="Arial"/>
                            <w:w w:val="103"/>
                            <w:sz w:val="18"/>
                          </w:rPr>
                          <w:t>-</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3"/>
                          <w:ind w:right="294"/>
                          <w:jc w:val="right"/>
                          <w:rPr>
                            <w:rFonts w:ascii="Arial" w:hAnsi="Arial" w:cs="Arial" w:eastAsia="Arial" w:hint="default"/>
                            <w:sz w:val="18"/>
                            <w:szCs w:val="18"/>
                          </w:rPr>
                        </w:pPr>
                        <w:r>
                          <w:rPr>
                            <w:rFonts w:ascii="Arial"/>
                            <w:w w:val="103"/>
                            <w:sz w:val="18"/>
                          </w:rPr>
                          <w:t>-</w:t>
                        </w:r>
                        <w:r>
                          <w:rPr>
                            <w:rFonts w:ascii="Arial"/>
                            <w:sz w:val="18"/>
                          </w:rPr>
                        </w:r>
                      </w:p>
                    </w:tc>
                  </w:tr>
                  <w:tr>
                    <w:trPr>
                      <w:trHeight w:val="313" w:hRule="exact"/>
                    </w:trPr>
                    <w:tc>
                      <w:tcPr>
                        <w:tcW w:w="4035"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七、综合收益总额</w:t>
                        </w:r>
                        <w:r>
                          <w:rPr>
                            <w:rFonts w:ascii="Microsoft JhengHei" w:hAnsi="Microsoft JhengHei" w:cs="Microsoft JhengHei" w:eastAsia="Microsoft JhengHei" w:hint="default"/>
                            <w:sz w:val="18"/>
                            <w:szCs w:val="18"/>
                          </w:rPr>
                        </w:r>
                      </w:p>
                    </w:tc>
                    <w:tc>
                      <w:tcPr>
                        <w:tcW w:w="2253"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87"/>
                          <w:jc w:val="right"/>
                          <w:rPr>
                            <w:rFonts w:ascii="Arial" w:hAnsi="Arial" w:cs="Arial" w:eastAsia="Arial" w:hint="default"/>
                            <w:sz w:val="18"/>
                            <w:szCs w:val="18"/>
                          </w:rPr>
                        </w:pPr>
                        <w:r>
                          <w:rPr>
                            <w:rFonts w:ascii="Arial"/>
                            <w:spacing w:val="-1"/>
                            <w:sz w:val="18"/>
                          </w:rPr>
                          <w:t>26,440,382.38</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2102"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88"/>
                          <w:jc w:val="right"/>
                          <w:rPr>
                            <w:rFonts w:ascii="Arial" w:hAnsi="Arial" w:cs="Arial" w:eastAsia="Arial" w:hint="default"/>
                            <w:sz w:val="18"/>
                            <w:szCs w:val="18"/>
                          </w:rPr>
                        </w:pPr>
                        <w:r>
                          <w:rPr>
                            <w:rFonts w:ascii="Arial"/>
                            <w:spacing w:val="-1"/>
                            <w:sz w:val="18"/>
                          </w:rPr>
                          <w:t>18,656,417.39</w:t>
                        </w:r>
                        <w:r>
                          <w:rPr>
                            <w:rFonts w:ascii="Arial"/>
                            <w:sz w:val="18"/>
                          </w:rPr>
                        </w:r>
                      </w:p>
                    </w:tc>
                  </w:tr>
                </w:tbl>
                <w:p>
                  <w:pPr/>
                </w:p>
              </w:txbxContent>
            </v:textbox>
            <w10:wrap type="none"/>
          </v:shape>
        </w:pict>
      </w:r>
      <w:r>
        <w:rPr>
          <w:rFonts w:ascii="Arial"/>
          <w:spacing w:val="-1"/>
          <w:sz w:val="18"/>
        </w:rPr>
        <w:t>590,335.95</w:t>
        <w:tab/>
      </w:r>
      <w:r>
        <w:rPr>
          <w:rFonts w:ascii="Arial"/>
          <w:spacing w:val="-1"/>
          <w:w w:val="105"/>
          <w:sz w:val="18"/>
        </w:rPr>
        <w:t>533,702.28</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1"/>
          <w:szCs w:val="11"/>
        </w:rPr>
      </w:pPr>
    </w:p>
    <w:p>
      <w:pPr>
        <w:tabs>
          <w:tab w:pos="6669" w:val="left" w:leader="none"/>
        </w:tabs>
        <w:spacing w:line="20" w:lineRule="exact"/>
        <w:ind w:left="4177" w:right="0" w:firstLine="0"/>
        <w:rPr>
          <w:rFonts w:ascii="Arial" w:hAnsi="Arial" w:cs="Arial" w:eastAsia="Arial" w:hint="default"/>
          <w:sz w:val="2"/>
          <w:szCs w:val="2"/>
        </w:rPr>
      </w:pPr>
      <w:r>
        <w:rPr>
          <w:rFonts w:ascii="Arial"/>
          <w:sz w:val="2"/>
        </w:rPr>
        <w:pict>
          <v:group style="width:113.5pt;height:.85pt;mso-position-horizontal-relative:char;mso-position-vertical-relative:line" coordorigin="0,0" coordsize="2270,17">
            <v:group style="position:absolute;left:8;top:8;width:2254;height:2" coordorigin="8,8" coordsize="2254,2">
              <v:shape style="position:absolute;left:8;top:8;width:2254;height:2" coordorigin="8,8" coordsize="2254,0" path="m8,8l2262,8e" filled="false" stroked="true" strokeweight=".807578pt" strokecolor="#000000">
                <v:path arrowok="t"/>
              </v:shape>
            </v:group>
          </v:group>
        </w:pict>
      </w:r>
      <w:r>
        <w:rPr>
          <w:rFonts w:ascii="Arial"/>
          <w:sz w:val="2"/>
        </w:rPr>
      </w:r>
      <w:r>
        <w:rPr>
          <w:rFonts w:ascii="Arial"/>
          <w:sz w:val="2"/>
        </w:rPr>
        <w:tab/>
      </w:r>
      <w:r>
        <w:rPr>
          <w:rFonts w:ascii="Arial"/>
          <w:sz w:val="2"/>
        </w:rPr>
        <w:pict>
          <v:group style="width:105.9pt;height:.85pt;mso-position-horizontal-relative:char;mso-position-vertical-relative:line" coordorigin="0,0" coordsize="2118,17">
            <v:group style="position:absolute;left:8;top:8;width:2102;height:2" coordorigin="8,8" coordsize="2102,2">
              <v:shape style="position:absolute;left:8;top:8;width:2102;height:2" coordorigin="8,8" coordsize="2102,0" path="m8,8l2110,8e" filled="false" stroked="true" strokeweight=".807578pt" strokecolor="#000000">
                <v:path arrowok="t"/>
              </v:shape>
            </v:group>
          </v:group>
        </w:pict>
      </w:r>
      <w:r>
        <w:rPr>
          <w:rFonts w:ascii="Arial"/>
          <w:sz w:val="2"/>
        </w:rPr>
      </w:r>
    </w:p>
    <w:p>
      <w:pPr>
        <w:spacing w:line="240" w:lineRule="auto" w:before="6"/>
        <w:rPr>
          <w:rFonts w:ascii="Arial" w:hAnsi="Arial" w:cs="Arial" w:eastAsia="Arial" w:hint="default"/>
          <w:sz w:val="25"/>
          <w:szCs w:val="25"/>
        </w:rPr>
      </w:pPr>
    </w:p>
    <w:p>
      <w:pPr>
        <w:spacing w:line="20" w:lineRule="exact"/>
        <w:ind w:left="143" w:right="0" w:firstLine="0"/>
        <w:rPr>
          <w:rFonts w:ascii="Arial" w:hAnsi="Arial" w:cs="Arial" w:eastAsia="Arial" w:hint="default"/>
          <w:sz w:val="2"/>
          <w:szCs w:val="2"/>
        </w:rPr>
      </w:pPr>
      <w:r>
        <w:rPr>
          <w:rFonts w:ascii="Arial" w:hAnsi="Arial" w:cs="Arial" w:eastAsia="Arial" w:hint="default"/>
          <w:sz w:val="2"/>
          <w:szCs w:val="2"/>
        </w:rPr>
        <w:pict>
          <v:group style="width:432.25pt;height:.85pt;mso-position-horizontal-relative:char;mso-position-vertical-relative:line" coordorigin="0,0" coordsize="8645,17">
            <v:group style="position:absolute;left:9;top:1;width:8627;height:2" coordorigin="9,1" coordsize="8627,2">
              <v:shape style="position:absolute;left:9;top:1;width:8627;height:2" coordorigin="9,1" coordsize="8627,0" path="m9,1l8635,1e" filled="false" stroked="true" strokeweight=".117769pt" strokecolor="#000000">
                <v:path arrowok="t"/>
              </v:shape>
            </v:group>
            <v:group style="position:absolute;left:8;top:8;width:8629;height:2" coordorigin="8,8" coordsize="8629,2">
              <v:shape style="position:absolute;left:8;top:8;width:8629;height:2" coordorigin="8,8" coordsize="8629,0" path="m8,8l8636,8e" filled="false" stroked="true" strokeweight=".807528pt" strokecolor="#000000">
                <v:path arrowok="t"/>
              </v:shape>
            </v:group>
          </v:group>
        </w:pict>
      </w:r>
      <w:r>
        <w:rPr>
          <w:rFonts w:ascii="Arial" w:hAnsi="Arial" w:cs="Arial" w:eastAsia="Arial" w:hint="default"/>
          <w:sz w:val="2"/>
          <w:szCs w:val="2"/>
        </w:rPr>
      </w:r>
    </w:p>
    <w:p>
      <w:pPr>
        <w:spacing w:line="240" w:lineRule="auto" w:before="5"/>
        <w:rPr>
          <w:rFonts w:ascii="Arial" w:hAnsi="Arial" w:cs="Arial" w:eastAsia="Arial" w:hint="default"/>
          <w:sz w:val="20"/>
          <w:szCs w:val="20"/>
        </w:rPr>
      </w:pPr>
    </w:p>
    <w:p>
      <w:pPr>
        <w:tabs>
          <w:tab w:pos="2671" w:val="left" w:leader="none"/>
          <w:tab w:pos="6268" w:val="left" w:leader="none"/>
        </w:tabs>
        <w:spacing w:before="38"/>
        <w:ind w:left="238" w:right="176" w:firstLine="0"/>
        <w:jc w:val="left"/>
        <w:rPr>
          <w:rFonts w:ascii="宋体" w:hAnsi="宋体" w:cs="宋体" w:eastAsia="宋体" w:hint="default"/>
          <w:sz w:val="18"/>
          <w:szCs w:val="18"/>
        </w:rPr>
      </w:pPr>
      <w:r>
        <w:rPr>
          <w:rFonts w:ascii="宋体" w:hAnsi="宋体" w:cs="宋体" w:eastAsia="宋体" w:hint="default"/>
          <w:sz w:val="18"/>
          <w:szCs w:val="18"/>
        </w:rPr>
        <w:t>公司负责人：刘祥</w:t>
        <w:tab/>
        <w:t>主管会计工作负责人：赵辉</w:t>
        <w:tab/>
      </w:r>
      <w:r>
        <w:rPr>
          <w:rFonts w:ascii="宋体" w:hAnsi="宋体" w:cs="宋体" w:eastAsia="宋体" w:hint="default"/>
          <w:w w:val="105"/>
          <w:sz w:val="18"/>
          <w:szCs w:val="18"/>
        </w:rPr>
        <w:t>会计机构负责人：赵辉</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460" w:left="1560" w:right="1440"/>
        </w:sectPr>
      </w:pPr>
    </w:p>
    <w:p>
      <w:pPr>
        <w:spacing w:line="240" w:lineRule="auto" w:before="0"/>
        <w:rPr>
          <w:rFonts w:ascii="Times New Roman" w:hAnsi="Times New Roman" w:cs="Times New Roman" w:eastAsia="Times New Roman" w:hint="default"/>
          <w:sz w:val="20"/>
          <w:szCs w:val="20"/>
        </w:rPr>
      </w:pPr>
      <w:r>
        <w:rPr/>
        <w:pict>
          <v:group style="position:absolute;margin-left:248.066711pt;margin-top:477.006775pt;width:71.4pt;height:2.35pt;mso-position-horizontal-relative:page;mso-position-vertical-relative:page;z-index:-678376" coordorigin="4961,9540" coordsize="1428,47">
            <v:group style="position:absolute;left:4969;top:9548;width:1412;height:2" coordorigin="4969,9548" coordsize="1412,2">
              <v:shape style="position:absolute;left:4969;top:9548;width:1412;height:2" coordorigin="4969,9548" coordsize="1412,0" path="m4969,9548l6381,9548e" filled="false" stroked="true" strokeweight=".782555pt" strokecolor="#000000">
                <v:path arrowok="t"/>
              </v:shape>
            </v:group>
            <v:group style="position:absolute;left:4969;top:9579;width:1412;height:2" coordorigin="4969,9579" coordsize="1412,2">
              <v:shape style="position:absolute;left:4969;top:9579;width:1412;height:2" coordorigin="4969,9579" coordsize="1412,0" path="m4969,9579l6381,9579e" filled="false" stroked="true" strokeweight=".782555pt" strokecolor="#000000">
                <v:path arrowok="t"/>
              </v:shape>
            </v:group>
            <w10:wrap type="none"/>
          </v:group>
        </w:pict>
      </w:r>
      <w:r>
        <w:rPr/>
        <w:pict>
          <v:group style="position:absolute;margin-left:323.460327pt;margin-top:477.006775pt;width:64.6pt;height:2.35pt;mso-position-horizontal-relative:page;mso-position-vertical-relative:page;z-index:-678352" coordorigin="6469,9540" coordsize="1292,47">
            <v:group style="position:absolute;left:6477;top:9548;width:1277;height:2" coordorigin="6477,9548" coordsize="1277,2">
              <v:shape style="position:absolute;left:6477;top:9548;width:1277;height:2" coordorigin="6477,9548" coordsize="1277,0" path="m6477,9548l7753,9548e" filled="false" stroked="true" strokeweight=".782555pt" strokecolor="#000000">
                <v:path arrowok="t"/>
              </v:shape>
            </v:group>
            <v:group style="position:absolute;left:6477;top:9579;width:1277;height:2" coordorigin="6477,9579" coordsize="1277,2">
              <v:shape style="position:absolute;left:6477;top:9579;width:1277;height:2" coordorigin="6477,9579" coordsize="1277,0" path="m6477,9579l7753,9579e" filled="false" stroked="true" strokeweight=".782555pt" strokecolor="#000000">
                <v:path arrowok="t"/>
              </v:shape>
            </v:group>
            <w10:wrap type="none"/>
          </v:group>
        </w:pict>
      </w:r>
      <w:r>
        <w:rPr/>
        <w:pict>
          <v:group style="position:absolute;margin-left:392.654877pt;margin-top:477.006775pt;width:52.95pt;height:2.35pt;mso-position-horizontal-relative:page;mso-position-vertical-relative:page;z-index:-678328" coordorigin="7853,9540" coordsize="1059,47">
            <v:group style="position:absolute;left:7861;top:9548;width:1044;height:2" coordorigin="7861,9548" coordsize="1044,2">
              <v:shape style="position:absolute;left:7861;top:9548;width:1044;height:2" coordorigin="7861,9548" coordsize="1044,0" path="m7861,9548l8904,9548e" filled="false" stroked="true" strokeweight=".782555pt" strokecolor="#000000">
                <v:path arrowok="t"/>
              </v:shape>
            </v:group>
            <v:group style="position:absolute;left:7861;top:9579;width:1044;height:2" coordorigin="7861,9579" coordsize="1044,2">
              <v:shape style="position:absolute;left:7861;top:9579;width:1044;height:2" coordorigin="7861,9579" coordsize="1044,0" path="m7861,9579l8904,9579e" filled="false" stroked="true" strokeweight=".782555pt" strokecolor="#000000">
                <v:path arrowok="t"/>
              </v:shape>
            </v:group>
            <w10:wrap type="none"/>
          </v:group>
        </w:pict>
      </w:r>
      <w:r>
        <w:rPr/>
        <w:pict>
          <v:group style="position:absolute;margin-left:449.614594pt;margin-top:477.006775pt;width:52.95pt;height:2.35pt;mso-position-horizontal-relative:page;mso-position-vertical-relative:page;z-index:-678304" coordorigin="8992,9540" coordsize="1059,47">
            <v:group style="position:absolute;left:9000;top:9548;width:1043;height:2" coordorigin="9000,9548" coordsize="1043,2">
              <v:shape style="position:absolute;left:9000;top:9548;width:1043;height:2" coordorigin="9000,9548" coordsize="1043,0" path="m9000,9548l10043,9548e" filled="false" stroked="true" strokeweight=".782555pt" strokecolor="#000000">
                <v:path arrowok="t"/>
              </v:shape>
            </v:group>
            <v:group style="position:absolute;left:9000;top:9579;width:1043;height:2" coordorigin="9000,9579" coordsize="1043,2">
              <v:shape style="position:absolute;left:9000;top:9579;width:1043;height:2" coordorigin="9000,9579" coordsize="1043,0" path="m9000,9579l10043,9579e" filled="false" stroked="true" strokeweight=".782555pt" strokecolor="#000000">
                <v:path arrowok="t"/>
              </v:shape>
            </v:group>
            <w10:wrap type="none"/>
          </v:group>
        </w:pict>
      </w:r>
      <w:r>
        <w:rPr/>
        <w:pict>
          <v:group style="position:absolute;margin-left:506.557953pt;margin-top:477.006775pt;width:62.75pt;height:2.35pt;mso-position-horizontal-relative:page;mso-position-vertical-relative:page;z-index:-678280" coordorigin="10131,9540" coordsize="1255,47">
            <v:group style="position:absolute;left:10139;top:9548;width:1240;height:2" coordorigin="10139,9548" coordsize="1240,2">
              <v:shape style="position:absolute;left:10139;top:9548;width:1240;height:2" coordorigin="10139,9548" coordsize="1240,0" path="m10139,9548l11378,9548e" filled="false" stroked="true" strokeweight=".782555pt" strokecolor="#000000">
                <v:path arrowok="t"/>
              </v:shape>
            </v:group>
            <v:group style="position:absolute;left:10139;top:9579;width:1240;height:2" coordorigin="10139,9579" coordsize="1240,2">
              <v:shape style="position:absolute;left:10139;top:9579;width:1240;height:2" coordorigin="10139,9579" coordsize="1240,0" path="m10139,9579l11378,9579e" filled="false" stroked="true" strokeweight=".782555pt" strokecolor="#000000">
                <v:path arrowok="t"/>
              </v:shape>
            </v:group>
            <w10:wrap type="none"/>
          </v:group>
        </w:pict>
      </w:r>
      <w:r>
        <w:rPr/>
        <w:pict>
          <v:group style="position:absolute;margin-left:573.326782pt;margin-top:477.006775pt;width:68.9pt;height:2.35pt;mso-position-horizontal-relative:page;mso-position-vertical-relative:page;z-index:-678256" coordorigin="11467,9540" coordsize="1378,47">
            <v:group style="position:absolute;left:11474;top:9548;width:1363;height:2" coordorigin="11474,9548" coordsize="1363,2">
              <v:shape style="position:absolute;left:11474;top:9548;width:1363;height:2" coordorigin="11474,9548" coordsize="1363,0" path="m11474,9548l12837,9548e" filled="false" stroked="true" strokeweight=".782555pt" strokecolor="#000000">
                <v:path arrowok="t"/>
              </v:shape>
            </v:group>
            <v:group style="position:absolute;left:11474;top:9579;width:1363;height:2" coordorigin="11474,9579" coordsize="1363,2">
              <v:shape style="position:absolute;left:11474;top:9579;width:1363;height:2" coordorigin="11474,9579" coordsize="1363,0" path="m11474,9579l12837,9579e" filled="false" stroked="true" strokeweight=".782555pt" strokecolor="#000000">
                <v:path arrowok="t"/>
              </v:shape>
            </v:group>
            <w10:wrap type="none"/>
          </v:group>
        </w:pict>
      </w:r>
      <w:r>
        <w:rPr/>
        <w:pict>
          <v:group style="position:absolute;margin-left:646.245667pt;margin-top:477.006775pt;width:34.65pt;height:2.35pt;mso-position-horizontal-relative:page;mso-position-vertical-relative:page;z-index:-678232" coordorigin="12925,9540" coordsize="693,47">
            <v:group style="position:absolute;left:12933;top:9548;width:677;height:2" coordorigin="12933,9548" coordsize="677,2">
              <v:shape style="position:absolute;left:12933;top:9548;width:677;height:2" coordorigin="12933,9548" coordsize="677,0" path="m12933,9548l13609,9548e" filled="false" stroked="true" strokeweight=".782555pt" strokecolor="#000000">
                <v:path arrowok="t"/>
              </v:shape>
            </v:group>
            <v:group style="position:absolute;left:12933;top:9579;width:677;height:2" coordorigin="12933,9579" coordsize="677,2">
              <v:shape style="position:absolute;left:12933;top:9579;width:677;height:2" coordorigin="12933,9579" coordsize="677,0" path="m12933,9579l13609,9579e" filled="false" stroked="true" strokeweight=".782555pt" strokecolor="#000000">
                <v:path arrowok="t"/>
              </v:shape>
            </v:group>
            <w10:wrap type="none"/>
          </v:group>
        </w:pict>
      </w:r>
      <w:r>
        <w:rPr/>
        <w:pict>
          <v:group style="position:absolute;margin-left:685.268921pt;margin-top:477.398071pt;width:73.650pt;height:.1pt;mso-position-horizontal-relative:page;mso-position-vertical-relative:page;z-index:-678208" coordorigin="13705,9548" coordsize="1473,2">
            <v:shape style="position:absolute;left:13705;top:9548;width:1473;height:2" coordorigin="13705,9548" coordsize="1473,0" path="m13705,9548l15177,9548e" filled="false" stroked="true" strokeweight=".782555pt" strokecolor="#000000">
              <v:path arrowok="t"/>
            </v:shape>
            <w10:wrap type="none"/>
          </v:group>
        </w:pict>
      </w:r>
    </w:p>
    <w:p>
      <w:pPr>
        <w:spacing w:line="240" w:lineRule="auto" w:before="6"/>
        <w:rPr>
          <w:rFonts w:ascii="Times New Roman" w:hAnsi="Times New Roman" w:cs="Times New Roman" w:eastAsia="Times New Roman" w:hint="default"/>
          <w:sz w:val="18"/>
          <w:szCs w:val="18"/>
        </w:rPr>
      </w:pPr>
    </w:p>
    <w:tbl>
      <w:tblPr>
        <w:tblW w:w="0" w:type="auto"/>
        <w:jc w:val="left"/>
        <w:tblInd w:w="680" w:type="dxa"/>
        <w:tblLayout w:type="fixed"/>
        <w:tblCellMar>
          <w:top w:w="0" w:type="dxa"/>
          <w:left w:w="0" w:type="dxa"/>
          <w:bottom w:w="0" w:type="dxa"/>
          <w:right w:w="0" w:type="dxa"/>
        </w:tblCellMar>
        <w:tblLook w:val="01E0"/>
      </w:tblPr>
      <w:tblGrid>
        <w:gridCol w:w="2551"/>
        <w:gridCol w:w="122"/>
        <w:gridCol w:w="529"/>
        <w:gridCol w:w="108"/>
        <w:gridCol w:w="10208"/>
      </w:tblGrid>
      <w:tr>
        <w:trPr>
          <w:trHeight w:val="681" w:hRule="exact"/>
        </w:trPr>
        <w:tc>
          <w:tcPr>
            <w:tcW w:w="3309" w:type="dxa"/>
            <w:gridSpan w:val="4"/>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907" w:right="0"/>
              <w:jc w:val="left"/>
              <w:rPr>
                <w:rFonts w:ascii="宋体" w:hAnsi="宋体" w:cs="宋体" w:eastAsia="宋体" w:hint="default"/>
                <w:sz w:val="26"/>
                <w:szCs w:val="26"/>
              </w:rPr>
            </w:pPr>
            <w:r>
              <w:rPr>
                <w:rFonts w:ascii="宋体" w:hAnsi="宋体" w:cs="宋体" w:eastAsia="宋体" w:hint="default"/>
                <w:sz w:val="26"/>
                <w:szCs w:val="26"/>
              </w:rPr>
              <w:t>母公司股东权益变动表</w:t>
            </w:r>
          </w:p>
          <w:p>
            <w:pPr>
              <w:pStyle w:val="TableParagraph"/>
              <w:tabs>
                <w:tab w:pos="9147" w:val="left" w:leader="none"/>
              </w:tabs>
              <w:spacing w:line="240" w:lineRule="auto" w:before="87"/>
              <w:ind w:left="2921" w:right="0"/>
              <w:jc w:val="left"/>
              <w:rPr>
                <w:rFonts w:ascii="宋体" w:hAnsi="宋体" w:cs="宋体" w:eastAsia="宋体" w:hint="default"/>
                <w:sz w:val="14"/>
                <w:szCs w:val="14"/>
              </w:rPr>
            </w:pPr>
            <w:r>
              <w:rPr>
                <w:rFonts w:ascii="宋体" w:hAnsi="宋体" w:cs="宋体" w:eastAsia="宋体" w:hint="default"/>
                <w:w w:val="110"/>
                <w:sz w:val="14"/>
                <w:szCs w:val="14"/>
              </w:rPr>
              <w:t>2010年度</w:t>
              <w:tab/>
            </w:r>
            <w:r>
              <w:rPr>
                <w:rFonts w:ascii="宋体" w:hAnsi="宋体" w:cs="宋体" w:eastAsia="宋体" w:hint="default"/>
                <w:w w:val="105"/>
                <w:sz w:val="14"/>
                <w:szCs w:val="14"/>
              </w:rPr>
              <w:t>单位：人民币元</w:t>
            </w:r>
            <w:r>
              <w:rPr>
                <w:rFonts w:ascii="宋体" w:hAnsi="宋体" w:cs="宋体" w:eastAsia="宋体" w:hint="default"/>
                <w:sz w:val="14"/>
                <w:szCs w:val="14"/>
              </w:rPr>
            </w:r>
          </w:p>
        </w:tc>
      </w:tr>
      <w:tr>
        <w:trPr>
          <w:trHeight w:val="261" w:hRule="exact"/>
        </w:trPr>
        <w:tc>
          <w:tcPr>
            <w:tcW w:w="2551"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11" w:right="0"/>
              <w:jc w:val="center"/>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34"/>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123" w:right="0"/>
              <w:jc w:val="left"/>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single" w:sz="6" w:space="0" w:color="000000"/>
              <w:right w:val="nil" w:sz="6" w:space="0" w:color="auto"/>
            </w:tcBorders>
          </w:tcPr>
          <w:p>
            <w:pPr>
              <w:pStyle w:val="TableParagraph"/>
              <w:spacing w:line="240" w:lineRule="auto" w:before="9"/>
              <w:ind w:left="11" w:right="0"/>
              <w:jc w:val="center"/>
              <w:rPr>
                <w:rFonts w:ascii="宋体" w:hAnsi="宋体" w:cs="宋体" w:eastAsia="宋体" w:hint="default"/>
                <w:sz w:val="14"/>
                <w:szCs w:val="14"/>
              </w:rPr>
            </w:pPr>
            <w:r>
              <w:rPr>
                <w:rFonts w:ascii="宋体" w:hAnsi="宋体" w:cs="宋体" w:eastAsia="宋体" w:hint="default"/>
                <w:w w:val="105"/>
                <w:sz w:val="14"/>
                <w:szCs w:val="14"/>
              </w:rPr>
              <w:t>本期数</w:t>
            </w:r>
            <w:r>
              <w:rPr>
                <w:rFonts w:ascii="宋体" w:hAnsi="宋体" w:cs="宋体" w:eastAsia="宋体" w:hint="default"/>
                <w:sz w:val="14"/>
                <w:szCs w:val="14"/>
              </w:rPr>
            </w:r>
          </w:p>
        </w:tc>
      </w:tr>
      <w:tr>
        <w:trPr>
          <w:trHeight w:val="266" w:hRule="exact"/>
        </w:trPr>
        <w:tc>
          <w:tcPr>
            <w:tcW w:w="2551" w:type="dxa"/>
            <w:tcBorders>
              <w:top w:val="single" w:sz="6"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single" w:sz="6"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single" w:sz="6" w:space="0" w:color="000000"/>
              <w:left w:val="nil" w:sz="6" w:space="0" w:color="auto"/>
              <w:bottom w:val="single" w:sz="6" w:space="0" w:color="000000"/>
              <w:right w:val="nil" w:sz="6" w:space="0" w:color="auto"/>
            </w:tcBorders>
          </w:tcPr>
          <w:p>
            <w:pPr>
              <w:pStyle w:val="TableParagraph"/>
              <w:tabs>
                <w:tab w:pos="1852" w:val="left" w:leader="none"/>
                <w:tab w:pos="3046" w:val="left" w:leader="none"/>
                <w:tab w:pos="4258" w:val="left" w:leader="none"/>
                <w:tab w:pos="5495" w:val="left" w:leader="none"/>
                <w:tab w:pos="6818" w:val="left" w:leader="none"/>
                <w:tab w:pos="8155" w:val="left" w:leader="none"/>
                <w:tab w:pos="9032" w:val="left" w:leader="none"/>
              </w:tabs>
              <w:spacing w:line="240" w:lineRule="auto" w:before="14"/>
              <w:ind w:left="559" w:right="0"/>
              <w:jc w:val="left"/>
              <w:rPr>
                <w:rFonts w:ascii="宋体" w:hAnsi="宋体" w:cs="宋体" w:eastAsia="宋体" w:hint="default"/>
                <w:sz w:val="14"/>
                <w:szCs w:val="14"/>
              </w:rPr>
            </w:pPr>
            <w:r>
              <w:rPr>
                <w:rFonts w:ascii="宋体" w:hAnsi="宋体" w:cs="宋体" w:eastAsia="宋体" w:hint="default"/>
                <w:w w:val="105"/>
                <w:sz w:val="14"/>
                <w:szCs w:val="14"/>
              </w:rPr>
              <w:t>股本</w:t>
              <w:tab/>
              <w:t>资本公积</w:t>
              <w:tab/>
              <w:t>减：库存股</w:t>
              <w:tab/>
              <w:t>专项储备</w:t>
              <w:tab/>
              <w:t>盈余公积</w:t>
              <w:tab/>
              <w:t>未分配利润</w:t>
              <w:tab/>
              <w:t>其他</w:t>
              <w:tab/>
              <w:t>股东权益合计</w:t>
            </w:r>
            <w:r>
              <w:rPr>
                <w:rFonts w:ascii="宋体" w:hAnsi="宋体" w:cs="宋体" w:eastAsia="宋体" w:hint="default"/>
                <w:sz w:val="14"/>
                <w:szCs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22"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一、上年年末余额</w:t>
            </w:r>
            <w:r>
              <w:rPr>
                <w:rFonts w:ascii="Microsoft JhengHei" w:hAnsi="Microsoft JhengHei" w:cs="Microsoft JhengHei" w:eastAsia="Microsoft JhengHei"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1.4pt;height:.8pt;mso-position-horizontal-relative:char;mso-position-vertical-relative:line" coordorigin="0,0" coordsize="1428,16">
                  <v:group style="position:absolute;left:9;top:1;width:1410;height:2" coordorigin="9,1" coordsize="1410,2">
                    <v:shape style="position:absolute;left:9;top:1;width:1410;height:2" coordorigin="9,1" coordsize="1410,0" path="m9,1l1419,1e" filled="false" stroked="true" strokeweight=".114124pt" strokecolor="#000000">
                      <v:path arrowok="t"/>
                    </v:shape>
                  </v:group>
                  <v:group style="position:absolute;left:8;top:8;width:1412;height:2" coordorigin="8,8" coordsize="1412,2">
                    <v:shape style="position:absolute;left:8;top:8;width:1412;height:2" coordorigin="8,8" coordsize="1412,0" path="m8,8l1420,8e" filled="false" stroked="true" strokeweight=".782563pt" strokecolor="#000000">
                      <v:path arrowok="t"/>
                    </v:shape>
                  </v:group>
                </v:group>
              </w:pict>
            </w:r>
            <w:r>
              <w:rPr>
                <w:rFonts w:ascii="Times New Roman"/>
                <w:sz w:val="2"/>
              </w:rPr>
            </w:r>
            <w:r>
              <w:rPr>
                <w:rFonts w:ascii="Times New Roman"/>
                <w:spacing w:val="73"/>
                <w:sz w:val="2"/>
              </w:rPr>
              <w:t> </w:t>
            </w:r>
            <w:r>
              <w:rPr>
                <w:rFonts w:ascii="Times New Roman"/>
                <w:spacing w:val="73"/>
                <w:sz w:val="2"/>
              </w:rPr>
              <w:pict>
                <v:group style="width:64.6pt;height:.8pt;mso-position-horizontal-relative:char;mso-position-vertical-relative:line" coordorigin="0,0" coordsize="1292,16">
                  <v:group style="position:absolute;left:9;top:1;width:1275;height:2" coordorigin="9,1" coordsize="1275,2">
                    <v:shape style="position:absolute;left:9;top:1;width:1275;height:2" coordorigin="9,1" coordsize="1275,0" path="m9,1l1283,1e" filled="false" stroked="true" strokeweight=".114124pt" strokecolor="#000000">
                      <v:path arrowok="t"/>
                    </v:shape>
                  </v:group>
                  <v:group style="position:absolute;left:8;top:8;width:1277;height:2" coordorigin="8,8" coordsize="1277,2">
                    <v:shape style="position:absolute;left:8;top:8;width:1277;height:2" coordorigin="8,8" coordsize="1277,0" path="m8,8l1284,8e" filled="false" stroked="true" strokeweight=".782563pt" strokecolor="#000000">
                      <v:path arrowok="t"/>
                    </v:shape>
                  </v:group>
                </v:group>
              </w:pict>
            </w:r>
            <w:r>
              <w:rPr>
                <w:rFonts w:ascii="Times New Roman"/>
                <w:spacing w:val="73"/>
                <w:sz w:val="2"/>
              </w:rPr>
            </w:r>
            <w:r>
              <w:rPr>
                <w:rFonts w:ascii="Times New Roman"/>
                <w:spacing w:val="85"/>
                <w:sz w:val="2"/>
              </w:rPr>
              <w:t> </w:t>
            </w:r>
            <w:r>
              <w:rPr>
                <w:rFonts w:ascii="Times New Roman"/>
                <w:spacing w:val="85"/>
                <w:sz w:val="2"/>
              </w:rPr>
              <w:pict>
                <v:group style="width:52.95pt;height:.8pt;mso-position-horizontal-relative:char;mso-position-vertical-relative:line" coordorigin="0,0" coordsize="1059,16">
                  <v:group style="position:absolute;left:9;top:1;width:1042;height:2" coordorigin="9,1" coordsize="1042,2">
                    <v:shape style="position:absolute;left:9;top:1;width:1042;height:2" coordorigin="9,1" coordsize="1042,0" path="m9,1l1050,1e" filled="false" stroked="true" strokeweight=".114124pt" strokecolor="#000000">
                      <v:path arrowok="t"/>
                    </v:shape>
                  </v:group>
                  <v:group style="position:absolute;left:8;top:8;width:1044;height:2" coordorigin="8,8" coordsize="1044,2">
                    <v:shape style="position:absolute;left:8;top:8;width:1044;height:2" coordorigin="8,8" coordsize="1044,0" path="m8,8l1051,8e" filled="false" stroked="true" strokeweight=".782563pt" strokecolor="#000000">
                      <v:path arrowok="t"/>
                    </v:shape>
                  </v:group>
                </v:group>
              </w:pict>
            </w:r>
            <w:r>
              <w:rPr>
                <w:rFonts w:ascii="Times New Roman"/>
                <w:spacing w:val="85"/>
                <w:sz w:val="2"/>
              </w:rPr>
            </w:r>
            <w:r>
              <w:rPr>
                <w:rFonts w:ascii="Times New Roman"/>
                <w:spacing w:val="73"/>
                <w:sz w:val="2"/>
              </w:rPr>
              <w:t> </w:t>
            </w:r>
            <w:r>
              <w:rPr>
                <w:rFonts w:ascii="Times New Roman"/>
                <w:spacing w:val="73"/>
                <w:sz w:val="2"/>
              </w:rPr>
              <w:pict>
                <v:group style="width:52.95pt;height:.8pt;mso-position-horizontal-relative:char;mso-position-vertical-relative:line" coordorigin="0,0" coordsize="1059,16">
                  <v:group style="position:absolute;left:9;top:1;width:1041;height:2" coordorigin="9,1" coordsize="1041,2">
                    <v:shape style="position:absolute;left:9;top:1;width:1041;height:2" coordorigin="9,1" coordsize="1041,0" path="m9,1l1050,1e" filled="false" stroked="true" strokeweight=".114124pt" strokecolor="#000000">
                      <v:path arrowok="t"/>
                    </v:shape>
                  </v:group>
                  <v:group style="position:absolute;left:8;top:8;width:1043;height:2" coordorigin="8,8" coordsize="1043,2">
                    <v:shape style="position:absolute;left:8;top:8;width:1043;height:2" coordorigin="8,8" coordsize="1043,0" path="m8,8l1051,8e" filled="false" stroked="true" strokeweight=".782563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2.75pt;height:.8pt;mso-position-horizontal-relative:char;mso-position-vertical-relative:line" coordorigin="0,0" coordsize="1255,16">
                  <v:group style="position:absolute;left:9;top:1;width:1238;height:2" coordorigin="9,1" coordsize="1238,2">
                    <v:shape style="position:absolute;left:9;top:1;width:1238;height:2" coordorigin="9,1" coordsize="1238,0" path="m9,1l1246,1e" filled="false" stroked="true" strokeweight=".114124pt" strokecolor="#000000">
                      <v:path arrowok="t"/>
                    </v:shape>
                  </v:group>
                  <v:group style="position:absolute;left:8;top:8;width:1240;height:2" coordorigin="8,8" coordsize="1240,2">
                    <v:shape style="position:absolute;left:8;top:8;width:1240;height:2" coordorigin="8,8" coordsize="1240,0" path="m8,8l1247,8e" filled="false" stroked="true" strokeweight=".782563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8.9pt;height:.8pt;mso-position-horizontal-relative:char;mso-position-vertical-relative:line" coordorigin="0,0" coordsize="1378,16">
                  <v:group style="position:absolute;left:9;top:1;width:1361;height:2" coordorigin="9,1" coordsize="1361,2">
                    <v:shape style="position:absolute;left:9;top:1;width:1361;height:2" coordorigin="9,1" coordsize="1361,0" path="m9,1l1369,1e" filled="false" stroked="true" strokeweight=".114124pt" strokecolor="#000000">
                      <v:path arrowok="t"/>
                    </v:shape>
                  </v:group>
                  <v:group style="position:absolute;left:8;top:8;width:1363;height:2" coordorigin="8,8" coordsize="1363,2">
                    <v:shape style="position:absolute;left:8;top:8;width:1363;height:2" coordorigin="8,8" coordsize="1363,0" path="m8,8l1370,8e" filled="false" stroked="true" strokeweight=".782563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34.65pt;height:.8pt;mso-position-horizontal-relative:char;mso-position-vertical-relative:line" coordorigin="0,0" coordsize="693,16">
                  <v:group style="position:absolute;left:9;top:1;width:675;height:2" coordorigin="9,1" coordsize="675,2">
                    <v:shape style="position:absolute;left:9;top:1;width:675;height:2" coordorigin="9,1" coordsize="675,0" path="m9,1l683,1e" filled="false" stroked="true" strokeweight=".114124pt" strokecolor="#000000">
                      <v:path arrowok="t"/>
                    </v:shape>
                  </v:group>
                  <v:group style="position:absolute;left:8;top:8;width:677;height:2" coordorigin="8,8" coordsize="677,2">
                    <v:shape style="position:absolute;left:8;top:8;width:677;height:2" coordorigin="8,8" coordsize="677,0" path="m8,8l684,8e" filled="false" stroked="true" strokeweight=".782563pt" strokecolor="#000000">
                      <v:path arrowok="t"/>
                    </v:shape>
                  </v:group>
                </v:group>
              </w:pict>
            </w:r>
            <w:r>
              <w:rPr>
                <w:rFonts w:ascii="Times New Roman"/>
                <w:spacing w:val="73"/>
                <w:sz w:val="2"/>
              </w:rPr>
            </w:r>
          </w:p>
          <w:p>
            <w:pPr>
              <w:pStyle w:val="TableParagraph"/>
              <w:tabs>
                <w:tab w:pos="1372" w:val="left" w:leader="none"/>
                <w:tab w:pos="3256" w:val="left" w:leader="none"/>
                <w:tab w:pos="4395" w:val="left" w:leader="none"/>
                <w:tab w:pos="5080" w:val="left" w:leader="none"/>
                <w:tab w:pos="6456" w:val="left" w:leader="none"/>
                <w:tab w:pos="7961" w:val="left" w:leader="none"/>
                <w:tab w:pos="8714" w:val="left" w:leader="none"/>
              </w:tabs>
              <w:spacing w:line="240" w:lineRule="auto" w:before="42"/>
              <w:ind w:right="72"/>
              <w:jc w:val="right"/>
              <w:rPr>
                <w:rFonts w:ascii="Arial" w:hAnsi="Arial" w:cs="Arial" w:eastAsia="Arial" w:hint="default"/>
                <w:sz w:val="14"/>
                <w:szCs w:val="14"/>
              </w:rPr>
            </w:pPr>
            <w:r>
              <w:rPr>
                <w:rFonts w:ascii="Arial"/>
                <w:w w:val="105"/>
                <w:sz w:val="14"/>
              </w:rPr>
              <w:t>47,500,000.00</w:t>
              <w:tab/>
              <w:t>62,385,459.32</w:t>
              <w:tab/>
              <w:t>-</w:t>
              <w:tab/>
              <w:t>-</w:t>
              <w:tab/>
              <w:t>4,376,663.12</w:t>
              <w:tab/>
              <w:t>29,605,047.81</w:t>
              <w:tab/>
              <w:t>-</w:t>
              <w:tab/>
              <w:t>143,867,170.25</w:t>
            </w:r>
            <w:r>
              <w:rPr>
                <w:rFonts w:ascii="Arial"/>
                <w:sz w:val="14"/>
              </w:rPr>
            </w:r>
          </w:p>
        </w:tc>
      </w:tr>
      <w:tr>
        <w:trPr>
          <w:trHeight w:val="275"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left"/>
              <w:rPr>
                <w:rFonts w:ascii="宋体" w:hAnsi="宋体" w:cs="宋体" w:eastAsia="宋体" w:hint="default"/>
                <w:sz w:val="14"/>
                <w:szCs w:val="14"/>
              </w:rPr>
            </w:pPr>
            <w:r>
              <w:rPr>
                <w:rFonts w:ascii="宋体" w:hAnsi="宋体" w:cs="宋体" w:eastAsia="宋体" w:hint="default"/>
                <w:w w:val="105"/>
                <w:sz w:val="14"/>
                <w:szCs w:val="14"/>
              </w:rPr>
              <w:t>加：会计政策变更</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single" w:sz="6" w:space="0" w:color="000000"/>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6"/>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05"/>
                <w:sz w:val="14"/>
                <w:szCs w:val="14"/>
              </w:rPr>
              <w:t>前期差错更正</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5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2"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二、本年年初余额</w:t>
            </w:r>
            <w:r>
              <w:rPr>
                <w:rFonts w:ascii="Microsoft JhengHei" w:hAnsi="Microsoft JhengHei" w:cs="Microsoft JhengHei" w:eastAsia="Microsoft JhengHei"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single" w:sz="6" w:space="0" w:color="000000"/>
              <w:right w:val="nil" w:sz="6" w:space="0" w:color="auto"/>
            </w:tcBorders>
          </w:tcPr>
          <w:p>
            <w:pPr>
              <w:pStyle w:val="TableParagraph"/>
              <w:tabs>
                <w:tab w:pos="1372" w:val="left" w:leader="none"/>
                <w:tab w:pos="3256" w:val="left" w:leader="none"/>
                <w:tab w:pos="4395" w:val="left" w:leader="none"/>
                <w:tab w:pos="5080" w:val="left" w:leader="none"/>
                <w:tab w:pos="6456" w:val="left" w:leader="none"/>
                <w:tab w:pos="7961" w:val="left" w:leader="none"/>
                <w:tab w:pos="8714" w:val="left" w:leader="none"/>
              </w:tabs>
              <w:spacing w:line="240" w:lineRule="auto" w:before="45"/>
              <w:ind w:right="72"/>
              <w:jc w:val="right"/>
              <w:rPr>
                <w:rFonts w:ascii="Arial" w:hAnsi="Arial" w:cs="Arial" w:eastAsia="Arial" w:hint="default"/>
                <w:sz w:val="14"/>
                <w:szCs w:val="14"/>
              </w:rPr>
            </w:pPr>
            <w:r>
              <w:rPr>
                <w:rFonts w:ascii="Arial"/>
                <w:w w:val="105"/>
                <w:sz w:val="14"/>
              </w:rPr>
              <w:t>47,500,000.00</w:t>
              <w:tab/>
              <w:t>62,385,459.32</w:t>
              <w:tab/>
              <w:t>-</w:t>
              <w:tab/>
              <w:t>-</w:t>
              <w:tab/>
              <w:t>4,376,663.12</w:t>
              <w:tab/>
              <w:t>29,605,047.81</w:t>
              <w:tab/>
              <w:t>-</w:t>
              <w:tab/>
              <w:t>143,867,170.25</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22"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三、本年增减变动金额</w:t>
            </w:r>
            <w:r>
              <w:rPr>
                <w:rFonts w:ascii="Microsoft JhengHei" w:hAnsi="Microsoft JhengHei" w:cs="Microsoft JhengHei" w:eastAsia="Microsoft JhengHei"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1.4pt;height:.8pt;mso-position-horizontal-relative:char;mso-position-vertical-relative:line" coordorigin="0,0" coordsize="1428,16">
                  <v:group style="position:absolute;left:9;top:1;width:1410;height:2" coordorigin="9,1" coordsize="1410,2">
                    <v:shape style="position:absolute;left:9;top:1;width:1410;height:2" coordorigin="9,1" coordsize="1410,0" path="m9,1l1419,1e" filled="false" stroked="true" strokeweight=".114124pt" strokecolor="#000000">
                      <v:path arrowok="t"/>
                    </v:shape>
                  </v:group>
                  <v:group style="position:absolute;left:8;top:8;width:1412;height:2" coordorigin="8,8" coordsize="1412,2">
                    <v:shape style="position:absolute;left:8;top:8;width:1412;height:2" coordorigin="8,8" coordsize="1412,0" path="m8,8l1420,8e" filled="false" stroked="true" strokeweight=".782571pt" strokecolor="#000000">
                      <v:path arrowok="t"/>
                    </v:shape>
                  </v:group>
                </v:group>
              </w:pict>
            </w:r>
            <w:r>
              <w:rPr>
                <w:rFonts w:ascii="Times New Roman"/>
                <w:sz w:val="2"/>
              </w:rPr>
            </w:r>
            <w:r>
              <w:rPr>
                <w:rFonts w:ascii="Times New Roman"/>
                <w:spacing w:val="73"/>
                <w:sz w:val="2"/>
              </w:rPr>
              <w:t> </w:t>
            </w:r>
            <w:r>
              <w:rPr>
                <w:rFonts w:ascii="Times New Roman"/>
                <w:spacing w:val="73"/>
                <w:sz w:val="2"/>
              </w:rPr>
              <w:pict>
                <v:group style="width:64.6pt;height:.8pt;mso-position-horizontal-relative:char;mso-position-vertical-relative:line" coordorigin="0,0" coordsize="1292,16">
                  <v:group style="position:absolute;left:9;top:1;width:1275;height:2" coordorigin="9,1" coordsize="1275,2">
                    <v:shape style="position:absolute;left:9;top:1;width:1275;height:2" coordorigin="9,1" coordsize="1275,0" path="m9,1l1283,1e" filled="false" stroked="true" strokeweight=".114124pt" strokecolor="#000000">
                      <v:path arrowok="t"/>
                    </v:shape>
                  </v:group>
                  <v:group style="position:absolute;left:8;top:8;width:1277;height:2" coordorigin="8,8" coordsize="1277,2">
                    <v:shape style="position:absolute;left:8;top:8;width:1277;height:2" coordorigin="8,8" coordsize="1277,0" path="m8,8l1284,8e" filled="false" stroked="true" strokeweight=".782571pt" strokecolor="#000000">
                      <v:path arrowok="t"/>
                    </v:shape>
                  </v:group>
                </v:group>
              </w:pict>
            </w:r>
            <w:r>
              <w:rPr>
                <w:rFonts w:ascii="Times New Roman"/>
                <w:spacing w:val="73"/>
                <w:sz w:val="2"/>
              </w:rPr>
            </w:r>
            <w:r>
              <w:rPr>
                <w:rFonts w:ascii="Times New Roman"/>
                <w:spacing w:val="85"/>
                <w:sz w:val="2"/>
              </w:rPr>
              <w:t> </w:t>
            </w:r>
            <w:r>
              <w:rPr>
                <w:rFonts w:ascii="Times New Roman"/>
                <w:spacing w:val="85"/>
                <w:sz w:val="2"/>
              </w:rPr>
              <w:pict>
                <v:group style="width:52.95pt;height:.8pt;mso-position-horizontal-relative:char;mso-position-vertical-relative:line" coordorigin="0,0" coordsize="1059,16">
                  <v:group style="position:absolute;left:9;top:1;width:1042;height:2" coordorigin="9,1" coordsize="1042,2">
                    <v:shape style="position:absolute;left:9;top:1;width:1042;height:2" coordorigin="9,1" coordsize="1042,0" path="m9,1l1050,1e" filled="false" stroked="true" strokeweight=".114124pt" strokecolor="#000000">
                      <v:path arrowok="t"/>
                    </v:shape>
                  </v:group>
                  <v:group style="position:absolute;left:8;top:8;width:1044;height:2" coordorigin="8,8" coordsize="1044,2">
                    <v:shape style="position:absolute;left:8;top:8;width:1044;height:2" coordorigin="8,8" coordsize="1044,0" path="m8,8l1051,8e" filled="false" stroked="true" strokeweight=".782571pt" strokecolor="#000000">
                      <v:path arrowok="t"/>
                    </v:shape>
                  </v:group>
                </v:group>
              </w:pict>
            </w:r>
            <w:r>
              <w:rPr>
                <w:rFonts w:ascii="Times New Roman"/>
                <w:spacing w:val="85"/>
                <w:sz w:val="2"/>
              </w:rPr>
            </w:r>
            <w:r>
              <w:rPr>
                <w:rFonts w:ascii="Times New Roman"/>
                <w:spacing w:val="73"/>
                <w:sz w:val="2"/>
              </w:rPr>
              <w:t> </w:t>
            </w:r>
            <w:r>
              <w:rPr>
                <w:rFonts w:ascii="Times New Roman"/>
                <w:spacing w:val="73"/>
                <w:sz w:val="2"/>
              </w:rPr>
              <w:pict>
                <v:group style="width:52.95pt;height:.8pt;mso-position-horizontal-relative:char;mso-position-vertical-relative:line" coordorigin="0,0" coordsize="1059,16">
                  <v:group style="position:absolute;left:9;top:1;width:1041;height:2" coordorigin="9,1" coordsize="1041,2">
                    <v:shape style="position:absolute;left:9;top:1;width:1041;height:2" coordorigin="9,1" coordsize="1041,0" path="m9,1l1050,1e" filled="false" stroked="true" strokeweight=".114124pt" strokecolor="#000000">
                      <v:path arrowok="t"/>
                    </v:shape>
                  </v:group>
                  <v:group style="position:absolute;left:8;top:8;width:1043;height:2" coordorigin="8,8" coordsize="1043,2">
                    <v:shape style="position:absolute;left:8;top:8;width:1043;height:2" coordorigin="8,8" coordsize="1043,0" path="m8,8l1051,8e" filled="false" stroked="true" strokeweight=".782571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2.75pt;height:.8pt;mso-position-horizontal-relative:char;mso-position-vertical-relative:line" coordorigin="0,0" coordsize="1255,16">
                  <v:group style="position:absolute;left:9;top:1;width:1238;height:2" coordorigin="9,1" coordsize="1238,2">
                    <v:shape style="position:absolute;left:9;top:1;width:1238;height:2" coordorigin="9,1" coordsize="1238,0" path="m9,1l1246,1e" filled="false" stroked="true" strokeweight=".114124pt" strokecolor="#000000">
                      <v:path arrowok="t"/>
                    </v:shape>
                  </v:group>
                  <v:group style="position:absolute;left:8;top:8;width:1240;height:2" coordorigin="8,8" coordsize="1240,2">
                    <v:shape style="position:absolute;left:8;top:8;width:1240;height:2" coordorigin="8,8" coordsize="1240,0" path="m8,8l1247,8e" filled="false" stroked="true" strokeweight=".782571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8.9pt;height:.8pt;mso-position-horizontal-relative:char;mso-position-vertical-relative:line" coordorigin="0,0" coordsize="1378,16">
                  <v:group style="position:absolute;left:9;top:1;width:1361;height:2" coordorigin="9,1" coordsize="1361,2">
                    <v:shape style="position:absolute;left:9;top:1;width:1361;height:2" coordorigin="9,1" coordsize="1361,0" path="m9,1l1369,1e" filled="false" stroked="true" strokeweight=".114124pt" strokecolor="#000000">
                      <v:path arrowok="t"/>
                    </v:shape>
                  </v:group>
                  <v:group style="position:absolute;left:8;top:8;width:1363;height:2" coordorigin="8,8" coordsize="1363,2">
                    <v:shape style="position:absolute;left:8;top:8;width:1363;height:2" coordorigin="8,8" coordsize="1363,0" path="m8,8l1370,8e" filled="false" stroked="true" strokeweight=".782571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34.65pt;height:.8pt;mso-position-horizontal-relative:char;mso-position-vertical-relative:line" coordorigin="0,0" coordsize="693,16">
                  <v:group style="position:absolute;left:9;top:1;width:675;height:2" coordorigin="9,1" coordsize="675,2">
                    <v:shape style="position:absolute;left:9;top:1;width:675;height:2" coordorigin="9,1" coordsize="675,0" path="m9,1l683,1e" filled="false" stroked="true" strokeweight=".114124pt" strokecolor="#000000">
                      <v:path arrowok="t"/>
                    </v:shape>
                  </v:group>
                  <v:group style="position:absolute;left:8;top:8;width:677;height:2" coordorigin="8,8" coordsize="677,2">
                    <v:shape style="position:absolute;left:8;top:8;width:677;height:2" coordorigin="8,8" coordsize="677,0" path="m8,8l684,8e" filled="false" stroked="true" strokeweight=".782571pt" strokecolor="#000000">
                      <v:path arrowok="t"/>
                    </v:shape>
                  </v:group>
                </v:group>
              </w:pict>
            </w:r>
            <w:r>
              <w:rPr>
                <w:rFonts w:ascii="Times New Roman"/>
                <w:spacing w:val="73"/>
                <w:sz w:val="2"/>
              </w:rPr>
            </w:r>
          </w:p>
          <w:p>
            <w:pPr>
              <w:pStyle w:val="TableParagraph"/>
              <w:tabs>
                <w:tab w:pos="1290" w:val="left" w:leader="none"/>
                <w:tab w:pos="3256" w:val="left" w:leader="none"/>
                <w:tab w:pos="4395" w:val="left" w:leader="none"/>
                <w:tab w:pos="5080" w:val="left" w:leader="none"/>
                <w:tab w:pos="6448" w:val="left" w:leader="none"/>
                <w:tab w:pos="7961" w:val="left" w:leader="none"/>
                <w:tab w:pos="8714" w:val="left" w:leader="none"/>
              </w:tabs>
              <w:spacing w:line="240" w:lineRule="auto" w:before="42"/>
              <w:ind w:right="72"/>
              <w:jc w:val="right"/>
              <w:rPr>
                <w:rFonts w:ascii="Arial" w:hAnsi="Arial" w:cs="Arial" w:eastAsia="Arial" w:hint="default"/>
                <w:sz w:val="14"/>
                <w:szCs w:val="14"/>
              </w:rPr>
            </w:pPr>
            <w:r>
              <w:rPr>
                <w:rFonts w:ascii="Arial"/>
                <w:w w:val="105"/>
                <w:sz w:val="14"/>
              </w:rPr>
              <w:t>16,000,000.00</w:t>
              <w:tab/>
              <w:t>630,334,934.33</w:t>
              <w:tab/>
              <w:t>-</w:t>
              <w:tab/>
              <w:t>-</w:t>
              <w:tab/>
              <w:t>2,644,038.24</w:t>
              <w:tab/>
              <w:t>23,796,344.14</w:t>
              <w:tab/>
              <w:t>-</w:t>
              <w:tab/>
              <w:t>672,775,316.71</w:t>
            </w:r>
            <w:r>
              <w:rPr>
                <w:rFonts w:ascii="Arial"/>
                <w:sz w:val="14"/>
              </w:rPr>
            </w:r>
          </w:p>
        </w:tc>
      </w:tr>
      <w:tr>
        <w:trPr>
          <w:trHeight w:val="27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left"/>
              <w:rPr>
                <w:rFonts w:ascii="宋体" w:hAnsi="宋体" w:cs="宋体" w:eastAsia="宋体" w:hint="default"/>
                <w:sz w:val="14"/>
                <w:szCs w:val="14"/>
              </w:rPr>
            </w:pPr>
            <w:r>
              <w:rPr>
                <w:rFonts w:ascii="宋体" w:hAnsi="宋体" w:cs="宋体" w:eastAsia="宋体" w:hint="default"/>
                <w:w w:val="105"/>
                <w:sz w:val="14"/>
                <w:szCs w:val="14"/>
              </w:rPr>
              <w:t>（一）净利润</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1.4pt;height:.8pt;mso-position-horizontal-relative:char;mso-position-vertical-relative:line" coordorigin="0,0" coordsize="1428,16">
                  <v:group style="position:absolute;left:9;top:1;width:1410;height:2" coordorigin="9,1" coordsize="1410,2">
                    <v:shape style="position:absolute;left:9;top:1;width:1410;height:2" coordorigin="9,1" coordsize="1410,0" path="m9,1l1419,1e" filled="false" stroked="true" strokeweight=".114124pt" strokecolor="#000000">
                      <v:path arrowok="t"/>
                    </v:shape>
                  </v:group>
                  <v:group style="position:absolute;left:8;top:8;width:1412;height:2" coordorigin="8,8" coordsize="1412,2">
                    <v:shape style="position:absolute;left:8;top:8;width:1412;height:2" coordorigin="8,8" coordsize="1412,0" path="m8,8l1420,8e" filled="false" stroked="true" strokeweight=".782555pt" strokecolor="#000000">
                      <v:path arrowok="t"/>
                    </v:shape>
                  </v:group>
                </v:group>
              </w:pict>
            </w:r>
            <w:r>
              <w:rPr>
                <w:rFonts w:ascii="Times New Roman"/>
                <w:sz w:val="2"/>
              </w:rPr>
            </w:r>
            <w:r>
              <w:rPr>
                <w:rFonts w:ascii="Times New Roman"/>
                <w:spacing w:val="73"/>
                <w:sz w:val="2"/>
              </w:rPr>
              <w:t> </w:t>
            </w:r>
            <w:r>
              <w:rPr>
                <w:rFonts w:ascii="Times New Roman"/>
                <w:spacing w:val="73"/>
                <w:sz w:val="2"/>
              </w:rPr>
              <w:pict>
                <v:group style="width:64.6pt;height:.8pt;mso-position-horizontal-relative:char;mso-position-vertical-relative:line" coordorigin="0,0" coordsize="1292,16">
                  <v:group style="position:absolute;left:9;top:1;width:1275;height:2" coordorigin="9,1" coordsize="1275,2">
                    <v:shape style="position:absolute;left:9;top:1;width:1275;height:2" coordorigin="9,1" coordsize="1275,0" path="m9,1l1283,1e" filled="false" stroked="true" strokeweight=".114124pt" strokecolor="#000000">
                      <v:path arrowok="t"/>
                    </v:shape>
                  </v:group>
                  <v:group style="position:absolute;left:8;top:8;width:1277;height:2" coordorigin="8,8" coordsize="1277,2">
                    <v:shape style="position:absolute;left:8;top:8;width:1277;height:2" coordorigin="8,8" coordsize="1277,0" path="m8,8l1284,8e" filled="false" stroked="true" strokeweight=".782555pt" strokecolor="#000000">
                      <v:path arrowok="t"/>
                    </v:shape>
                  </v:group>
                </v:group>
              </w:pict>
            </w:r>
            <w:r>
              <w:rPr>
                <w:rFonts w:ascii="Times New Roman"/>
                <w:spacing w:val="73"/>
                <w:sz w:val="2"/>
              </w:rPr>
            </w:r>
            <w:r>
              <w:rPr>
                <w:rFonts w:ascii="Times New Roman"/>
                <w:spacing w:val="85"/>
                <w:sz w:val="2"/>
              </w:rPr>
              <w:t> </w:t>
            </w:r>
            <w:r>
              <w:rPr>
                <w:rFonts w:ascii="Times New Roman"/>
                <w:spacing w:val="85"/>
                <w:sz w:val="2"/>
              </w:rPr>
              <w:pict>
                <v:group style="width:52.95pt;height:.8pt;mso-position-horizontal-relative:char;mso-position-vertical-relative:line" coordorigin="0,0" coordsize="1059,16">
                  <v:group style="position:absolute;left:9;top:1;width:1042;height:2" coordorigin="9,1" coordsize="1042,2">
                    <v:shape style="position:absolute;left:9;top:1;width:1042;height:2" coordorigin="9,1" coordsize="1042,0" path="m9,1l1050,1e" filled="false" stroked="true" strokeweight=".114124pt" strokecolor="#000000">
                      <v:path arrowok="t"/>
                    </v:shape>
                  </v:group>
                  <v:group style="position:absolute;left:8;top:8;width:1044;height:2" coordorigin="8,8" coordsize="1044,2">
                    <v:shape style="position:absolute;left:8;top:8;width:1044;height:2" coordorigin="8,8" coordsize="1044,0" path="m8,8l1051,8e" filled="false" stroked="true" strokeweight=".782555pt" strokecolor="#000000">
                      <v:path arrowok="t"/>
                    </v:shape>
                  </v:group>
                </v:group>
              </w:pict>
            </w:r>
            <w:r>
              <w:rPr>
                <w:rFonts w:ascii="Times New Roman"/>
                <w:spacing w:val="85"/>
                <w:sz w:val="2"/>
              </w:rPr>
            </w:r>
            <w:r>
              <w:rPr>
                <w:rFonts w:ascii="Times New Roman"/>
                <w:spacing w:val="73"/>
                <w:sz w:val="2"/>
              </w:rPr>
              <w:t> </w:t>
            </w:r>
            <w:r>
              <w:rPr>
                <w:rFonts w:ascii="Times New Roman"/>
                <w:spacing w:val="73"/>
                <w:sz w:val="2"/>
              </w:rPr>
              <w:pict>
                <v:group style="width:52.95pt;height:.8pt;mso-position-horizontal-relative:char;mso-position-vertical-relative:line" coordorigin="0,0" coordsize="1059,16">
                  <v:group style="position:absolute;left:9;top:1;width:1041;height:2" coordorigin="9,1" coordsize="1041,2">
                    <v:shape style="position:absolute;left:9;top:1;width:1041;height:2" coordorigin="9,1" coordsize="1041,0" path="m9,1l1050,1e" filled="false" stroked="true" strokeweight=".114124pt" strokecolor="#000000">
                      <v:path arrowok="t"/>
                    </v:shape>
                  </v:group>
                  <v:group style="position:absolute;left:8;top:8;width:1043;height:2" coordorigin="8,8" coordsize="1043,2">
                    <v:shape style="position:absolute;left:8;top:8;width:1043;height:2" coordorigin="8,8" coordsize="1043,0" path="m8,8l1051,8e" filled="false" stroked="true" strokeweight=".782555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2.75pt;height:.8pt;mso-position-horizontal-relative:char;mso-position-vertical-relative:line" coordorigin="0,0" coordsize="1255,16">
                  <v:group style="position:absolute;left:9;top:1;width:1238;height:2" coordorigin="9,1" coordsize="1238,2">
                    <v:shape style="position:absolute;left:9;top:1;width:1238;height:2" coordorigin="9,1" coordsize="1238,0" path="m9,1l1246,1e" filled="false" stroked="true" strokeweight=".114124pt" strokecolor="#000000">
                      <v:path arrowok="t"/>
                    </v:shape>
                  </v:group>
                  <v:group style="position:absolute;left:8;top:8;width:1240;height:2" coordorigin="8,8" coordsize="1240,2">
                    <v:shape style="position:absolute;left:8;top:8;width:1240;height:2" coordorigin="8,8" coordsize="1240,0" path="m8,8l1247,8e" filled="false" stroked="true" strokeweight=".782555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8.9pt;height:.8pt;mso-position-horizontal-relative:char;mso-position-vertical-relative:line" coordorigin="0,0" coordsize="1378,16">
                  <v:group style="position:absolute;left:9;top:1;width:1361;height:2" coordorigin="9,1" coordsize="1361,2">
                    <v:shape style="position:absolute;left:9;top:1;width:1361;height:2" coordorigin="9,1" coordsize="1361,0" path="m9,1l1369,1e" filled="false" stroked="true" strokeweight=".114124pt" strokecolor="#000000">
                      <v:path arrowok="t"/>
                    </v:shape>
                  </v:group>
                  <v:group style="position:absolute;left:8;top:8;width:1363;height:2" coordorigin="8,8" coordsize="1363,2">
                    <v:shape style="position:absolute;left:8;top:8;width:1363;height:2" coordorigin="8,8" coordsize="1363,0" path="m8,8l1370,8e" filled="false" stroked="true" strokeweight=".782555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34.65pt;height:.8pt;mso-position-horizontal-relative:char;mso-position-vertical-relative:line" coordorigin="0,0" coordsize="693,16">
                  <v:group style="position:absolute;left:9;top:1;width:675;height:2" coordorigin="9,1" coordsize="675,2">
                    <v:shape style="position:absolute;left:9;top:1;width:675;height:2" coordorigin="9,1" coordsize="675,0" path="m9,1l683,1e" filled="false" stroked="true" strokeweight=".114124pt" strokecolor="#000000">
                      <v:path arrowok="t"/>
                    </v:shape>
                  </v:group>
                  <v:group style="position:absolute;left:8;top:8;width:677;height:2" coordorigin="8,8" coordsize="677,2">
                    <v:shape style="position:absolute;left:8;top:8;width:677;height:2" coordorigin="8,8" coordsize="677,0" path="m8,8l684,8e" filled="false" stroked="true" strokeweight=".782555pt" strokecolor="#000000">
                      <v:path arrowok="t"/>
                    </v:shape>
                  </v:group>
                </v:group>
              </w:pict>
            </w:r>
            <w:r>
              <w:rPr>
                <w:rFonts w:ascii="Times New Roman"/>
                <w:spacing w:val="73"/>
                <w:sz w:val="2"/>
              </w:rPr>
            </w:r>
          </w:p>
          <w:p>
            <w:pPr>
              <w:pStyle w:val="TableParagraph"/>
              <w:tabs>
                <w:tab w:pos="1372" w:val="left" w:leader="none"/>
                <w:tab w:pos="2523" w:val="left" w:leader="none"/>
                <w:tab w:pos="3661" w:val="left" w:leader="none"/>
                <w:tab w:pos="4997" w:val="left" w:leader="none"/>
                <w:tab w:pos="5722" w:val="left" w:leader="none"/>
                <w:tab w:pos="7228" w:val="left" w:leader="none"/>
                <w:tab w:pos="8063" w:val="left" w:leader="none"/>
              </w:tabs>
              <w:spacing w:line="240" w:lineRule="auto" w:before="43"/>
              <w:ind w:right="72"/>
              <w:jc w:val="right"/>
              <w:rPr>
                <w:rFonts w:ascii="Arial" w:hAnsi="Arial" w:cs="Arial" w:eastAsia="Arial" w:hint="default"/>
                <w:sz w:val="14"/>
                <w:szCs w:val="14"/>
              </w:rPr>
            </w:pPr>
            <w:r>
              <w:rPr>
                <w:rFonts w:ascii="Arial"/>
                <w:w w:val="105"/>
                <w:sz w:val="14"/>
              </w:rPr>
              <w:t>-</w:t>
              <w:tab/>
              <w:t>-</w:t>
              <w:tab/>
              <w:t>-</w:t>
              <w:tab/>
              <w:t>-</w:t>
              <w:tab/>
              <w:t>-</w:t>
              <w:tab/>
              <w:t>26,440,382.38</w:t>
              <w:tab/>
              <w:t>-</w:t>
              <w:tab/>
              <w:t>26,440,382.38</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 w:right="0"/>
              <w:jc w:val="left"/>
              <w:rPr>
                <w:rFonts w:ascii="宋体" w:hAnsi="宋体" w:cs="宋体" w:eastAsia="宋体" w:hint="default"/>
                <w:sz w:val="14"/>
                <w:szCs w:val="14"/>
              </w:rPr>
            </w:pPr>
            <w:r>
              <w:rPr>
                <w:rFonts w:ascii="宋体" w:hAnsi="宋体" w:cs="宋体" w:eastAsia="宋体" w:hint="default"/>
                <w:w w:val="105"/>
                <w:sz w:val="14"/>
                <w:szCs w:val="14"/>
              </w:rPr>
              <w:t>（二）其他综合收益</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1372" w:val="left" w:leader="none"/>
                <w:tab w:pos="2523" w:val="left" w:leader="none"/>
                <w:tab w:pos="3661" w:val="left" w:leader="none"/>
                <w:tab w:pos="4997" w:val="left" w:leader="none"/>
                <w:tab w:pos="5722" w:val="left" w:leader="none"/>
                <w:tab w:pos="7228" w:val="left" w:leader="none"/>
                <w:tab w:pos="8063" w:val="left" w:leader="none"/>
              </w:tabs>
              <w:spacing w:line="240" w:lineRule="auto" w:before="45"/>
              <w:ind w:right="72"/>
              <w:jc w:val="right"/>
              <w:rPr>
                <w:rFonts w:ascii="Arial" w:hAnsi="Arial" w:cs="Arial" w:eastAsia="Arial" w:hint="default"/>
                <w:sz w:val="14"/>
                <w:szCs w:val="14"/>
              </w:rPr>
            </w:pPr>
            <w:r>
              <w:rPr>
                <w:rFonts w:ascii="Arial"/>
                <w:w w:val="105"/>
                <w:sz w:val="14"/>
              </w:rPr>
              <w:t>-</w:t>
              <w:tab/>
              <w:t>-</w:t>
              <w:tab/>
              <w:t>-</w:t>
              <w:tab/>
              <w:t>-</w:t>
              <w:tab/>
              <w:t>-</w:t>
              <w:tab/>
              <w:t>26,440,382.38</w:t>
              <w:tab/>
              <w:t>-</w:t>
              <w:tab/>
              <w:t>26,440,382.38</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（三）股东投入和减少股本</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1290" w:val="left" w:leader="none"/>
                <w:tab w:pos="3256" w:val="left" w:leader="none"/>
                <w:tab w:pos="4395" w:val="left" w:leader="none"/>
                <w:tab w:pos="5730" w:val="left" w:leader="none"/>
                <w:tab w:pos="7189" w:val="left" w:leader="none"/>
                <w:tab w:pos="7961" w:val="left" w:leader="none"/>
                <w:tab w:pos="8714" w:val="left" w:leader="none"/>
              </w:tabs>
              <w:spacing w:line="240" w:lineRule="auto" w:before="45"/>
              <w:ind w:right="72"/>
              <w:jc w:val="right"/>
              <w:rPr>
                <w:rFonts w:ascii="Arial" w:hAnsi="Arial" w:cs="Arial" w:eastAsia="Arial" w:hint="default"/>
                <w:sz w:val="14"/>
                <w:szCs w:val="14"/>
              </w:rPr>
            </w:pPr>
            <w:r>
              <w:rPr>
                <w:rFonts w:ascii="Arial"/>
                <w:w w:val="105"/>
                <w:sz w:val="14"/>
              </w:rPr>
              <w:t>16,000,000.00</w:t>
              <w:tab/>
              <w:t>630,334,934.33</w:t>
              <w:tab/>
              <w:t>-</w:t>
              <w:tab/>
              <w:t>-</w:t>
              <w:tab/>
              <w:t>-</w:t>
              <w:tab/>
              <w:t>-</w:t>
              <w:tab/>
              <w:t>-</w:t>
              <w:tab/>
              <w:t>646,334,934.33</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16"/>
                <w:sz w:val="14"/>
                <w:szCs w:val="14"/>
              </w:rPr>
              <w:t>1</w:t>
            </w:r>
            <w:r>
              <w:rPr>
                <w:rFonts w:ascii="宋体" w:hAnsi="宋体" w:cs="宋体" w:eastAsia="宋体" w:hint="default"/>
                <w:w w:val="58"/>
                <w:sz w:val="14"/>
                <w:szCs w:val="14"/>
              </w:rPr>
              <w:t>.</w:t>
            </w:r>
            <w:r>
              <w:rPr>
                <w:rFonts w:ascii="宋体" w:hAnsi="宋体" w:cs="宋体" w:eastAsia="宋体" w:hint="default"/>
                <w:spacing w:val="-29"/>
                <w:sz w:val="14"/>
                <w:szCs w:val="14"/>
              </w:rPr>
              <w:t> </w:t>
            </w:r>
            <w:r>
              <w:rPr>
                <w:rFonts w:ascii="宋体" w:hAnsi="宋体" w:cs="宋体" w:eastAsia="宋体" w:hint="default"/>
                <w:w w:val="105"/>
                <w:sz w:val="14"/>
                <w:szCs w:val="14"/>
              </w:rPr>
              <w:t>股东投入股本</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1290" w:val="left" w:leader="none"/>
                <w:tab w:pos="3256" w:val="left" w:leader="none"/>
                <w:tab w:pos="4395" w:val="left" w:leader="none"/>
                <w:tab w:pos="5730" w:val="left" w:leader="none"/>
                <w:tab w:pos="7189" w:val="left" w:leader="none"/>
                <w:tab w:pos="7961" w:val="left" w:leader="none"/>
                <w:tab w:pos="8714" w:val="left" w:leader="none"/>
              </w:tabs>
              <w:spacing w:line="240" w:lineRule="auto" w:before="45"/>
              <w:ind w:right="72"/>
              <w:jc w:val="right"/>
              <w:rPr>
                <w:rFonts w:ascii="Arial" w:hAnsi="Arial" w:cs="Arial" w:eastAsia="Arial" w:hint="default"/>
                <w:sz w:val="14"/>
                <w:szCs w:val="14"/>
              </w:rPr>
            </w:pPr>
            <w:r>
              <w:rPr>
                <w:rFonts w:ascii="Arial"/>
                <w:w w:val="105"/>
                <w:sz w:val="14"/>
              </w:rPr>
              <w:t>16,000,000.00</w:t>
              <w:tab/>
              <w:t>630,334,934.33</w:t>
              <w:tab/>
              <w:t>-</w:t>
              <w:tab/>
              <w:t>-</w:t>
              <w:tab/>
              <w:t>-</w:t>
              <w:tab/>
              <w:t>-</w:t>
              <w:tab/>
              <w:t>-</w:t>
              <w:tab/>
              <w:t>646,334,934.33</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05"/>
                <w:sz w:val="14"/>
                <w:szCs w:val="14"/>
              </w:rPr>
              <w:t>2．股份支付计入股东权益的金额</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10"/>
                <w:sz w:val="14"/>
                <w:szCs w:val="14"/>
              </w:rPr>
              <w:t>3．其他</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 w:right="0"/>
              <w:jc w:val="left"/>
              <w:rPr>
                <w:rFonts w:ascii="宋体" w:hAnsi="宋体" w:cs="宋体" w:eastAsia="宋体" w:hint="default"/>
                <w:sz w:val="14"/>
                <w:szCs w:val="14"/>
              </w:rPr>
            </w:pPr>
            <w:r>
              <w:rPr>
                <w:rFonts w:ascii="宋体" w:hAnsi="宋体" w:cs="宋体" w:eastAsia="宋体" w:hint="default"/>
                <w:w w:val="105"/>
                <w:sz w:val="14"/>
                <w:szCs w:val="14"/>
              </w:rPr>
              <w:t>（四）利润分配</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5472" w:val="left" w:leader="none"/>
                <w:tab w:pos="6873"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2,644,038.24</w:t>
              <w:tab/>
              <w:t>(2,644,038.24)</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05"/>
                <w:sz w:val="14"/>
                <w:szCs w:val="14"/>
              </w:rPr>
              <w:t>1．提取盈余公积</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5472" w:val="left" w:leader="none"/>
                <w:tab w:pos="6873"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2,644,038.24</w:t>
              <w:tab/>
              <w:t>(2,644,038.24)</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05"/>
                <w:sz w:val="14"/>
                <w:szCs w:val="14"/>
              </w:rPr>
              <w:t>2．对股东的分配</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10"/>
                <w:sz w:val="14"/>
                <w:szCs w:val="14"/>
              </w:rPr>
              <w:t>3．其他</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 w:right="0"/>
              <w:jc w:val="left"/>
              <w:rPr>
                <w:rFonts w:ascii="宋体" w:hAnsi="宋体" w:cs="宋体" w:eastAsia="宋体" w:hint="default"/>
                <w:sz w:val="14"/>
                <w:szCs w:val="14"/>
              </w:rPr>
            </w:pPr>
            <w:r>
              <w:rPr>
                <w:rFonts w:ascii="宋体" w:hAnsi="宋体" w:cs="宋体" w:eastAsia="宋体" w:hint="default"/>
                <w:w w:val="105"/>
                <w:sz w:val="14"/>
                <w:szCs w:val="14"/>
              </w:rPr>
              <w:t>（五）股东权益内部结转</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2"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3" w:right="0"/>
              <w:jc w:val="left"/>
              <w:rPr>
                <w:rFonts w:ascii="宋体" w:hAnsi="宋体" w:cs="宋体" w:eastAsia="宋体" w:hint="default"/>
                <w:sz w:val="14"/>
                <w:szCs w:val="14"/>
              </w:rPr>
            </w:pPr>
            <w:r>
              <w:rPr>
                <w:rFonts w:ascii="宋体" w:hAnsi="宋体" w:cs="宋体" w:eastAsia="宋体" w:hint="default"/>
                <w:w w:val="105"/>
                <w:sz w:val="14"/>
                <w:szCs w:val="14"/>
              </w:rPr>
              <w:t>1．资本公积转增股本</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nil" w:sz="6" w:space="0" w:color="auto"/>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5"/>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1748"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3" w:right="0"/>
              <w:jc w:val="left"/>
              <w:rPr>
                <w:rFonts w:ascii="宋体" w:hAnsi="宋体" w:cs="宋体" w:eastAsia="宋体" w:hint="default"/>
                <w:sz w:val="14"/>
                <w:szCs w:val="14"/>
              </w:rPr>
            </w:pPr>
            <w:r>
              <w:rPr>
                <w:rFonts w:ascii="宋体" w:hAnsi="宋体" w:cs="宋体" w:eastAsia="宋体" w:hint="default"/>
                <w:w w:val="105"/>
                <w:sz w:val="14"/>
                <w:szCs w:val="14"/>
              </w:rPr>
              <w:t>2．盈余公积转增股本</w:t>
            </w:r>
            <w:r>
              <w:rPr>
                <w:rFonts w:ascii="宋体" w:hAnsi="宋体" w:cs="宋体" w:eastAsia="宋体" w:hint="default"/>
                <w:sz w:val="14"/>
                <w:szCs w:val="14"/>
              </w:rPr>
            </w:r>
          </w:p>
          <w:p>
            <w:pPr>
              <w:pStyle w:val="TableParagraph"/>
              <w:spacing w:line="240" w:lineRule="auto" w:before="67"/>
              <w:ind w:left="193" w:right="0"/>
              <w:jc w:val="left"/>
              <w:rPr>
                <w:rFonts w:ascii="宋体" w:hAnsi="宋体" w:cs="宋体" w:eastAsia="宋体" w:hint="default"/>
                <w:sz w:val="14"/>
                <w:szCs w:val="14"/>
              </w:rPr>
            </w:pPr>
            <w:r>
              <w:rPr>
                <w:rFonts w:ascii="宋体" w:hAnsi="宋体" w:cs="宋体" w:eastAsia="宋体" w:hint="default"/>
                <w:w w:val="105"/>
                <w:sz w:val="14"/>
                <w:szCs w:val="14"/>
              </w:rPr>
              <w:t>3．盈余公积弥补亏损</w:t>
            </w:r>
            <w:r>
              <w:rPr>
                <w:rFonts w:ascii="宋体" w:hAnsi="宋体" w:cs="宋体" w:eastAsia="宋体" w:hint="default"/>
                <w:sz w:val="14"/>
                <w:szCs w:val="14"/>
              </w:rPr>
            </w:r>
          </w:p>
          <w:p>
            <w:pPr>
              <w:pStyle w:val="TableParagraph"/>
              <w:spacing w:line="240" w:lineRule="auto" w:before="67"/>
              <w:ind w:left="193" w:right="0"/>
              <w:jc w:val="left"/>
              <w:rPr>
                <w:rFonts w:ascii="宋体" w:hAnsi="宋体" w:cs="宋体" w:eastAsia="宋体" w:hint="default"/>
                <w:sz w:val="14"/>
                <w:szCs w:val="14"/>
              </w:rPr>
            </w:pPr>
            <w:r>
              <w:rPr>
                <w:rFonts w:ascii="宋体" w:hAnsi="宋体" w:cs="宋体" w:eastAsia="宋体" w:hint="default"/>
                <w:w w:val="110"/>
                <w:sz w:val="14"/>
                <w:szCs w:val="14"/>
              </w:rPr>
              <w:t>4．其他</w:t>
            </w:r>
            <w:r>
              <w:rPr>
                <w:rFonts w:ascii="宋体" w:hAnsi="宋体" w:cs="宋体" w:eastAsia="宋体" w:hint="default"/>
                <w:sz w:val="14"/>
                <w:szCs w:val="14"/>
              </w:rPr>
            </w:r>
          </w:p>
          <w:p>
            <w:pPr>
              <w:pStyle w:val="TableParagraph"/>
              <w:spacing w:line="328" w:lineRule="auto" w:before="67"/>
              <w:ind w:left="193" w:right="1243" w:hanging="165"/>
              <w:jc w:val="left"/>
              <w:rPr>
                <w:rFonts w:ascii="宋体" w:hAnsi="宋体" w:cs="宋体" w:eastAsia="宋体" w:hint="default"/>
                <w:sz w:val="14"/>
                <w:szCs w:val="14"/>
              </w:rPr>
            </w:pPr>
            <w:r>
              <w:rPr>
                <w:rFonts w:ascii="宋体" w:hAnsi="宋体" w:cs="宋体" w:eastAsia="宋体" w:hint="default"/>
                <w:w w:val="105"/>
                <w:sz w:val="14"/>
                <w:szCs w:val="14"/>
              </w:rPr>
              <w:t>（六）专项储备</w:t>
            </w:r>
            <w:r>
              <w:rPr>
                <w:rFonts w:ascii="宋体" w:hAnsi="宋体" w:cs="宋体" w:eastAsia="宋体" w:hint="default"/>
                <w:w w:val="105"/>
                <w:sz w:val="14"/>
                <w:szCs w:val="14"/>
              </w:rPr>
              <w:t> </w:t>
            </w:r>
            <w:r>
              <w:rPr>
                <w:rFonts w:ascii="宋体" w:hAnsi="宋体" w:cs="宋体" w:eastAsia="宋体" w:hint="default"/>
                <w:w w:val="105"/>
                <w:sz w:val="14"/>
                <w:szCs w:val="14"/>
              </w:rPr>
              <w:t>1．提取专项储备</w:t>
            </w:r>
            <w:r>
              <w:rPr>
                <w:rFonts w:ascii="宋体" w:hAnsi="宋体" w:cs="宋体" w:eastAsia="宋体" w:hint="default"/>
                <w:sz w:val="14"/>
                <w:szCs w:val="14"/>
              </w:rPr>
            </w:r>
          </w:p>
          <w:p>
            <w:pPr>
              <w:pStyle w:val="TableParagraph"/>
              <w:spacing w:line="240" w:lineRule="auto" w:before="15"/>
              <w:ind w:left="193" w:right="0"/>
              <w:jc w:val="left"/>
              <w:rPr>
                <w:rFonts w:ascii="宋体" w:hAnsi="宋体" w:cs="宋体" w:eastAsia="宋体" w:hint="default"/>
                <w:sz w:val="14"/>
                <w:szCs w:val="14"/>
              </w:rPr>
            </w:pPr>
            <w:r>
              <w:rPr>
                <w:rFonts w:ascii="宋体" w:hAnsi="宋体" w:cs="宋体" w:eastAsia="宋体" w:hint="default"/>
                <w:w w:val="105"/>
                <w:sz w:val="14"/>
                <w:szCs w:val="14"/>
              </w:rPr>
              <w:t>2．使用专项储备</w:t>
            </w:r>
            <w:r>
              <w:rPr>
                <w:rFonts w:ascii="宋体" w:hAnsi="宋体" w:cs="宋体" w:eastAsia="宋体" w:hint="default"/>
                <w:sz w:val="14"/>
                <w:szCs w:val="14"/>
              </w:rPr>
            </w:r>
          </w:p>
          <w:p>
            <w:pPr>
              <w:pStyle w:val="TableParagraph"/>
              <w:spacing w:line="240" w:lineRule="auto" w:before="67"/>
              <w:ind w:left="193" w:right="0"/>
              <w:jc w:val="left"/>
              <w:rPr>
                <w:rFonts w:ascii="宋体" w:hAnsi="宋体" w:cs="宋体" w:eastAsia="宋体" w:hint="default"/>
                <w:sz w:val="14"/>
                <w:szCs w:val="14"/>
              </w:rPr>
            </w:pPr>
            <w:r>
              <w:rPr>
                <w:rFonts w:ascii="宋体" w:hAnsi="宋体" w:cs="宋体" w:eastAsia="宋体" w:hint="default"/>
                <w:w w:val="110"/>
                <w:sz w:val="14"/>
                <w:szCs w:val="14"/>
              </w:rPr>
              <w:t>3．其他</w:t>
            </w:r>
            <w:r>
              <w:rPr>
                <w:rFonts w:ascii="宋体" w:hAnsi="宋体" w:cs="宋体" w:eastAsia="宋体"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nil" w:sz="6" w:space="0" w:color="auto"/>
              <w:left w:val="nil" w:sz="6" w:space="0" w:color="auto"/>
              <w:bottom w:val="single" w:sz="6" w:space="0" w:color="000000"/>
              <w:right w:val="nil" w:sz="6" w:space="0" w:color="auto"/>
            </w:tcBorders>
          </w:tcPr>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41"/>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89"/>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p>
            <w:pPr>
              <w:pStyle w:val="TableParagraph"/>
              <w:tabs>
                <w:tab w:pos="2497" w:val="left" w:leader="none"/>
                <w:tab w:pos="3648" w:val="left" w:leader="none"/>
                <w:tab w:pos="4787" w:val="left" w:leader="none"/>
                <w:tab w:pos="6122" w:val="left" w:leader="none"/>
                <w:tab w:pos="7581" w:val="left" w:leader="none"/>
                <w:tab w:pos="8353" w:val="left" w:leader="none"/>
                <w:tab w:pos="9914" w:val="left" w:leader="none"/>
              </w:tabs>
              <w:spacing w:line="240" w:lineRule="auto" w:before="89"/>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p>
            <w:pPr>
              <w:pStyle w:val="TableParagraph"/>
              <w:tabs>
                <w:tab w:pos="2497" w:val="left" w:leader="none"/>
                <w:tab w:pos="3648" w:val="left" w:leader="none"/>
                <w:tab w:pos="4787" w:val="left" w:leader="none"/>
                <w:tab w:pos="6122" w:val="left" w:leader="none"/>
                <w:tab w:pos="7581" w:val="left" w:leader="none"/>
                <w:tab w:pos="8353" w:val="left" w:leader="none"/>
                <w:tab w:pos="9922" w:val="left" w:leader="none"/>
              </w:tabs>
              <w:spacing w:line="240" w:lineRule="auto" w:before="89"/>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p>
            <w:pPr>
              <w:pStyle w:val="TableParagraph"/>
              <w:tabs>
                <w:tab w:pos="2497" w:val="left" w:leader="none"/>
                <w:tab w:pos="3648" w:val="left" w:leader="none"/>
                <w:tab w:pos="4787" w:val="left" w:leader="none"/>
                <w:tab w:pos="6122" w:val="left" w:leader="none"/>
                <w:tab w:pos="7581" w:val="left" w:leader="none"/>
                <w:tab w:pos="8353" w:val="left" w:leader="none"/>
                <w:tab w:pos="9914" w:val="left" w:leader="none"/>
              </w:tabs>
              <w:spacing w:line="240" w:lineRule="auto" w:before="89"/>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p>
            <w:pPr>
              <w:pStyle w:val="TableParagraph"/>
              <w:tabs>
                <w:tab w:pos="2497" w:val="left" w:leader="none"/>
                <w:tab w:pos="3648" w:val="left" w:leader="none"/>
                <w:tab w:pos="4787" w:val="left" w:leader="none"/>
                <w:tab w:pos="6122" w:val="left" w:leader="none"/>
                <w:tab w:pos="7581" w:val="left" w:leader="none"/>
                <w:tab w:pos="8353" w:val="left" w:leader="none"/>
                <w:tab w:pos="9914" w:val="left" w:leader="none"/>
              </w:tabs>
              <w:spacing w:line="240" w:lineRule="auto" w:before="89"/>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p>
            <w:pPr>
              <w:pStyle w:val="TableParagraph"/>
              <w:tabs>
                <w:tab w:pos="2497" w:val="left" w:leader="none"/>
                <w:tab w:pos="3648" w:val="left" w:leader="none"/>
                <w:tab w:pos="4787" w:val="left" w:leader="none"/>
                <w:tab w:pos="6122" w:val="left" w:leader="none"/>
                <w:tab w:pos="7581" w:val="left" w:leader="none"/>
                <w:tab w:pos="8353" w:val="left" w:leader="none"/>
                <w:tab w:pos="9914" w:val="left" w:leader="none"/>
              </w:tabs>
              <w:spacing w:line="240" w:lineRule="auto" w:before="90"/>
              <w:ind w:left="1125" w:right="0"/>
              <w:jc w:val="left"/>
              <w:rPr>
                <w:rFonts w:ascii="Arial" w:hAnsi="Arial" w:cs="Arial" w:eastAsia="Arial" w:hint="default"/>
                <w:sz w:val="14"/>
                <w:szCs w:val="14"/>
              </w:rPr>
            </w:pPr>
            <w:r>
              <w:rPr>
                <w:rFonts w:ascii="Arial"/>
                <w:w w:val="105"/>
                <w:sz w:val="14"/>
              </w:rPr>
              <w:t>-</w:t>
              <w:tab/>
              <w:t>-</w:t>
              <w:tab/>
              <w:t>-</w:t>
              <w:tab/>
              <w:t>-</w:t>
              <w:tab/>
              <w:t>-</w:t>
              <w:tab/>
              <w:t>-</w:t>
              <w:tab/>
              <w:t>-</w:t>
              <w:tab/>
              <w:t>-</w:t>
            </w:r>
            <w:r>
              <w:rPr>
                <w:rFonts w:ascii="Arial"/>
                <w:sz w:val="14"/>
              </w:rPr>
            </w:r>
          </w:p>
        </w:tc>
      </w:tr>
      <w:tr>
        <w:trPr>
          <w:trHeight w:val="26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4"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四、本年年末余额</w:t>
            </w:r>
            <w:r>
              <w:rPr>
                <w:rFonts w:ascii="Microsoft JhengHei" w:hAnsi="Microsoft JhengHei" w:cs="Microsoft JhengHei" w:eastAsia="Microsoft JhengHei" w:hint="default"/>
                <w:sz w:val="14"/>
                <w:szCs w:val="14"/>
              </w:rPr>
            </w:r>
          </w:p>
        </w:tc>
        <w:tc>
          <w:tcPr>
            <w:tcW w:w="12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208"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1.4pt;height:.8pt;mso-position-horizontal-relative:char;mso-position-vertical-relative:line" coordorigin="0,0" coordsize="1428,16">
                  <v:group style="position:absolute;left:9;top:1;width:1410;height:2" coordorigin="9,1" coordsize="1410,2">
                    <v:shape style="position:absolute;left:9;top:1;width:1410;height:2" coordorigin="9,1" coordsize="1410,0" path="m9,1l1419,1e" filled="false" stroked="true" strokeweight=".114124pt" strokecolor="#000000">
                      <v:path arrowok="t"/>
                    </v:shape>
                  </v:group>
                  <v:group style="position:absolute;left:8;top:8;width:1412;height:2" coordorigin="8,8" coordsize="1412,2">
                    <v:shape style="position:absolute;left:8;top:8;width:1412;height:2" coordorigin="8,8" coordsize="1412,0" path="m8,8l1420,8e" filled="false" stroked="true" strokeweight=".782579pt" strokecolor="#000000">
                      <v:path arrowok="t"/>
                    </v:shape>
                  </v:group>
                </v:group>
              </w:pict>
            </w:r>
            <w:r>
              <w:rPr>
                <w:rFonts w:ascii="Times New Roman"/>
                <w:sz w:val="2"/>
              </w:rPr>
            </w:r>
            <w:r>
              <w:rPr>
                <w:rFonts w:ascii="Times New Roman"/>
                <w:spacing w:val="73"/>
                <w:sz w:val="2"/>
              </w:rPr>
              <w:t> </w:t>
            </w:r>
            <w:r>
              <w:rPr>
                <w:rFonts w:ascii="Times New Roman"/>
                <w:spacing w:val="73"/>
                <w:sz w:val="2"/>
              </w:rPr>
              <w:pict>
                <v:group style="width:64.6pt;height:.8pt;mso-position-horizontal-relative:char;mso-position-vertical-relative:line" coordorigin="0,0" coordsize="1292,16">
                  <v:group style="position:absolute;left:9;top:1;width:1275;height:2" coordorigin="9,1" coordsize="1275,2">
                    <v:shape style="position:absolute;left:9;top:1;width:1275;height:2" coordorigin="9,1" coordsize="1275,0" path="m9,1l1283,1e" filled="false" stroked="true" strokeweight=".114124pt" strokecolor="#000000">
                      <v:path arrowok="t"/>
                    </v:shape>
                  </v:group>
                  <v:group style="position:absolute;left:8;top:8;width:1277;height:2" coordorigin="8,8" coordsize="1277,2">
                    <v:shape style="position:absolute;left:8;top:8;width:1277;height:2" coordorigin="8,8" coordsize="1277,0" path="m8,8l1284,8e" filled="false" stroked="true" strokeweight=".782579pt" strokecolor="#000000">
                      <v:path arrowok="t"/>
                    </v:shape>
                  </v:group>
                </v:group>
              </w:pict>
            </w:r>
            <w:r>
              <w:rPr>
                <w:rFonts w:ascii="Times New Roman"/>
                <w:spacing w:val="73"/>
                <w:sz w:val="2"/>
              </w:rPr>
            </w:r>
            <w:r>
              <w:rPr>
                <w:rFonts w:ascii="Times New Roman"/>
                <w:spacing w:val="85"/>
                <w:sz w:val="2"/>
              </w:rPr>
              <w:t> </w:t>
            </w:r>
            <w:r>
              <w:rPr>
                <w:rFonts w:ascii="Times New Roman"/>
                <w:spacing w:val="85"/>
                <w:sz w:val="2"/>
              </w:rPr>
              <w:pict>
                <v:group style="width:52.95pt;height:.8pt;mso-position-horizontal-relative:char;mso-position-vertical-relative:line" coordorigin="0,0" coordsize="1059,16">
                  <v:group style="position:absolute;left:9;top:1;width:1042;height:2" coordorigin="9,1" coordsize="1042,2">
                    <v:shape style="position:absolute;left:9;top:1;width:1042;height:2" coordorigin="9,1" coordsize="1042,0" path="m9,1l1050,1e" filled="false" stroked="true" strokeweight=".114124pt" strokecolor="#000000">
                      <v:path arrowok="t"/>
                    </v:shape>
                  </v:group>
                  <v:group style="position:absolute;left:8;top:8;width:1044;height:2" coordorigin="8,8" coordsize="1044,2">
                    <v:shape style="position:absolute;left:8;top:8;width:1044;height:2" coordorigin="8,8" coordsize="1044,0" path="m8,8l1051,8e" filled="false" stroked="true" strokeweight=".782579pt" strokecolor="#000000">
                      <v:path arrowok="t"/>
                    </v:shape>
                  </v:group>
                </v:group>
              </w:pict>
            </w:r>
            <w:r>
              <w:rPr>
                <w:rFonts w:ascii="Times New Roman"/>
                <w:spacing w:val="85"/>
                <w:sz w:val="2"/>
              </w:rPr>
            </w:r>
            <w:r>
              <w:rPr>
                <w:rFonts w:ascii="Times New Roman"/>
                <w:spacing w:val="73"/>
                <w:sz w:val="2"/>
              </w:rPr>
              <w:t> </w:t>
            </w:r>
            <w:r>
              <w:rPr>
                <w:rFonts w:ascii="Times New Roman"/>
                <w:spacing w:val="73"/>
                <w:sz w:val="2"/>
              </w:rPr>
              <w:pict>
                <v:group style="width:52.95pt;height:.8pt;mso-position-horizontal-relative:char;mso-position-vertical-relative:line" coordorigin="0,0" coordsize="1059,16">
                  <v:group style="position:absolute;left:9;top:1;width:1041;height:2" coordorigin="9,1" coordsize="1041,2">
                    <v:shape style="position:absolute;left:9;top:1;width:1041;height:2" coordorigin="9,1" coordsize="1041,0" path="m9,1l1050,1e" filled="false" stroked="true" strokeweight=".114124pt" strokecolor="#000000">
                      <v:path arrowok="t"/>
                    </v:shape>
                  </v:group>
                  <v:group style="position:absolute;left:8;top:8;width:1043;height:2" coordorigin="8,8" coordsize="1043,2">
                    <v:shape style="position:absolute;left:8;top:8;width:1043;height:2" coordorigin="8,8" coordsize="1043,0" path="m8,8l1051,8e" filled="false" stroked="true" strokeweight=".782579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2.75pt;height:.8pt;mso-position-horizontal-relative:char;mso-position-vertical-relative:line" coordorigin="0,0" coordsize="1255,16">
                  <v:group style="position:absolute;left:9;top:1;width:1238;height:2" coordorigin="9,1" coordsize="1238,2">
                    <v:shape style="position:absolute;left:9;top:1;width:1238;height:2" coordorigin="9,1" coordsize="1238,0" path="m9,1l1246,1e" filled="false" stroked="true" strokeweight=".114124pt" strokecolor="#000000">
                      <v:path arrowok="t"/>
                    </v:shape>
                  </v:group>
                  <v:group style="position:absolute;left:8;top:8;width:1240;height:2" coordorigin="8,8" coordsize="1240,2">
                    <v:shape style="position:absolute;left:8;top:8;width:1240;height:2" coordorigin="8,8" coordsize="1240,0" path="m8,8l1247,8e" filled="false" stroked="true" strokeweight=".782579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68.9pt;height:.8pt;mso-position-horizontal-relative:char;mso-position-vertical-relative:line" coordorigin="0,0" coordsize="1378,16">
                  <v:group style="position:absolute;left:9;top:1;width:1361;height:2" coordorigin="9,1" coordsize="1361,2">
                    <v:shape style="position:absolute;left:9;top:1;width:1361;height:2" coordorigin="9,1" coordsize="1361,0" path="m9,1l1369,1e" filled="false" stroked="true" strokeweight=".114124pt" strokecolor="#000000">
                      <v:path arrowok="t"/>
                    </v:shape>
                  </v:group>
                  <v:group style="position:absolute;left:8;top:8;width:1363;height:2" coordorigin="8,8" coordsize="1363,2">
                    <v:shape style="position:absolute;left:8;top:8;width:1363;height:2" coordorigin="8,8" coordsize="1363,0" path="m8,8l1370,8e" filled="false" stroked="true" strokeweight=".782579pt" strokecolor="#000000">
                      <v:path arrowok="t"/>
                    </v:shape>
                  </v:group>
                </v:group>
              </w:pict>
            </w:r>
            <w:r>
              <w:rPr>
                <w:rFonts w:ascii="Times New Roman"/>
                <w:spacing w:val="73"/>
                <w:sz w:val="2"/>
              </w:rPr>
            </w:r>
            <w:r>
              <w:rPr>
                <w:rFonts w:ascii="Times New Roman"/>
                <w:spacing w:val="73"/>
                <w:sz w:val="2"/>
              </w:rPr>
              <w:t> </w:t>
            </w:r>
            <w:r>
              <w:rPr>
                <w:rFonts w:ascii="Times New Roman"/>
                <w:spacing w:val="73"/>
                <w:sz w:val="2"/>
              </w:rPr>
              <w:pict>
                <v:group style="width:34.65pt;height:.8pt;mso-position-horizontal-relative:char;mso-position-vertical-relative:line" coordorigin="0,0" coordsize="693,16">
                  <v:group style="position:absolute;left:9;top:1;width:675;height:2" coordorigin="9,1" coordsize="675,2">
                    <v:shape style="position:absolute;left:9;top:1;width:675;height:2" coordorigin="9,1" coordsize="675,0" path="m9,1l683,1e" filled="false" stroked="true" strokeweight=".114124pt" strokecolor="#000000">
                      <v:path arrowok="t"/>
                    </v:shape>
                  </v:group>
                  <v:group style="position:absolute;left:8;top:8;width:677;height:2" coordorigin="8,8" coordsize="677,2">
                    <v:shape style="position:absolute;left:8;top:8;width:677;height:2" coordorigin="8,8" coordsize="677,0" path="m8,8l684,8e" filled="false" stroked="true" strokeweight=".782579pt" strokecolor="#000000">
                      <v:path arrowok="t"/>
                    </v:shape>
                  </v:group>
                </v:group>
              </w:pict>
            </w:r>
            <w:r>
              <w:rPr>
                <w:rFonts w:ascii="Times New Roman"/>
                <w:spacing w:val="73"/>
                <w:sz w:val="2"/>
              </w:rPr>
            </w:r>
          </w:p>
          <w:p>
            <w:pPr>
              <w:pStyle w:val="TableParagraph"/>
              <w:tabs>
                <w:tab w:pos="1290" w:val="left" w:leader="none"/>
                <w:tab w:pos="3256" w:val="left" w:leader="none"/>
                <w:tab w:pos="4395" w:val="left" w:leader="none"/>
                <w:tab w:pos="5080" w:val="left" w:leader="none"/>
                <w:tab w:pos="6448" w:val="left" w:leader="none"/>
                <w:tab w:pos="7961" w:val="left" w:leader="none"/>
                <w:tab w:pos="8706" w:val="left" w:leader="none"/>
              </w:tabs>
              <w:spacing w:line="240" w:lineRule="auto" w:before="34"/>
              <w:ind w:right="80"/>
              <w:jc w:val="right"/>
              <w:rPr>
                <w:rFonts w:ascii="Arial" w:hAnsi="Arial" w:cs="Arial" w:eastAsia="Arial" w:hint="default"/>
                <w:sz w:val="14"/>
                <w:szCs w:val="14"/>
              </w:rPr>
            </w:pPr>
            <w:r>
              <w:rPr>
                <w:rFonts w:ascii="Arial"/>
                <w:w w:val="105"/>
                <w:sz w:val="14"/>
              </w:rPr>
              <w:t>63,500,000.00</w:t>
              <w:tab/>
              <w:t>692,720,393.65</w:t>
              <w:tab/>
              <w:t>-</w:t>
              <w:tab/>
              <w:t>-</w:t>
              <w:tab/>
              <w:t>7,020,701.36</w:t>
              <w:tab/>
              <w:t>53,401,391.95</w:t>
              <w:tab/>
              <w:t>-</w:t>
              <w:tab/>
              <w:t>816,642,486.96</w:t>
            </w:r>
            <w:r>
              <w:rPr>
                <w:rFonts w:ascii="Arial"/>
                <w:sz w:val="14"/>
              </w:rPr>
            </w:r>
          </w:p>
        </w:tc>
      </w:tr>
    </w:tbl>
    <w:p>
      <w:pPr>
        <w:spacing w:after="0" w:line="240" w:lineRule="auto"/>
        <w:jc w:val="right"/>
        <w:rPr>
          <w:rFonts w:ascii="Arial" w:hAnsi="Arial" w:cs="Arial" w:eastAsia="Arial" w:hint="default"/>
          <w:sz w:val="14"/>
          <w:szCs w:val="14"/>
        </w:rPr>
        <w:sectPr>
          <w:headerReference w:type="default" r:id="rId48"/>
          <w:footerReference w:type="default" r:id="rId49"/>
          <w:pgSz w:w="16840" w:h="11910" w:orient="landscape"/>
          <w:pgMar w:header="877" w:footer="1880" w:top="1100" w:bottom="2080" w:left="980" w:right="980"/>
          <w:pgNumType w:start="96"/>
        </w:sectPr>
      </w:pPr>
    </w:p>
    <w:p>
      <w:pPr>
        <w:spacing w:line="240" w:lineRule="auto" w:before="0"/>
        <w:rPr>
          <w:rFonts w:ascii="Times New Roman" w:hAnsi="Times New Roman" w:cs="Times New Roman" w:eastAsia="Times New Roman" w:hint="default"/>
          <w:sz w:val="20"/>
          <w:szCs w:val="20"/>
        </w:rPr>
      </w:pPr>
      <w:r>
        <w:rPr/>
        <w:pict>
          <v:group style="position:absolute;margin-left:251.879028pt;margin-top:473.171631pt;width:70.6pt;height:2.35pt;mso-position-horizontal-relative:page;mso-position-vertical-relative:page;z-index:-677344" coordorigin="5038,9463" coordsize="1412,47">
            <v:group style="position:absolute;left:5045;top:9471;width:1397;height:2" coordorigin="5045,9471" coordsize="1397,2">
              <v:shape style="position:absolute;left:5045;top:9471;width:1397;height:2" coordorigin="5045,9471" coordsize="1397,0" path="m5045,9471l6442,9471e" filled="false" stroked="true" strokeweight=".775012pt" strokecolor="#000000">
                <v:path arrowok="t"/>
              </v:shape>
            </v:group>
            <v:group style="position:absolute;left:5045;top:9502;width:1397;height:2" coordorigin="5045,9502" coordsize="1397,2">
              <v:shape style="position:absolute;left:5045;top:9502;width:1397;height:2" coordorigin="5045,9502" coordsize="1397,0" path="m5045,9502l6442,9502e" filled="false" stroked="true" strokeweight=".775012pt" strokecolor="#000000">
                <v:path arrowok="t"/>
              </v:shape>
            </v:group>
            <w10:wrap type="none"/>
          </v:group>
        </w:pict>
      </w:r>
      <w:r>
        <w:rPr/>
        <w:pict>
          <v:group style="position:absolute;margin-left:326.445282pt;margin-top:473.171631pt;width:60.9pt;height:2.35pt;mso-position-horizontal-relative:page;mso-position-vertical-relative:page;z-index:-677320" coordorigin="6529,9463" coordsize="1218,47">
            <v:group style="position:absolute;left:6537;top:9471;width:1203;height:2" coordorigin="6537,9471" coordsize="1203,2">
              <v:shape style="position:absolute;left:6537;top:9471;width:1203;height:2" coordorigin="6537,9471" coordsize="1203,0" path="m6537,9471l7739,9471e" filled="false" stroked="true" strokeweight=".775012pt" strokecolor="#000000">
                <v:path arrowok="t"/>
              </v:shape>
            </v:group>
            <v:group style="position:absolute;left:6537;top:9502;width:1203;height:2" coordorigin="6537,9502" coordsize="1203,2">
              <v:shape style="position:absolute;left:6537;top:9502;width:1203;height:2" coordorigin="6537,9502" coordsize="1203,0" path="m6537,9502l7739,9502e" filled="false" stroked="true" strokeweight=".775012pt" strokecolor="#000000">
                <v:path arrowok="t"/>
              </v:shape>
            </v:group>
            <w10:wrap type="none"/>
          </v:group>
        </w:pict>
      </w:r>
      <w:r>
        <w:rPr/>
        <w:pict>
          <v:group style="position:absolute;margin-left:391.891693pt;margin-top:473.171631pt;width:52.35pt;height:2.35pt;mso-position-horizontal-relative:page;mso-position-vertical-relative:page;z-index:-677296" coordorigin="7838,9463" coordsize="1047,47">
            <v:group style="position:absolute;left:7846;top:9471;width:1032;height:2" coordorigin="7846,9471" coordsize="1032,2">
              <v:shape style="position:absolute;left:7846;top:9471;width:1032;height:2" coordorigin="7846,9471" coordsize="1032,0" path="m7846,9471l8877,9471e" filled="false" stroked="true" strokeweight=".775012pt" strokecolor="#000000">
                <v:path arrowok="t"/>
              </v:shape>
            </v:group>
            <v:group style="position:absolute;left:7846;top:9502;width:1032;height:2" coordorigin="7846,9502" coordsize="1032,2">
              <v:shape style="position:absolute;left:7846;top:9502;width:1032;height:2" coordorigin="7846,9502" coordsize="1032,0" path="m7846,9502l8877,9502e" filled="false" stroked="true" strokeweight=".775012pt" strokecolor="#000000">
                <v:path arrowok="t"/>
              </v:shape>
            </v:group>
            <w10:wrap type="none"/>
          </v:group>
        </w:pict>
      </w:r>
      <w:r>
        <w:rPr/>
        <w:pict>
          <v:group style="position:absolute;margin-left:448.210175pt;margin-top:473.171631pt;width:52.35pt;height:2.35pt;mso-position-horizontal-relative:page;mso-position-vertical-relative:page;z-index:-677272" coordorigin="8964,9463" coordsize="1047,47">
            <v:group style="position:absolute;left:8972;top:9471;width:1032;height:2" coordorigin="8972,9471" coordsize="1032,2">
              <v:shape style="position:absolute;left:8972;top:9471;width:1032;height:2" coordorigin="8972,9471" coordsize="1032,0" path="m8972,9471l10003,9471e" filled="false" stroked="true" strokeweight=".775012pt" strokecolor="#000000">
                <v:path arrowok="t"/>
              </v:shape>
            </v:group>
            <v:group style="position:absolute;left:8972;top:9502;width:1032;height:2" coordorigin="8972,9502" coordsize="1032,2">
              <v:shape style="position:absolute;left:8972;top:9502;width:1032;height:2" coordorigin="8972,9502" coordsize="1032,0" path="m8972,9502l10003,9502e" filled="false" stroked="true" strokeweight=".775012pt" strokecolor="#000000">
                <v:path arrowok="t"/>
              </v:shape>
            </v:group>
            <w10:wrap type="none"/>
          </v:group>
        </w:pict>
      </w:r>
      <w:r>
        <w:rPr/>
        <w:pict>
          <v:group style="position:absolute;margin-left:504.528656pt;margin-top:473.171631pt;width:62.1pt;height:2.35pt;mso-position-horizontal-relative:page;mso-position-vertical-relative:page;z-index:-677248" coordorigin="10091,9463" coordsize="1242,47">
            <v:group style="position:absolute;left:10098;top:9471;width:1226;height:2" coordorigin="10098,9471" coordsize="1226,2">
              <v:shape style="position:absolute;left:10098;top:9471;width:1226;height:2" coordorigin="10098,9471" coordsize="1226,0" path="m10098,9471l11324,9471e" filled="false" stroked="true" strokeweight=".775012pt" strokecolor="#000000">
                <v:path arrowok="t"/>
              </v:shape>
            </v:group>
            <v:group style="position:absolute;left:10098;top:9502;width:1226;height:2" coordorigin="10098,9502" coordsize="1226,2">
              <v:shape style="position:absolute;left:10098;top:9502;width:1226;height:2" coordorigin="10098,9502" coordsize="1226,0" path="m10098,9502l11324,9502e" filled="false" stroked="true" strokeweight=".775012pt" strokecolor="#000000">
                <v:path arrowok="t"/>
              </v:shape>
            </v:group>
            <w10:wrap type="none"/>
          </v:group>
        </w:pict>
      </w:r>
      <w:r>
        <w:rPr/>
        <w:pict>
          <v:group style="position:absolute;margin-left:570.564758pt;margin-top:473.171631pt;width:68.2pt;height:2.35pt;mso-position-horizontal-relative:page;mso-position-vertical-relative:page;z-index:-677224" coordorigin="11411,9463" coordsize="1364,47">
            <v:group style="position:absolute;left:11419;top:9471;width:1348;height:2" coordorigin="11419,9471" coordsize="1348,2">
              <v:shape style="position:absolute;left:11419;top:9471;width:1348;height:2" coordorigin="11419,9471" coordsize="1348,0" path="m11419,9471l12767,9471e" filled="false" stroked="true" strokeweight=".775012pt" strokecolor="#000000">
                <v:path arrowok="t"/>
              </v:shape>
            </v:group>
            <v:group style="position:absolute;left:11419;top:9502;width:1348;height:2" coordorigin="11419,9502" coordsize="1348,2">
              <v:shape style="position:absolute;left:11419;top:9502;width:1348;height:2" coordorigin="11419,9502" coordsize="1348,0" path="m11419,9502l12767,9502e" filled="false" stroked="true" strokeweight=".775012pt" strokecolor="#000000">
                <v:path arrowok="t"/>
              </v:shape>
            </v:group>
            <w10:wrap type="none"/>
          </v:group>
        </w:pict>
      </w:r>
      <w:r>
        <w:rPr/>
        <w:pict>
          <v:group style="position:absolute;margin-left:642.699585pt;margin-top:473.171631pt;width:34.25pt;height:2.35pt;mso-position-horizontal-relative:page;mso-position-vertical-relative:page;z-index:-677200" coordorigin="12854,9463" coordsize="685,47">
            <v:group style="position:absolute;left:12862;top:9471;width:669;height:2" coordorigin="12862,9471" coordsize="669,2">
              <v:shape style="position:absolute;left:12862;top:9471;width:669;height:2" coordorigin="12862,9471" coordsize="669,0" path="m12862,9471l13531,9471e" filled="false" stroked="true" strokeweight=".775012pt" strokecolor="#000000">
                <v:path arrowok="t"/>
              </v:shape>
            </v:group>
            <v:group style="position:absolute;left:12862;top:9502;width:669;height:2" coordorigin="12862,9502" coordsize="669,2">
              <v:shape style="position:absolute;left:12862;top:9502;width:669;height:2" coordorigin="12862,9502" coordsize="669,0" path="m12862,9502l13531,9502e" filled="false" stroked="true" strokeweight=".775012pt" strokecolor="#000000">
                <v:path arrowok="t"/>
              </v:shape>
            </v:group>
            <w10:wrap type="none"/>
          </v:group>
        </w:pict>
      </w:r>
      <w:r>
        <w:rPr/>
        <w:pict>
          <v:group style="position:absolute;margin-left:681.278992pt;margin-top:473.559143pt;width:72.850pt;height:.1pt;mso-position-horizontal-relative:page;mso-position-vertical-relative:page;z-index:-677176" coordorigin="13626,9471" coordsize="1457,2">
            <v:shape style="position:absolute;left:13626;top:9471;width:1457;height:2" coordorigin="13626,9471" coordsize="1457,0" path="m13626,9471l15082,9471e" filled="false" stroked="true" strokeweight=".775012pt" strokecolor="#000000">
              <v:path arrowok="t"/>
            </v:shape>
            <w10:wrap type="none"/>
          </v:group>
        </w:pict>
      </w:r>
    </w:p>
    <w:p>
      <w:pPr>
        <w:spacing w:line="240" w:lineRule="auto" w:before="5"/>
        <w:rPr>
          <w:rFonts w:ascii="Times New Roman" w:hAnsi="Times New Roman" w:cs="Times New Roman" w:eastAsia="Times New Roman" w:hint="default"/>
          <w:sz w:val="18"/>
          <w:szCs w:val="18"/>
        </w:rPr>
      </w:pPr>
    </w:p>
    <w:tbl>
      <w:tblPr>
        <w:tblW w:w="0" w:type="auto"/>
        <w:jc w:val="left"/>
        <w:tblInd w:w="778" w:type="dxa"/>
        <w:tblLayout w:type="fixed"/>
        <w:tblCellMar>
          <w:top w:w="0" w:type="dxa"/>
          <w:left w:w="0" w:type="dxa"/>
          <w:bottom w:w="0" w:type="dxa"/>
          <w:right w:w="0" w:type="dxa"/>
        </w:tblCellMar>
        <w:tblLook w:val="01E0"/>
      </w:tblPr>
      <w:tblGrid>
        <w:gridCol w:w="2523"/>
        <w:gridCol w:w="120"/>
        <w:gridCol w:w="523"/>
        <w:gridCol w:w="120"/>
        <w:gridCol w:w="10037"/>
      </w:tblGrid>
      <w:tr>
        <w:trPr>
          <w:trHeight w:val="675" w:hRule="exact"/>
        </w:trPr>
        <w:tc>
          <w:tcPr>
            <w:tcW w:w="3286" w:type="dxa"/>
            <w:gridSpan w:val="4"/>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69" w:right="0"/>
              <w:jc w:val="left"/>
              <w:rPr>
                <w:rFonts w:ascii="宋体" w:hAnsi="宋体" w:cs="宋体" w:eastAsia="宋体" w:hint="default"/>
                <w:sz w:val="25"/>
                <w:szCs w:val="25"/>
              </w:rPr>
            </w:pPr>
            <w:r>
              <w:rPr>
                <w:rFonts w:ascii="宋体" w:hAnsi="宋体" w:cs="宋体" w:eastAsia="宋体" w:hint="default"/>
                <w:w w:val="105"/>
                <w:sz w:val="25"/>
                <w:szCs w:val="25"/>
              </w:rPr>
              <w:t>母公司股东权益变动表（续）</w:t>
            </w:r>
            <w:r>
              <w:rPr>
                <w:rFonts w:ascii="宋体" w:hAnsi="宋体" w:cs="宋体" w:eastAsia="宋体" w:hint="default"/>
                <w:sz w:val="25"/>
                <w:szCs w:val="25"/>
              </w:rPr>
            </w:r>
          </w:p>
          <w:p>
            <w:pPr>
              <w:pStyle w:val="TableParagraph"/>
              <w:tabs>
                <w:tab w:pos="8987" w:val="left" w:leader="none"/>
              </w:tabs>
              <w:spacing w:line="240" w:lineRule="auto" w:before="86"/>
              <w:ind w:left="2829" w:right="0"/>
              <w:jc w:val="left"/>
              <w:rPr>
                <w:rFonts w:ascii="宋体" w:hAnsi="宋体" w:cs="宋体" w:eastAsia="宋体" w:hint="default"/>
                <w:sz w:val="14"/>
                <w:szCs w:val="14"/>
              </w:rPr>
            </w:pPr>
            <w:r>
              <w:rPr>
                <w:rFonts w:ascii="宋体" w:hAnsi="宋体" w:cs="宋体" w:eastAsia="宋体" w:hint="default"/>
                <w:w w:val="105"/>
                <w:sz w:val="14"/>
                <w:szCs w:val="14"/>
              </w:rPr>
              <w:t>2010年度</w:t>
              <w:tab/>
              <w:t>单位：人民币元</w:t>
            </w:r>
            <w:r>
              <w:rPr>
                <w:rFonts w:ascii="宋体" w:hAnsi="宋体" w:cs="宋体" w:eastAsia="宋体" w:hint="default"/>
                <w:sz w:val="14"/>
                <w:szCs w:val="14"/>
              </w:rPr>
            </w:r>
          </w:p>
        </w:tc>
      </w:tr>
      <w:tr>
        <w:trPr>
          <w:trHeight w:val="259" w:hRule="exact"/>
        </w:trPr>
        <w:tc>
          <w:tcPr>
            <w:tcW w:w="2523"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left="11" w:right="0"/>
              <w:jc w:val="center"/>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37"/>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left="122" w:right="0"/>
              <w:jc w:val="left"/>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single" w:sz="6" w:space="0" w:color="000000"/>
              <w:right w:val="nil" w:sz="6" w:space="0" w:color="auto"/>
            </w:tcBorders>
          </w:tcPr>
          <w:p>
            <w:pPr>
              <w:pStyle w:val="TableParagraph"/>
              <w:spacing w:line="240" w:lineRule="auto" w:before="7"/>
              <w:ind w:left="13" w:right="0"/>
              <w:jc w:val="center"/>
              <w:rPr>
                <w:rFonts w:ascii="宋体" w:hAnsi="宋体" w:cs="宋体" w:eastAsia="宋体" w:hint="default"/>
                <w:sz w:val="14"/>
                <w:szCs w:val="14"/>
              </w:rPr>
            </w:pPr>
            <w:r>
              <w:rPr>
                <w:rFonts w:ascii="宋体" w:hAnsi="宋体" w:cs="宋体" w:eastAsia="宋体" w:hint="default"/>
                <w:w w:val="105"/>
                <w:sz w:val="14"/>
                <w:szCs w:val="14"/>
              </w:rPr>
              <w:t>上期数</w:t>
            </w:r>
            <w:r>
              <w:rPr>
                <w:rFonts w:ascii="宋体" w:hAnsi="宋体" w:cs="宋体" w:eastAsia="宋体" w:hint="default"/>
                <w:sz w:val="14"/>
                <w:szCs w:val="14"/>
              </w:rPr>
            </w:r>
          </w:p>
        </w:tc>
      </w:tr>
      <w:tr>
        <w:trPr>
          <w:trHeight w:val="264" w:hRule="exact"/>
        </w:trPr>
        <w:tc>
          <w:tcPr>
            <w:tcW w:w="2523" w:type="dxa"/>
            <w:tcBorders>
              <w:top w:val="single" w:sz="6"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single" w:sz="6"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single" w:sz="6" w:space="0" w:color="000000"/>
              <w:left w:val="nil" w:sz="6" w:space="0" w:color="auto"/>
              <w:bottom w:val="single" w:sz="6" w:space="0" w:color="000000"/>
              <w:right w:val="nil" w:sz="6" w:space="0" w:color="auto"/>
            </w:tcBorders>
          </w:tcPr>
          <w:p>
            <w:pPr>
              <w:pStyle w:val="TableParagraph"/>
              <w:tabs>
                <w:tab w:pos="1801" w:val="left" w:leader="none"/>
                <w:tab w:pos="2953" w:val="left" w:leader="none"/>
                <w:tab w:pos="4151" w:val="left" w:leader="none"/>
                <w:tab w:pos="5375" w:val="left" w:leader="none"/>
                <w:tab w:pos="6683" w:val="left" w:leader="none"/>
                <w:tab w:pos="8006" w:val="left" w:leader="none"/>
                <w:tab w:pos="8872" w:val="left" w:leader="none"/>
              </w:tabs>
              <w:spacing w:line="240" w:lineRule="auto" w:before="13"/>
              <w:ind w:left="553" w:right="0"/>
              <w:jc w:val="left"/>
              <w:rPr>
                <w:rFonts w:ascii="宋体" w:hAnsi="宋体" w:cs="宋体" w:eastAsia="宋体" w:hint="default"/>
                <w:sz w:val="14"/>
                <w:szCs w:val="14"/>
              </w:rPr>
            </w:pPr>
            <w:r>
              <w:rPr>
                <w:rFonts w:ascii="宋体" w:hAnsi="宋体" w:cs="宋体" w:eastAsia="宋体" w:hint="default"/>
                <w:sz w:val="14"/>
                <w:szCs w:val="14"/>
              </w:rPr>
              <w:t>股本</w:t>
              <w:tab/>
              <w:t>资本公积</w:t>
              <w:tab/>
              <w:t>减：库存股</w:t>
              <w:tab/>
              <w:t>专项储备</w:t>
              <w:tab/>
              <w:t>盈余公积</w:t>
              <w:tab/>
              <w:t>未分配利润</w:t>
              <w:tab/>
              <w:t>其他</w:t>
              <w:tab/>
            </w:r>
            <w:r>
              <w:rPr>
                <w:rFonts w:ascii="宋体" w:hAnsi="宋体" w:cs="宋体" w:eastAsia="宋体" w:hint="default"/>
                <w:w w:val="105"/>
                <w:sz w:val="14"/>
                <w:szCs w:val="14"/>
              </w:rPr>
              <w:t>股东权益合计</w:t>
            </w:r>
            <w:r>
              <w:rPr>
                <w:rFonts w:ascii="宋体" w:hAnsi="宋体" w:cs="宋体" w:eastAsia="宋体" w:hint="default"/>
                <w:sz w:val="14"/>
                <w:szCs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20"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一、上年年末余额</w:t>
            </w:r>
            <w:r>
              <w:rPr>
                <w:rFonts w:ascii="Microsoft JhengHei" w:hAnsi="Microsoft JhengHei" w:cs="Microsoft JhengHei" w:eastAsia="Microsoft JhengHei"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0.6pt;height:.8pt;mso-position-horizontal-relative:char;mso-position-vertical-relative:line" coordorigin="0,0" coordsize="1412,16">
                  <v:group style="position:absolute;left:9;top:1;width:1395;height:2" coordorigin="9,1" coordsize="1395,2">
                    <v:shape style="position:absolute;left:9;top:1;width:1395;height:2" coordorigin="9,1" coordsize="1395,0" path="m9,1l1403,1e" filled="false" stroked="true" strokeweight=".113024pt" strokecolor="#000000">
                      <v:path arrowok="t"/>
                    </v:shape>
                  </v:group>
                  <v:group style="position:absolute;left:8;top:8;width:1397;height:2" coordorigin="8,8" coordsize="1397,2">
                    <v:shape style="position:absolute;left:8;top:8;width:1397;height:2" coordorigin="8,8" coordsize="1397,0" path="m8,8l1404,8e" filled="false" stroked="true" strokeweight=".77502pt" strokecolor="#000000">
                      <v:path arrowok="t"/>
                    </v:shape>
                  </v:group>
                </v:group>
              </w:pict>
            </w:r>
            <w:r>
              <w:rPr>
                <w:rFonts w:ascii="Times New Roman"/>
                <w:sz w:val="2"/>
              </w:rPr>
            </w:r>
            <w:r>
              <w:rPr>
                <w:rFonts w:ascii="Times New Roman"/>
                <w:spacing w:val="72"/>
                <w:sz w:val="2"/>
              </w:rPr>
              <w:t> </w:t>
            </w:r>
            <w:r>
              <w:rPr>
                <w:rFonts w:ascii="Times New Roman"/>
                <w:spacing w:val="72"/>
                <w:sz w:val="2"/>
              </w:rPr>
              <w:pict>
                <v:group style="width:60.9pt;height:.8pt;mso-position-horizontal-relative:char;mso-position-vertical-relative:line" coordorigin="0,0" coordsize="1218,16">
                  <v:group style="position:absolute;left:9;top:1;width:1201;height:2" coordorigin="9,1" coordsize="1201,2">
                    <v:shape style="position:absolute;left:9;top:1;width:1201;height:2" coordorigin="9,1" coordsize="1201,0" path="m9,1l1209,1e" filled="false" stroked="true" strokeweight=".113024pt" strokecolor="#000000">
                      <v:path arrowok="t"/>
                    </v:shape>
                  </v:group>
                  <v:group style="position:absolute;left:8;top:8;width:1203;height:2" coordorigin="8,8" coordsize="1203,2">
                    <v:shape style="position:absolute;left:8;top:8;width:1203;height:2" coordorigin="8,8" coordsize="1203,0" path="m8,8l1210,8e" filled="false" stroked="true" strokeweight=".77502pt" strokecolor="#000000">
                      <v:path arrowok="t"/>
                    </v:shape>
                  </v:group>
                </v:group>
              </w:pict>
            </w:r>
            <w:r>
              <w:rPr>
                <w:rFonts w:ascii="Times New Roman"/>
                <w:spacing w:val="72"/>
                <w:sz w:val="2"/>
              </w:rPr>
            </w:r>
            <w:r>
              <w:rPr>
                <w:rFonts w:ascii="Times New Roman"/>
                <w:spacing w:val="84"/>
                <w:sz w:val="2"/>
              </w:rPr>
              <w:t> </w:t>
            </w:r>
            <w:r>
              <w:rPr>
                <w:rFonts w:ascii="Times New Roman"/>
                <w:spacing w:val="84"/>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2pt" strokecolor="#000000">
                      <v:path arrowok="t"/>
                    </v:shape>
                  </v:group>
                </v:group>
              </w:pict>
            </w:r>
            <w:r>
              <w:rPr>
                <w:rFonts w:ascii="Times New Roman"/>
                <w:spacing w:val="84"/>
                <w:sz w:val="2"/>
              </w:rPr>
            </w:r>
            <w:r>
              <w:rPr>
                <w:rFonts w:ascii="Times New Roman"/>
                <w:spacing w:val="72"/>
                <w:sz w:val="2"/>
              </w:rPr>
              <w:t> </w:t>
            </w:r>
            <w:r>
              <w:rPr>
                <w:rFonts w:ascii="Times New Roman"/>
                <w:spacing w:val="72"/>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2.1pt;height:.8pt;mso-position-horizontal-relative:char;mso-position-vertical-relative:line" coordorigin="0,0" coordsize="1242,16">
                  <v:group style="position:absolute;left:9;top:1;width:1224;height:2" coordorigin="9,1" coordsize="1224,2">
                    <v:shape style="position:absolute;left:9;top:1;width:1224;height:2" coordorigin="9,1" coordsize="1224,0" path="m9,1l1233,1e" filled="false" stroked="true" strokeweight=".113024pt" strokecolor="#000000">
                      <v:path arrowok="t"/>
                    </v:shape>
                  </v:group>
                  <v:group style="position:absolute;left:8;top:8;width:1226;height:2" coordorigin="8,8" coordsize="1226,2">
                    <v:shape style="position:absolute;left:8;top:8;width:1226;height:2" coordorigin="8,8" coordsize="1226,0" path="m8,8l1233,8e" filled="false" stroked="true" strokeweight=".7750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8.2pt;height:.8pt;mso-position-horizontal-relative:char;mso-position-vertical-relative:line" coordorigin="0,0" coordsize="1364,16">
                  <v:group style="position:absolute;left:9;top:1;width:1346;height:2" coordorigin="9,1" coordsize="1346,2">
                    <v:shape style="position:absolute;left:9;top:1;width:1346;height:2" coordorigin="9,1" coordsize="1346,0" path="m9,1l1354,1e" filled="false" stroked="true" strokeweight=".113024pt" strokecolor="#000000">
                      <v:path arrowok="t"/>
                    </v:shape>
                  </v:group>
                  <v:group style="position:absolute;left:8;top:8;width:1348;height:2" coordorigin="8,8" coordsize="1348,2">
                    <v:shape style="position:absolute;left:8;top:8;width:1348;height:2" coordorigin="8,8" coordsize="1348,0" path="m8,8l1356,8e" filled="false" stroked="true" strokeweight=".7750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34.25pt;height:.8pt;mso-position-horizontal-relative:char;mso-position-vertical-relative:line" coordorigin="0,0" coordsize="685,16">
                  <v:group style="position:absolute;left:9;top:1;width:667;height:2" coordorigin="9,1" coordsize="667,2">
                    <v:shape style="position:absolute;left:9;top:1;width:667;height:2" coordorigin="9,1" coordsize="667,0" path="m9,1l676,1e" filled="false" stroked="true" strokeweight=".113024pt" strokecolor="#000000">
                      <v:path arrowok="t"/>
                    </v:shape>
                  </v:group>
                  <v:group style="position:absolute;left:8;top:8;width:669;height:2" coordorigin="8,8" coordsize="669,2">
                    <v:shape style="position:absolute;left:8;top:8;width:669;height:2" coordorigin="8,8" coordsize="669,0" path="m8,8l677,8e" filled="false" stroked="true" strokeweight=".77502pt" strokecolor="#000000">
                      <v:path arrowok="t"/>
                    </v:shape>
                  </v:group>
                </v:group>
              </w:pict>
            </w:r>
            <w:r>
              <w:rPr>
                <w:rFonts w:ascii="Times New Roman"/>
                <w:spacing w:val="72"/>
                <w:sz w:val="2"/>
              </w:rPr>
            </w:r>
          </w:p>
          <w:p>
            <w:pPr>
              <w:pStyle w:val="TableParagraph"/>
              <w:tabs>
                <w:tab w:pos="1296" w:val="left" w:leader="none"/>
                <w:tab w:pos="3160" w:val="left" w:leader="none"/>
                <w:tab w:pos="4286" w:val="left" w:leader="none"/>
                <w:tab w:pos="4963" w:val="left" w:leader="none"/>
                <w:tab w:pos="6316" w:val="left" w:leader="none"/>
                <w:tab w:pos="7813" w:val="left" w:leader="none"/>
                <w:tab w:pos="8550" w:val="left" w:leader="none"/>
              </w:tabs>
              <w:spacing w:line="240" w:lineRule="auto" w:before="40"/>
              <w:ind w:right="79"/>
              <w:jc w:val="right"/>
              <w:rPr>
                <w:rFonts w:ascii="Arial" w:hAnsi="Arial" w:cs="Arial" w:eastAsia="Arial" w:hint="default"/>
                <w:sz w:val="14"/>
                <w:szCs w:val="14"/>
              </w:rPr>
            </w:pPr>
            <w:r>
              <w:rPr>
                <w:rFonts w:ascii="Arial"/>
                <w:sz w:val="14"/>
              </w:rPr>
              <w:t>47,500,000.00</w:t>
              <w:tab/>
              <w:t>62,385,459.32</w:t>
              <w:tab/>
              <w:t>-</w:t>
              <w:tab/>
              <w:t>-</w:t>
              <w:tab/>
              <w:t>2,511,021.38</w:t>
              <w:tab/>
              <w:t>22,314,272.16</w:t>
              <w:tab/>
              <w:t>-</w:t>
              <w:tab/>
              <w:t>134,710,752.86</w:t>
            </w:r>
          </w:p>
        </w:tc>
      </w:tr>
      <w:tr>
        <w:trPr>
          <w:trHeight w:val="273"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 w:right="0"/>
              <w:jc w:val="left"/>
              <w:rPr>
                <w:rFonts w:ascii="宋体" w:hAnsi="宋体" w:cs="宋体" w:eastAsia="宋体" w:hint="default"/>
                <w:sz w:val="14"/>
                <w:szCs w:val="14"/>
              </w:rPr>
            </w:pPr>
            <w:r>
              <w:rPr>
                <w:rFonts w:ascii="宋体" w:hAnsi="宋体" w:cs="宋体" w:eastAsia="宋体" w:hint="default"/>
                <w:w w:val="105"/>
                <w:sz w:val="14"/>
                <w:szCs w:val="14"/>
              </w:rPr>
              <w:t>加：会计政策变更</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0.6pt;height:.8pt;mso-position-horizontal-relative:char;mso-position-vertical-relative:line" coordorigin="0,0" coordsize="1412,16">
                  <v:group style="position:absolute;left:9;top:1;width:1395;height:2" coordorigin="9,1" coordsize="1395,2">
                    <v:shape style="position:absolute;left:9;top:1;width:1395;height:2" coordorigin="9,1" coordsize="1395,0" path="m9,1l1403,1e" filled="false" stroked="true" strokeweight=".113024pt" strokecolor="#000000">
                      <v:path arrowok="t"/>
                    </v:shape>
                  </v:group>
                  <v:group style="position:absolute;left:8;top:8;width:1397;height:2" coordorigin="8,8" coordsize="1397,2">
                    <v:shape style="position:absolute;left:8;top:8;width:1397;height:2" coordorigin="8,8" coordsize="1397,0" path="m8,8l1404,8e" filled="false" stroked="true" strokeweight=".77502pt" strokecolor="#000000">
                      <v:path arrowok="t"/>
                    </v:shape>
                  </v:group>
                </v:group>
              </w:pict>
            </w:r>
            <w:r>
              <w:rPr>
                <w:rFonts w:ascii="Times New Roman"/>
                <w:sz w:val="2"/>
              </w:rPr>
            </w:r>
            <w:r>
              <w:rPr>
                <w:rFonts w:ascii="Times New Roman"/>
                <w:spacing w:val="72"/>
                <w:sz w:val="2"/>
              </w:rPr>
              <w:t> </w:t>
            </w:r>
            <w:r>
              <w:rPr>
                <w:rFonts w:ascii="Times New Roman"/>
                <w:spacing w:val="72"/>
                <w:sz w:val="2"/>
              </w:rPr>
              <w:pict>
                <v:group style="width:60.9pt;height:.8pt;mso-position-horizontal-relative:char;mso-position-vertical-relative:line" coordorigin="0,0" coordsize="1218,16">
                  <v:group style="position:absolute;left:9;top:1;width:1201;height:2" coordorigin="9,1" coordsize="1201,2">
                    <v:shape style="position:absolute;left:9;top:1;width:1201;height:2" coordorigin="9,1" coordsize="1201,0" path="m9,1l1209,1e" filled="false" stroked="true" strokeweight=".113024pt" strokecolor="#000000">
                      <v:path arrowok="t"/>
                    </v:shape>
                  </v:group>
                  <v:group style="position:absolute;left:8;top:8;width:1203;height:2" coordorigin="8,8" coordsize="1203,2">
                    <v:shape style="position:absolute;left:8;top:8;width:1203;height:2" coordorigin="8,8" coordsize="1203,0" path="m8,8l1210,8e" filled="false" stroked="true" strokeweight=".77502pt" strokecolor="#000000">
                      <v:path arrowok="t"/>
                    </v:shape>
                  </v:group>
                </v:group>
              </w:pict>
            </w:r>
            <w:r>
              <w:rPr>
                <w:rFonts w:ascii="Times New Roman"/>
                <w:spacing w:val="72"/>
                <w:sz w:val="2"/>
              </w:rPr>
            </w:r>
            <w:r>
              <w:rPr>
                <w:rFonts w:ascii="Times New Roman"/>
                <w:spacing w:val="84"/>
                <w:sz w:val="2"/>
              </w:rPr>
              <w:t> </w:t>
            </w:r>
            <w:r>
              <w:rPr>
                <w:rFonts w:ascii="Times New Roman"/>
                <w:spacing w:val="84"/>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2pt" strokecolor="#000000">
                      <v:path arrowok="t"/>
                    </v:shape>
                  </v:group>
                </v:group>
              </w:pict>
            </w:r>
            <w:r>
              <w:rPr>
                <w:rFonts w:ascii="Times New Roman"/>
                <w:spacing w:val="84"/>
                <w:sz w:val="2"/>
              </w:rPr>
            </w:r>
            <w:r>
              <w:rPr>
                <w:rFonts w:ascii="Times New Roman"/>
                <w:spacing w:val="72"/>
                <w:sz w:val="2"/>
              </w:rPr>
              <w:t> </w:t>
            </w:r>
            <w:r>
              <w:rPr>
                <w:rFonts w:ascii="Times New Roman"/>
                <w:spacing w:val="72"/>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2.1pt;height:.8pt;mso-position-horizontal-relative:char;mso-position-vertical-relative:line" coordorigin="0,0" coordsize="1242,16">
                  <v:group style="position:absolute;left:9;top:1;width:1224;height:2" coordorigin="9,1" coordsize="1224,2">
                    <v:shape style="position:absolute;left:9;top:1;width:1224;height:2" coordorigin="9,1" coordsize="1224,0" path="m9,1l1233,1e" filled="false" stroked="true" strokeweight=".113024pt" strokecolor="#000000">
                      <v:path arrowok="t"/>
                    </v:shape>
                  </v:group>
                  <v:group style="position:absolute;left:8;top:8;width:1226;height:2" coordorigin="8,8" coordsize="1226,2">
                    <v:shape style="position:absolute;left:8;top:8;width:1226;height:2" coordorigin="8,8" coordsize="1226,0" path="m8,8l1233,8e" filled="false" stroked="true" strokeweight=".7750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8.2pt;height:.8pt;mso-position-horizontal-relative:char;mso-position-vertical-relative:line" coordorigin="0,0" coordsize="1364,16">
                  <v:group style="position:absolute;left:9;top:1;width:1346;height:2" coordorigin="9,1" coordsize="1346,2">
                    <v:shape style="position:absolute;left:9;top:1;width:1346;height:2" coordorigin="9,1" coordsize="1346,0" path="m9,1l1354,1e" filled="false" stroked="true" strokeweight=".113024pt" strokecolor="#000000">
                      <v:path arrowok="t"/>
                    </v:shape>
                  </v:group>
                  <v:group style="position:absolute;left:8;top:8;width:1348;height:2" coordorigin="8,8" coordsize="1348,2">
                    <v:shape style="position:absolute;left:8;top:8;width:1348;height:2" coordorigin="8,8" coordsize="1348,0" path="m8,8l1356,8e" filled="false" stroked="true" strokeweight=".7750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34.25pt;height:.8pt;mso-position-horizontal-relative:char;mso-position-vertical-relative:line" coordorigin="0,0" coordsize="685,16">
                  <v:group style="position:absolute;left:9;top:1;width:667;height:2" coordorigin="9,1" coordsize="667,2">
                    <v:shape style="position:absolute;left:9;top:1;width:667;height:2" coordorigin="9,1" coordsize="667,0" path="m9,1l676,1e" filled="false" stroked="true" strokeweight=".113024pt" strokecolor="#000000">
                      <v:path arrowok="t"/>
                    </v:shape>
                  </v:group>
                  <v:group style="position:absolute;left:8;top:8;width:669;height:2" coordorigin="8,8" coordsize="669,2">
                    <v:shape style="position:absolute;left:8;top:8;width:669;height:2" coordorigin="8,8" coordsize="669,0" path="m8,8l677,8e" filled="false" stroked="true" strokeweight=".77502pt" strokecolor="#000000">
                      <v:path arrowok="t"/>
                    </v:shape>
                  </v:group>
                </v:group>
              </w:pict>
            </w:r>
            <w:r>
              <w:rPr>
                <w:rFonts w:ascii="Times New Roman"/>
                <w:spacing w:val="72"/>
                <w:sz w:val="2"/>
              </w:rPr>
            </w:r>
          </w:p>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0"/>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前期差错更正</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5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11"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二、本年年初余额</w:t>
            </w:r>
            <w:r>
              <w:rPr>
                <w:rFonts w:ascii="Microsoft JhengHei" w:hAnsi="Microsoft JhengHei" w:cs="Microsoft JhengHei" w:eastAsia="Microsoft JhengHei"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single" w:sz="6" w:space="0" w:color="000000"/>
              <w:right w:val="nil" w:sz="6" w:space="0" w:color="auto"/>
            </w:tcBorders>
          </w:tcPr>
          <w:p>
            <w:pPr>
              <w:pStyle w:val="TableParagraph"/>
              <w:tabs>
                <w:tab w:pos="1296" w:val="left" w:leader="none"/>
                <w:tab w:pos="3168" w:val="left" w:leader="none"/>
                <w:tab w:pos="4294" w:val="left" w:leader="none"/>
                <w:tab w:pos="4963" w:val="left" w:leader="none"/>
                <w:tab w:pos="6324" w:val="left" w:leader="none"/>
                <w:tab w:pos="7821" w:val="left" w:leader="none"/>
                <w:tab w:pos="8558" w:val="left" w:leader="none"/>
              </w:tabs>
              <w:spacing w:line="240" w:lineRule="auto" w:before="43"/>
              <w:ind w:right="79"/>
              <w:jc w:val="right"/>
              <w:rPr>
                <w:rFonts w:ascii="Arial" w:hAnsi="Arial" w:cs="Arial" w:eastAsia="Arial" w:hint="default"/>
                <w:sz w:val="14"/>
                <w:szCs w:val="14"/>
              </w:rPr>
            </w:pPr>
            <w:r>
              <w:rPr>
                <w:rFonts w:ascii="Arial"/>
                <w:sz w:val="14"/>
              </w:rPr>
              <w:t>47,500,000.00</w:t>
              <w:tab/>
              <w:t>62,385,459.32</w:t>
              <w:tab/>
              <w:t>-</w:t>
              <w:tab/>
              <w:t>-</w:t>
              <w:tab/>
              <w:t>2,511,021.38</w:t>
              <w:tab/>
              <w:t>22,314,272.16</w:t>
              <w:tab/>
              <w:t>-</w:t>
              <w:tab/>
              <w:t>134,710,752.86</w:t>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20"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三、本年增减变动金额</w:t>
            </w:r>
            <w:r>
              <w:rPr>
                <w:rFonts w:ascii="Microsoft JhengHei" w:hAnsi="Microsoft JhengHei" w:cs="Microsoft JhengHei" w:eastAsia="Microsoft JhengHei"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0.6pt;height:.8pt;mso-position-horizontal-relative:char;mso-position-vertical-relative:line" coordorigin="0,0" coordsize="1412,16">
                  <v:group style="position:absolute;left:9;top:1;width:1395;height:2" coordorigin="9,1" coordsize="1395,2">
                    <v:shape style="position:absolute;left:9;top:1;width:1395;height:2" coordorigin="9,1" coordsize="1395,0" path="m9,1l1403,1e" filled="false" stroked="true" strokeweight=".113024pt" strokecolor="#000000">
                      <v:path arrowok="t"/>
                    </v:shape>
                  </v:group>
                  <v:group style="position:absolute;left:8;top:8;width:1397;height:2" coordorigin="8,8" coordsize="1397,2">
                    <v:shape style="position:absolute;left:8;top:8;width:1397;height:2" coordorigin="8,8" coordsize="1397,0" path="m8,8l1404,8e" filled="false" stroked="true" strokeweight=".775028pt" strokecolor="#000000">
                      <v:path arrowok="t"/>
                    </v:shape>
                  </v:group>
                </v:group>
              </w:pict>
            </w:r>
            <w:r>
              <w:rPr>
                <w:rFonts w:ascii="Times New Roman"/>
                <w:sz w:val="2"/>
              </w:rPr>
            </w:r>
            <w:r>
              <w:rPr>
                <w:rFonts w:ascii="Times New Roman"/>
                <w:spacing w:val="72"/>
                <w:sz w:val="2"/>
              </w:rPr>
              <w:t> </w:t>
            </w:r>
            <w:r>
              <w:rPr>
                <w:rFonts w:ascii="Times New Roman"/>
                <w:spacing w:val="72"/>
                <w:sz w:val="2"/>
              </w:rPr>
              <w:pict>
                <v:group style="width:60.9pt;height:.8pt;mso-position-horizontal-relative:char;mso-position-vertical-relative:line" coordorigin="0,0" coordsize="1218,16">
                  <v:group style="position:absolute;left:9;top:1;width:1201;height:2" coordorigin="9,1" coordsize="1201,2">
                    <v:shape style="position:absolute;left:9;top:1;width:1201;height:2" coordorigin="9,1" coordsize="1201,0" path="m9,1l1209,1e" filled="false" stroked="true" strokeweight=".113024pt" strokecolor="#000000">
                      <v:path arrowok="t"/>
                    </v:shape>
                  </v:group>
                  <v:group style="position:absolute;left:8;top:8;width:1203;height:2" coordorigin="8,8" coordsize="1203,2">
                    <v:shape style="position:absolute;left:8;top:8;width:1203;height:2" coordorigin="8,8" coordsize="1203,0" path="m8,8l1210,8e" filled="false" stroked="true" strokeweight=".775028pt" strokecolor="#000000">
                      <v:path arrowok="t"/>
                    </v:shape>
                  </v:group>
                </v:group>
              </w:pict>
            </w:r>
            <w:r>
              <w:rPr>
                <w:rFonts w:ascii="Times New Roman"/>
                <w:spacing w:val="72"/>
                <w:sz w:val="2"/>
              </w:rPr>
            </w:r>
            <w:r>
              <w:rPr>
                <w:rFonts w:ascii="Times New Roman"/>
                <w:spacing w:val="84"/>
                <w:sz w:val="2"/>
              </w:rPr>
              <w:t> </w:t>
            </w:r>
            <w:r>
              <w:rPr>
                <w:rFonts w:ascii="Times New Roman"/>
                <w:spacing w:val="84"/>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28pt" strokecolor="#000000">
                      <v:path arrowok="t"/>
                    </v:shape>
                  </v:group>
                </v:group>
              </w:pict>
            </w:r>
            <w:r>
              <w:rPr>
                <w:rFonts w:ascii="Times New Roman"/>
                <w:spacing w:val="84"/>
                <w:sz w:val="2"/>
              </w:rPr>
            </w:r>
            <w:r>
              <w:rPr>
                <w:rFonts w:ascii="Times New Roman"/>
                <w:spacing w:val="72"/>
                <w:sz w:val="2"/>
              </w:rPr>
              <w:t> </w:t>
            </w:r>
            <w:r>
              <w:rPr>
                <w:rFonts w:ascii="Times New Roman"/>
                <w:spacing w:val="72"/>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28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2.1pt;height:.8pt;mso-position-horizontal-relative:char;mso-position-vertical-relative:line" coordorigin="0,0" coordsize="1242,16">
                  <v:group style="position:absolute;left:9;top:1;width:1224;height:2" coordorigin="9,1" coordsize="1224,2">
                    <v:shape style="position:absolute;left:9;top:1;width:1224;height:2" coordorigin="9,1" coordsize="1224,0" path="m9,1l1233,1e" filled="false" stroked="true" strokeweight=".113024pt" strokecolor="#000000">
                      <v:path arrowok="t"/>
                    </v:shape>
                  </v:group>
                  <v:group style="position:absolute;left:8;top:8;width:1226;height:2" coordorigin="8,8" coordsize="1226,2">
                    <v:shape style="position:absolute;left:8;top:8;width:1226;height:2" coordorigin="8,8" coordsize="1226,0" path="m8,8l1233,8e" filled="false" stroked="true" strokeweight=".775028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8.2pt;height:.8pt;mso-position-horizontal-relative:char;mso-position-vertical-relative:line" coordorigin="0,0" coordsize="1364,16">
                  <v:group style="position:absolute;left:9;top:1;width:1346;height:2" coordorigin="9,1" coordsize="1346,2">
                    <v:shape style="position:absolute;left:9;top:1;width:1346;height:2" coordorigin="9,1" coordsize="1346,0" path="m9,1l1354,1e" filled="false" stroked="true" strokeweight=".113024pt" strokecolor="#000000">
                      <v:path arrowok="t"/>
                    </v:shape>
                  </v:group>
                  <v:group style="position:absolute;left:8;top:8;width:1348;height:2" coordorigin="8,8" coordsize="1348,2">
                    <v:shape style="position:absolute;left:8;top:8;width:1348;height:2" coordorigin="8,8" coordsize="1348,0" path="m8,8l1356,8e" filled="false" stroked="true" strokeweight=".775028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34.25pt;height:.8pt;mso-position-horizontal-relative:char;mso-position-vertical-relative:line" coordorigin="0,0" coordsize="685,16">
                  <v:group style="position:absolute;left:9;top:1;width:667;height:2" coordorigin="9,1" coordsize="667,2">
                    <v:shape style="position:absolute;left:9;top:1;width:667;height:2" coordorigin="9,1" coordsize="667,0" path="m9,1l676,1e" filled="false" stroked="true" strokeweight=".113024pt" strokecolor="#000000">
                      <v:path arrowok="t"/>
                    </v:shape>
                  </v:group>
                  <v:group style="position:absolute;left:8;top:8;width:669;height:2" coordorigin="8,8" coordsize="669,2">
                    <v:shape style="position:absolute;left:8;top:8;width:669;height:2" coordorigin="8,8" coordsize="669,0" path="m8,8l677,8e" filled="false" stroked="true" strokeweight=".775028pt" strokecolor="#000000">
                      <v:path arrowok="t"/>
                    </v:shape>
                  </v:group>
                </v:group>
              </w:pict>
            </w:r>
            <w:r>
              <w:rPr>
                <w:rFonts w:ascii="Times New Roman"/>
                <w:spacing w:val="72"/>
                <w:sz w:val="2"/>
              </w:rPr>
            </w:r>
          </w:p>
          <w:p>
            <w:pPr>
              <w:pStyle w:val="TableParagraph"/>
              <w:tabs>
                <w:tab w:pos="1296" w:val="left" w:leader="none"/>
                <w:tab w:pos="2435" w:val="left" w:leader="none"/>
                <w:tab w:pos="3561" w:val="left" w:leader="none"/>
                <w:tab w:pos="4230" w:val="left" w:leader="none"/>
                <w:tab w:pos="5673" w:val="left" w:leader="none"/>
                <w:tab w:pos="7088" w:val="left" w:leader="none"/>
                <w:tab w:pos="7996" w:val="left" w:leader="none"/>
              </w:tabs>
              <w:spacing w:line="240" w:lineRule="auto" w:before="40"/>
              <w:ind w:right="71"/>
              <w:jc w:val="right"/>
              <w:rPr>
                <w:rFonts w:ascii="Arial" w:hAnsi="Arial" w:cs="Arial" w:eastAsia="Arial" w:hint="default"/>
                <w:sz w:val="14"/>
                <w:szCs w:val="14"/>
              </w:rPr>
            </w:pPr>
            <w:r>
              <w:rPr>
                <w:rFonts w:ascii="Arial"/>
                <w:sz w:val="14"/>
              </w:rPr>
              <w:t>-</w:t>
              <w:tab/>
              <w:t>-</w:t>
              <w:tab/>
              <w:t>-</w:t>
              <w:tab/>
              <w:t>-</w:t>
              <w:tab/>
              <w:t>1,865,641.74</w:t>
              <w:tab/>
              <w:t>7,290,775.65</w:t>
              <w:tab/>
              <w:t>-</w:t>
              <w:tab/>
              <w:t>9,156,417.39</w:t>
            </w:r>
          </w:p>
        </w:tc>
      </w:tr>
      <w:tr>
        <w:trPr>
          <w:trHeight w:val="273"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9" w:right="0"/>
              <w:jc w:val="left"/>
              <w:rPr>
                <w:rFonts w:ascii="宋体" w:hAnsi="宋体" w:cs="宋体" w:eastAsia="宋体" w:hint="default"/>
                <w:sz w:val="14"/>
                <w:szCs w:val="14"/>
              </w:rPr>
            </w:pPr>
            <w:r>
              <w:rPr>
                <w:rFonts w:ascii="宋体" w:hAnsi="宋体" w:cs="宋体" w:eastAsia="宋体" w:hint="default"/>
                <w:w w:val="105"/>
                <w:sz w:val="14"/>
                <w:szCs w:val="14"/>
              </w:rPr>
              <w:t>（一）净利润</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0.6pt;height:.8pt;mso-position-horizontal-relative:char;mso-position-vertical-relative:line" coordorigin="0,0" coordsize="1412,16">
                  <v:group style="position:absolute;left:9;top:1;width:1395;height:2" coordorigin="9,1" coordsize="1395,2">
                    <v:shape style="position:absolute;left:9;top:1;width:1395;height:2" coordorigin="9,1" coordsize="1395,0" path="m9,1l1403,1e" filled="false" stroked="true" strokeweight=".113024pt" strokecolor="#000000">
                      <v:path arrowok="t"/>
                    </v:shape>
                  </v:group>
                  <v:group style="position:absolute;left:8;top:8;width:1397;height:2" coordorigin="8,8" coordsize="1397,2">
                    <v:shape style="position:absolute;left:8;top:8;width:1397;height:2" coordorigin="8,8" coordsize="1397,0" path="m8,8l1404,8e" filled="false" stroked="true" strokeweight=".775012pt" strokecolor="#000000">
                      <v:path arrowok="t"/>
                    </v:shape>
                  </v:group>
                </v:group>
              </w:pict>
            </w:r>
            <w:r>
              <w:rPr>
                <w:rFonts w:ascii="Times New Roman"/>
                <w:sz w:val="2"/>
              </w:rPr>
            </w:r>
            <w:r>
              <w:rPr>
                <w:rFonts w:ascii="Times New Roman"/>
                <w:spacing w:val="72"/>
                <w:sz w:val="2"/>
              </w:rPr>
              <w:t> </w:t>
            </w:r>
            <w:r>
              <w:rPr>
                <w:rFonts w:ascii="Times New Roman"/>
                <w:spacing w:val="72"/>
                <w:sz w:val="2"/>
              </w:rPr>
              <w:pict>
                <v:group style="width:60.9pt;height:.8pt;mso-position-horizontal-relative:char;mso-position-vertical-relative:line" coordorigin="0,0" coordsize="1218,16">
                  <v:group style="position:absolute;left:9;top:1;width:1201;height:2" coordorigin="9,1" coordsize="1201,2">
                    <v:shape style="position:absolute;left:9;top:1;width:1201;height:2" coordorigin="9,1" coordsize="1201,0" path="m9,1l1209,1e" filled="false" stroked="true" strokeweight=".113024pt" strokecolor="#000000">
                      <v:path arrowok="t"/>
                    </v:shape>
                  </v:group>
                  <v:group style="position:absolute;left:8;top:8;width:1203;height:2" coordorigin="8,8" coordsize="1203,2">
                    <v:shape style="position:absolute;left:8;top:8;width:1203;height:2" coordorigin="8,8" coordsize="1203,0" path="m8,8l1210,8e" filled="false" stroked="true" strokeweight=".775012pt" strokecolor="#000000">
                      <v:path arrowok="t"/>
                    </v:shape>
                  </v:group>
                </v:group>
              </w:pict>
            </w:r>
            <w:r>
              <w:rPr>
                <w:rFonts w:ascii="Times New Roman"/>
                <w:spacing w:val="72"/>
                <w:sz w:val="2"/>
              </w:rPr>
            </w:r>
            <w:r>
              <w:rPr>
                <w:rFonts w:ascii="Times New Roman"/>
                <w:spacing w:val="84"/>
                <w:sz w:val="2"/>
              </w:rPr>
              <w:t> </w:t>
            </w:r>
            <w:r>
              <w:rPr>
                <w:rFonts w:ascii="Times New Roman"/>
                <w:spacing w:val="84"/>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12pt" strokecolor="#000000">
                      <v:path arrowok="t"/>
                    </v:shape>
                  </v:group>
                </v:group>
              </w:pict>
            </w:r>
            <w:r>
              <w:rPr>
                <w:rFonts w:ascii="Times New Roman"/>
                <w:spacing w:val="84"/>
                <w:sz w:val="2"/>
              </w:rPr>
            </w:r>
            <w:r>
              <w:rPr>
                <w:rFonts w:ascii="Times New Roman"/>
                <w:spacing w:val="72"/>
                <w:sz w:val="2"/>
              </w:rPr>
              <w:t> </w:t>
            </w:r>
            <w:r>
              <w:rPr>
                <w:rFonts w:ascii="Times New Roman"/>
                <w:spacing w:val="72"/>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1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2.1pt;height:.8pt;mso-position-horizontal-relative:char;mso-position-vertical-relative:line" coordorigin="0,0" coordsize="1242,16">
                  <v:group style="position:absolute;left:9;top:1;width:1224;height:2" coordorigin="9,1" coordsize="1224,2">
                    <v:shape style="position:absolute;left:9;top:1;width:1224;height:2" coordorigin="9,1" coordsize="1224,0" path="m9,1l1233,1e" filled="false" stroked="true" strokeweight=".113024pt" strokecolor="#000000">
                      <v:path arrowok="t"/>
                    </v:shape>
                  </v:group>
                  <v:group style="position:absolute;left:8;top:8;width:1226;height:2" coordorigin="8,8" coordsize="1226,2">
                    <v:shape style="position:absolute;left:8;top:8;width:1226;height:2" coordorigin="8,8" coordsize="1226,0" path="m8,8l1233,8e" filled="false" stroked="true" strokeweight=".77501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8.2pt;height:.8pt;mso-position-horizontal-relative:char;mso-position-vertical-relative:line" coordorigin="0,0" coordsize="1364,16">
                  <v:group style="position:absolute;left:9;top:1;width:1346;height:2" coordorigin="9,1" coordsize="1346,2">
                    <v:shape style="position:absolute;left:9;top:1;width:1346;height:2" coordorigin="9,1" coordsize="1346,0" path="m9,1l1354,1e" filled="false" stroked="true" strokeweight=".113024pt" strokecolor="#000000">
                      <v:path arrowok="t"/>
                    </v:shape>
                  </v:group>
                  <v:group style="position:absolute;left:8;top:8;width:1348;height:2" coordorigin="8,8" coordsize="1348,2">
                    <v:shape style="position:absolute;left:8;top:8;width:1348;height:2" coordorigin="8,8" coordsize="1348,0" path="m8,8l1356,8e" filled="false" stroked="true" strokeweight=".775012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34.25pt;height:.8pt;mso-position-horizontal-relative:char;mso-position-vertical-relative:line" coordorigin="0,0" coordsize="685,16">
                  <v:group style="position:absolute;left:9;top:1;width:667;height:2" coordorigin="9,1" coordsize="667,2">
                    <v:shape style="position:absolute;left:9;top:1;width:667;height:2" coordorigin="9,1" coordsize="667,0" path="m9,1l676,1e" filled="false" stroked="true" strokeweight=".113024pt" strokecolor="#000000">
                      <v:path arrowok="t"/>
                    </v:shape>
                  </v:group>
                  <v:group style="position:absolute;left:8;top:8;width:669;height:2" coordorigin="8,8" coordsize="669,2">
                    <v:shape style="position:absolute;left:8;top:8;width:669;height:2" coordorigin="8,8" coordsize="669,0" path="m8,8l677,8e" filled="false" stroked="true" strokeweight=".775012pt" strokecolor="#000000">
                      <v:path arrowok="t"/>
                    </v:shape>
                  </v:group>
                </v:group>
              </w:pict>
            </w:r>
            <w:r>
              <w:rPr>
                <w:rFonts w:ascii="Times New Roman"/>
                <w:spacing w:val="72"/>
                <w:sz w:val="2"/>
              </w:rPr>
            </w:r>
          </w:p>
          <w:p>
            <w:pPr>
              <w:pStyle w:val="TableParagraph"/>
              <w:tabs>
                <w:tab w:pos="1296" w:val="left" w:leader="none"/>
                <w:tab w:pos="2435" w:val="left" w:leader="none"/>
                <w:tab w:pos="3561" w:val="left" w:leader="none"/>
                <w:tab w:pos="4882" w:val="left" w:leader="none"/>
                <w:tab w:pos="5599" w:val="left" w:leader="none"/>
                <w:tab w:pos="7088" w:val="left" w:leader="none"/>
                <w:tab w:pos="7914" w:val="left" w:leader="none"/>
              </w:tabs>
              <w:spacing w:line="240" w:lineRule="auto" w:before="41"/>
              <w:ind w:right="71"/>
              <w:jc w:val="right"/>
              <w:rPr>
                <w:rFonts w:ascii="Arial" w:hAnsi="Arial" w:cs="Arial" w:eastAsia="Arial" w:hint="default"/>
                <w:sz w:val="14"/>
                <w:szCs w:val="14"/>
              </w:rPr>
            </w:pPr>
            <w:r>
              <w:rPr>
                <w:rFonts w:ascii="Arial"/>
                <w:sz w:val="14"/>
              </w:rPr>
              <w:t>-</w:t>
              <w:tab/>
              <w:t>-</w:t>
              <w:tab/>
              <w:t>-</w:t>
              <w:tab/>
              <w:t>-</w:t>
              <w:tab/>
              <w:t>-</w:t>
              <w:tab/>
              <w:t>18,656,417.39</w:t>
              <w:tab/>
              <w:t>-</w:t>
              <w:tab/>
              <w:t>18,656,417.39</w:t>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宋体" w:hAnsi="宋体" w:cs="宋体" w:eastAsia="宋体" w:hint="default"/>
                <w:sz w:val="14"/>
                <w:szCs w:val="14"/>
              </w:rPr>
            </w:pPr>
            <w:r>
              <w:rPr>
                <w:rFonts w:ascii="宋体" w:hAnsi="宋体" w:cs="宋体" w:eastAsia="宋体" w:hint="default"/>
                <w:w w:val="105"/>
                <w:sz w:val="14"/>
                <w:szCs w:val="14"/>
              </w:rPr>
              <w:t>（二）其他综合收益</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1296" w:val="left" w:leader="none"/>
                <w:tab w:pos="2435" w:val="left" w:leader="none"/>
                <w:tab w:pos="3561" w:val="left" w:leader="none"/>
                <w:tab w:pos="4882" w:val="left" w:leader="none"/>
                <w:tab w:pos="5599" w:val="left" w:leader="none"/>
                <w:tab w:pos="7088" w:val="left" w:leader="none"/>
                <w:tab w:pos="7914" w:val="left" w:leader="none"/>
              </w:tabs>
              <w:spacing w:line="240" w:lineRule="auto" w:before="43"/>
              <w:ind w:right="71"/>
              <w:jc w:val="right"/>
              <w:rPr>
                <w:rFonts w:ascii="Arial" w:hAnsi="Arial" w:cs="Arial" w:eastAsia="Arial" w:hint="default"/>
                <w:sz w:val="14"/>
                <w:szCs w:val="14"/>
              </w:rPr>
            </w:pPr>
            <w:r>
              <w:rPr>
                <w:rFonts w:ascii="Arial"/>
                <w:sz w:val="14"/>
              </w:rPr>
              <w:t>-</w:t>
              <w:tab/>
              <w:t>-</w:t>
              <w:tab/>
              <w:t>-</w:t>
              <w:tab/>
              <w:t>-</w:t>
              <w:tab/>
              <w:t>-</w:t>
              <w:tab/>
              <w:t>18,656,417.39</w:t>
              <w:tab/>
              <w:t>-</w:t>
              <w:tab/>
              <w:t>18,656,417.39</w:t>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（三）股东投入和减少股本</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15"/>
                <w:sz w:val="14"/>
                <w:szCs w:val="14"/>
              </w:rPr>
              <w:t>1</w:t>
            </w:r>
            <w:r>
              <w:rPr>
                <w:rFonts w:ascii="宋体" w:hAnsi="宋体" w:cs="宋体" w:eastAsia="宋体" w:hint="default"/>
                <w:w w:val="57"/>
                <w:sz w:val="14"/>
                <w:szCs w:val="14"/>
              </w:rPr>
              <w:t>.</w:t>
            </w:r>
            <w:r>
              <w:rPr>
                <w:rFonts w:ascii="宋体" w:hAnsi="宋体" w:cs="宋体" w:eastAsia="宋体" w:hint="default"/>
                <w:spacing w:val="-30"/>
                <w:sz w:val="14"/>
                <w:szCs w:val="14"/>
              </w:rPr>
              <w:t> </w:t>
            </w:r>
            <w:r>
              <w:rPr>
                <w:rFonts w:ascii="宋体" w:hAnsi="宋体" w:cs="宋体" w:eastAsia="宋体" w:hint="default"/>
                <w:w w:val="103"/>
                <w:sz w:val="14"/>
                <w:szCs w:val="14"/>
              </w:rPr>
              <w:t>股东投入股本</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2．股份支付计入股东权益的金额</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3．其他</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4"/>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宋体" w:hAnsi="宋体" w:cs="宋体" w:eastAsia="宋体" w:hint="default"/>
                <w:sz w:val="14"/>
                <w:szCs w:val="14"/>
              </w:rPr>
            </w:pPr>
            <w:r>
              <w:rPr>
                <w:rFonts w:ascii="宋体" w:hAnsi="宋体" w:cs="宋体" w:eastAsia="宋体" w:hint="default"/>
                <w:w w:val="105"/>
                <w:sz w:val="14"/>
                <w:szCs w:val="14"/>
              </w:rPr>
              <w:t>（四）利润分配</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1296" w:val="left" w:leader="none"/>
                <w:tab w:pos="2435" w:val="left" w:leader="none"/>
                <w:tab w:pos="3561" w:val="left" w:leader="none"/>
                <w:tab w:pos="4238" w:val="left" w:leader="none"/>
                <w:tab w:pos="5543" w:val="left" w:leader="none"/>
                <w:tab w:pos="7088" w:val="left" w:leader="none"/>
                <w:tab w:pos="7939" w:val="left" w:leader="none"/>
              </w:tabs>
              <w:spacing w:line="240" w:lineRule="auto" w:before="43"/>
              <w:ind w:right="30"/>
              <w:jc w:val="right"/>
              <w:rPr>
                <w:rFonts w:ascii="Arial" w:hAnsi="Arial" w:cs="Arial" w:eastAsia="Arial" w:hint="default"/>
                <w:sz w:val="14"/>
                <w:szCs w:val="14"/>
              </w:rPr>
            </w:pPr>
            <w:r>
              <w:rPr>
                <w:rFonts w:ascii="Arial"/>
                <w:sz w:val="14"/>
              </w:rPr>
              <w:t>-</w:t>
              <w:tab/>
              <w:t>-</w:t>
              <w:tab/>
              <w:t>-</w:t>
              <w:tab/>
              <w:t>-</w:t>
              <w:tab/>
              <w:t>1,865,641.74</w:t>
              <w:tab/>
              <w:t>(11,365,641.74)</w:t>
              <w:tab/>
              <w:t>-</w:t>
              <w:tab/>
              <w:t>(9,500,000.00)</w:t>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1．提取盈余公积</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351" w:val="left" w:leader="none"/>
                <w:tab w:pos="6738"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1,865,641.74</w:t>
              <w:tab/>
              <w:t>(1,865,641.74)</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2．对股东的分配</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1296" w:val="left" w:leader="none"/>
                <w:tab w:pos="2435" w:val="left" w:leader="none"/>
                <w:tab w:pos="3561" w:val="left" w:leader="none"/>
                <w:tab w:pos="4882" w:val="left" w:leader="none"/>
                <w:tab w:pos="5624" w:val="left" w:leader="none"/>
                <w:tab w:pos="7088" w:val="left" w:leader="none"/>
                <w:tab w:pos="7939" w:val="left" w:leader="none"/>
              </w:tabs>
              <w:spacing w:line="240" w:lineRule="auto" w:before="43"/>
              <w:ind w:right="30"/>
              <w:jc w:val="right"/>
              <w:rPr>
                <w:rFonts w:ascii="Arial" w:hAnsi="Arial" w:cs="Arial" w:eastAsia="Arial" w:hint="default"/>
                <w:sz w:val="14"/>
                <w:szCs w:val="14"/>
              </w:rPr>
            </w:pPr>
            <w:r>
              <w:rPr>
                <w:rFonts w:ascii="Arial"/>
                <w:sz w:val="14"/>
              </w:rPr>
              <w:t>-</w:t>
              <w:tab/>
              <w:t>-</w:t>
              <w:tab/>
              <w:t>-</w:t>
              <w:tab/>
              <w:t>-</w:t>
              <w:tab/>
              <w:t>-</w:t>
              <w:tab/>
              <w:t>(9,500,000.00)</w:t>
              <w:tab/>
              <w:t>-</w:t>
              <w:tab/>
              <w:t>(9,500,000.00)</w:t>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3．其他</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宋体" w:hAnsi="宋体" w:cs="宋体" w:eastAsia="宋体" w:hint="default"/>
                <w:sz w:val="14"/>
                <w:szCs w:val="14"/>
              </w:rPr>
            </w:pPr>
            <w:r>
              <w:rPr>
                <w:rFonts w:ascii="宋体" w:hAnsi="宋体" w:cs="宋体" w:eastAsia="宋体" w:hint="default"/>
                <w:w w:val="105"/>
                <w:sz w:val="14"/>
                <w:szCs w:val="14"/>
              </w:rPr>
              <w:t>（五）股东权益内部结转</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3"/>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0"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宋体" w:hAnsi="宋体" w:cs="宋体" w:eastAsia="宋体" w:hint="default"/>
                <w:sz w:val="14"/>
                <w:szCs w:val="14"/>
              </w:rPr>
            </w:pPr>
            <w:r>
              <w:rPr>
                <w:rFonts w:ascii="宋体" w:hAnsi="宋体" w:cs="宋体" w:eastAsia="宋体" w:hint="default"/>
                <w:w w:val="105"/>
                <w:sz w:val="14"/>
                <w:szCs w:val="14"/>
              </w:rPr>
              <w:t>1．资本公积转增股本</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nil" w:sz="6" w:space="0" w:color="auto"/>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4"/>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1731"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1" w:right="0"/>
              <w:jc w:val="left"/>
              <w:rPr>
                <w:rFonts w:ascii="宋体" w:hAnsi="宋体" w:cs="宋体" w:eastAsia="宋体" w:hint="default"/>
                <w:sz w:val="14"/>
                <w:szCs w:val="14"/>
              </w:rPr>
            </w:pPr>
            <w:r>
              <w:rPr>
                <w:rFonts w:ascii="宋体" w:hAnsi="宋体" w:cs="宋体" w:eastAsia="宋体" w:hint="default"/>
                <w:w w:val="105"/>
                <w:sz w:val="14"/>
                <w:szCs w:val="14"/>
              </w:rPr>
              <w:t>2．盈余公积转增股本</w:t>
            </w:r>
            <w:r>
              <w:rPr>
                <w:rFonts w:ascii="宋体" w:hAnsi="宋体" w:cs="宋体" w:eastAsia="宋体" w:hint="default"/>
                <w:sz w:val="14"/>
                <w:szCs w:val="14"/>
              </w:rPr>
            </w:r>
          </w:p>
          <w:p>
            <w:pPr>
              <w:pStyle w:val="TableParagraph"/>
              <w:spacing w:line="240" w:lineRule="auto" w:before="65"/>
              <w:ind w:left="191" w:right="0"/>
              <w:jc w:val="left"/>
              <w:rPr>
                <w:rFonts w:ascii="宋体" w:hAnsi="宋体" w:cs="宋体" w:eastAsia="宋体" w:hint="default"/>
                <w:sz w:val="14"/>
                <w:szCs w:val="14"/>
              </w:rPr>
            </w:pPr>
            <w:r>
              <w:rPr>
                <w:rFonts w:ascii="宋体" w:hAnsi="宋体" w:cs="宋体" w:eastAsia="宋体" w:hint="default"/>
                <w:w w:val="105"/>
                <w:sz w:val="14"/>
                <w:szCs w:val="14"/>
              </w:rPr>
              <w:t>3．盈余公积弥补亏损</w:t>
            </w:r>
            <w:r>
              <w:rPr>
                <w:rFonts w:ascii="宋体" w:hAnsi="宋体" w:cs="宋体" w:eastAsia="宋体" w:hint="default"/>
                <w:sz w:val="14"/>
                <w:szCs w:val="14"/>
              </w:rPr>
            </w:r>
          </w:p>
          <w:p>
            <w:pPr>
              <w:pStyle w:val="TableParagraph"/>
              <w:spacing w:line="240" w:lineRule="auto" w:before="65"/>
              <w:ind w:left="191"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p>
            <w:pPr>
              <w:pStyle w:val="TableParagraph"/>
              <w:spacing w:line="324" w:lineRule="auto" w:before="65"/>
              <w:ind w:left="191" w:right="1229" w:hanging="163"/>
              <w:jc w:val="left"/>
              <w:rPr>
                <w:rFonts w:ascii="宋体" w:hAnsi="宋体" w:cs="宋体" w:eastAsia="宋体" w:hint="default"/>
                <w:sz w:val="14"/>
                <w:szCs w:val="14"/>
              </w:rPr>
            </w:pPr>
            <w:r>
              <w:rPr>
                <w:rFonts w:ascii="宋体" w:hAnsi="宋体" w:cs="宋体" w:eastAsia="宋体" w:hint="default"/>
                <w:w w:val="105"/>
                <w:sz w:val="14"/>
                <w:szCs w:val="14"/>
              </w:rPr>
              <w:t>（六）专项储备</w:t>
            </w:r>
            <w:r>
              <w:rPr>
                <w:rFonts w:ascii="宋体" w:hAnsi="宋体" w:cs="宋体" w:eastAsia="宋体" w:hint="default"/>
                <w:w w:val="103"/>
                <w:sz w:val="14"/>
                <w:szCs w:val="14"/>
              </w:rPr>
              <w:t> </w:t>
            </w:r>
            <w:r>
              <w:rPr>
                <w:rFonts w:ascii="宋体" w:hAnsi="宋体" w:cs="宋体" w:eastAsia="宋体" w:hint="default"/>
                <w:sz w:val="14"/>
                <w:szCs w:val="14"/>
              </w:rPr>
              <w:t>1．提取专项储备</w:t>
            </w:r>
          </w:p>
          <w:p>
            <w:pPr>
              <w:pStyle w:val="TableParagraph"/>
              <w:spacing w:line="240" w:lineRule="auto" w:before="16"/>
              <w:ind w:left="191" w:right="0"/>
              <w:jc w:val="left"/>
              <w:rPr>
                <w:rFonts w:ascii="宋体" w:hAnsi="宋体" w:cs="宋体" w:eastAsia="宋体" w:hint="default"/>
                <w:sz w:val="14"/>
                <w:szCs w:val="14"/>
              </w:rPr>
            </w:pPr>
            <w:r>
              <w:rPr>
                <w:rFonts w:ascii="宋体" w:hAnsi="宋体" w:cs="宋体" w:eastAsia="宋体" w:hint="default"/>
                <w:w w:val="105"/>
                <w:sz w:val="14"/>
                <w:szCs w:val="14"/>
              </w:rPr>
              <w:t>2．使用专项储备</w:t>
            </w:r>
            <w:r>
              <w:rPr>
                <w:rFonts w:ascii="宋体" w:hAnsi="宋体" w:cs="宋体" w:eastAsia="宋体" w:hint="default"/>
                <w:sz w:val="14"/>
                <w:szCs w:val="14"/>
              </w:rPr>
            </w:r>
          </w:p>
          <w:p>
            <w:pPr>
              <w:pStyle w:val="TableParagraph"/>
              <w:spacing w:line="240" w:lineRule="auto" w:before="65"/>
              <w:ind w:left="191" w:right="0"/>
              <w:jc w:val="left"/>
              <w:rPr>
                <w:rFonts w:ascii="宋体" w:hAnsi="宋体" w:cs="宋体" w:eastAsia="宋体" w:hint="default"/>
                <w:sz w:val="14"/>
                <w:szCs w:val="14"/>
              </w:rPr>
            </w:pPr>
            <w:r>
              <w:rPr>
                <w:rFonts w:ascii="宋体" w:hAnsi="宋体" w:cs="宋体" w:eastAsia="宋体" w:hint="default"/>
                <w:w w:val="105"/>
                <w:sz w:val="14"/>
                <w:szCs w:val="14"/>
              </w:rPr>
              <w:t>3．其他</w:t>
            </w:r>
            <w:r>
              <w:rPr>
                <w:rFonts w:ascii="宋体" w:hAnsi="宋体" w:cs="宋体" w:eastAsia="宋体"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nil" w:sz="6" w:space="0" w:color="auto"/>
              <w:left w:val="nil" w:sz="6" w:space="0" w:color="auto"/>
              <w:bottom w:val="single" w:sz="6" w:space="0" w:color="000000"/>
              <w:right w:val="nil" w:sz="6" w:space="0" w:color="auto"/>
            </w:tcBorders>
          </w:tcPr>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40"/>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87"/>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p>
            <w:pPr>
              <w:pStyle w:val="TableParagraph"/>
              <w:tabs>
                <w:tab w:pos="2410" w:val="left" w:leader="none"/>
                <w:tab w:pos="3548" w:val="left" w:leader="none"/>
                <w:tab w:pos="4674" w:val="left" w:leader="none"/>
                <w:tab w:pos="5995" w:val="left" w:leader="none"/>
                <w:tab w:pos="7437" w:val="left" w:leader="none"/>
                <w:tab w:pos="8202" w:val="left" w:leader="none"/>
                <w:tab w:pos="9745" w:val="left" w:leader="none"/>
              </w:tabs>
              <w:spacing w:line="240" w:lineRule="auto" w:before="87"/>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p>
            <w:pPr>
              <w:pStyle w:val="TableParagraph"/>
              <w:tabs>
                <w:tab w:pos="2410" w:val="left" w:leader="none"/>
                <w:tab w:pos="3548" w:val="left" w:leader="none"/>
                <w:tab w:pos="4674" w:val="left" w:leader="none"/>
                <w:tab w:pos="5995" w:val="left" w:leader="none"/>
                <w:tab w:pos="7437" w:val="left" w:leader="none"/>
                <w:tab w:pos="8202" w:val="left" w:leader="none"/>
                <w:tab w:pos="9753" w:val="left" w:leader="none"/>
              </w:tabs>
              <w:spacing w:line="240" w:lineRule="auto" w:before="87"/>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p>
            <w:pPr>
              <w:pStyle w:val="TableParagraph"/>
              <w:tabs>
                <w:tab w:pos="2410" w:val="left" w:leader="none"/>
                <w:tab w:pos="3548" w:val="left" w:leader="none"/>
                <w:tab w:pos="4674" w:val="left" w:leader="none"/>
                <w:tab w:pos="5995" w:val="left" w:leader="none"/>
                <w:tab w:pos="7437" w:val="left" w:leader="none"/>
                <w:tab w:pos="8202" w:val="left" w:leader="none"/>
                <w:tab w:pos="9745" w:val="left" w:leader="none"/>
              </w:tabs>
              <w:spacing w:line="240" w:lineRule="auto" w:before="87"/>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p>
            <w:pPr>
              <w:pStyle w:val="TableParagraph"/>
              <w:tabs>
                <w:tab w:pos="2410" w:val="left" w:leader="none"/>
                <w:tab w:pos="3548" w:val="left" w:leader="none"/>
                <w:tab w:pos="4674" w:val="left" w:leader="none"/>
                <w:tab w:pos="5995" w:val="left" w:leader="none"/>
                <w:tab w:pos="7437" w:val="left" w:leader="none"/>
                <w:tab w:pos="8202" w:val="left" w:leader="none"/>
                <w:tab w:pos="9745" w:val="left" w:leader="none"/>
              </w:tabs>
              <w:spacing w:line="240" w:lineRule="auto" w:before="87"/>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p>
            <w:pPr>
              <w:pStyle w:val="TableParagraph"/>
              <w:tabs>
                <w:tab w:pos="2410" w:val="left" w:leader="none"/>
                <w:tab w:pos="3548" w:val="left" w:leader="none"/>
                <w:tab w:pos="4674" w:val="left" w:leader="none"/>
                <w:tab w:pos="5995" w:val="left" w:leader="none"/>
                <w:tab w:pos="7437" w:val="left" w:leader="none"/>
                <w:tab w:pos="8202" w:val="left" w:leader="none"/>
                <w:tab w:pos="9745" w:val="left" w:leader="none"/>
              </w:tabs>
              <w:spacing w:line="240" w:lineRule="auto" w:before="87"/>
              <w:ind w:left="1113" w:right="0"/>
              <w:jc w:val="left"/>
              <w:rPr>
                <w:rFonts w:ascii="Arial" w:hAnsi="Arial" w:cs="Arial" w:eastAsia="Arial" w:hint="default"/>
                <w:sz w:val="14"/>
                <w:szCs w:val="14"/>
              </w:rPr>
            </w:pPr>
            <w:r>
              <w:rPr>
                <w:rFonts w:ascii="Arial"/>
                <w:sz w:val="14"/>
              </w:rPr>
              <w:t>-</w:t>
              <w:tab/>
              <w:t>-</w:t>
              <w:tab/>
              <w:t>-</w:t>
              <w:tab/>
              <w:t>-</w:t>
              <w:tab/>
              <w:t>-</w:t>
              <w:tab/>
              <w:t>-</w:t>
              <w:tab/>
              <w:t>-</w:t>
              <w:tab/>
            </w:r>
            <w:r>
              <w:rPr>
                <w:rFonts w:ascii="Arial"/>
                <w:w w:val="105"/>
                <w:sz w:val="14"/>
              </w:rPr>
              <w:t>-</w:t>
            </w:r>
            <w:r>
              <w:rPr>
                <w:rFonts w:ascii="Arial"/>
                <w:sz w:val="14"/>
              </w:rPr>
            </w:r>
          </w:p>
        </w:tc>
      </w:tr>
      <w:tr>
        <w:trPr>
          <w:trHeight w:val="26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12" w:lineRule="exact"/>
              <w:ind w:left="29"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105"/>
                <w:sz w:val="14"/>
                <w:szCs w:val="14"/>
              </w:rPr>
              <w:t>四、本年年末余额</w:t>
            </w:r>
            <w:r>
              <w:rPr>
                <w:rFonts w:ascii="Microsoft JhengHei" w:hAnsi="Microsoft JhengHei" w:cs="Microsoft JhengHei" w:eastAsia="Microsoft JhengHei" w:hint="default"/>
                <w:sz w:val="14"/>
                <w:szCs w:val="14"/>
              </w:rPr>
            </w:r>
          </w:p>
        </w:tc>
        <w:tc>
          <w:tcPr>
            <w:tcW w:w="12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037"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sz w:val="2"/>
              </w:rPr>
              <w:pict>
                <v:group style="width:70.6pt;height:.8pt;mso-position-horizontal-relative:char;mso-position-vertical-relative:line" coordorigin="0,0" coordsize="1412,16">
                  <v:group style="position:absolute;left:9;top:1;width:1395;height:2" coordorigin="9,1" coordsize="1395,2">
                    <v:shape style="position:absolute;left:9;top:1;width:1395;height:2" coordorigin="9,1" coordsize="1395,0" path="m9,1l1403,1e" filled="false" stroked="true" strokeweight=".113024pt" strokecolor="#000000">
                      <v:path arrowok="t"/>
                    </v:shape>
                  </v:group>
                  <v:group style="position:absolute;left:8;top:8;width:1397;height:2" coordorigin="8,8" coordsize="1397,2">
                    <v:shape style="position:absolute;left:8;top:8;width:1397;height:2" coordorigin="8,8" coordsize="1397,0" path="m8,8l1404,8e" filled="false" stroked="true" strokeweight=".775036pt" strokecolor="#000000">
                      <v:path arrowok="t"/>
                    </v:shape>
                  </v:group>
                </v:group>
              </w:pict>
            </w:r>
            <w:r>
              <w:rPr>
                <w:rFonts w:ascii="Times New Roman"/>
                <w:sz w:val="2"/>
              </w:rPr>
            </w:r>
            <w:r>
              <w:rPr>
                <w:rFonts w:ascii="Times New Roman"/>
                <w:spacing w:val="72"/>
                <w:sz w:val="2"/>
              </w:rPr>
              <w:t> </w:t>
            </w:r>
            <w:r>
              <w:rPr>
                <w:rFonts w:ascii="Times New Roman"/>
                <w:spacing w:val="72"/>
                <w:sz w:val="2"/>
              </w:rPr>
              <w:pict>
                <v:group style="width:60.9pt;height:.8pt;mso-position-horizontal-relative:char;mso-position-vertical-relative:line" coordorigin="0,0" coordsize="1218,16">
                  <v:group style="position:absolute;left:9;top:1;width:1201;height:2" coordorigin="9,1" coordsize="1201,2">
                    <v:shape style="position:absolute;left:9;top:1;width:1201;height:2" coordorigin="9,1" coordsize="1201,0" path="m9,1l1209,1e" filled="false" stroked="true" strokeweight=".113024pt" strokecolor="#000000">
                      <v:path arrowok="t"/>
                    </v:shape>
                  </v:group>
                  <v:group style="position:absolute;left:8;top:8;width:1203;height:2" coordorigin="8,8" coordsize="1203,2">
                    <v:shape style="position:absolute;left:8;top:8;width:1203;height:2" coordorigin="8,8" coordsize="1203,0" path="m8,8l1210,8e" filled="false" stroked="true" strokeweight=".775036pt" strokecolor="#000000">
                      <v:path arrowok="t"/>
                    </v:shape>
                  </v:group>
                </v:group>
              </w:pict>
            </w:r>
            <w:r>
              <w:rPr>
                <w:rFonts w:ascii="Times New Roman"/>
                <w:spacing w:val="72"/>
                <w:sz w:val="2"/>
              </w:rPr>
            </w:r>
            <w:r>
              <w:rPr>
                <w:rFonts w:ascii="Times New Roman"/>
                <w:spacing w:val="84"/>
                <w:sz w:val="2"/>
              </w:rPr>
              <w:t> </w:t>
            </w:r>
            <w:r>
              <w:rPr>
                <w:rFonts w:ascii="Times New Roman"/>
                <w:spacing w:val="84"/>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36pt" strokecolor="#000000">
                      <v:path arrowok="t"/>
                    </v:shape>
                  </v:group>
                </v:group>
              </w:pict>
            </w:r>
            <w:r>
              <w:rPr>
                <w:rFonts w:ascii="Times New Roman"/>
                <w:spacing w:val="84"/>
                <w:sz w:val="2"/>
              </w:rPr>
            </w:r>
            <w:r>
              <w:rPr>
                <w:rFonts w:ascii="Times New Roman"/>
                <w:spacing w:val="72"/>
                <w:sz w:val="2"/>
              </w:rPr>
              <w:t> </w:t>
            </w:r>
            <w:r>
              <w:rPr>
                <w:rFonts w:ascii="Times New Roman"/>
                <w:spacing w:val="72"/>
                <w:sz w:val="2"/>
              </w:rPr>
              <w:pict>
                <v:group style="width:52.35pt;height:.8pt;mso-position-horizontal-relative:char;mso-position-vertical-relative:line" coordorigin="0,0" coordsize="1047,16">
                  <v:group style="position:absolute;left:9;top:1;width:1030;height:2" coordorigin="9,1" coordsize="1030,2">
                    <v:shape style="position:absolute;left:9;top:1;width:1030;height:2" coordorigin="9,1" coordsize="1030,0" path="m9,1l1038,1e" filled="false" stroked="true" strokeweight=".113024pt" strokecolor="#000000">
                      <v:path arrowok="t"/>
                    </v:shape>
                  </v:group>
                  <v:group style="position:absolute;left:8;top:8;width:1032;height:2" coordorigin="8,8" coordsize="1032,2">
                    <v:shape style="position:absolute;left:8;top:8;width:1032;height:2" coordorigin="8,8" coordsize="1032,0" path="m8,8l1039,8e" filled="false" stroked="true" strokeweight=".775036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2.1pt;height:.8pt;mso-position-horizontal-relative:char;mso-position-vertical-relative:line" coordorigin="0,0" coordsize="1242,16">
                  <v:group style="position:absolute;left:9;top:1;width:1224;height:2" coordorigin="9,1" coordsize="1224,2">
                    <v:shape style="position:absolute;left:9;top:1;width:1224;height:2" coordorigin="9,1" coordsize="1224,0" path="m9,1l1233,1e" filled="false" stroked="true" strokeweight=".113024pt" strokecolor="#000000">
                      <v:path arrowok="t"/>
                    </v:shape>
                  </v:group>
                  <v:group style="position:absolute;left:8;top:8;width:1226;height:2" coordorigin="8,8" coordsize="1226,2">
                    <v:shape style="position:absolute;left:8;top:8;width:1226;height:2" coordorigin="8,8" coordsize="1226,0" path="m8,8l1233,8e" filled="false" stroked="true" strokeweight=".775036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68.2pt;height:.8pt;mso-position-horizontal-relative:char;mso-position-vertical-relative:line" coordorigin="0,0" coordsize="1364,16">
                  <v:group style="position:absolute;left:9;top:1;width:1346;height:2" coordorigin="9,1" coordsize="1346,2">
                    <v:shape style="position:absolute;left:9;top:1;width:1346;height:2" coordorigin="9,1" coordsize="1346,0" path="m9,1l1354,1e" filled="false" stroked="true" strokeweight=".113024pt" strokecolor="#000000">
                      <v:path arrowok="t"/>
                    </v:shape>
                  </v:group>
                  <v:group style="position:absolute;left:8;top:8;width:1348;height:2" coordorigin="8,8" coordsize="1348,2">
                    <v:shape style="position:absolute;left:8;top:8;width:1348;height:2" coordorigin="8,8" coordsize="1348,0" path="m8,8l1356,8e" filled="false" stroked="true" strokeweight=".775036pt" strokecolor="#000000">
                      <v:path arrowok="t"/>
                    </v:shape>
                  </v:group>
                </v:group>
              </w:pict>
            </w:r>
            <w:r>
              <w:rPr>
                <w:rFonts w:ascii="Times New Roman"/>
                <w:spacing w:val="72"/>
                <w:sz w:val="2"/>
              </w:rPr>
            </w:r>
            <w:r>
              <w:rPr>
                <w:rFonts w:ascii="Times New Roman"/>
                <w:spacing w:val="72"/>
                <w:sz w:val="2"/>
              </w:rPr>
              <w:t> </w:t>
            </w:r>
            <w:r>
              <w:rPr>
                <w:rFonts w:ascii="Times New Roman"/>
                <w:spacing w:val="72"/>
                <w:sz w:val="2"/>
              </w:rPr>
              <w:pict>
                <v:group style="width:34.25pt;height:.8pt;mso-position-horizontal-relative:char;mso-position-vertical-relative:line" coordorigin="0,0" coordsize="685,16">
                  <v:group style="position:absolute;left:9;top:1;width:667;height:2" coordorigin="9,1" coordsize="667,2">
                    <v:shape style="position:absolute;left:9;top:1;width:667;height:2" coordorigin="9,1" coordsize="667,0" path="m9,1l676,1e" filled="false" stroked="true" strokeweight=".113024pt" strokecolor="#000000">
                      <v:path arrowok="t"/>
                    </v:shape>
                  </v:group>
                  <v:group style="position:absolute;left:8;top:8;width:669;height:2" coordorigin="8,8" coordsize="669,2">
                    <v:shape style="position:absolute;left:8;top:8;width:669;height:2" coordorigin="8,8" coordsize="669,0" path="m8,8l677,8e" filled="false" stroked="true" strokeweight=".775036pt" strokecolor="#000000">
                      <v:path arrowok="t"/>
                    </v:shape>
                  </v:group>
                </v:group>
              </w:pict>
            </w:r>
            <w:r>
              <w:rPr>
                <w:rFonts w:ascii="Times New Roman"/>
                <w:spacing w:val="72"/>
                <w:sz w:val="2"/>
              </w:rPr>
            </w:r>
          </w:p>
          <w:p>
            <w:pPr>
              <w:pStyle w:val="TableParagraph"/>
              <w:tabs>
                <w:tab w:pos="1296" w:val="left" w:leader="none"/>
                <w:tab w:pos="3160" w:val="left" w:leader="none"/>
                <w:tab w:pos="4286" w:val="left" w:leader="none"/>
                <w:tab w:pos="4963" w:val="left" w:leader="none"/>
                <w:tab w:pos="6316" w:val="left" w:leader="none"/>
                <w:tab w:pos="7813" w:val="left" w:leader="none"/>
                <w:tab w:pos="8550" w:val="left" w:leader="none"/>
              </w:tabs>
              <w:spacing w:line="240" w:lineRule="auto" w:before="33"/>
              <w:ind w:right="79"/>
              <w:jc w:val="right"/>
              <w:rPr>
                <w:rFonts w:ascii="Arial" w:hAnsi="Arial" w:cs="Arial" w:eastAsia="Arial" w:hint="default"/>
                <w:sz w:val="14"/>
                <w:szCs w:val="14"/>
              </w:rPr>
            </w:pPr>
            <w:r>
              <w:rPr>
                <w:rFonts w:ascii="Arial"/>
                <w:sz w:val="14"/>
              </w:rPr>
              <w:t>47,500,000.00</w:t>
              <w:tab/>
              <w:t>62,385,459.32</w:t>
              <w:tab/>
              <w:t>-</w:t>
              <w:tab/>
              <w:t>-</w:t>
              <w:tab/>
              <w:t>4,376,663.12</w:t>
              <w:tab/>
              <w:t>29,605,047.81</w:t>
              <w:tab/>
              <w:t>-</w:t>
              <w:tab/>
              <w:t>143,867,170.25</w:t>
            </w:r>
          </w:p>
        </w:tc>
      </w:tr>
    </w:tbl>
    <w:p>
      <w:pPr>
        <w:spacing w:after="0" w:line="240" w:lineRule="auto"/>
        <w:jc w:val="right"/>
        <w:rPr>
          <w:rFonts w:ascii="Arial" w:hAnsi="Arial" w:cs="Arial" w:eastAsia="Arial" w:hint="default"/>
          <w:sz w:val="14"/>
          <w:szCs w:val="14"/>
        </w:rPr>
        <w:sectPr>
          <w:pgSz w:w="16840" w:h="11910" w:orient="landscape"/>
          <w:pgMar w:header="877" w:footer="1880" w:top="1100" w:bottom="20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7"/>
        <w:ind w:left="433" w:right="428" w:firstLine="0"/>
        <w:jc w:val="center"/>
        <w:rPr>
          <w:rFonts w:ascii="宋体" w:hAnsi="宋体" w:cs="宋体" w:eastAsia="宋体" w:hint="default"/>
          <w:sz w:val="27"/>
          <w:szCs w:val="27"/>
        </w:rPr>
      </w:pPr>
      <w:r>
        <w:rPr>
          <w:rFonts w:ascii="宋体" w:hAnsi="宋体" w:cs="宋体" w:eastAsia="宋体" w:hint="default"/>
          <w:sz w:val="27"/>
          <w:szCs w:val="27"/>
        </w:rPr>
        <w:t>母公司现金流量表</w:t>
      </w:r>
    </w:p>
    <w:p>
      <w:pPr>
        <w:spacing w:line="240" w:lineRule="auto" w:before="12"/>
        <w:rPr>
          <w:rFonts w:ascii="宋体" w:hAnsi="宋体" w:cs="宋体" w:eastAsia="宋体" w:hint="default"/>
          <w:sz w:val="6"/>
          <w:szCs w:val="6"/>
        </w:rPr>
      </w:pPr>
    </w:p>
    <w:tbl>
      <w:tblPr>
        <w:tblW w:w="0" w:type="auto"/>
        <w:jc w:val="left"/>
        <w:tblInd w:w="247" w:type="dxa"/>
        <w:tblLayout w:type="fixed"/>
        <w:tblCellMar>
          <w:top w:w="0" w:type="dxa"/>
          <w:left w:w="0" w:type="dxa"/>
          <w:bottom w:w="0" w:type="dxa"/>
          <w:right w:w="0" w:type="dxa"/>
        </w:tblCellMar>
        <w:tblLook w:val="01E0"/>
      </w:tblPr>
      <w:tblGrid>
        <w:gridCol w:w="3217"/>
        <w:gridCol w:w="1760"/>
        <w:gridCol w:w="153"/>
        <w:gridCol w:w="1536"/>
        <w:gridCol w:w="204"/>
        <w:gridCol w:w="1536"/>
      </w:tblGrid>
      <w:tr>
        <w:trPr>
          <w:trHeight w:val="772" w:hRule="exact"/>
        </w:trPr>
        <w:tc>
          <w:tcPr>
            <w:tcW w:w="3217"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5"/>
              <w:jc w:val="right"/>
              <w:rPr>
                <w:rFonts w:ascii="宋体" w:hAnsi="宋体" w:cs="宋体" w:eastAsia="宋体" w:hint="default"/>
                <w:sz w:val="16"/>
                <w:szCs w:val="16"/>
              </w:rPr>
            </w:pPr>
            <w:r>
              <w:rPr>
                <w:rFonts w:ascii="宋体" w:hAnsi="宋体" w:cs="宋体" w:eastAsia="宋体" w:hint="default"/>
                <w:w w:val="105"/>
                <w:sz w:val="16"/>
                <w:szCs w:val="16"/>
              </w:rPr>
              <w:t>2010年度</w:t>
            </w:r>
            <w:r>
              <w:rPr>
                <w:rFonts w:ascii="宋体" w:hAnsi="宋体" w:cs="宋体" w:eastAsia="宋体" w:hint="default"/>
                <w:sz w:val="16"/>
                <w:szCs w:val="16"/>
              </w:rPr>
            </w: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宋体" w:hAnsi="宋体" w:cs="宋体" w:eastAsia="宋体" w:hint="default"/>
                <w:sz w:val="15"/>
                <w:szCs w:val="15"/>
              </w:rPr>
            </w:pPr>
            <w:r>
              <w:rPr>
                <w:rFonts w:ascii="宋体" w:hAnsi="宋体" w:cs="宋体" w:eastAsia="宋体" w:hint="default"/>
                <w:sz w:val="15"/>
                <w:szCs w:val="15"/>
              </w:rPr>
              <w:t>单位：人民币元</w:t>
            </w:r>
          </w:p>
        </w:tc>
      </w:tr>
      <w:tr>
        <w:trPr>
          <w:trHeight w:val="378" w:hRule="exact"/>
        </w:trPr>
        <w:tc>
          <w:tcPr>
            <w:tcW w:w="3217"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850"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30"/>
                <w:sz w:val="15"/>
                <w:szCs w:val="15"/>
              </w:rPr>
              <w:t> </w:t>
            </w:r>
            <w:r>
              <w:rPr>
                <w:rFonts w:ascii="宋体" w:hAnsi="宋体" w:cs="宋体" w:eastAsia="宋体" w:hint="default"/>
                <w:sz w:val="15"/>
                <w:szCs w:val="15"/>
              </w:rPr>
              <w:t>目</w:t>
            </w:r>
          </w:p>
        </w:tc>
        <w:tc>
          <w:tcPr>
            <w:tcW w:w="1760"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5"/>
                <w:szCs w:val="15"/>
              </w:rPr>
            </w:pPr>
            <w:r>
              <w:rPr>
                <w:rFonts w:ascii="宋体" w:hAnsi="宋体" w:cs="宋体" w:eastAsia="宋体" w:hint="default"/>
                <w:sz w:val="15"/>
                <w:szCs w:val="15"/>
              </w:rPr>
              <w:t>附注</w:t>
            </w: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sz w:val="15"/>
                <w:szCs w:val="15"/>
              </w:rPr>
              <w:t>上期数</w:t>
            </w:r>
          </w:p>
        </w:tc>
      </w:tr>
      <w:tr>
        <w:trPr>
          <w:trHeight w:val="476" w:hRule="exact"/>
        </w:trPr>
        <w:tc>
          <w:tcPr>
            <w:tcW w:w="3217" w:type="dxa"/>
            <w:tcBorders>
              <w:top w:val="single" w:sz="5"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一、经营活动产生的现金流量：</w:t>
            </w:r>
            <w:r>
              <w:rPr>
                <w:rFonts w:ascii="Microsoft JhengHei" w:hAnsi="Microsoft JhengHei" w:cs="Microsoft JhengHei" w:eastAsia="Microsoft JhengHei" w:hint="default"/>
                <w:sz w:val="15"/>
                <w:szCs w:val="15"/>
              </w:rPr>
            </w:r>
          </w:p>
        </w:tc>
        <w:tc>
          <w:tcPr>
            <w:tcW w:w="1760" w:type="dxa"/>
            <w:tcBorders>
              <w:top w:val="single" w:sz="5" w:space="0" w:color="000000"/>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nil" w:sz="6" w:space="0" w:color="auto"/>
              <w:right w:val="nil" w:sz="6" w:space="0" w:color="auto"/>
            </w:tcBorders>
          </w:tcPr>
          <w:p>
            <w:pPr/>
          </w:p>
        </w:tc>
      </w:tr>
      <w:tr>
        <w:trPr>
          <w:trHeight w:val="237"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5" w:lineRule="exact"/>
              <w:ind w:left="26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0"/>
              <w:jc w:val="right"/>
              <w:rPr>
                <w:rFonts w:ascii="Arial" w:hAnsi="Arial" w:cs="Arial" w:eastAsia="Arial" w:hint="default"/>
                <w:sz w:val="15"/>
                <w:szCs w:val="15"/>
              </w:rPr>
            </w:pPr>
            <w:r>
              <w:rPr>
                <w:rFonts w:ascii="Arial"/>
                <w:spacing w:val="-1"/>
                <w:sz w:val="15"/>
              </w:rPr>
              <w:t>175,881,088.62</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0"/>
              <w:jc w:val="right"/>
              <w:rPr>
                <w:rFonts w:ascii="Arial" w:hAnsi="Arial" w:cs="Arial" w:eastAsia="Arial" w:hint="default"/>
                <w:sz w:val="15"/>
                <w:szCs w:val="15"/>
              </w:rPr>
            </w:pPr>
            <w:r>
              <w:rPr>
                <w:rFonts w:ascii="Arial"/>
                <w:spacing w:val="-1"/>
                <w:sz w:val="15"/>
              </w:rPr>
              <w:t>161,126,098.29</w:t>
            </w:r>
            <w:r>
              <w:rPr>
                <w:rFonts w:ascii="Arial"/>
                <w:sz w:val="15"/>
              </w:rPr>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5" w:lineRule="exact"/>
              <w:ind w:left="198"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0"/>
              <w:jc w:val="right"/>
              <w:rPr>
                <w:rFonts w:ascii="Arial" w:hAnsi="Arial" w:cs="Arial" w:eastAsia="Arial" w:hint="default"/>
                <w:sz w:val="15"/>
                <w:szCs w:val="15"/>
              </w:rPr>
            </w:pPr>
            <w:r>
              <w:rPr>
                <w:rFonts w:ascii="Arial"/>
                <w:spacing w:val="-1"/>
                <w:sz w:val="15"/>
              </w:rPr>
              <w:t>6,207,094.20</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0"/>
              <w:jc w:val="right"/>
              <w:rPr>
                <w:rFonts w:ascii="Arial" w:hAnsi="Arial" w:cs="Arial" w:eastAsia="Arial" w:hint="default"/>
                <w:sz w:val="15"/>
                <w:szCs w:val="15"/>
              </w:rPr>
            </w:pPr>
            <w:r>
              <w:rPr>
                <w:rFonts w:ascii="Arial"/>
                <w:spacing w:val="-1"/>
                <w:sz w:val="15"/>
              </w:rPr>
              <w:t>5,471,364.64</w:t>
            </w:r>
            <w:r>
              <w:rPr>
                <w:rFonts w:ascii="Arial"/>
                <w:sz w:val="15"/>
              </w:rPr>
            </w:r>
          </w:p>
        </w:tc>
      </w:tr>
      <w:tr>
        <w:trPr>
          <w:trHeight w:val="22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2" w:lineRule="exact"/>
              <w:ind w:left="198"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7,378,452.11</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11,166,820.28</w:t>
            </w:r>
            <w:r>
              <w:rPr>
                <w:rFonts w:ascii="Arial"/>
                <w:sz w:val="15"/>
              </w:rPr>
            </w:r>
          </w:p>
        </w:tc>
      </w:tr>
      <w:tr>
        <w:trPr>
          <w:trHeight w:val="23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2" w:lineRule="exact"/>
              <w:ind w:left="284"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189,466,634.93</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177,764,283.21</w:t>
            </w:r>
            <w:r>
              <w:rPr>
                <w:rFonts w:ascii="Arial"/>
                <w:sz w:val="15"/>
              </w:rPr>
            </w:r>
          </w:p>
        </w:tc>
      </w:tr>
      <w:tr>
        <w:trPr>
          <w:trHeight w:val="24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2" w:lineRule="exact"/>
              <w:ind w:left="198"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nil" w:sz="6" w:space="0" w:color="auto"/>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118,195,225.52</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nil" w:sz="6" w:space="0" w:color="auto"/>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98,206,651.27</w:t>
            </w:r>
            <w:r>
              <w:rPr>
                <w:rFonts w:ascii="Arial"/>
                <w:sz w:val="15"/>
              </w:rPr>
            </w:r>
          </w:p>
        </w:tc>
      </w:tr>
      <w:tr>
        <w:trPr>
          <w:trHeight w:val="23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2" w:lineRule="exact"/>
              <w:ind w:left="198"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22,466,061.58</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14,112,756.02</w:t>
            </w:r>
            <w:r>
              <w:rPr>
                <w:rFonts w:ascii="Arial"/>
                <w:sz w:val="15"/>
              </w:rPr>
            </w:r>
          </w:p>
        </w:tc>
      </w:tr>
      <w:tr>
        <w:trPr>
          <w:trHeight w:val="23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2" w:lineRule="exact"/>
              <w:ind w:left="198"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15,913,395.89</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14,975,205.61</w:t>
            </w:r>
            <w:r>
              <w:rPr>
                <w:rFonts w:ascii="Arial"/>
                <w:sz w:val="15"/>
              </w:rPr>
            </w:r>
          </w:p>
        </w:tc>
      </w:tr>
      <w:tr>
        <w:trPr>
          <w:trHeight w:val="22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2" w:lineRule="exact"/>
              <w:ind w:left="198"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29,930,372.54</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25,915,473.16</w:t>
            </w:r>
            <w:r>
              <w:rPr>
                <w:rFonts w:ascii="Arial"/>
                <w:sz w:val="15"/>
              </w:rPr>
            </w:r>
          </w:p>
        </w:tc>
      </w:tr>
      <w:tr>
        <w:trPr>
          <w:trHeight w:val="23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2" w:lineRule="exact"/>
              <w:ind w:left="284"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186,505,055.53</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153,210,086.06</w:t>
            </w:r>
            <w:r>
              <w:rPr>
                <w:rFonts w:ascii="Arial"/>
                <w:sz w:val="15"/>
              </w:rPr>
            </w:r>
          </w:p>
        </w:tc>
      </w:tr>
      <w:tr>
        <w:trPr>
          <w:trHeight w:val="24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4"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176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16" w:space="0" w:color="000000"/>
              <w:right w:val="nil" w:sz="6" w:space="0" w:color="auto"/>
            </w:tcBorders>
          </w:tcPr>
          <w:p>
            <w:pPr>
              <w:pStyle w:val="TableParagraph"/>
              <w:spacing w:line="240" w:lineRule="auto" w:before="28"/>
              <w:ind w:right="80"/>
              <w:jc w:val="right"/>
              <w:rPr>
                <w:rFonts w:ascii="Arial" w:hAnsi="Arial" w:cs="Arial" w:eastAsia="Arial" w:hint="default"/>
                <w:sz w:val="15"/>
                <w:szCs w:val="15"/>
              </w:rPr>
            </w:pPr>
            <w:r>
              <w:rPr>
                <w:rFonts w:ascii="Arial"/>
                <w:spacing w:val="-1"/>
                <w:sz w:val="15"/>
              </w:rPr>
              <w:t>2,961,579.40</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16" w:space="0" w:color="000000"/>
              <w:right w:val="nil" w:sz="6" w:space="0" w:color="auto"/>
            </w:tcBorders>
          </w:tcPr>
          <w:p>
            <w:pPr>
              <w:pStyle w:val="TableParagraph"/>
              <w:spacing w:line="240" w:lineRule="auto" w:before="28"/>
              <w:ind w:right="80"/>
              <w:jc w:val="right"/>
              <w:rPr>
                <w:rFonts w:ascii="Arial" w:hAnsi="Arial" w:cs="Arial" w:eastAsia="Arial" w:hint="default"/>
                <w:sz w:val="15"/>
                <w:szCs w:val="15"/>
              </w:rPr>
            </w:pPr>
            <w:r>
              <w:rPr>
                <w:rFonts w:ascii="Arial"/>
                <w:spacing w:val="-1"/>
                <w:sz w:val="15"/>
              </w:rPr>
              <w:t>24,554,197.15</w:t>
            </w:r>
            <w:r>
              <w:rPr>
                <w:rFonts w:ascii="Arial"/>
                <w:sz w:val="15"/>
              </w:rPr>
            </w:r>
          </w:p>
        </w:tc>
      </w:tr>
    </w:tbl>
    <w:p>
      <w:pPr>
        <w:spacing w:line="175" w:lineRule="exact" w:before="0"/>
        <w:ind w:left="275" w:right="133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二、投资活动产生的现金流量：</w:t>
      </w:r>
      <w:r>
        <w:rPr>
          <w:rFonts w:ascii="Microsoft JhengHei" w:hAnsi="Microsoft JhengHei" w:cs="Microsoft JhengHei" w:eastAsia="Microsoft JhengHei" w:hint="default"/>
          <w:sz w:val="15"/>
          <w:szCs w:val="15"/>
        </w:rPr>
      </w:r>
    </w:p>
    <w:p>
      <w:pPr>
        <w:tabs>
          <w:tab w:pos="6621" w:val="left" w:leader="none"/>
          <w:tab w:pos="8361" w:val="left" w:leader="none"/>
        </w:tabs>
        <w:spacing w:before="23"/>
        <w:ind w:left="446" w:right="176" w:firstLine="0"/>
        <w:jc w:val="left"/>
        <w:rPr>
          <w:rFonts w:ascii="Arial" w:hAnsi="Arial" w:cs="Arial" w:eastAsia="Arial" w:hint="default"/>
          <w:sz w:val="15"/>
          <w:szCs w:val="15"/>
        </w:rPr>
      </w:pPr>
      <w:r>
        <w:rPr>
          <w:rFonts w:ascii="宋体" w:hAnsi="宋体" w:cs="宋体" w:eastAsia="宋体" w:hint="default"/>
          <w:sz w:val="15"/>
          <w:szCs w:val="15"/>
        </w:rPr>
        <w:t>收回投资所收到的现金</w:t>
        <w:tab/>
      </w:r>
      <w:r>
        <w:rPr>
          <w:rFonts w:ascii="Arial" w:hAnsi="Arial" w:cs="Arial" w:eastAsia="Arial" w:hint="default"/>
          <w:sz w:val="15"/>
          <w:szCs w:val="15"/>
        </w:rPr>
        <w:t>-</w:t>
        <w:tab/>
        <w:t>-</w:t>
      </w:r>
    </w:p>
    <w:p>
      <w:pPr>
        <w:tabs>
          <w:tab w:pos="6295" w:val="left" w:leader="none"/>
          <w:tab w:pos="7496" w:val="left" w:leader="none"/>
        </w:tabs>
        <w:spacing w:before="25"/>
        <w:ind w:left="120" w:right="0" w:firstLine="0"/>
        <w:jc w:val="center"/>
        <w:rPr>
          <w:rFonts w:ascii="Arial" w:hAnsi="Arial" w:cs="Arial" w:eastAsia="Arial" w:hint="default"/>
          <w:sz w:val="15"/>
          <w:szCs w:val="15"/>
        </w:rPr>
      </w:pPr>
      <w:r>
        <w:rPr>
          <w:rFonts w:ascii="宋体" w:hAnsi="宋体" w:cs="宋体" w:eastAsia="宋体" w:hint="default"/>
          <w:sz w:val="15"/>
          <w:szCs w:val="15"/>
        </w:rPr>
        <w:t>取得投资收益收到的现金</w:t>
        <w:tab/>
      </w:r>
      <w:r>
        <w:rPr>
          <w:rFonts w:ascii="Arial" w:hAnsi="Arial" w:cs="Arial" w:eastAsia="Arial" w:hint="default"/>
          <w:sz w:val="15"/>
          <w:szCs w:val="15"/>
        </w:rPr>
        <w:t>-</w:t>
        <w:tab/>
        <w:t>113,848.96</w:t>
      </w:r>
    </w:p>
    <w:p>
      <w:pPr>
        <w:tabs>
          <w:tab w:pos="6295" w:val="left" w:leader="none"/>
          <w:tab w:pos="7369" w:val="left" w:leader="none"/>
        </w:tabs>
        <w:spacing w:before="25"/>
        <w:ind w:left="120" w:right="0" w:firstLine="0"/>
        <w:jc w:val="center"/>
        <w:rPr>
          <w:rFonts w:ascii="Arial" w:hAnsi="Arial" w:cs="Arial" w:eastAsia="Arial" w:hint="default"/>
          <w:sz w:val="15"/>
          <w:szCs w:val="15"/>
        </w:rPr>
      </w:pPr>
      <w:r>
        <w:rPr>
          <w:rFonts w:ascii="宋体" w:hAnsi="宋体" w:cs="宋体" w:eastAsia="宋体" w:hint="default"/>
          <w:sz w:val="15"/>
          <w:szCs w:val="15"/>
        </w:rPr>
        <w:t>处置固定资产、无形资产和其他长期资产收回的现金净额</w:t>
        <w:tab/>
      </w:r>
      <w:r>
        <w:rPr>
          <w:rFonts w:ascii="Arial" w:hAnsi="Arial" w:cs="Arial" w:eastAsia="Arial" w:hint="default"/>
          <w:sz w:val="15"/>
          <w:szCs w:val="15"/>
        </w:rPr>
        <w:t>-</w:t>
        <w:tab/>
        <w:t>1,899,786.60</w:t>
      </w:r>
    </w:p>
    <w:p>
      <w:pPr>
        <w:tabs>
          <w:tab w:pos="6127" w:val="left" w:leader="none"/>
          <w:tab w:pos="7867" w:val="left" w:leader="none"/>
        </w:tabs>
        <w:spacing w:before="25"/>
        <w:ind w:left="84" w:right="0" w:firstLine="0"/>
        <w:jc w:val="center"/>
        <w:rPr>
          <w:rFonts w:ascii="Arial" w:hAnsi="Arial" w:cs="Arial" w:eastAsia="Arial" w:hint="default"/>
          <w:sz w:val="15"/>
          <w:szCs w:val="15"/>
        </w:rPr>
      </w:pPr>
      <w:r>
        <w:rPr>
          <w:rFonts w:ascii="宋体" w:hAnsi="宋体" w:cs="宋体" w:eastAsia="宋体" w:hint="default"/>
          <w:sz w:val="15"/>
          <w:szCs w:val="15"/>
        </w:rPr>
        <w:t>处置子公司及其他营业单位收到的现金净额</w:t>
        <w:tab/>
      </w:r>
      <w:r>
        <w:rPr>
          <w:rFonts w:ascii="Arial" w:hAnsi="Arial" w:cs="Arial" w:eastAsia="Arial" w:hint="default"/>
          <w:sz w:val="15"/>
          <w:szCs w:val="15"/>
        </w:rPr>
        <w:t>-</w:t>
        <w:tab/>
        <w:t>-</w:t>
      </w:r>
    </w:p>
    <w:p>
      <w:pPr>
        <w:tabs>
          <w:tab w:pos="6621" w:val="left" w:leader="none"/>
          <w:tab w:pos="8361" w:val="left" w:leader="none"/>
        </w:tabs>
        <w:spacing w:before="25"/>
        <w:ind w:left="446" w:right="176" w:firstLine="0"/>
        <w:jc w:val="left"/>
        <w:rPr>
          <w:rFonts w:ascii="Arial" w:hAnsi="Arial" w:cs="Arial" w:eastAsia="Arial" w:hint="default"/>
          <w:sz w:val="15"/>
          <w:szCs w:val="15"/>
        </w:rPr>
      </w:pPr>
      <w:r>
        <w:rPr>
          <w:rFonts w:ascii="宋体" w:hAnsi="宋体" w:cs="宋体" w:eastAsia="宋体" w:hint="default"/>
          <w:sz w:val="15"/>
          <w:szCs w:val="15"/>
        </w:rPr>
        <w:t>收到其他与投资活动有关的现金</w:t>
        <w:tab/>
      </w:r>
      <w:r>
        <w:rPr>
          <w:rFonts w:ascii="Arial" w:hAnsi="Arial" w:cs="Arial" w:eastAsia="Arial" w:hint="default"/>
          <w:sz w:val="15"/>
          <w:szCs w:val="15"/>
        </w:rPr>
        <w:t>-</w:t>
        <w:tab/>
        <w:t>-</w:t>
      </w:r>
    </w:p>
    <w:p>
      <w:pPr>
        <w:spacing w:line="20" w:lineRule="exact"/>
        <w:ind w:left="5377" w:right="0" w:firstLine="0"/>
        <w:rPr>
          <w:rFonts w:ascii="Arial" w:hAnsi="Arial" w:cs="Arial" w:eastAsia="Arial" w:hint="default"/>
          <w:sz w:val="2"/>
          <w:szCs w:val="2"/>
        </w:rPr>
      </w:pPr>
      <w:r>
        <w:rPr>
          <w:rFonts w:ascii="Arial"/>
          <w:sz w:val="2"/>
        </w:rPr>
        <w:pict>
          <v:group style="width:76.8pt;height:.7pt;mso-position-horizontal-relative:char;mso-position-vertical-relative:line" coordorigin="0,0" coordsize="1536,14">
            <v:shape style="position:absolute;left:0;top:0;width:1536;height:13" type="#_x0000_t75" stroked="false">
              <v:imagedata r:id="rId52" o:title=""/>
            </v:shape>
          </v:group>
        </w:pict>
      </w:r>
      <w:r>
        <w:rPr>
          <w:rFonts w:ascii="Arial"/>
          <w:sz w:val="2"/>
        </w:rPr>
      </w:r>
      <w:r>
        <w:rPr>
          <w:rFonts w:ascii="Times New Roman"/>
          <w:spacing w:val="191"/>
          <w:sz w:val="2"/>
        </w:rPr>
        <w:t> </w:t>
      </w:r>
      <w:r>
        <w:rPr>
          <w:rFonts w:ascii="Arial"/>
          <w:spacing w:val="191"/>
          <w:sz w:val="2"/>
        </w:rPr>
        <w:pict>
          <v:group style="width:76.8pt;height:.7pt;mso-position-horizontal-relative:char;mso-position-vertical-relative:line" coordorigin="0,0" coordsize="1536,14">
            <v:shape style="position:absolute;left:0;top:0;width:1536;height:13" type="#_x0000_t75" stroked="false">
              <v:imagedata r:id="rId53" o:title=""/>
            </v:shape>
          </v:group>
        </w:pict>
      </w:r>
      <w:r>
        <w:rPr>
          <w:rFonts w:ascii="Arial"/>
          <w:spacing w:val="191"/>
          <w:sz w:val="2"/>
        </w:rPr>
      </w:r>
    </w:p>
    <w:p>
      <w:pPr>
        <w:tabs>
          <w:tab w:pos="6621" w:val="left" w:leader="none"/>
          <w:tab w:pos="7695" w:val="left" w:leader="none"/>
        </w:tabs>
        <w:spacing w:before="5"/>
        <w:ind w:left="532" w:right="176" w:firstLine="0"/>
        <w:jc w:val="left"/>
        <w:rPr>
          <w:rFonts w:ascii="Arial" w:hAnsi="Arial" w:cs="Arial" w:eastAsia="Arial" w:hint="default"/>
          <w:sz w:val="15"/>
          <w:szCs w:val="15"/>
        </w:rPr>
      </w:pPr>
      <w:r>
        <w:rPr>
          <w:rFonts w:ascii="宋体" w:hAnsi="宋体" w:cs="宋体" w:eastAsia="宋体" w:hint="default"/>
          <w:sz w:val="15"/>
          <w:szCs w:val="15"/>
        </w:rPr>
        <w:t>投资活动现金流入小计</w:t>
        <w:tab/>
      </w:r>
      <w:r>
        <w:rPr>
          <w:rFonts w:ascii="Arial" w:hAnsi="Arial" w:cs="Arial" w:eastAsia="Arial" w:hint="default"/>
          <w:sz w:val="15"/>
          <w:szCs w:val="15"/>
        </w:rPr>
        <w:t>-</w:t>
        <w:tab/>
        <w:t>2,013,635.56</w:t>
      </w:r>
    </w:p>
    <w:p>
      <w:pPr>
        <w:spacing w:line="20" w:lineRule="exact"/>
        <w:ind w:left="5370" w:right="0" w:firstLine="0"/>
        <w:rPr>
          <w:rFonts w:ascii="Arial" w:hAnsi="Arial" w:cs="Arial" w:eastAsia="Arial" w:hint="default"/>
          <w:sz w:val="2"/>
          <w:szCs w:val="2"/>
        </w:rPr>
      </w:pPr>
      <w:r>
        <w:rPr>
          <w:rFonts w:ascii="Arial"/>
          <w:sz w:val="2"/>
        </w:rPr>
        <w:pict>
          <v:group style="width:77.45pt;height:.7pt;mso-position-horizontal-relative:char;mso-position-vertical-relative:line" coordorigin="0,0" coordsize="1549,14">
            <v:group style="position:absolute;left:7;top:1;width:1535;height:2" coordorigin="7,1" coordsize="1535,2">
              <v:shape style="position:absolute;left:7;top:1;width:1535;height:2" coordorigin="7,1" coordsize="1535,0" path="m7,1l1542,1e" filled="false" stroked="true" strokeweight=".095914pt" strokecolor="#000000">
                <v:path arrowok="t"/>
              </v:shape>
            </v:group>
            <v:group style="position:absolute;left:7;top:7;width:1536;height:2" coordorigin="7,7" coordsize="1536,2">
              <v:shape style="position:absolute;left:7;top:7;width:1536;height:2" coordorigin="7,7" coordsize="1536,0" path="m7,7l1542,7e" filled="false" stroked="true" strokeweight=".657691pt" strokecolor="#000000">
                <v:path arrowok="t"/>
              </v:shape>
            </v:group>
          </v:group>
        </w:pict>
      </w:r>
      <w:r>
        <w:rPr>
          <w:rFonts w:ascii="Arial"/>
          <w:sz w:val="2"/>
        </w:rPr>
      </w:r>
      <w:r>
        <w:rPr>
          <w:rFonts w:ascii="Times New Roman"/>
          <w:spacing w:val="182"/>
          <w:sz w:val="2"/>
        </w:rPr>
        <w:t> </w:t>
      </w:r>
      <w:r>
        <w:rPr>
          <w:rFonts w:ascii="Arial"/>
          <w:spacing w:val="182"/>
          <w:sz w:val="2"/>
        </w:rPr>
        <w:pict>
          <v:group style="width:77.45pt;height:.7pt;mso-position-horizontal-relative:char;mso-position-vertical-relative:line" coordorigin="0,0" coordsize="1549,14">
            <v:group style="position:absolute;left:7;top:1;width:1535;height:2" coordorigin="7,1" coordsize="1535,2">
              <v:shape style="position:absolute;left:7;top:1;width:1535;height:2" coordorigin="7,1" coordsize="1535,0" path="m7,1l1541,1e" filled="false" stroked="true" strokeweight=".095914pt" strokecolor="#000000">
                <v:path arrowok="t"/>
              </v:shape>
            </v:group>
            <v:group style="position:absolute;left:7;top:7;width:1536;height:2" coordorigin="7,7" coordsize="1536,2">
              <v:shape style="position:absolute;left:7;top:7;width:1536;height:2" coordorigin="7,7" coordsize="1536,0" path="m7,7l1542,7e" filled="false" stroked="true" strokeweight=".657691pt" strokecolor="#000000">
                <v:path arrowok="t"/>
              </v:shape>
            </v:group>
          </v:group>
        </w:pict>
      </w:r>
      <w:r>
        <w:rPr>
          <w:rFonts w:ascii="Arial"/>
          <w:spacing w:val="182"/>
          <w:sz w:val="2"/>
        </w:rPr>
      </w:r>
    </w:p>
    <w:p>
      <w:pPr>
        <w:tabs>
          <w:tab w:pos="5629" w:val="left" w:leader="none"/>
          <w:tab w:pos="7369" w:val="left" w:leader="none"/>
        </w:tabs>
        <w:spacing w:before="5"/>
        <w:ind w:left="120" w:right="0" w:firstLine="0"/>
        <w:jc w:val="center"/>
        <w:rPr>
          <w:rFonts w:ascii="Arial" w:hAnsi="Arial" w:cs="Arial" w:eastAsia="Arial" w:hint="default"/>
          <w:sz w:val="15"/>
          <w:szCs w:val="15"/>
        </w:rPr>
      </w:pPr>
      <w:r>
        <w:rPr>
          <w:rFonts w:ascii="宋体" w:hAnsi="宋体" w:cs="宋体" w:eastAsia="宋体" w:hint="default"/>
          <w:sz w:val="15"/>
          <w:szCs w:val="15"/>
        </w:rPr>
        <w:t>购建固定资产、无形资产和其他长期资产支付的现金</w:t>
        <w:tab/>
      </w:r>
      <w:r>
        <w:rPr>
          <w:rFonts w:ascii="Arial" w:hAnsi="Arial" w:cs="Arial" w:eastAsia="Arial" w:hint="default"/>
          <w:spacing w:val="-1"/>
          <w:sz w:val="15"/>
          <w:szCs w:val="15"/>
        </w:rPr>
        <w:t>1,505,802.00</w:t>
        <w:tab/>
        <w:t>3,318,034.50</w:t>
      </w:r>
      <w:r>
        <w:rPr>
          <w:rFonts w:ascii="Arial" w:hAnsi="Arial" w:cs="Arial" w:eastAsia="Arial" w:hint="default"/>
          <w:sz w:val="15"/>
          <w:szCs w:val="15"/>
        </w:rPr>
      </w:r>
    </w:p>
    <w:p>
      <w:pPr>
        <w:tabs>
          <w:tab w:pos="6295" w:val="left" w:leader="none"/>
          <w:tab w:pos="7285" w:val="left" w:leader="none"/>
        </w:tabs>
        <w:spacing w:before="25"/>
        <w:ind w:left="120" w:right="0" w:firstLine="0"/>
        <w:jc w:val="center"/>
        <w:rPr>
          <w:rFonts w:ascii="Arial" w:hAnsi="Arial" w:cs="Arial" w:eastAsia="Arial" w:hint="default"/>
          <w:sz w:val="15"/>
          <w:szCs w:val="15"/>
        </w:rPr>
      </w:pPr>
      <w:r>
        <w:rPr>
          <w:rFonts w:ascii="宋体" w:hAnsi="宋体" w:cs="宋体" w:eastAsia="宋体" w:hint="default"/>
          <w:sz w:val="15"/>
          <w:szCs w:val="15"/>
        </w:rPr>
        <w:t>投资支付的现金</w:t>
        <w:tab/>
      </w:r>
      <w:r>
        <w:rPr>
          <w:rFonts w:ascii="Arial" w:hAnsi="Arial" w:cs="Arial" w:eastAsia="Arial" w:hint="default"/>
          <w:sz w:val="15"/>
          <w:szCs w:val="15"/>
        </w:rPr>
        <w:t>-</w:t>
        <w:tab/>
        <w:t>26,195,800.00</w:t>
      </w:r>
    </w:p>
    <w:p>
      <w:pPr>
        <w:tabs>
          <w:tab w:pos="6127" w:val="left" w:leader="none"/>
          <w:tab w:pos="7867" w:val="left" w:leader="none"/>
        </w:tabs>
        <w:spacing w:before="25"/>
        <w:ind w:left="84" w:right="0" w:firstLine="0"/>
        <w:jc w:val="center"/>
        <w:rPr>
          <w:rFonts w:ascii="Arial" w:hAnsi="Arial" w:cs="Arial" w:eastAsia="Arial" w:hint="default"/>
          <w:sz w:val="15"/>
          <w:szCs w:val="15"/>
        </w:rPr>
      </w:pPr>
      <w:r>
        <w:rPr>
          <w:rFonts w:ascii="宋体" w:hAnsi="宋体" w:cs="宋体" w:eastAsia="宋体" w:hint="default"/>
          <w:sz w:val="15"/>
          <w:szCs w:val="15"/>
        </w:rPr>
        <w:t>质押贷款净增加额</w:t>
        <w:tab/>
      </w:r>
      <w:r>
        <w:rPr>
          <w:rFonts w:ascii="Arial" w:hAnsi="Arial" w:cs="Arial" w:eastAsia="Arial" w:hint="default"/>
          <w:sz w:val="15"/>
          <w:szCs w:val="15"/>
        </w:rPr>
        <w:t>-</w:t>
        <w:tab/>
        <w:t>-</w:t>
      </w:r>
    </w:p>
    <w:p>
      <w:pPr>
        <w:tabs>
          <w:tab w:pos="6127" w:val="left" w:leader="none"/>
          <w:tab w:pos="7867" w:val="left" w:leader="none"/>
        </w:tabs>
        <w:spacing w:before="25"/>
        <w:ind w:left="84" w:right="0" w:firstLine="0"/>
        <w:jc w:val="center"/>
        <w:rPr>
          <w:rFonts w:ascii="Arial" w:hAnsi="Arial" w:cs="Arial" w:eastAsia="Arial" w:hint="default"/>
          <w:sz w:val="15"/>
          <w:szCs w:val="15"/>
        </w:rPr>
      </w:pPr>
      <w:r>
        <w:rPr>
          <w:rFonts w:ascii="宋体" w:hAnsi="宋体" w:cs="宋体" w:eastAsia="宋体" w:hint="default"/>
          <w:sz w:val="15"/>
          <w:szCs w:val="15"/>
        </w:rPr>
        <w:t>取得子公司及其他营业单位支付的现金净额</w:t>
        <w:tab/>
      </w:r>
      <w:r>
        <w:rPr>
          <w:rFonts w:ascii="Arial" w:hAnsi="Arial" w:cs="Arial" w:eastAsia="Arial" w:hint="default"/>
          <w:sz w:val="15"/>
          <w:szCs w:val="15"/>
        </w:rPr>
        <w:t>-</w:t>
        <w:tab/>
        <w:t>-</w:t>
      </w:r>
    </w:p>
    <w:p>
      <w:pPr>
        <w:tabs>
          <w:tab w:pos="6621" w:val="left" w:leader="none"/>
          <w:tab w:pos="8361" w:val="left" w:leader="none"/>
        </w:tabs>
        <w:spacing w:before="25"/>
        <w:ind w:left="446" w:right="176" w:firstLine="0"/>
        <w:jc w:val="left"/>
        <w:rPr>
          <w:rFonts w:ascii="Arial" w:hAnsi="Arial" w:cs="Arial" w:eastAsia="Arial" w:hint="default"/>
          <w:sz w:val="15"/>
          <w:szCs w:val="15"/>
        </w:rPr>
      </w:pPr>
      <w:r>
        <w:rPr>
          <w:rFonts w:ascii="宋体" w:hAnsi="宋体" w:cs="宋体" w:eastAsia="宋体" w:hint="default"/>
          <w:sz w:val="15"/>
          <w:szCs w:val="15"/>
        </w:rPr>
        <w:t>支付其他与投资活动有关的现金</w:t>
        <w:tab/>
      </w:r>
      <w:r>
        <w:rPr>
          <w:rFonts w:ascii="Arial" w:hAnsi="Arial" w:cs="Arial" w:eastAsia="Arial" w:hint="default"/>
          <w:sz w:val="15"/>
          <w:szCs w:val="15"/>
        </w:rPr>
        <w:t>-</w:t>
        <w:tab/>
        <w:t>-</w:t>
      </w:r>
    </w:p>
    <w:p>
      <w:pPr>
        <w:spacing w:line="20" w:lineRule="exact"/>
        <w:ind w:left="5377" w:right="0" w:firstLine="0"/>
        <w:rPr>
          <w:rFonts w:ascii="Arial" w:hAnsi="Arial" w:cs="Arial" w:eastAsia="Arial" w:hint="default"/>
          <w:sz w:val="2"/>
          <w:szCs w:val="2"/>
        </w:rPr>
      </w:pPr>
      <w:r>
        <w:rPr>
          <w:rFonts w:ascii="Arial"/>
          <w:sz w:val="2"/>
        </w:rPr>
        <w:pict>
          <v:group style="width:76.8pt;height:.7pt;mso-position-horizontal-relative:char;mso-position-vertical-relative:line" coordorigin="0,0" coordsize="1536,14">
            <v:shape style="position:absolute;left:0;top:0;width:1536;height:13" type="#_x0000_t75" stroked="false">
              <v:imagedata r:id="rId52" o:title=""/>
            </v:shape>
          </v:group>
        </w:pict>
      </w:r>
      <w:r>
        <w:rPr>
          <w:rFonts w:ascii="Arial"/>
          <w:sz w:val="2"/>
        </w:rPr>
      </w:r>
      <w:r>
        <w:rPr>
          <w:rFonts w:ascii="Times New Roman"/>
          <w:spacing w:val="191"/>
          <w:sz w:val="2"/>
        </w:rPr>
        <w:t> </w:t>
      </w:r>
      <w:r>
        <w:rPr>
          <w:rFonts w:ascii="Arial"/>
          <w:spacing w:val="191"/>
          <w:sz w:val="2"/>
        </w:rPr>
        <w:pict>
          <v:group style="width:76.8pt;height:.7pt;mso-position-horizontal-relative:char;mso-position-vertical-relative:line" coordorigin="0,0" coordsize="1536,14">
            <v:shape style="position:absolute;left:0;top:0;width:1536;height:13" type="#_x0000_t75" stroked="false">
              <v:imagedata r:id="rId53" o:title=""/>
            </v:shape>
          </v:group>
        </w:pict>
      </w:r>
      <w:r>
        <w:rPr>
          <w:rFonts w:ascii="Arial"/>
          <w:spacing w:val="191"/>
          <w:sz w:val="2"/>
        </w:rPr>
      </w:r>
    </w:p>
    <w:p>
      <w:pPr>
        <w:tabs>
          <w:tab w:pos="5955" w:val="left" w:leader="none"/>
          <w:tab w:pos="7611" w:val="left" w:leader="none"/>
        </w:tabs>
        <w:spacing w:before="5"/>
        <w:ind w:left="532" w:right="176" w:firstLine="0"/>
        <w:jc w:val="left"/>
        <w:rPr>
          <w:rFonts w:ascii="Arial" w:hAnsi="Arial" w:cs="Arial" w:eastAsia="Arial" w:hint="default"/>
          <w:sz w:val="15"/>
          <w:szCs w:val="15"/>
        </w:rPr>
      </w:pPr>
      <w:r>
        <w:rPr>
          <w:rFonts w:ascii="宋体" w:hAnsi="宋体" w:cs="宋体" w:eastAsia="宋体" w:hint="default"/>
          <w:sz w:val="15"/>
          <w:szCs w:val="15"/>
        </w:rPr>
        <w:t>投资活动现金流出小计</w:t>
        <w:tab/>
      </w:r>
      <w:r>
        <w:rPr>
          <w:rFonts w:ascii="Arial" w:hAnsi="Arial" w:cs="Arial" w:eastAsia="Arial" w:hint="default"/>
          <w:spacing w:val="-1"/>
          <w:sz w:val="15"/>
          <w:szCs w:val="15"/>
        </w:rPr>
        <w:t>1,505,802.00</w:t>
        <w:tab/>
        <w:t>29,513,834.50</w:t>
      </w:r>
      <w:r>
        <w:rPr>
          <w:rFonts w:ascii="Arial" w:hAnsi="Arial" w:cs="Arial" w:eastAsia="Arial" w:hint="default"/>
          <w:sz w:val="15"/>
          <w:szCs w:val="15"/>
        </w:rPr>
      </w:r>
    </w:p>
    <w:p>
      <w:pPr>
        <w:tabs>
          <w:tab w:pos="5896" w:val="left" w:leader="none"/>
          <w:tab w:pos="7552" w:val="left" w:leader="none"/>
        </w:tabs>
        <w:spacing w:line="242" w:lineRule="exact" w:before="11"/>
        <w:ind w:left="275" w:right="281" w:firstLine="256"/>
        <w:jc w:val="left"/>
        <w:rPr>
          <w:rFonts w:ascii="Microsoft JhengHei" w:hAnsi="Microsoft JhengHei" w:cs="Microsoft JhengHei" w:eastAsia="Microsoft JhengHei" w:hint="default"/>
          <w:sz w:val="15"/>
          <w:szCs w:val="15"/>
        </w:rPr>
      </w:pPr>
      <w:r>
        <w:rPr/>
        <w:pict>
          <v:group style="position:absolute;margin-left:346.538422pt;margin-top:1.097592pt;width:77.45pt;height:.7pt;mso-position-horizontal-relative:page;mso-position-vertical-relative:paragraph;z-index:-676888" coordorigin="6931,22" coordsize="1549,14">
            <v:group style="position:absolute;left:6938;top:23;width:1535;height:2" coordorigin="6938,23" coordsize="1535,2">
              <v:shape style="position:absolute;left:6938;top:23;width:1535;height:2" coordorigin="6938,23" coordsize="1535,0" path="m6938,23l8472,23e" filled="false" stroked="true" strokeweight=".095914pt" strokecolor="#000000">
                <v:path arrowok="t"/>
              </v:shape>
            </v:group>
            <v:group style="position:absolute;left:6937;top:29;width:1536;height:2" coordorigin="6937,29" coordsize="1536,2">
              <v:shape style="position:absolute;left:6937;top:29;width:1536;height:2" coordorigin="6937,29" coordsize="1536,0" path="m6937,29l8473,29e" filled="false" stroked="true" strokeweight=".657711pt" strokecolor="#000000">
                <v:path arrowok="t"/>
              </v:shape>
            </v:group>
            <w10:wrap type="none"/>
          </v:group>
        </w:pict>
      </w:r>
      <w:r>
        <w:rPr/>
        <w:pict>
          <v:group style="position:absolute;margin-left:346.538422pt;margin-top:12.531969pt;width:77.45pt;height:2pt;mso-position-horizontal-relative:page;mso-position-vertical-relative:paragraph;z-index:-676864" coordorigin="6931,251" coordsize="1549,40">
            <v:group style="position:absolute;left:6937;top:257;width:1536;height:2" coordorigin="6937,257" coordsize="1536,2">
              <v:shape style="position:absolute;left:6937;top:257;width:1536;height:2" coordorigin="6937,257" coordsize="1536,0" path="m6937,257l8473,257e" filled="false" stroked="true" strokeweight=".65767pt" strokecolor="#000000">
                <v:path arrowok="t"/>
              </v:shape>
            </v:group>
            <v:group style="position:absolute;left:6937;top:284;width:1536;height:2" coordorigin="6937,284" coordsize="1536,2">
              <v:shape style="position:absolute;left:6937;top:284;width:1536;height:2" coordorigin="6937,284" coordsize="1536,0" path="m6937,284l8473,284e" filled="false" stroked="true" strokeweight=".657711pt" strokecolor="#000000">
                <v:path arrowok="t"/>
              </v:shape>
            </v:group>
            <w10:wrap type="none"/>
          </v:group>
        </w:pict>
      </w:r>
      <w:r>
        <w:rPr/>
        <w:pict>
          <v:group style="position:absolute;margin-left:433.545776pt;margin-top:1.097592pt;width:77.45pt;height:.7pt;mso-position-horizontal-relative:page;mso-position-vertical-relative:paragraph;z-index:-676840" coordorigin="8671,22" coordsize="1549,14">
            <v:group style="position:absolute;left:8678;top:23;width:1535;height:2" coordorigin="8678,23" coordsize="1535,2">
              <v:shape style="position:absolute;left:8678;top:23;width:1535;height:2" coordorigin="8678,23" coordsize="1535,0" path="m8678,23l10212,23e" filled="false" stroked="true" strokeweight=".095914pt" strokecolor="#000000">
                <v:path arrowok="t"/>
              </v:shape>
            </v:group>
            <v:group style="position:absolute;left:8677;top:29;width:1536;height:2" coordorigin="8677,29" coordsize="1536,2">
              <v:shape style="position:absolute;left:8677;top:29;width:1536;height:2" coordorigin="8677,29" coordsize="1536,0" path="m8677,29l10213,29e" filled="false" stroked="true" strokeweight=".657711pt" strokecolor="#000000">
                <v:path arrowok="t"/>
              </v:shape>
            </v:group>
            <w10:wrap type="none"/>
          </v:group>
        </w:pict>
      </w:r>
      <w:r>
        <w:rPr/>
        <w:pict>
          <v:group style="position:absolute;margin-left:433.545776pt;margin-top:12.531969pt;width:77.45pt;height:2pt;mso-position-horizontal-relative:page;mso-position-vertical-relative:paragraph;z-index:-676816" coordorigin="8671,251" coordsize="1549,40">
            <v:group style="position:absolute;left:8677;top:257;width:1536;height:2" coordorigin="8677,257" coordsize="1536,2">
              <v:shape style="position:absolute;left:8677;top:257;width:1536;height:2" coordorigin="8677,257" coordsize="1536,0" path="m8677,257l10213,257e" filled="false" stroked="true" strokeweight=".65767pt" strokecolor="#000000">
                <v:path arrowok="t"/>
              </v:shape>
            </v:group>
            <v:group style="position:absolute;left:8677;top:284;width:1536;height:2" coordorigin="8677,284" coordsize="1536,2">
              <v:shape style="position:absolute;left:8677;top:284;width:1536;height:2" coordorigin="8677,284" coordsize="1536,0" path="m8677,284l10213,284e" filled="false" stroked="true" strokeweight=".657711pt" strokecolor="#000000">
                <v:path arrowok="t"/>
              </v:shape>
            </v:group>
            <w10:wrap type="none"/>
          </v:group>
        </w:pict>
      </w:r>
      <w:r>
        <w:rPr>
          <w:rFonts w:ascii="宋体" w:hAnsi="宋体" w:cs="宋体" w:eastAsia="宋体" w:hint="default"/>
          <w:sz w:val="15"/>
          <w:szCs w:val="15"/>
        </w:rPr>
        <w:t>投资活动产生的现金流量净额</w:t>
        <w:tab/>
      </w:r>
      <w:r>
        <w:rPr>
          <w:rFonts w:ascii="Arial" w:hAnsi="Arial" w:cs="Arial" w:eastAsia="Arial" w:hint="default"/>
          <w:spacing w:val="-1"/>
          <w:sz w:val="15"/>
          <w:szCs w:val="15"/>
        </w:rPr>
        <w:t>(1,505,802.00)</w:t>
        <w:tab/>
        <w:t>(27,500,198.94)</w:t>
      </w:r>
      <w:r>
        <w:rPr>
          <w:rFonts w:ascii="Arial" w:hAnsi="Arial" w:cs="Arial" w:eastAsia="Arial" w:hint="default"/>
          <w:spacing w:val="-1"/>
          <w:w w:val="101"/>
          <w:sz w:val="15"/>
          <w:szCs w:val="15"/>
        </w:rPr>
        <w:t> </w:t>
      </w:r>
      <w:r>
        <w:rPr>
          <w:rFonts w:ascii="Microsoft JhengHei" w:hAnsi="Microsoft JhengHei" w:cs="Microsoft JhengHei" w:eastAsia="Microsoft JhengHei" w:hint="default"/>
          <w:b/>
          <w:bCs/>
          <w:sz w:val="15"/>
          <w:szCs w:val="15"/>
        </w:rPr>
        <w:t>三、筹资活动产生的现金流量：</w:t>
      </w:r>
      <w:r>
        <w:rPr>
          <w:rFonts w:ascii="Microsoft JhengHei" w:hAnsi="Microsoft JhengHei" w:cs="Microsoft JhengHei" w:eastAsia="Microsoft JhengHei" w:hint="default"/>
          <w:sz w:val="15"/>
          <w:szCs w:val="15"/>
        </w:rPr>
      </w:r>
    </w:p>
    <w:p>
      <w:pPr>
        <w:tabs>
          <w:tab w:pos="5787" w:val="left" w:leader="none"/>
          <w:tab w:pos="8361" w:val="left" w:leader="none"/>
        </w:tabs>
        <w:spacing w:before="13"/>
        <w:ind w:left="446" w:right="176" w:firstLine="0"/>
        <w:jc w:val="left"/>
        <w:rPr>
          <w:rFonts w:ascii="Arial" w:hAnsi="Arial" w:cs="Arial" w:eastAsia="Arial" w:hint="default"/>
          <w:sz w:val="15"/>
          <w:szCs w:val="15"/>
        </w:rPr>
      </w:pPr>
      <w:r>
        <w:rPr>
          <w:rFonts w:ascii="宋体" w:hAnsi="宋体" w:cs="宋体" w:eastAsia="宋体" w:hint="default"/>
          <w:sz w:val="15"/>
          <w:szCs w:val="15"/>
        </w:rPr>
        <w:t>吸收投资收到的现金</w:t>
        <w:tab/>
      </w:r>
      <w:r>
        <w:rPr>
          <w:rFonts w:ascii="Arial" w:hAnsi="Arial" w:cs="Arial" w:eastAsia="Arial" w:hint="default"/>
          <w:spacing w:val="-1"/>
          <w:sz w:val="15"/>
          <w:szCs w:val="15"/>
        </w:rPr>
        <w:t>653,280,000.00</w:t>
        <w:tab/>
      </w:r>
      <w:r>
        <w:rPr>
          <w:rFonts w:ascii="Arial" w:hAnsi="Arial" w:cs="Arial" w:eastAsia="Arial" w:hint="default"/>
          <w:sz w:val="15"/>
          <w:szCs w:val="15"/>
        </w:rPr>
        <w:t>-</w:t>
      </w:r>
    </w:p>
    <w:p>
      <w:pPr>
        <w:tabs>
          <w:tab w:pos="6621" w:val="left" w:leader="none"/>
          <w:tab w:pos="8361" w:val="left" w:leader="none"/>
        </w:tabs>
        <w:spacing w:before="25"/>
        <w:ind w:left="446" w:right="176" w:firstLine="0"/>
        <w:jc w:val="left"/>
        <w:rPr>
          <w:rFonts w:ascii="Arial" w:hAnsi="Arial" w:cs="Arial" w:eastAsia="Arial" w:hint="default"/>
          <w:sz w:val="15"/>
          <w:szCs w:val="15"/>
        </w:rPr>
      </w:pPr>
      <w:r>
        <w:rPr>
          <w:rFonts w:ascii="宋体" w:hAnsi="宋体" w:cs="宋体" w:eastAsia="宋体" w:hint="default"/>
          <w:sz w:val="15"/>
          <w:szCs w:val="15"/>
        </w:rPr>
        <w:t>取得借款收到的现金</w:t>
        <w:tab/>
      </w:r>
      <w:r>
        <w:rPr>
          <w:rFonts w:ascii="Arial" w:hAnsi="Arial" w:cs="Arial" w:eastAsia="Arial" w:hint="default"/>
          <w:sz w:val="15"/>
          <w:szCs w:val="15"/>
        </w:rPr>
        <w:t>-</w:t>
        <w:tab/>
        <w:t>-</w:t>
      </w:r>
    </w:p>
    <w:p>
      <w:pPr>
        <w:tabs>
          <w:tab w:pos="6127" w:val="left" w:leader="none"/>
          <w:tab w:pos="7867" w:val="left" w:leader="none"/>
        </w:tabs>
        <w:spacing w:before="25"/>
        <w:ind w:left="84" w:right="0" w:firstLine="0"/>
        <w:jc w:val="center"/>
        <w:rPr>
          <w:rFonts w:ascii="Arial" w:hAnsi="Arial" w:cs="Arial" w:eastAsia="Arial" w:hint="default"/>
          <w:sz w:val="15"/>
          <w:szCs w:val="15"/>
        </w:rPr>
      </w:pPr>
      <w:r>
        <w:rPr>
          <w:rFonts w:ascii="宋体" w:hAnsi="宋体" w:cs="宋体" w:eastAsia="宋体" w:hint="default"/>
          <w:sz w:val="15"/>
          <w:szCs w:val="15"/>
        </w:rPr>
        <w:t>发行债券收到的现金</w:t>
        <w:tab/>
      </w:r>
      <w:r>
        <w:rPr>
          <w:rFonts w:ascii="Arial" w:hAnsi="Arial" w:cs="Arial" w:eastAsia="Arial" w:hint="default"/>
          <w:sz w:val="15"/>
          <w:szCs w:val="15"/>
        </w:rPr>
        <w:t>-</w:t>
        <w:tab/>
        <w:t>-</w:t>
      </w:r>
    </w:p>
    <w:p>
      <w:pPr>
        <w:tabs>
          <w:tab w:pos="5629" w:val="left" w:leader="none"/>
          <w:tab w:pos="7369" w:val="left" w:leader="none"/>
        </w:tabs>
        <w:spacing w:before="25"/>
        <w:ind w:left="120" w:right="0" w:firstLine="0"/>
        <w:jc w:val="center"/>
        <w:rPr>
          <w:rFonts w:ascii="Arial" w:hAnsi="Arial" w:cs="Arial" w:eastAsia="Arial" w:hint="default"/>
          <w:sz w:val="15"/>
          <w:szCs w:val="15"/>
        </w:rPr>
      </w:pPr>
      <w:r>
        <w:rPr>
          <w:rFonts w:ascii="宋体" w:hAnsi="宋体" w:cs="宋体" w:eastAsia="宋体" w:hint="default"/>
          <w:sz w:val="15"/>
          <w:szCs w:val="15"/>
        </w:rPr>
        <w:t>收到其他与筹资活动有关的现金</w:t>
        <w:tab/>
      </w:r>
      <w:r>
        <w:rPr>
          <w:rFonts w:ascii="Arial" w:hAnsi="Arial" w:cs="Arial" w:eastAsia="Arial" w:hint="default"/>
          <w:spacing w:val="-1"/>
          <w:sz w:val="15"/>
          <w:szCs w:val="15"/>
        </w:rPr>
        <w:t>1,353,450.83</w:t>
        <w:tab/>
        <w:t>6,881,860.00</w:t>
      </w:r>
      <w:r>
        <w:rPr>
          <w:rFonts w:ascii="Arial" w:hAnsi="Arial" w:cs="Arial" w:eastAsia="Arial" w:hint="default"/>
          <w:sz w:val="15"/>
          <w:szCs w:val="15"/>
        </w:rPr>
      </w:r>
    </w:p>
    <w:p>
      <w:pPr>
        <w:spacing w:line="20" w:lineRule="exact"/>
        <w:ind w:left="5377" w:right="0" w:firstLine="0"/>
        <w:rPr>
          <w:rFonts w:ascii="Arial" w:hAnsi="Arial" w:cs="Arial" w:eastAsia="Arial" w:hint="default"/>
          <w:sz w:val="2"/>
          <w:szCs w:val="2"/>
        </w:rPr>
      </w:pPr>
      <w:r>
        <w:rPr>
          <w:rFonts w:ascii="Arial"/>
          <w:sz w:val="2"/>
        </w:rPr>
        <w:pict>
          <v:group style="width:76.8pt;height:.7pt;mso-position-horizontal-relative:char;mso-position-vertical-relative:line" coordorigin="0,0" coordsize="1536,14">
            <v:shape style="position:absolute;left:0;top:0;width:1536;height:13" type="#_x0000_t75" stroked="false">
              <v:imagedata r:id="rId54" o:title=""/>
            </v:shape>
          </v:group>
        </w:pict>
      </w:r>
      <w:r>
        <w:rPr>
          <w:rFonts w:ascii="Arial"/>
          <w:sz w:val="2"/>
        </w:rPr>
      </w:r>
      <w:r>
        <w:rPr>
          <w:rFonts w:ascii="Times New Roman"/>
          <w:spacing w:val="191"/>
          <w:sz w:val="2"/>
        </w:rPr>
        <w:t> </w:t>
      </w:r>
      <w:r>
        <w:rPr>
          <w:rFonts w:ascii="Arial"/>
          <w:spacing w:val="191"/>
          <w:sz w:val="2"/>
        </w:rPr>
        <w:pict>
          <v:group style="width:76.8pt;height:.7pt;mso-position-horizontal-relative:char;mso-position-vertical-relative:line" coordorigin="0,0" coordsize="1536,14">
            <v:shape style="position:absolute;left:0;top:0;width:1536;height:13" type="#_x0000_t75" stroked="false">
              <v:imagedata r:id="rId55" o:title=""/>
            </v:shape>
          </v:group>
        </w:pict>
      </w:r>
      <w:r>
        <w:rPr>
          <w:rFonts w:ascii="Arial"/>
          <w:spacing w:val="191"/>
          <w:sz w:val="2"/>
        </w:rPr>
      </w:r>
    </w:p>
    <w:p>
      <w:pPr>
        <w:tabs>
          <w:tab w:pos="5787" w:val="left" w:leader="none"/>
          <w:tab w:pos="7695" w:val="left" w:leader="none"/>
        </w:tabs>
        <w:spacing w:before="5"/>
        <w:ind w:left="532" w:right="176" w:firstLine="0"/>
        <w:jc w:val="left"/>
        <w:rPr>
          <w:rFonts w:ascii="Arial" w:hAnsi="Arial" w:cs="Arial" w:eastAsia="Arial" w:hint="default"/>
          <w:sz w:val="15"/>
          <w:szCs w:val="15"/>
        </w:rPr>
      </w:pPr>
      <w:r>
        <w:rPr>
          <w:rFonts w:ascii="宋体" w:hAnsi="宋体" w:cs="宋体" w:eastAsia="宋体" w:hint="default"/>
          <w:sz w:val="15"/>
          <w:szCs w:val="15"/>
        </w:rPr>
        <w:t>筹资活动现金流入小计</w:t>
        <w:tab/>
      </w:r>
      <w:r>
        <w:rPr>
          <w:rFonts w:ascii="Arial" w:hAnsi="Arial" w:cs="Arial" w:eastAsia="Arial" w:hint="default"/>
          <w:spacing w:val="-1"/>
          <w:sz w:val="15"/>
          <w:szCs w:val="15"/>
        </w:rPr>
        <w:t>654,633,450.83</w:t>
        <w:tab/>
        <w:t>6,881,860.00</w:t>
      </w:r>
      <w:r>
        <w:rPr>
          <w:rFonts w:ascii="Arial" w:hAnsi="Arial" w:cs="Arial" w:eastAsia="Arial" w:hint="default"/>
          <w:sz w:val="15"/>
          <w:szCs w:val="15"/>
        </w:rPr>
      </w:r>
    </w:p>
    <w:p>
      <w:pPr>
        <w:spacing w:line="20" w:lineRule="exact"/>
        <w:ind w:left="5370" w:right="0" w:firstLine="0"/>
        <w:rPr>
          <w:rFonts w:ascii="Arial" w:hAnsi="Arial" w:cs="Arial" w:eastAsia="Arial" w:hint="default"/>
          <w:sz w:val="2"/>
          <w:szCs w:val="2"/>
        </w:rPr>
      </w:pPr>
      <w:r>
        <w:rPr>
          <w:rFonts w:ascii="Arial"/>
          <w:sz w:val="2"/>
        </w:rPr>
        <w:pict>
          <v:group style="width:77.45pt;height:.7pt;mso-position-horizontal-relative:char;mso-position-vertical-relative:line" coordorigin="0,0" coordsize="1549,14">
            <v:group style="position:absolute;left:7;top:1;width:1535;height:2" coordorigin="7,1" coordsize="1535,2">
              <v:shape style="position:absolute;left:7;top:1;width:1535;height:2" coordorigin="7,1" coordsize="1535,0" path="m7,1l1542,1e" filled="false" stroked="true" strokeweight=".095914pt" strokecolor="#000000">
                <v:path arrowok="t"/>
              </v:shape>
            </v:group>
            <v:group style="position:absolute;left:7;top:7;width:1536;height:2" coordorigin="7,7" coordsize="1536,2">
              <v:shape style="position:absolute;left:7;top:7;width:1536;height:2" coordorigin="7,7" coordsize="1536,0" path="m7,7l1542,7e" filled="false" stroked="true" strokeweight=".65767pt" strokecolor="#000000">
                <v:path arrowok="t"/>
              </v:shape>
            </v:group>
          </v:group>
        </w:pict>
      </w:r>
      <w:r>
        <w:rPr>
          <w:rFonts w:ascii="Arial"/>
          <w:sz w:val="2"/>
        </w:rPr>
      </w:r>
      <w:r>
        <w:rPr>
          <w:rFonts w:ascii="Times New Roman"/>
          <w:spacing w:val="182"/>
          <w:sz w:val="2"/>
        </w:rPr>
        <w:t> </w:t>
      </w:r>
      <w:r>
        <w:rPr>
          <w:rFonts w:ascii="Arial"/>
          <w:spacing w:val="182"/>
          <w:sz w:val="2"/>
        </w:rPr>
        <w:pict>
          <v:group style="width:77.45pt;height:.7pt;mso-position-horizontal-relative:char;mso-position-vertical-relative:line" coordorigin="0,0" coordsize="1549,14">
            <v:group style="position:absolute;left:7;top:1;width:1535;height:2" coordorigin="7,1" coordsize="1535,2">
              <v:shape style="position:absolute;left:7;top:1;width:1535;height:2" coordorigin="7,1" coordsize="1535,0" path="m7,1l1541,1e" filled="false" stroked="true" strokeweight=".095914pt" strokecolor="#000000">
                <v:path arrowok="t"/>
              </v:shape>
            </v:group>
            <v:group style="position:absolute;left:7;top:7;width:1536;height:2" coordorigin="7,7" coordsize="1536,2">
              <v:shape style="position:absolute;left:7;top:7;width:1536;height:2" coordorigin="7,7" coordsize="1536,0" path="m7,7l1542,7e" filled="false" stroked="true" strokeweight=".65767pt" strokecolor="#000000">
                <v:path arrowok="t"/>
              </v:shape>
            </v:group>
          </v:group>
        </w:pict>
      </w:r>
      <w:r>
        <w:rPr>
          <w:rFonts w:ascii="Arial"/>
          <w:spacing w:val="182"/>
          <w:sz w:val="2"/>
        </w:rPr>
      </w:r>
    </w:p>
    <w:p>
      <w:pPr>
        <w:tabs>
          <w:tab w:pos="6621" w:val="left" w:leader="none"/>
          <w:tab w:pos="8361" w:val="left" w:leader="none"/>
        </w:tabs>
        <w:spacing w:before="5"/>
        <w:ind w:left="446" w:right="176" w:firstLine="0"/>
        <w:jc w:val="left"/>
        <w:rPr>
          <w:rFonts w:ascii="Arial" w:hAnsi="Arial" w:cs="Arial" w:eastAsia="Arial" w:hint="default"/>
          <w:sz w:val="15"/>
          <w:szCs w:val="15"/>
        </w:rPr>
      </w:pPr>
      <w:r>
        <w:rPr>
          <w:rFonts w:ascii="宋体" w:hAnsi="宋体" w:cs="宋体" w:eastAsia="宋体" w:hint="default"/>
          <w:sz w:val="15"/>
          <w:szCs w:val="15"/>
        </w:rPr>
        <w:t>偿还债务支付的现金</w:t>
        <w:tab/>
      </w:r>
      <w:r>
        <w:rPr>
          <w:rFonts w:ascii="Arial" w:hAnsi="Arial" w:cs="Arial" w:eastAsia="Arial" w:hint="default"/>
          <w:sz w:val="15"/>
          <w:szCs w:val="15"/>
        </w:rPr>
        <w:t>-</w:t>
        <w:tab/>
        <w:t>-</w:t>
      </w:r>
    </w:p>
    <w:p>
      <w:pPr>
        <w:tabs>
          <w:tab w:pos="6295" w:val="left" w:leader="none"/>
          <w:tab w:pos="7369" w:val="left" w:leader="none"/>
        </w:tabs>
        <w:spacing w:before="25"/>
        <w:ind w:left="120" w:right="0" w:firstLine="0"/>
        <w:jc w:val="center"/>
        <w:rPr>
          <w:rFonts w:ascii="Arial" w:hAnsi="Arial" w:cs="Arial" w:eastAsia="Arial" w:hint="default"/>
          <w:sz w:val="15"/>
          <w:szCs w:val="15"/>
        </w:rPr>
      </w:pPr>
      <w:r>
        <w:rPr>
          <w:rFonts w:ascii="宋体" w:hAnsi="宋体" w:cs="宋体" w:eastAsia="宋体" w:hint="default"/>
          <w:sz w:val="15"/>
          <w:szCs w:val="15"/>
        </w:rPr>
        <w:t>分配股利、利润或偿付利息支付的现金</w:t>
        <w:tab/>
      </w:r>
      <w:r>
        <w:rPr>
          <w:rFonts w:ascii="Arial" w:hAnsi="Arial" w:cs="Arial" w:eastAsia="Arial" w:hint="default"/>
          <w:sz w:val="15"/>
          <w:szCs w:val="15"/>
        </w:rPr>
        <w:t>-</w:t>
        <w:tab/>
        <w:t>9,500,000.00</w:t>
      </w:r>
    </w:p>
    <w:p>
      <w:pPr>
        <w:spacing w:line="240" w:lineRule="auto" w:before="4"/>
        <w:rPr>
          <w:rFonts w:ascii="Arial" w:hAnsi="Arial" w:cs="Arial" w:eastAsia="Arial" w:hint="default"/>
          <w:sz w:val="3"/>
          <w:szCs w:val="3"/>
        </w:rPr>
      </w:pPr>
    </w:p>
    <w:tbl>
      <w:tblPr>
        <w:tblW w:w="0" w:type="auto"/>
        <w:jc w:val="left"/>
        <w:tblInd w:w="240" w:type="dxa"/>
        <w:tblLayout w:type="fixed"/>
        <w:tblCellMar>
          <w:top w:w="0" w:type="dxa"/>
          <w:left w:w="0" w:type="dxa"/>
          <w:bottom w:w="0" w:type="dxa"/>
          <w:right w:w="0" w:type="dxa"/>
        </w:tblCellMar>
        <w:tblLook w:val="01E0"/>
      </w:tblPr>
      <w:tblGrid>
        <w:gridCol w:w="3338"/>
        <w:gridCol w:w="1798"/>
        <w:gridCol w:w="1536"/>
        <w:gridCol w:w="204"/>
        <w:gridCol w:w="1536"/>
      </w:tblGrid>
      <w:tr>
        <w:trPr>
          <w:trHeight w:val="22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182" w:lineRule="exact"/>
              <w:ind w:right="1008"/>
              <w:jc w:val="righ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79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11,823,339.87</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70"/>
              <w:jc w:val="right"/>
              <w:rPr>
                <w:rFonts w:ascii="Arial" w:hAnsi="Arial" w:cs="Arial" w:eastAsia="Arial" w:hint="default"/>
                <w:sz w:val="15"/>
                <w:szCs w:val="15"/>
              </w:rPr>
            </w:pPr>
            <w:r>
              <w:rPr>
                <w:rFonts w:ascii="Arial"/>
                <w:spacing w:val="-1"/>
                <w:sz w:val="15"/>
              </w:rPr>
              <w:t>1,353,450.83</w:t>
            </w:r>
            <w:r>
              <w:rPr>
                <w:rFonts w:ascii="Arial"/>
                <w:sz w:val="15"/>
              </w:rPr>
            </w:r>
          </w:p>
        </w:tc>
      </w:tr>
      <w:tr>
        <w:trPr>
          <w:trHeight w:val="23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192" w:lineRule="exact"/>
              <w:ind w:left="291"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1798"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4"/>
              <w:ind w:right="70"/>
              <w:jc w:val="right"/>
              <w:rPr>
                <w:rFonts w:ascii="Arial" w:hAnsi="Arial" w:cs="Arial" w:eastAsia="Arial" w:hint="default"/>
                <w:sz w:val="15"/>
                <w:szCs w:val="15"/>
              </w:rPr>
            </w:pPr>
            <w:r>
              <w:rPr>
                <w:rFonts w:ascii="Arial"/>
                <w:spacing w:val="-1"/>
                <w:sz w:val="15"/>
              </w:rPr>
              <w:t>11,823,339.87</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4"/>
              <w:ind w:right="70"/>
              <w:jc w:val="right"/>
              <w:rPr>
                <w:rFonts w:ascii="Arial" w:hAnsi="Arial" w:cs="Arial" w:eastAsia="Arial" w:hint="default"/>
                <w:sz w:val="15"/>
                <w:szCs w:val="15"/>
              </w:rPr>
            </w:pPr>
            <w:r>
              <w:rPr>
                <w:rFonts w:ascii="Arial"/>
                <w:spacing w:val="-1"/>
                <w:sz w:val="15"/>
              </w:rPr>
              <w:t>10,853,450.83</w:t>
            </w:r>
            <w:r>
              <w:rPr>
                <w:rFonts w:ascii="Arial"/>
                <w:sz w:val="15"/>
              </w:rPr>
            </w:r>
          </w:p>
        </w:tc>
      </w:tr>
      <w:tr>
        <w:trPr>
          <w:trHeight w:val="24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91"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1798"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16" w:space="0" w:color="000000"/>
              <w:right w:val="nil" w:sz="6" w:space="0" w:color="auto"/>
            </w:tcBorders>
          </w:tcPr>
          <w:p>
            <w:pPr>
              <w:pStyle w:val="TableParagraph"/>
              <w:spacing w:line="240" w:lineRule="auto" w:before="28"/>
              <w:ind w:right="70"/>
              <w:jc w:val="right"/>
              <w:rPr>
                <w:rFonts w:ascii="Arial" w:hAnsi="Arial" w:cs="Arial" w:eastAsia="Arial" w:hint="default"/>
                <w:sz w:val="15"/>
                <w:szCs w:val="15"/>
              </w:rPr>
            </w:pPr>
            <w:r>
              <w:rPr>
                <w:rFonts w:ascii="Arial"/>
                <w:spacing w:val="-1"/>
                <w:sz w:val="15"/>
              </w:rPr>
              <w:t>642,810,110.96</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16" w:space="0" w:color="000000"/>
              <w:right w:val="nil" w:sz="6" w:space="0" w:color="auto"/>
            </w:tcBorders>
          </w:tcPr>
          <w:p>
            <w:pPr>
              <w:pStyle w:val="TableParagraph"/>
              <w:spacing w:line="240" w:lineRule="auto" w:before="28"/>
              <w:ind w:right="28"/>
              <w:jc w:val="right"/>
              <w:rPr>
                <w:rFonts w:ascii="Arial" w:hAnsi="Arial" w:cs="Arial" w:eastAsia="Arial" w:hint="default"/>
                <w:sz w:val="15"/>
                <w:szCs w:val="15"/>
              </w:rPr>
            </w:pPr>
            <w:r>
              <w:rPr>
                <w:rFonts w:ascii="Arial"/>
                <w:spacing w:val="-1"/>
                <w:sz w:val="15"/>
              </w:rPr>
              <w:t>(3,971,590.83)</w:t>
            </w:r>
            <w:r>
              <w:rPr>
                <w:rFonts w:ascii="Arial"/>
                <w:sz w:val="15"/>
              </w:rPr>
            </w:r>
          </w:p>
        </w:tc>
      </w:tr>
      <w:tr>
        <w:trPr>
          <w:trHeight w:val="24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四、汇率变动对现金的影响</w:t>
            </w:r>
            <w:r>
              <w:rPr>
                <w:rFonts w:ascii="Microsoft JhengHei" w:hAnsi="Microsoft JhengHei" w:cs="Microsoft JhengHei" w:eastAsia="Microsoft JhengHei" w:hint="default"/>
                <w:sz w:val="15"/>
                <w:szCs w:val="15"/>
              </w:rPr>
            </w:r>
          </w:p>
        </w:tc>
        <w:tc>
          <w:tcPr>
            <w:tcW w:w="1798" w:type="dxa"/>
            <w:tcBorders>
              <w:top w:val="nil" w:sz="6" w:space="0" w:color="auto"/>
              <w:left w:val="nil" w:sz="6" w:space="0" w:color="auto"/>
              <w:bottom w:val="nil" w:sz="6" w:space="0" w:color="auto"/>
              <w:right w:val="nil" w:sz="6" w:space="0" w:color="auto"/>
            </w:tcBorders>
          </w:tcPr>
          <w:p>
            <w:pPr/>
          </w:p>
        </w:tc>
        <w:tc>
          <w:tcPr>
            <w:tcW w:w="1536" w:type="dxa"/>
            <w:tcBorders>
              <w:top w:val="single" w:sz="16" w:space="0" w:color="000000"/>
              <w:left w:val="nil" w:sz="6" w:space="0" w:color="auto"/>
              <w:bottom w:val="single" w:sz="5" w:space="0" w:color="000000"/>
              <w:right w:val="nil" w:sz="6" w:space="0" w:color="auto"/>
            </w:tcBorders>
          </w:tcPr>
          <w:p>
            <w:pPr>
              <w:pStyle w:val="TableParagraph"/>
              <w:spacing w:line="240" w:lineRule="auto" w:before="15"/>
              <w:ind w:right="240"/>
              <w:jc w:val="right"/>
              <w:rPr>
                <w:rFonts w:ascii="Arial" w:hAnsi="Arial" w:cs="Arial" w:eastAsia="Arial" w:hint="default"/>
                <w:sz w:val="15"/>
                <w:szCs w:val="15"/>
              </w:rPr>
            </w:pPr>
            <w:r>
              <w:rPr>
                <w:rFonts w:ascii="Arial"/>
                <w:w w:val="101"/>
                <w:sz w:val="15"/>
              </w:rPr>
              <w:t>-</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16" w:space="0" w:color="000000"/>
              <w:left w:val="nil" w:sz="6" w:space="0" w:color="auto"/>
              <w:bottom w:val="single" w:sz="5" w:space="0" w:color="000000"/>
              <w:right w:val="nil" w:sz="6" w:space="0" w:color="auto"/>
            </w:tcBorders>
          </w:tcPr>
          <w:p>
            <w:pPr>
              <w:pStyle w:val="TableParagraph"/>
              <w:spacing w:line="240" w:lineRule="auto" w:before="15"/>
              <w:ind w:right="239"/>
              <w:jc w:val="right"/>
              <w:rPr>
                <w:rFonts w:ascii="Arial" w:hAnsi="Arial" w:cs="Arial" w:eastAsia="Arial" w:hint="default"/>
                <w:sz w:val="15"/>
                <w:szCs w:val="15"/>
              </w:rPr>
            </w:pPr>
            <w:r>
              <w:rPr>
                <w:rFonts w:ascii="Arial"/>
                <w:w w:val="101"/>
                <w:sz w:val="15"/>
              </w:rPr>
              <w:t>-</w:t>
            </w:r>
            <w:r>
              <w:rPr>
                <w:rFonts w:ascii="Arial"/>
                <w:sz w:val="15"/>
              </w:rPr>
            </w:r>
          </w:p>
        </w:tc>
      </w:tr>
      <w:tr>
        <w:trPr>
          <w:trHeight w:val="23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五、现金及现金等价物净增加额</w:t>
            </w:r>
            <w:r>
              <w:rPr>
                <w:rFonts w:ascii="Microsoft JhengHei" w:hAnsi="Microsoft JhengHei" w:cs="Microsoft JhengHei" w:eastAsia="Microsoft JhengHei" w:hint="default"/>
                <w:sz w:val="15"/>
                <w:szCs w:val="15"/>
              </w:rPr>
            </w:r>
          </w:p>
        </w:tc>
        <w:tc>
          <w:tcPr>
            <w:tcW w:w="1798"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8"/>
              <w:jc w:val="right"/>
              <w:rPr>
                <w:rFonts w:ascii="Arial" w:hAnsi="Arial" w:cs="Arial" w:eastAsia="Arial" w:hint="default"/>
                <w:sz w:val="15"/>
                <w:szCs w:val="15"/>
              </w:rPr>
            </w:pPr>
            <w:r>
              <w:rPr>
                <w:rFonts w:ascii="Arial"/>
                <w:spacing w:val="-1"/>
                <w:sz w:val="15"/>
              </w:rPr>
              <w:t>644,265,888.36</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28"/>
              <w:jc w:val="right"/>
              <w:rPr>
                <w:rFonts w:ascii="Arial" w:hAnsi="Arial" w:cs="Arial" w:eastAsia="Arial" w:hint="default"/>
                <w:sz w:val="15"/>
                <w:szCs w:val="15"/>
              </w:rPr>
            </w:pPr>
            <w:r>
              <w:rPr>
                <w:rFonts w:ascii="Arial"/>
                <w:spacing w:val="-1"/>
                <w:sz w:val="15"/>
              </w:rPr>
              <w:t>(6,917,592.62)</w:t>
            </w:r>
            <w:r>
              <w:rPr>
                <w:rFonts w:ascii="Arial"/>
                <w:sz w:val="15"/>
              </w:rPr>
            </w:r>
          </w:p>
        </w:tc>
      </w:tr>
      <w:tr>
        <w:trPr>
          <w:trHeight w:val="23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192" w:lineRule="exact"/>
              <w:ind w:right="1008"/>
              <w:jc w:val="right"/>
              <w:rPr>
                <w:rFonts w:ascii="宋体" w:hAnsi="宋体" w:cs="宋体" w:eastAsia="宋体" w:hint="default"/>
                <w:sz w:val="15"/>
                <w:szCs w:val="15"/>
              </w:rPr>
            </w:pPr>
            <w:r>
              <w:rPr>
                <w:rFonts w:ascii="宋体" w:hAnsi="宋体" w:cs="宋体" w:eastAsia="宋体" w:hint="default"/>
                <w:sz w:val="15"/>
                <w:szCs w:val="15"/>
              </w:rPr>
              <w:t>加：年初现金及现金等价物余额</w:t>
            </w:r>
          </w:p>
        </w:tc>
        <w:tc>
          <w:tcPr>
            <w:tcW w:w="1798"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71,324,861.61</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5" w:space="0" w:color="000000"/>
              <w:right w:val="nil" w:sz="6" w:space="0" w:color="auto"/>
            </w:tcBorders>
          </w:tcPr>
          <w:p>
            <w:pPr>
              <w:pStyle w:val="TableParagraph"/>
              <w:spacing w:line="240" w:lineRule="auto" w:before="23"/>
              <w:ind w:right="70"/>
              <w:jc w:val="right"/>
              <w:rPr>
                <w:rFonts w:ascii="Arial" w:hAnsi="Arial" w:cs="Arial" w:eastAsia="Arial" w:hint="default"/>
                <w:sz w:val="15"/>
                <w:szCs w:val="15"/>
              </w:rPr>
            </w:pPr>
            <w:r>
              <w:rPr>
                <w:rFonts w:ascii="Arial"/>
                <w:spacing w:val="-1"/>
                <w:sz w:val="15"/>
              </w:rPr>
              <w:t>78,242,454.23</w:t>
            </w:r>
            <w:r>
              <w:rPr>
                <w:rFonts w:ascii="Arial"/>
                <w:sz w:val="15"/>
              </w:rPr>
            </w:r>
          </w:p>
        </w:tc>
      </w:tr>
      <w:tr>
        <w:trPr>
          <w:trHeight w:val="242"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六、年末现金及现金等价物余额</w:t>
            </w:r>
            <w:r>
              <w:rPr>
                <w:rFonts w:ascii="Microsoft JhengHei" w:hAnsi="Microsoft JhengHei" w:cs="Microsoft JhengHei" w:eastAsia="Microsoft JhengHei" w:hint="default"/>
                <w:sz w:val="15"/>
                <w:szCs w:val="15"/>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0" w:right="0"/>
              <w:jc w:val="left"/>
              <w:rPr>
                <w:rFonts w:ascii="宋体" w:hAnsi="宋体" w:cs="宋体" w:eastAsia="宋体" w:hint="default"/>
                <w:sz w:val="15"/>
                <w:szCs w:val="15"/>
              </w:rPr>
            </w:pPr>
            <w:r>
              <w:rPr>
                <w:rFonts w:ascii="宋体" w:hAnsi="宋体" w:cs="宋体" w:eastAsia="宋体" w:hint="default"/>
                <w:sz w:val="15"/>
                <w:szCs w:val="15"/>
              </w:rPr>
              <w:t>十一(六)</w:t>
            </w:r>
          </w:p>
        </w:tc>
        <w:tc>
          <w:tcPr>
            <w:tcW w:w="1536" w:type="dxa"/>
            <w:tcBorders>
              <w:top w:val="single" w:sz="5" w:space="0" w:color="000000"/>
              <w:left w:val="nil" w:sz="6" w:space="0" w:color="auto"/>
              <w:bottom w:val="single" w:sz="16" w:space="0" w:color="000000"/>
              <w:right w:val="nil" w:sz="6" w:space="0" w:color="auto"/>
            </w:tcBorders>
          </w:tcPr>
          <w:p>
            <w:pPr>
              <w:pStyle w:val="TableParagraph"/>
              <w:spacing w:line="240" w:lineRule="auto" w:before="28"/>
              <w:ind w:right="70"/>
              <w:jc w:val="right"/>
              <w:rPr>
                <w:rFonts w:ascii="Arial" w:hAnsi="Arial" w:cs="Arial" w:eastAsia="Arial" w:hint="default"/>
                <w:sz w:val="15"/>
                <w:szCs w:val="15"/>
              </w:rPr>
            </w:pPr>
            <w:r>
              <w:rPr>
                <w:rFonts w:ascii="Arial"/>
                <w:spacing w:val="-1"/>
                <w:sz w:val="15"/>
              </w:rPr>
              <w:t>715,590,749.97</w:t>
            </w:r>
            <w:r>
              <w:rPr>
                <w:rFonts w:ascii="Arial"/>
                <w:sz w:val="15"/>
              </w:rPr>
            </w:r>
          </w:p>
        </w:tc>
        <w:tc>
          <w:tcPr>
            <w:tcW w:w="204" w:type="dxa"/>
            <w:tcBorders>
              <w:top w:val="nil" w:sz="6" w:space="0" w:color="auto"/>
              <w:left w:val="nil" w:sz="6" w:space="0" w:color="auto"/>
              <w:bottom w:val="nil" w:sz="6" w:space="0" w:color="auto"/>
              <w:right w:val="nil" w:sz="6" w:space="0" w:color="auto"/>
            </w:tcBorders>
          </w:tcPr>
          <w:p>
            <w:pPr/>
          </w:p>
        </w:tc>
        <w:tc>
          <w:tcPr>
            <w:tcW w:w="1536" w:type="dxa"/>
            <w:tcBorders>
              <w:top w:val="single" w:sz="5" w:space="0" w:color="000000"/>
              <w:left w:val="nil" w:sz="6" w:space="0" w:color="auto"/>
              <w:bottom w:val="single" w:sz="16" w:space="0" w:color="000000"/>
              <w:right w:val="nil" w:sz="6" w:space="0" w:color="auto"/>
            </w:tcBorders>
          </w:tcPr>
          <w:p>
            <w:pPr>
              <w:pStyle w:val="TableParagraph"/>
              <w:spacing w:line="240" w:lineRule="auto" w:before="28"/>
              <w:ind w:right="70"/>
              <w:jc w:val="right"/>
              <w:rPr>
                <w:rFonts w:ascii="Arial" w:hAnsi="Arial" w:cs="Arial" w:eastAsia="Arial" w:hint="default"/>
                <w:sz w:val="15"/>
                <w:szCs w:val="15"/>
              </w:rPr>
            </w:pPr>
            <w:r>
              <w:rPr>
                <w:rFonts w:ascii="Arial"/>
                <w:spacing w:val="-1"/>
                <w:sz w:val="15"/>
              </w:rPr>
              <w:t>71,324,861.61</w:t>
            </w:r>
            <w:r>
              <w:rPr>
                <w:rFonts w:ascii="Arial"/>
                <w:sz w:val="15"/>
              </w:rPr>
            </w:r>
          </w:p>
        </w:tc>
      </w:tr>
    </w:tbl>
    <w:p>
      <w:pPr>
        <w:spacing w:line="240" w:lineRule="auto" w:before="0"/>
        <w:rPr>
          <w:rFonts w:ascii="Arial" w:hAnsi="Arial" w:cs="Arial" w:eastAsia="Arial" w:hint="default"/>
          <w:sz w:val="17"/>
          <w:szCs w:val="17"/>
        </w:rPr>
      </w:pPr>
    </w:p>
    <w:p>
      <w:pPr>
        <w:spacing w:line="20" w:lineRule="exact"/>
        <w:ind w:left="241" w:right="0" w:firstLine="0"/>
        <w:rPr>
          <w:rFonts w:ascii="Arial" w:hAnsi="Arial" w:cs="Arial" w:eastAsia="Arial" w:hint="default"/>
          <w:sz w:val="2"/>
          <w:szCs w:val="2"/>
        </w:rPr>
      </w:pPr>
      <w:r>
        <w:rPr>
          <w:rFonts w:ascii="Arial" w:hAnsi="Arial" w:cs="Arial" w:eastAsia="Arial" w:hint="default"/>
          <w:sz w:val="2"/>
          <w:szCs w:val="2"/>
        </w:rPr>
        <w:pict>
          <v:group style="width:420.95pt;height:.7pt;mso-position-horizontal-relative:char;mso-position-vertical-relative:line" coordorigin="0,0" coordsize="8419,14">
            <v:group style="position:absolute;left:7;top:1;width:8404;height:2" coordorigin="7,1" coordsize="8404,2">
              <v:shape style="position:absolute;left:7;top:1;width:8404;height:2" coordorigin="7,1" coordsize="8404,0" path="m7,1l8411,1e" filled="false" stroked="true" strokeweight=".095914pt" strokecolor="#000000">
                <v:path arrowok="t"/>
              </v:shape>
            </v:group>
            <v:group style="position:absolute;left:7;top:7;width:8406;height:2" coordorigin="7,7" coordsize="8406,2">
              <v:shape style="position:absolute;left:7;top:7;width:8406;height:2" coordorigin="7,7" coordsize="8406,0" path="m7,7l8412,7e" filled="false" stroked="true" strokeweight=".65767pt" strokecolor="#000000">
                <v:path arrowok="t"/>
              </v:shape>
            </v:group>
          </v:group>
        </w:pict>
      </w:r>
      <w:r>
        <w:rPr>
          <w:rFonts w:ascii="Arial" w:hAnsi="Arial" w:cs="Arial" w:eastAsia="Arial" w:hint="default"/>
          <w:sz w:val="2"/>
          <w:szCs w:val="2"/>
        </w:rPr>
      </w:r>
    </w:p>
    <w:p>
      <w:pPr>
        <w:spacing w:line="240" w:lineRule="auto" w:before="8"/>
        <w:rPr>
          <w:rFonts w:ascii="Arial" w:hAnsi="Arial" w:cs="Arial" w:eastAsia="Arial" w:hint="default"/>
          <w:sz w:val="14"/>
          <w:szCs w:val="14"/>
        </w:rPr>
      </w:pPr>
    </w:p>
    <w:p>
      <w:pPr>
        <w:tabs>
          <w:tab w:pos="3326" w:val="left" w:leader="none"/>
          <w:tab w:pos="7196" w:val="left" w:leader="none"/>
        </w:tabs>
        <w:spacing w:before="45"/>
        <w:ind w:left="318" w:right="139" w:firstLine="0"/>
        <w:jc w:val="left"/>
        <w:rPr>
          <w:rFonts w:ascii="宋体" w:hAnsi="宋体" w:cs="宋体" w:eastAsia="宋体" w:hint="default"/>
          <w:sz w:val="15"/>
          <w:szCs w:val="15"/>
        </w:rPr>
      </w:pPr>
      <w:r>
        <w:rPr>
          <w:rFonts w:ascii="宋体" w:hAnsi="宋体" w:cs="宋体" w:eastAsia="宋体" w:hint="default"/>
          <w:sz w:val="15"/>
          <w:szCs w:val="15"/>
        </w:rPr>
        <w:t>公司负责人：刘祥</w:t>
        <w:tab/>
        <w:t>主管会计工作负责人：赵辉</w:t>
        <w:tab/>
        <w:t>会计机构负责人：赵辉</w:t>
      </w:r>
    </w:p>
    <w:p>
      <w:pPr>
        <w:spacing w:after="0"/>
        <w:jc w:val="left"/>
        <w:rPr>
          <w:rFonts w:ascii="宋体" w:hAnsi="宋体" w:cs="宋体" w:eastAsia="宋体" w:hint="default"/>
          <w:sz w:val="15"/>
          <w:szCs w:val="15"/>
        </w:rPr>
        <w:sectPr>
          <w:headerReference w:type="default" r:id="rId50"/>
          <w:footerReference w:type="default" r:id="rId51"/>
          <w:pgSz w:w="11910" w:h="16840"/>
          <w:pgMar w:header="877" w:footer="1267" w:top="1060" w:bottom="1460" w:left="1560" w:right="1440"/>
          <w:pgNumType w:start="9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643" w:val="left" w:leader="none"/>
          <w:tab w:pos="1283" w:val="left" w:leader="none"/>
          <w:tab w:pos="1927" w:val="left" w:leader="none"/>
        </w:tabs>
        <w:spacing w:before="0"/>
        <w:ind w:left="0" w:right="27" w:firstLine="0"/>
        <w:jc w:val="center"/>
        <w:rPr>
          <w:rFonts w:ascii="黑体" w:hAnsi="黑体" w:cs="黑体" w:eastAsia="黑体" w:hint="default"/>
          <w:sz w:val="32"/>
          <w:szCs w:val="32"/>
        </w:rPr>
      </w:pPr>
      <w:r>
        <w:rPr>
          <w:rFonts w:ascii="黑体" w:hAnsi="黑体" w:cs="黑体" w:eastAsia="黑体" w:hint="default"/>
          <w:b/>
          <w:bCs/>
          <w:w w:val="95"/>
          <w:sz w:val="32"/>
          <w:szCs w:val="32"/>
        </w:rPr>
        <w:t>审</w:t>
        <w:tab/>
        <w:t>计</w:t>
        <w:tab/>
        <w:t>报</w:t>
        <w:tab/>
      </w:r>
      <w:r>
        <w:rPr>
          <w:rFonts w:ascii="黑体" w:hAnsi="黑体" w:cs="黑体" w:eastAsia="黑体" w:hint="default"/>
          <w:b/>
          <w:bCs/>
          <w:sz w:val="32"/>
          <w:szCs w:val="32"/>
        </w:rPr>
        <w:t>告</w:t>
      </w:r>
      <w:r>
        <w:rPr>
          <w:rFonts w:ascii="黑体" w:hAnsi="黑体" w:cs="黑体" w:eastAsia="黑体" w:hint="default"/>
          <w:sz w:val="32"/>
          <w:szCs w:val="32"/>
        </w:rPr>
      </w:r>
    </w:p>
    <w:p>
      <w:pPr>
        <w:spacing w:line="240" w:lineRule="auto" w:before="12"/>
        <w:rPr>
          <w:rFonts w:ascii="黑体" w:hAnsi="黑体" w:cs="黑体" w:eastAsia="黑体" w:hint="default"/>
          <w:b/>
          <w:bCs/>
          <w:sz w:val="22"/>
          <w:szCs w:val="22"/>
        </w:rPr>
      </w:pPr>
    </w:p>
    <w:p>
      <w:pPr>
        <w:spacing w:before="0"/>
        <w:ind w:left="0" w:right="2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立信大华审字</w:t>
      </w:r>
      <w:r>
        <w:rPr>
          <w:rFonts w:ascii="Times New Roman" w:hAnsi="Times New Roman" w:cs="Times New Roman" w:eastAsia="Times New Roman" w:hint="default"/>
          <w:b/>
          <w:bCs/>
          <w:sz w:val="18"/>
          <w:szCs w:val="18"/>
        </w:rPr>
        <w:t>[2011]146</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号</w:t>
      </w:r>
      <w:r>
        <w:rPr>
          <w:rFonts w:ascii="Microsoft JhengHei" w:hAnsi="Microsoft JhengHei" w:cs="Microsoft JhengHei" w:eastAsia="Microsoft JhengHei" w:hint="default"/>
          <w:sz w:val="18"/>
          <w:szCs w:val="18"/>
        </w:rPr>
      </w:r>
    </w:p>
    <w:p>
      <w:pPr>
        <w:pStyle w:val="Heading4"/>
        <w:spacing w:line="778" w:lineRule="exact" w:before="54"/>
        <w:ind w:left="701" w:right="0" w:hanging="560"/>
        <w:jc w:val="left"/>
      </w:pPr>
      <w:r>
        <w:rPr/>
        <w:t>深圳市新国都技术股份有限公司全体股东</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我们审计了后附的深圳市新国都技术股份有限公司</w:t>
      </w:r>
      <w:r>
        <w:rPr>
          <w:rFonts w:ascii="Times New Roman" w:hAnsi="Times New Roman" w:cs="Times New Roman" w:eastAsia="Times New Roman" w:hint="default"/>
          <w:spacing w:val="2"/>
        </w:rPr>
        <w:t>(</w:t>
      </w:r>
      <w:r>
        <w:rPr>
          <w:spacing w:val="2"/>
        </w:rPr>
        <w:t>以下简称新国</w:t>
      </w:r>
    </w:p>
    <w:p>
      <w:pPr>
        <w:spacing w:line="302" w:lineRule="auto" w:before="5"/>
        <w:ind w:left="142" w:right="162" w:firstLine="0"/>
        <w:jc w:val="both"/>
        <w:rPr>
          <w:rFonts w:ascii="宋体" w:hAnsi="宋体" w:cs="宋体" w:eastAsia="宋体" w:hint="default"/>
          <w:sz w:val="28"/>
          <w:szCs w:val="28"/>
        </w:rPr>
      </w:pPr>
      <w:r>
        <w:rPr>
          <w:rFonts w:ascii="宋体" w:hAnsi="宋体" w:cs="宋体" w:eastAsia="宋体" w:hint="default"/>
          <w:spacing w:val="-3"/>
          <w:sz w:val="28"/>
          <w:szCs w:val="28"/>
        </w:rPr>
        <w:t>都技术</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的财务报表，包括</w:t>
      </w:r>
      <w:r>
        <w:rPr>
          <w:rFonts w:ascii="宋体" w:hAnsi="宋体" w:cs="宋体" w:eastAsia="宋体" w:hint="default"/>
          <w:spacing w:val="-67"/>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日的合并资产负债表和资产</w:t>
      </w:r>
      <w:r>
        <w:rPr>
          <w:rFonts w:ascii="宋体" w:hAnsi="宋体" w:cs="宋体" w:eastAsia="宋体" w:hint="default"/>
          <w:w w:val="100"/>
          <w:sz w:val="28"/>
          <w:szCs w:val="28"/>
        </w:rPr>
        <w:t> </w:t>
      </w:r>
      <w:r>
        <w:rPr>
          <w:rFonts w:ascii="宋体" w:hAnsi="宋体" w:cs="宋体" w:eastAsia="宋体" w:hint="default"/>
          <w:spacing w:val="-9"/>
          <w:sz w:val="28"/>
          <w:szCs w:val="28"/>
        </w:rPr>
        <w:t>负债表，</w:t>
      </w:r>
      <w:r>
        <w:rPr>
          <w:rFonts w:ascii="Times New Roman" w:hAnsi="Times New Roman" w:cs="Times New Roman" w:eastAsia="Times New Roman" w:hint="default"/>
          <w:spacing w:val="-9"/>
          <w:sz w:val="28"/>
          <w:szCs w:val="28"/>
        </w:rPr>
        <w:t>2010</w:t>
      </w:r>
      <w:r>
        <w:rPr>
          <w:rFonts w:ascii="Times New Roman" w:hAnsi="Times New Roman" w:cs="Times New Roman" w:eastAsia="Times New Roman" w:hint="default"/>
          <w:spacing w:val="25"/>
          <w:sz w:val="28"/>
          <w:szCs w:val="28"/>
        </w:rPr>
        <w:t> </w:t>
      </w:r>
      <w:r>
        <w:rPr>
          <w:rFonts w:ascii="宋体" w:hAnsi="宋体" w:cs="宋体" w:eastAsia="宋体" w:hint="default"/>
          <w:spacing w:val="-4"/>
          <w:sz w:val="28"/>
          <w:szCs w:val="28"/>
        </w:rPr>
        <w:t>年度的合并利润表和利润表、合并股东权益变动表和股东</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权益变动表、合并现金流量表和现金流量表以及财务报表附注。</w:t>
      </w:r>
    </w:p>
    <w:p>
      <w:pPr>
        <w:spacing w:before="247"/>
        <w:ind w:left="14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sz w:val="28"/>
          <w:szCs w:val="28"/>
        </w:rPr>
      </w:r>
    </w:p>
    <w:p>
      <w:pPr>
        <w:spacing w:line="307" w:lineRule="auto" w:before="129"/>
        <w:ind w:left="142" w:right="159" w:firstLine="559"/>
        <w:jc w:val="both"/>
        <w:rPr>
          <w:rFonts w:ascii="宋体" w:hAnsi="宋体" w:cs="宋体" w:eastAsia="宋体" w:hint="default"/>
          <w:sz w:val="28"/>
          <w:szCs w:val="28"/>
        </w:rPr>
      </w:pPr>
      <w:r>
        <w:rPr>
          <w:rFonts w:ascii="宋体" w:hAnsi="宋体" w:cs="宋体" w:eastAsia="宋体" w:hint="default"/>
          <w:spacing w:val="6"/>
          <w:sz w:val="28"/>
          <w:szCs w:val="28"/>
        </w:rPr>
        <w:t>按照企业会计准则的规定编制财务报表是新国都技术管理层的责</w:t>
      </w:r>
      <w:r>
        <w:rPr>
          <w:rFonts w:ascii="宋体" w:hAnsi="宋体" w:cs="宋体" w:eastAsia="宋体" w:hint="default"/>
          <w:spacing w:val="7"/>
          <w:w w:val="100"/>
          <w:sz w:val="28"/>
          <w:szCs w:val="28"/>
        </w:rPr>
        <w:t> </w:t>
      </w:r>
      <w:r>
        <w:rPr>
          <w:rFonts w:ascii="宋体" w:hAnsi="宋体" w:cs="宋体" w:eastAsia="宋体" w:hint="default"/>
          <w:spacing w:val="-8"/>
          <w:w w:val="100"/>
          <w:sz w:val="28"/>
          <w:szCs w:val="28"/>
        </w:rPr>
        <w:t>任。这种责任包括：（</w:t>
      </w:r>
      <w:r>
        <w:rPr>
          <w:rFonts w:ascii="Times New Roman" w:hAnsi="Times New Roman" w:cs="Times New Roman" w:eastAsia="Times New Roman" w:hint="default"/>
          <w:spacing w:val="-8"/>
          <w:w w:val="100"/>
          <w:sz w:val="28"/>
          <w:szCs w:val="28"/>
        </w:rPr>
        <w:t>1</w:t>
      </w:r>
      <w:r>
        <w:rPr>
          <w:rFonts w:ascii="宋体" w:hAnsi="宋体" w:cs="宋体" w:eastAsia="宋体" w:hint="default"/>
          <w:spacing w:val="-8"/>
          <w:w w:val="100"/>
          <w:sz w:val="28"/>
          <w:szCs w:val="28"/>
        </w:rPr>
        <w:t>）设计、实施和维护与财务报表编制相关的内部</w:t>
      </w:r>
      <w:r>
        <w:rPr>
          <w:rFonts w:ascii="宋体" w:hAnsi="宋体" w:cs="宋体" w:eastAsia="宋体" w:hint="default"/>
          <w:spacing w:val="-118"/>
          <w:w w:val="100"/>
          <w:sz w:val="28"/>
          <w:szCs w:val="28"/>
        </w:rPr>
        <w:t> </w:t>
      </w:r>
      <w:r>
        <w:rPr>
          <w:rFonts w:ascii="宋体" w:hAnsi="宋体" w:cs="宋体" w:eastAsia="宋体" w:hint="default"/>
          <w:spacing w:val="-118"/>
          <w:w w:val="100"/>
          <w:sz w:val="28"/>
          <w:szCs w:val="28"/>
        </w:rPr>
      </w:r>
      <w:r>
        <w:rPr>
          <w:rFonts w:ascii="宋体" w:hAnsi="宋体" w:cs="宋体" w:eastAsia="宋体" w:hint="default"/>
          <w:spacing w:val="-8"/>
          <w:w w:val="100"/>
          <w:sz w:val="28"/>
          <w:szCs w:val="28"/>
        </w:rPr>
        <w:t>控制，以使财务报表不存在由于舞弊或错误而导致的重大错报；（</w:t>
      </w:r>
      <w:r>
        <w:rPr>
          <w:rFonts w:ascii="Times New Roman" w:hAnsi="Times New Roman" w:cs="Times New Roman" w:eastAsia="Times New Roman" w:hint="default"/>
          <w:spacing w:val="-8"/>
          <w:w w:val="100"/>
          <w:sz w:val="28"/>
          <w:szCs w:val="28"/>
        </w:rPr>
        <w:t>2</w:t>
      </w:r>
      <w:r>
        <w:rPr>
          <w:rFonts w:ascii="宋体" w:hAnsi="宋体" w:cs="宋体" w:eastAsia="宋体" w:hint="default"/>
          <w:spacing w:val="-8"/>
          <w:w w:val="100"/>
          <w:sz w:val="28"/>
          <w:szCs w:val="28"/>
        </w:rPr>
        <w:t>）选</w:t>
      </w:r>
      <w:r>
        <w:rPr>
          <w:rFonts w:ascii="宋体" w:hAnsi="宋体" w:cs="宋体" w:eastAsia="宋体" w:hint="default"/>
          <w:spacing w:val="-24"/>
          <w:w w:val="100"/>
          <w:sz w:val="28"/>
          <w:szCs w:val="28"/>
        </w:rPr>
        <w:t> </w:t>
      </w:r>
      <w:r>
        <w:rPr>
          <w:rFonts w:ascii="宋体" w:hAnsi="宋体" w:cs="宋体" w:eastAsia="宋体" w:hint="default"/>
          <w:spacing w:val="-7"/>
          <w:w w:val="100"/>
          <w:sz w:val="28"/>
          <w:szCs w:val="28"/>
        </w:rPr>
        <w:t>择和运用恰当的会计政策；（</w:t>
      </w:r>
      <w:r>
        <w:rPr>
          <w:rFonts w:ascii="Times New Roman" w:hAnsi="Times New Roman" w:cs="Times New Roman" w:eastAsia="Times New Roman" w:hint="default"/>
          <w:spacing w:val="-7"/>
          <w:w w:val="100"/>
          <w:sz w:val="28"/>
          <w:szCs w:val="28"/>
        </w:rPr>
        <w:t>3</w:t>
      </w:r>
      <w:r>
        <w:rPr>
          <w:rFonts w:ascii="宋体" w:hAnsi="宋体" w:cs="宋体" w:eastAsia="宋体" w:hint="default"/>
          <w:spacing w:val="-7"/>
          <w:w w:val="100"/>
          <w:sz w:val="28"/>
          <w:szCs w:val="28"/>
        </w:rPr>
        <w:t>）作出合理的会计估计。</w:t>
      </w:r>
    </w:p>
    <w:p>
      <w:pPr>
        <w:spacing w:line="304" w:lineRule="auto" w:before="211"/>
        <w:ind w:left="698" w:right="0" w:hanging="55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spacing w:val="-68"/>
          <w:sz w:val="28"/>
          <w:szCs w:val="28"/>
        </w:rPr>
        <w:t> </w:t>
      </w:r>
      <w:r>
        <w:rPr>
          <w:rFonts w:ascii="Microsoft JhengHei" w:hAnsi="Microsoft JhengHei" w:cs="Microsoft JhengHei" w:eastAsia="Microsoft JhengHei" w:hint="default"/>
          <w:b/>
          <w:bCs/>
          <w:spacing w:val="-68"/>
          <w:sz w:val="28"/>
          <w:szCs w:val="28"/>
        </w:rPr>
      </w:r>
      <w:r>
        <w:rPr>
          <w:rFonts w:ascii="宋体" w:hAnsi="宋体" w:cs="宋体" w:eastAsia="宋体" w:hint="default"/>
          <w:spacing w:val="-1"/>
          <w:sz w:val="28"/>
          <w:szCs w:val="28"/>
        </w:rPr>
        <w:t>我们的责任是在实施审计工作的基础上对财务报表发表审计意见。</w:t>
      </w:r>
    </w:p>
    <w:p>
      <w:pPr>
        <w:pStyle w:val="Heading4"/>
        <w:spacing w:line="319" w:lineRule="auto" w:before="45"/>
        <w:ind w:right="165"/>
        <w:jc w:val="both"/>
      </w:pPr>
      <w:r>
        <w:rPr>
          <w:spacing w:val="-4"/>
        </w:rPr>
        <w:t>我们按照中国注册会计师审计准则的规定执行了审计工作。中国注册会</w:t>
      </w:r>
      <w:r>
        <w:rPr>
          <w:spacing w:val="-88"/>
        </w:rPr>
        <w:t> </w:t>
      </w:r>
      <w:r>
        <w:rPr>
          <w:spacing w:val="-88"/>
        </w:rPr>
      </w:r>
      <w:r>
        <w:rPr>
          <w:spacing w:val="-3"/>
        </w:rPr>
        <w:t>计师审计准则要求我们遵守职业道德规范，计划和实施审计工作以对财</w:t>
      </w:r>
      <w:r>
        <w:rPr>
          <w:spacing w:val="-115"/>
        </w:rPr>
        <w:t> </w:t>
      </w:r>
      <w:r>
        <w:rPr>
          <w:spacing w:val="-115"/>
        </w:rPr>
      </w:r>
      <w:r>
        <w:rPr/>
        <w:t>务报表是否不存在重大错报获取合理保证。</w:t>
      </w:r>
    </w:p>
    <w:p>
      <w:pPr>
        <w:spacing w:line="319" w:lineRule="auto" w:before="71"/>
        <w:ind w:left="142" w:right="165" w:firstLine="559"/>
        <w:jc w:val="both"/>
        <w:rPr>
          <w:rFonts w:ascii="宋体" w:hAnsi="宋体" w:cs="宋体" w:eastAsia="宋体" w:hint="default"/>
          <w:sz w:val="28"/>
          <w:szCs w:val="28"/>
        </w:rPr>
      </w:pPr>
      <w:r>
        <w:rPr>
          <w:rFonts w:ascii="宋体" w:hAnsi="宋体" w:cs="宋体" w:eastAsia="宋体" w:hint="default"/>
          <w:spacing w:val="-4"/>
          <w:sz w:val="28"/>
          <w:szCs w:val="28"/>
        </w:rPr>
        <w:t>审计工作涉及实施审计程序，以获取有关财务报表金额和披露的审</w:t>
      </w:r>
      <w:r>
        <w:rPr>
          <w:rFonts w:ascii="宋体" w:hAnsi="宋体" w:cs="宋体" w:eastAsia="宋体" w:hint="default"/>
          <w:w w:val="100"/>
          <w:sz w:val="28"/>
          <w:szCs w:val="28"/>
        </w:rPr>
        <w:t> </w:t>
      </w:r>
      <w:r>
        <w:rPr>
          <w:rFonts w:ascii="宋体" w:hAnsi="宋体" w:cs="宋体" w:eastAsia="宋体" w:hint="default"/>
          <w:spacing w:val="-3"/>
          <w:sz w:val="28"/>
          <w:szCs w:val="28"/>
        </w:rPr>
        <w:t>计证据。选择的审计程序取决于注册会计师的判断，包括对由于舞弊或</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错误导致的财务报表重大错报风险的评估。在进行风险评估时，我们考</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4"/>
          <w:sz w:val="28"/>
          <w:szCs w:val="28"/>
        </w:rPr>
        <w:t>虑与财务报表编制相关的内部控制，以设计恰当的审计程序，但目的并</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非对内部控制的有效性发表意见。审计工作还包括评价管理层选用会计</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5"/>
          <w:sz w:val="28"/>
          <w:szCs w:val="28"/>
        </w:rPr>
        <w:t>政策的恰当性和作出会计估计的合理性，以及评价财务报表的总体列</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z w:val="28"/>
          <w:szCs w:val="28"/>
        </w:rPr>
        <w:t>报。</w:t>
      </w:r>
    </w:p>
    <w:p>
      <w:pPr>
        <w:spacing w:after="0" w:line="319" w:lineRule="auto"/>
        <w:jc w:val="both"/>
        <w:rPr>
          <w:rFonts w:ascii="宋体" w:hAnsi="宋体" w:cs="宋体" w:eastAsia="宋体" w:hint="default"/>
          <w:sz w:val="28"/>
          <w:szCs w:val="28"/>
        </w:rPr>
        <w:sectPr>
          <w:pgSz w:w="11910" w:h="16840"/>
          <w:pgMar w:header="877" w:footer="1267" w:top="1100" w:bottom="1460" w:left="1560" w:right="1420"/>
        </w:sectPr>
      </w:pPr>
    </w:p>
    <w:p>
      <w:pPr>
        <w:pStyle w:val="Heading4"/>
        <w:spacing w:line="319" w:lineRule="auto" w:before="40"/>
        <w:ind w:right="139" w:firstLine="559"/>
        <w:jc w:val="left"/>
      </w:pPr>
      <w:r>
        <w:rPr>
          <w:spacing w:val="-4"/>
        </w:rPr>
        <w:t>我们相信，我们获取的审计证据是充分、适当的，为发表审计意见</w:t>
      </w:r>
      <w:r>
        <w:rPr>
          <w:w w:val="100"/>
        </w:rPr>
        <w:t> </w:t>
      </w:r>
      <w:r>
        <w:rPr/>
        <w:t>提供了基础。</w:t>
      </w:r>
    </w:p>
    <w:p>
      <w:pPr>
        <w:spacing w:before="227"/>
        <w:ind w:left="142" w:right="133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三、审计意见</w:t>
      </w:r>
      <w:r>
        <w:rPr>
          <w:rFonts w:ascii="Microsoft JhengHei" w:hAnsi="Microsoft JhengHei" w:cs="Microsoft JhengHei" w:eastAsia="Microsoft JhengHei" w:hint="default"/>
          <w:sz w:val="28"/>
          <w:szCs w:val="28"/>
        </w:rPr>
      </w:r>
    </w:p>
    <w:p>
      <w:pPr>
        <w:spacing w:line="319" w:lineRule="auto" w:before="132"/>
        <w:ind w:left="142" w:right="136" w:firstLine="559"/>
        <w:jc w:val="left"/>
        <w:rPr>
          <w:rFonts w:ascii="宋体" w:hAnsi="宋体" w:cs="宋体" w:eastAsia="宋体" w:hint="default"/>
          <w:sz w:val="28"/>
          <w:szCs w:val="28"/>
        </w:rPr>
      </w:pPr>
      <w:r>
        <w:rPr>
          <w:rFonts w:ascii="宋体" w:hAnsi="宋体" w:cs="宋体" w:eastAsia="宋体" w:hint="default"/>
          <w:spacing w:val="6"/>
          <w:sz w:val="28"/>
          <w:szCs w:val="28"/>
        </w:rPr>
        <w:t>我们认为，新国都技术财务报表已经按照企业会计准则的规定编</w:t>
      </w:r>
      <w:r>
        <w:rPr>
          <w:rFonts w:ascii="宋体" w:hAnsi="宋体" w:cs="宋体" w:eastAsia="宋体" w:hint="default"/>
          <w:spacing w:val="7"/>
          <w:w w:val="100"/>
          <w:sz w:val="28"/>
          <w:szCs w:val="28"/>
        </w:rPr>
        <w:t> </w:t>
      </w:r>
      <w:r>
        <w:rPr>
          <w:rFonts w:ascii="宋体" w:hAnsi="宋体" w:cs="宋体" w:eastAsia="宋体" w:hint="default"/>
          <w:sz w:val="28"/>
          <w:szCs w:val="28"/>
        </w:rPr>
        <w:t>制，在所有重大方面公允地反映了新国都技术</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10"/>
          <w:sz w:val="28"/>
          <w:szCs w:val="28"/>
        </w:rPr>
        <w:t> </w:t>
      </w:r>
      <w:r>
        <w:rPr>
          <w:rFonts w:ascii="宋体" w:hAnsi="宋体" w:cs="宋体" w:eastAsia="宋体" w:hint="default"/>
          <w:sz w:val="28"/>
          <w:szCs w:val="28"/>
        </w:rPr>
        <w:t>年</w:t>
      </w:r>
      <w:r>
        <w:rPr>
          <w:rFonts w:ascii="宋体" w:hAnsi="宋体" w:cs="宋体" w:eastAsia="宋体" w:hint="default"/>
          <w:spacing w:val="-58"/>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3"/>
          <w:sz w:val="28"/>
          <w:szCs w:val="28"/>
        </w:rPr>
        <w:t> </w:t>
      </w:r>
      <w:r>
        <w:rPr>
          <w:rFonts w:ascii="宋体" w:hAnsi="宋体" w:cs="宋体" w:eastAsia="宋体" w:hint="default"/>
          <w:sz w:val="28"/>
          <w:szCs w:val="28"/>
        </w:rPr>
        <w:t>日的财</w:t>
      </w:r>
    </w:p>
    <w:p>
      <w:pPr>
        <w:spacing w:line="382" w:lineRule="exact" w:before="0"/>
        <w:ind w:left="142" w:right="1334" w:firstLine="0"/>
        <w:jc w:val="left"/>
        <w:rPr>
          <w:rFonts w:ascii="宋体" w:hAnsi="宋体" w:cs="宋体" w:eastAsia="宋体" w:hint="default"/>
          <w:sz w:val="28"/>
          <w:szCs w:val="28"/>
        </w:rPr>
      </w:pPr>
      <w:r>
        <w:rPr>
          <w:rFonts w:ascii="宋体" w:hAnsi="宋体" w:cs="宋体" w:eastAsia="宋体" w:hint="default"/>
          <w:sz w:val="28"/>
          <w:szCs w:val="28"/>
        </w:rPr>
        <w:t>务状况以及</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年度的经营成果和现金流量。</w:t>
      </w: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8"/>
          <w:szCs w:val="38"/>
        </w:rPr>
      </w:pPr>
    </w:p>
    <w:p>
      <w:pPr>
        <w:tabs>
          <w:tab w:pos="5461" w:val="left" w:leader="none"/>
        </w:tabs>
        <w:spacing w:before="0"/>
        <w:ind w:left="420" w:right="1334" w:firstLine="0"/>
        <w:jc w:val="left"/>
        <w:rPr>
          <w:rFonts w:ascii="宋体" w:hAnsi="宋体" w:cs="宋体" w:eastAsia="宋体" w:hint="default"/>
          <w:sz w:val="28"/>
          <w:szCs w:val="28"/>
        </w:rPr>
      </w:pPr>
      <w:r>
        <w:rPr>
          <w:rFonts w:ascii="宋体" w:hAnsi="宋体" w:cs="宋体" w:eastAsia="宋体" w:hint="default"/>
          <w:spacing w:val="-1"/>
          <w:sz w:val="28"/>
          <w:szCs w:val="28"/>
        </w:rPr>
        <w:t>立信大华会计师事务所有限公司</w:t>
        <w:tab/>
        <w:t>中国注册会计师</w:t>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9"/>
          <w:szCs w:val="39"/>
        </w:rPr>
      </w:pPr>
    </w:p>
    <w:p>
      <w:pPr>
        <w:tabs>
          <w:tab w:pos="5274" w:val="left" w:leader="none"/>
        </w:tabs>
        <w:spacing w:line="633" w:lineRule="auto" w:before="0"/>
        <w:ind w:left="5322" w:right="495" w:hanging="3784"/>
        <w:jc w:val="left"/>
        <w:rPr>
          <w:rFonts w:ascii="宋体" w:hAnsi="宋体" w:cs="宋体" w:eastAsia="宋体" w:hint="default"/>
          <w:sz w:val="28"/>
          <w:szCs w:val="28"/>
        </w:rPr>
      </w:pPr>
      <w:r>
        <w:rPr>
          <w:rFonts w:ascii="宋体" w:hAnsi="宋体" w:cs="宋体" w:eastAsia="宋体" w:hint="default"/>
          <w:sz w:val="28"/>
          <w:szCs w:val="28"/>
        </w:rPr>
        <w:t>中国 </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4"/>
          <w:sz w:val="28"/>
          <w:szCs w:val="28"/>
        </w:rPr>
        <w:t> </w:t>
      </w:r>
      <w:r>
        <w:rPr>
          <w:rFonts w:ascii="宋体" w:hAnsi="宋体" w:cs="宋体" w:eastAsia="宋体" w:hint="default"/>
          <w:sz w:val="28"/>
          <w:szCs w:val="28"/>
        </w:rPr>
        <w:t>北京</w:t>
        <w:tab/>
        <w:t>中国注册会计师</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二〇一一年三月二十九日</w:t>
      </w:r>
    </w:p>
    <w:p>
      <w:pPr>
        <w:spacing w:after="0" w:line="633" w:lineRule="auto"/>
        <w:jc w:val="left"/>
        <w:rPr>
          <w:rFonts w:ascii="宋体" w:hAnsi="宋体" w:cs="宋体" w:eastAsia="宋体" w:hint="default"/>
          <w:sz w:val="28"/>
          <w:szCs w:val="28"/>
        </w:rPr>
        <w:sectPr>
          <w:footerReference w:type="default" r:id="rId56"/>
          <w:pgSz w:w="11910" w:h="16840"/>
          <w:pgMar w:footer="1267" w:header="877" w:top="1100" w:bottom="1460" w:left="1560" w:right="1440"/>
        </w:sectPr>
      </w:pPr>
    </w:p>
    <w:p>
      <w:pPr>
        <w:spacing w:line="261" w:lineRule="auto" w:before="11"/>
        <w:ind w:left="2303" w:right="2367" w:firstLine="0"/>
        <w:jc w:val="center"/>
        <w:rPr>
          <w:rFonts w:ascii="黑体" w:hAnsi="黑体" w:cs="黑体" w:eastAsia="黑体" w:hint="default"/>
          <w:sz w:val="32"/>
          <w:szCs w:val="32"/>
        </w:rPr>
      </w:pPr>
      <w:r>
        <w:rPr/>
        <w:pict>
          <v:group style="position:absolute;margin-left:83.664001pt;margin-top:2.197507pt;width:433.75pt;height:.1pt;mso-position-horizontal-relative:page;mso-position-vertical-relative:paragraph;z-index:-676792" coordorigin="1673,44" coordsize="8675,2">
            <v:shape style="position:absolute;left:1673;top:44;width:8675;height:2" coordorigin="1673,44" coordsize="8675,0" path="m1673,44l10348,44e" filled="false" stroked="true" strokeweight=".72pt" strokecolor="#000000">
              <v:path arrowok="t"/>
            </v:shape>
            <w10:wrap type="none"/>
          </v:group>
        </w:pict>
      </w:r>
      <w:r>
        <w:rPr>
          <w:rFonts w:ascii="黑体" w:hAnsi="黑体" w:cs="黑体" w:eastAsia="黑体" w:hint="default"/>
          <w:w w:val="95"/>
          <w:sz w:val="32"/>
          <w:szCs w:val="32"/>
        </w:rPr>
        <w:t>深圳市新国都技术股份有限公司</w:t>
      </w:r>
      <w:r>
        <w:rPr>
          <w:rFonts w:ascii="黑体" w:hAnsi="黑体" w:cs="黑体" w:eastAsia="黑体" w:hint="default"/>
          <w:spacing w:val="65"/>
          <w:w w:val="95"/>
          <w:sz w:val="32"/>
          <w:szCs w:val="32"/>
        </w:rPr>
        <w:t> </w:t>
      </w:r>
      <w:r>
        <w:rPr>
          <w:rFonts w:ascii="黑体" w:hAnsi="黑体" w:cs="黑体" w:eastAsia="黑体" w:hint="default"/>
          <w:spacing w:val="65"/>
          <w:w w:val="95"/>
          <w:sz w:val="32"/>
          <w:szCs w:val="32"/>
        </w:rPr>
      </w:r>
      <w:r>
        <w:rPr>
          <w:rFonts w:ascii="黑体" w:hAnsi="黑体" w:cs="黑体" w:eastAsia="黑体" w:hint="default"/>
          <w:sz w:val="32"/>
          <w:szCs w:val="32"/>
        </w:rPr>
        <w:t>二〇一〇年度财务报表附注</w:t>
      </w:r>
    </w:p>
    <w:p>
      <w:pPr>
        <w:spacing w:line="528" w:lineRule="auto" w:before="277"/>
        <w:ind w:left="142" w:right="6105" w:firstLine="359"/>
        <w:jc w:val="left"/>
        <w:rPr>
          <w:rFonts w:ascii="宋体" w:hAnsi="宋体" w:cs="宋体" w:eastAsia="宋体" w:hint="default"/>
          <w:sz w:val="18"/>
          <w:szCs w:val="18"/>
        </w:rPr>
      </w:pPr>
      <w:r>
        <w:rPr>
          <w:rFonts w:ascii="宋体" w:hAnsi="宋体" w:cs="宋体" w:eastAsia="宋体" w:hint="default"/>
          <w:sz w:val="18"/>
          <w:szCs w:val="18"/>
        </w:rPr>
        <w:t>除特别说明，以人民币元表述 </w:t>
      </w:r>
      <w:r>
        <w:rPr>
          <w:rFonts w:ascii="宋体" w:hAnsi="宋体" w:cs="宋体" w:eastAsia="宋体" w:hint="default"/>
          <w:b/>
          <w:bCs/>
          <w:sz w:val="18"/>
          <w:szCs w:val="18"/>
        </w:rPr>
        <w:t>一、公司基本情况</w:t>
      </w:r>
      <w:r>
        <w:rPr>
          <w:rFonts w:ascii="宋体" w:hAnsi="宋体" w:cs="宋体" w:eastAsia="宋体" w:hint="default"/>
          <w:sz w:val="18"/>
          <w:szCs w:val="18"/>
        </w:rPr>
      </w:r>
    </w:p>
    <w:p>
      <w:pPr>
        <w:spacing w:line="236" w:lineRule="exact" w:before="93"/>
        <w:ind w:left="142" w:right="112" w:firstLine="419"/>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新国都技术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）前身为深圳市新国都技术有限公司，</w:t>
      </w:r>
      <w:r>
        <w:rPr>
          <w:rFonts w:ascii="宋体" w:hAnsi="宋体" w:cs="宋体" w:eastAsia="宋体" w:hint="default"/>
          <w:sz w:val="18"/>
          <w:szCs w:val="18"/>
        </w:rPr>
        <w:t> 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日经深圳市工商行政管理局批准成立，由刘祥、刘亚和深圳市奥格立电子科技有限公司共同</w:t>
      </w:r>
    </w:p>
    <w:p>
      <w:pPr>
        <w:spacing w:line="223" w:lineRule="auto" w:before="0"/>
        <w:ind w:left="142" w:right="200" w:firstLine="0"/>
        <w:jc w:val="both"/>
        <w:rPr>
          <w:rFonts w:ascii="宋体" w:hAnsi="宋体" w:cs="宋体" w:eastAsia="宋体" w:hint="default"/>
          <w:sz w:val="18"/>
          <w:szCs w:val="18"/>
        </w:rPr>
      </w:pPr>
      <w:r>
        <w:rPr>
          <w:rFonts w:ascii="宋体" w:hAnsi="宋体" w:cs="宋体" w:eastAsia="宋体" w:hint="default"/>
          <w:sz w:val="18"/>
          <w:szCs w:val="18"/>
        </w:rPr>
        <w:t>出资组建，注册资本为人民币</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万元，其中刘祥出资人民币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万元，出资比例</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；刘亚出资人民币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万元，出资比例</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；深圳市奥格立电子科技有限公司出资人民币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万元，出资比例</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。本次出资业经深 圳市远东会计师事务所深远东验字</w:t>
      </w:r>
      <w:r>
        <w:rPr>
          <w:rFonts w:ascii="Times New Roman" w:hAnsi="Times New Roman" w:cs="Times New Roman" w:eastAsia="Times New Roman" w:hint="default"/>
          <w:sz w:val="18"/>
          <w:szCs w:val="18"/>
        </w:rPr>
        <w:t>[2001]</w:t>
      </w:r>
      <w:r>
        <w:rPr>
          <w:rFonts w:ascii="宋体" w:hAnsi="宋体" w:cs="宋体" w:eastAsia="宋体" w:hint="default"/>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347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号验资报告验证，并领取注册号为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4403012070860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的企业法人</w:t>
      </w:r>
    </w:p>
    <w:p>
      <w:pPr>
        <w:spacing w:line="236"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营业执照，经营期限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1" w:lineRule="exact" w:before="27"/>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日经股东会决议，刘亚将其持有的新国都技术</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的股权转让给刘祥，转让完成后股权结</w:t>
      </w:r>
    </w:p>
    <w:p>
      <w:pPr>
        <w:spacing w:line="230" w:lineRule="exact" w:before="18"/>
        <w:ind w:left="142" w:right="200" w:firstLine="0"/>
        <w:jc w:val="both"/>
        <w:rPr>
          <w:rFonts w:ascii="宋体" w:hAnsi="宋体" w:cs="宋体" w:eastAsia="宋体" w:hint="default"/>
          <w:sz w:val="18"/>
          <w:szCs w:val="18"/>
        </w:rPr>
      </w:pPr>
      <w:r>
        <w:rPr>
          <w:rFonts w:ascii="宋体" w:hAnsi="宋体" w:cs="宋体" w:eastAsia="宋体" w:hint="default"/>
          <w:sz w:val="18"/>
          <w:szCs w:val="18"/>
        </w:rPr>
        <w:t>构为：刘祥占注册资本的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；深圳市奥格立电子科技有限公司占注册资本的</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。并于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日办 理了工商变更手续。</w:t>
      </w:r>
    </w:p>
    <w:p>
      <w:pPr>
        <w:spacing w:line="241" w:lineRule="exact" w:before="19"/>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日经股东会决议决定增加注册资本人民币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万元，全部由股东深圳市奥格立电子科技</w:t>
      </w:r>
    </w:p>
    <w:p>
      <w:pPr>
        <w:spacing w:line="234"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有限公司投入，增资后新国都技术注册资本为人民币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万元，其中：深圳市奥格立电子科技有限公司占注</w:t>
      </w:r>
    </w:p>
    <w:p>
      <w:pPr>
        <w:spacing w:line="233"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册资本的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86%</w:t>
      </w:r>
      <w:r>
        <w:rPr>
          <w:rFonts w:ascii="宋体" w:hAnsi="宋体" w:cs="宋体" w:eastAsia="宋体" w:hint="default"/>
          <w:sz w:val="18"/>
          <w:szCs w:val="18"/>
        </w:rPr>
        <w:t>；刘祥占注册资本的</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。并于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日办理了工商变更手续。本次增资业经深圳市长</w:t>
      </w:r>
    </w:p>
    <w:p>
      <w:pPr>
        <w:spacing w:line="240"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城会计师事务所深长验字（</w:t>
      </w:r>
      <w:r>
        <w:rPr>
          <w:rFonts w:ascii="Times New Roman" w:hAnsi="Times New Roman" w:cs="Times New Roman" w:eastAsia="Times New Roman" w:hint="default"/>
          <w:sz w:val="18"/>
          <w:szCs w:val="18"/>
        </w:rPr>
        <w:t>2004</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号验资报告验证。</w:t>
      </w:r>
    </w:p>
    <w:p>
      <w:pPr>
        <w:spacing w:line="232" w:lineRule="exact" w:before="51"/>
        <w:ind w:left="142" w:right="200" w:firstLine="359"/>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日经股东会决议决定增加注册资本人民币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万元，全部由未分配利润转增，增资后新 国都技术注册资本为人民币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万元，其中：深圳市奥格立电子科技有限公司占注册资本的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86%</w:t>
      </w:r>
      <w:r>
        <w:rPr>
          <w:rFonts w:ascii="宋体" w:hAnsi="宋体" w:cs="宋体" w:eastAsia="宋体" w:hint="default"/>
          <w:sz w:val="18"/>
          <w:szCs w:val="18"/>
        </w:rPr>
        <w:t>；刘祥占注 册资本的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。并于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日办理了工商变更手续，本次增资业经深圳大华天诚会计师事务所深华 验字</w:t>
      </w:r>
      <w:r>
        <w:rPr>
          <w:rFonts w:ascii="Times New Roman" w:hAnsi="Times New Roman" w:cs="Times New Roman" w:eastAsia="Times New Roman" w:hint="default"/>
          <w:sz w:val="18"/>
          <w:szCs w:val="18"/>
        </w:rPr>
        <w:t>[2007]152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号验资报告验证。</w:t>
      </w:r>
    </w:p>
    <w:p>
      <w:pPr>
        <w:spacing w:line="242" w:lineRule="exact" w:before="17"/>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日股东会通过了同意深圳市奥格立电子科技有限公司将其持有新国都技术的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w:t>
      </w:r>
      <w:r>
        <w:rPr>
          <w:rFonts w:ascii="宋体" w:hAnsi="宋体" w:cs="宋体" w:eastAsia="宋体" w:hint="default"/>
          <w:sz w:val="18"/>
          <w:szCs w:val="18"/>
        </w:rPr>
        <w:t>的股权以</w:t>
      </w:r>
    </w:p>
    <w:p>
      <w:pPr>
        <w:spacing w:line="234"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4,449.64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万元的价格转让给刘祥、刘亚、江汉、李俊、徐兴春、栾承岚、李林杰、陈希芬、徐金芳、韦</w:t>
      </w:r>
    </w:p>
    <w:p>
      <w:pPr>
        <w:spacing w:line="232"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余红、赵辉、汪洋、聂淼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位自然人的决议，转让后深圳市奥格立电子科技有限公司不再持有新国都技术的</w:t>
      </w:r>
    </w:p>
    <w:p>
      <w:pPr>
        <w:spacing w:line="240"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股份。并于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日办理了工商变更手续。本次股权转让完成后，新国都技术股权结构如下表：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2081"/>
        <w:gridCol w:w="1615"/>
        <w:gridCol w:w="1858"/>
        <w:gridCol w:w="977"/>
        <w:gridCol w:w="2002"/>
      </w:tblGrid>
      <w:tr>
        <w:trPr>
          <w:trHeight w:val="296" w:hRule="exact"/>
        </w:trPr>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sz w:val="18"/>
                <w:szCs w:val="18"/>
              </w:rPr>
              <w:t>所持股份（万股）</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403" w:hRule="exact"/>
        </w:trPr>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2,115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52.875%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Times New Roman" w:hAnsi="Times New Roman" w:cs="Times New Roman" w:eastAsia="Times New Roman" w:hint="default"/>
                <w:sz w:val="18"/>
                <w:szCs w:val="18"/>
              </w:rPr>
            </w:pPr>
            <w:r>
              <w:rPr>
                <w:rFonts w:ascii="Times New Roman"/>
                <w:sz w:val="18"/>
              </w:rPr>
              <w:t>705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Times New Roman" w:hAnsi="Times New Roman" w:cs="Times New Roman" w:eastAsia="Times New Roman" w:hint="default"/>
                <w:sz w:val="18"/>
                <w:szCs w:val="18"/>
              </w:rPr>
            </w:pPr>
            <w:r>
              <w:rPr>
                <w:rFonts w:ascii="Times New Roman"/>
                <w:sz w:val="18"/>
              </w:rPr>
              <w:t>17.625%</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705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17.625%</w:t>
            </w:r>
          </w:p>
        </w:tc>
      </w:tr>
      <w:tr>
        <w:trPr>
          <w:trHeight w:val="398"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1%</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1%</w:t>
            </w:r>
          </w:p>
        </w:tc>
      </w:tr>
      <w:tr>
        <w:trPr>
          <w:trHeight w:val="399"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3" w:right="0"/>
              <w:jc w:val="left"/>
              <w:rPr>
                <w:rFonts w:ascii="Times New Roman" w:hAnsi="Times New Roman" w:cs="Times New Roman" w:eastAsia="Times New Roman" w:hint="default"/>
                <w:sz w:val="18"/>
                <w:szCs w:val="18"/>
              </w:rPr>
            </w:pPr>
            <w:r>
              <w:rPr>
                <w:rFonts w:ascii="Times New Roman"/>
                <w:sz w:val="18"/>
              </w:rPr>
              <w:t>60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3" w:right="0"/>
              <w:jc w:val="left"/>
              <w:rPr>
                <w:rFonts w:ascii="Times New Roman" w:hAnsi="Times New Roman" w:cs="Times New Roman" w:eastAsia="Times New Roman" w:hint="default"/>
                <w:sz w:val="18"/>
                <w:szCs w:val="18"/>
              </w:rPr>
            </w:pPr>
            <w:r>
              <w:rPr>
                <w:rFonts w:ascii="Times New Roman"/>
                <w:sz w:val="18"/>
              </w:rPr>
              <w:t>1.5%</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1%</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1%</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Times New Roman" w:hAnsi="Times New Roman" w:cs="Times New Roman" w:eastAsia="Times New Roman" w:hint="default"/>
                <w:sz w:val="18"/>
                <w:szCs w:val="18"/>
              </w:rPr>
            </w:pPr>
            <w:r>
              <w:rPr>
                <w:rFonts w:ascii="Times New Roman"/>
                <w:sz w:val="18"/>
              </w:rPr>
              <w:t>60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Times New Roman" w:hAnsi="Times New Roman" w:cs="Times New Roman" w:eastAsia="Times New Roman" w:hint="default"/>
                <w:sz w:val="18"/>
                <w:szCs w:val="18"/>
              </w:rPr>
            </w:pPr>
            <w:r>
              <w:rPr>
                <w:rFonts w:ascii="Times New Roman"/>
                <w:sz w:val="18"/>
              </w:rPr>
              <w:t>1.5%</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50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1.25%</w:t>
            </w:r>
          </w:p>
        </w:tc>
      </w:tr>
      <w:tr>
        <w:trPr>
          <w:trHeight w:val="398"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35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0.875%</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60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50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1.25%</w:t>
            </w:r>
          </w:p>
        </w:tc>
      </w:tr>
      <w:tr>
        <w:trPr>
          <w:trHeight w:val="418"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4,000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left="33"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16"/>
          <w:szCs w:val="16"/>
        </w:rPr>
      </w:pPr>
    </w:p>
    <w:p>
      <w:pPr>
        <w:spacing w:before="44"/>
        <w:ind w:left="501" w:right="112" w:firstLine="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次临时股东会会议及其决议、</w:t>
      </w:r>
      <w:r>
        <w:rPr>
          <w:rFonts w:ascii="Times New Roman" w:hAnsi="Times New Roman" w:cs="Times New Roman" w:eastAsia="Times New Roman" w:hint="default"/>
          <w:spacing w:val="-5"/>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日签订的发起人协议</w:t>
      </w:r>
    </w:p>
    <w:p>
      <w:pPr>
        <w:spacing w:after="0"/>
        <w:jc w:val="left"/>
        <w:rPr>
          <w:rFonts w:ascii="宋体" w:hAnsi="宋体" w:cs="宋体" w:eastAsia="宋体" w:hint="default"/>
          <w:sz w:val="18"/>
          <w:szCs w:val="18"/>
        </w:rPr>
        <w:sectPr>
          <w:footerReference w:type="default" r:id="rId57"/>
          <w:pgSz w:w="11910" w:h="16840"/>
          <w:pgMar w:footer="1226" w:header="877" w:top="1060" w:bottom="1420" w:left="1560" w:right="1380"/>
          <w:pgNumType w:start="101"/>
        </w:sectPr>
      </w:pPr>
    </w:p>
    <w:p>
      <w:pPr>
        <w:spacing w:line="240" w:lineRule="auto" w:before="11"/>
        <w:rPr>
          <w:rFonts w:ascii="宋体" w:hAnsi="宋体" w:cs="宋体" w:eastAsia="宋体" w:hint="default"/>
          <w:sz w:val="2"/>
          <w:szCs w:val="2"/>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20"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规定，新国都技术由有限责任公司整体变更为股份有限公司，以截止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日经审计的净资产人民币</w:t>
      </w:r>
    </w:p>
    <w:p>
      <w:pPr>
        <w:spacing w:line="223" w:lineRule="auto" w:before="7"/>
        <w:ind w:left="222" w:right="20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59,860,459.32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元中的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的比例折合为股本总额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万股。变更后的注册资本为人民币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元。本次变更业经深圳大华天诚会计师事务所深华验字</w:t>
      </w:r>
      <w:r>
        <w:rPr>
          <w:rFonts w:ascii="Times New Roman" w:hAnsi="Times New Roman" w:cs="Times New Roman" w:eastAsia="Times New Roman" w:hint="default"/>
          <w:sz w:val="18"/>
          <w:szCs w:val="18"/>
        </w:rPr>
        <w:t>[2008]35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号验资报告验证。</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日，新国都 技术取得深圳市工商行政管理局核发的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440301103074776</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号《企业法人营业执照》。</w:t>
      </w:r>
    </w:p>
    <w:p>
      <w:pPr>
        <w:spacing w:line="230" w:lineRule="exact" w:before="55"/>
        <w:ind w:left="222" w:right="186"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月，新国都技术与深圳国际高新技术产权交易所签订了股权登记托管服务合同，办理了非上市股 份有限公司股权托管。</w:t>
      </w:r>
    </w:p>
    <w:p>
      <w:pPr>
        <w:spacing w:line="242" w:lineRule="exact" w:before="19"/>
        <w:ind w:left="581" w:right="97" w:firstLine="0"/>
        <w:jc w:val="left"/>
        <w:rPr>
          <w:rFonts w:ascii="宋体" w:hAnsi="宋体" w:cs="宋体" w:eastAsia="宋体" w:hint="default"/>
          <w:sz w:val="18"/>
          <w:szCs w:val="18"/>
        </w:rPr>
      </w:pPr>
      <w:r>
        <w:rPr>
          <w:rFonts w:ascii="宋体" w:hAnsi="宋体" w:cs="宋体" w:eastAsia="宋体" w:hint="default"/>
          <w:sz w:val="18"/>
          <w:szCs w:val="18"/>
        </w:rPr>
        <w:t>根据新国都技术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年第一次临时股东会决议和修改后章程的规定，新国都技术申请增加注册资本人民</w:t>
      </w:r>
    </w:p>
    <w:p>
      <w:pPr>
        <w:spacing w:line="232" w:lineRule="exact" w:before="17"/>
        <w:ind w:left="222" w:right="202" w:firstLine="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万元，变更后的注册资本为人民币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4,750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万元。新增注册资本由深圳市创新投资集团有限公司、北京首 </w:t>
      </w:r>
      <w:r>
        <w:rPr>
          <w:rFonts w:ascii="宋体" w:hAnsi="宋体" w:cs="宋体" w:eastAsia="宋体" w:hint="default"/>
          <w:spacing w:val="-5"/>
          <w:sz w:val="18"/>
          <w:szCs w:val="18"/>
        </w:rPr>
        <w:t>创建设有限公司、深圳市长润创业投资企业（有限合伙）、上海林耐实业投资中心（有限合伙）、深圳市福田创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新资本创业投资有限公司、蔡衍军、陈新华、里维宁、王凌海、许芹、李妍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位新股东以人民币 </w:t>
      </w:r>
      <w:r>
        <w:rPr>
          <w:rFonts w:ascii="Times New Roman" w:hAnsi="Times New Roman" w:cs="Times New Roman" w:eastAsia="Times New Roman" w:hint="default"/>
          <w:sz w:val="18"/>
          <w:szCs w:val="18"/>
        </w:rPr>
        <w:t>5,002.50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w:t>
      </w:r>
    </w:p>
    <w:p>
      <w:pPr>
        <w:spacing w:line="218"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元全部认购，其中人民币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万元作为新增注册资本，剩余人民币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4,252.50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万元作为新国都技术资本公积，增</w:t>
      </w:r>
    </w:p>
    <w:p>
      <w:pPr>
        <w:spacing w:line="230" w:lineRule="exact" w:before="19"/>
        <w:ind w:left="222" w:right="200" w:firstLine="0"/>
        <w:jc w:val="both"/>
        <w:rPr>
          <w:rFonts w:ascii="宋体" w:hAnsi="宋体" w:cs="宋体" w:eastAsia="宋体" w:hint="default"/>
          <w:sz w:val="18"/>
          <w:szCs w:val="18"/>
        </w:rPr>
      </w:pPr>
      <w:r>
        <w:rPr>
          <w:rFonts w:ascii="宋体" w:hAnsi="宋体" w:cs="宋体" w:eastAsia="宋体" w:hint="default"/>
          <w:sz w:val="18"/>
          <w:szCs w:val="18"/>
        </w:rPr>
        <w:t>资后新国都技术注册资本为人民币 </w:t>
      </w:r>
      <w:r>
        <w:rPr>
          <w:rFonts w:ascii="Times New Roman" w:hAnsi="Times New Roman" w:cs="Times New Roman" w:eastAsia="Times New Roman" w:hint="default"/>
          <w:sz w:val="18"/>
          <w:szCs w:val="18"/>
        </w:rPr>
        <w:t>4,750 </w:t>
      </w:r>
      <w:r>
        <w:rPr>
          <w:rFonts w:ascii="宋体" w:hAnsi="宋体" w:cs="宋体" w:eastAsia="宋体" w:hint="default"/>
          <w:sz w:val="18"/>
          <w:szCs w:val="18"/>
        </w:rPr>
        <w:t>万元。该增资业经广东大华德律会计师事务所深华验字</w:t>
      </w:r>
      <w:r>
        <w:rPr>
          <w:rFonts w:ascii="Times New Roman" w:hAnsi="Times New Roman" w:cs="Times New Roman" w:eastAsia="Times New Roman" w:hint="default"/>
          <w:sz w:val="18"/>
          <w:szCs w:val="18"/>
        </w:rPr>
        <w:t>[2008]74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号验 资报告验证。并于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日办理完毕工商变更手续。</w:t>
      </w:r>
    </w:p>
    <w:p>
      <w:pPr>
        <w:spacing w:line="240" w:lineRule="exact" w:before="19"/>
        <w:ind w:left="581"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日，上海林耐实业投资中心（有限合伙）将其持有的新国都技术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1.684%</w:t>
      </w:r>
      <w:r>
        <w:rPr>
          <w:rFonts w:ascii="宋体" w:hAnsi="宋体" w:cs="宋体" w:eastAsia="宋体" w:hint="default"/>
          <w:sz w:val="18"/>
          <w:szCs w:val="18"/>
        </w:rPr>
        <w:t>的股权全部转让给</w:t>
      </w:r>
    </w:p>
    <w:p>
      <w:pPr>
        <w:spacing w:line="240"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自然人张燕民，并于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日在深圳国际高新技术产权交易所办理了股权变更的备案手续。</w:t>
      </w:r>
    </w:p>
    <w:p>
      <w:pPr>
        <w:spacing w:line="240" w:lineRule="exact" w:before="27"/>
        <w:ind w:left="581"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日，深圳市长润创业投资企业（有限合伙）将其持有的新国都技术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2.105%</w:t>
      </w:r>
      <w:r>
        <w:rPr>
          <w:rFonts w:ascii="宋体" w:hAnsi="宋体" w:cs="宋体" w:eastAsia="宋体" w:hint="default"/>
          <w:sz w:val="18"/>
          <w:szCs w:val="18"/>
        </w:rPr>
        <w:t>的股权全部转让</w:t>
      </w:r>
    </w:p>
    <w:p>
      <w:pPr>
        <w:spacing w:line="240"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给自然人王巍，并于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日在深圳国际高新技术产权交易所办理了股权变更的备案手续。</w:t>
      </w:r>
    </w:p>
    <w:p>
      <w:pPr>
        <w:spacing w:line="242" w:lineRule="exact" w:before="27"/>
        <w:ind w:left="581"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日，北京首创建设有限公司（以下简称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首创建设</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）董事会通过了关于转让其持有新国都</w:t>
      </w:r>
    </w:p>
    <w:p>
      <w:pPr>
        <w:spacing w:line="234"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技术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万股股份的决议，同意以不低于评估价格转让上述股权，并按照国有产权转让相关规定履行审批程序</w:t>
      </w:r>
    </w:p>
    <w:p>
      <w:pPr>
        <w:spacing w:line="228" w:lineRule="auto" w:before="2"/>
        <w:ind w:left="222" w:right="200" w:firstLine="0"/>
        <w:jc w:val="both"/>
        <w:rPr>
          <w:rFonts w:ascii="宋体" w:hAnsi="宋体" w:cs="宋体" w:eastAsia="宋体" w:hint="default"/>
          <w:sz w:val="18"/>
          <w:szCs w:val="18"/>
        </w:rPr>
      </w:pPr>
      <w:r>
        <w:rPr>
          <w:rFonts w:ascii="宋体" w:hAnsi="宋体" w:cs="宋体" w:eastAsia="宋体" w:hint="default"/>
          <w:sz w:val="18"/>
          <w:szCs w:val="18"/>
        </w:rPr>
        <w:t>和转让流程，呈报北京首都创业集团有限公司（以下简称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首创集团</w:t>
      </w:r>
      <w:r>
        <w:rPr>
          <w:rFonts w:ascii="Times New Roman" w:hAnsi="Times New Roman" w:cs="Times New Roman" w:eastAsia="Times New Roman" w:hint="default"/>
          <w:sz w:val="18"/>
          <w:szCs w:val="18"/>
        </w:rPr>
        <w:t>”</w:t>
      </w:r>
      <w:r>
        <w:rPr>
          <w:rFonts w:ascii="宋体" w:hAnsi="宋体" w:cs="宋体" w:eastAsia="宋体" w:hint="default"/>
          <w:sz w:val="18"/>
          <w:szCs w:val="18"/>
        </w:rPr>
        <w:t>）审批。根据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日《首创集 </w:t>
      </w:r>
      <w:r>
        <w:rPr>
          <w:rFonts w:ascii="宋体" w:hAnsi="宋体" w:cs="宋体" w:eastAsia="宋体" w:hint="default"/>
          <w:spacing w:val="-6"/>
          <w:sz w:val="18"/>
          <w:szCs w:val="18"/>
        </w:rPr>
        <w:t>团总经理办公会会议纪要》（</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年第</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次会议），首创集团同意首创建设转让其持有的新国都技术股权，转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让价格不低于初始投资额。北京市人民政府国有资产监督管理委员会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日做出了《北京市人民政 </w:t>
      </w:r>
      <w:r>
        <w:rPr>
          <w:rFonts w:ascii="宋体" w:hAnsi="宋体" w:cs="宋体" w:eastAsia="宋体" w:hint="default"/>
          <w:spacing w:val="-1"/>
          <w:sz w:val="18"/>
          <w:szCs w:val="18"/>
        </w:rPr>
        <w:t>府国有资产监督管理委员会关于深圳市新国都技术股份有限公司股权转让评估项目予以核准的批复》批准了首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创建设股份转让项目的资产评估报告，同意深圳市天健国众联资产评估土地房产评估有限公司出具的深天健国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6"/>
          <w:sz w:val="18"/>
          <w:szCs w:val="18"/>
        </w:rPr>
        <w:t>众联评报字【</w:t>
      </w:r>
      <w:r>
        <w:rPr>
          <w:rFonts w:ascii="Times New Roman" w:hAnsi="Times New Roman" w:cs="Times New Roman" w:eastAsia="Times New Roman" w:hint="default"/>
          <w:spacing w:val="-16"/>
          <w:sz w:val="18"/>
          <w:szCs w:val="18"/>
        </w:rPr>
        <w:t>2009</w:t>
      </w:r>
      <w:r>
        <w:rPr>
          <w:rFonts w:ascii="宋体" w:hAnsi="宋体" w:cs="宋体" w:eastAsia="宋体" w:hint="default"/>
          <w:spacing w:val="-16"/>
          <w:sz w:val="18"/>
          <w:szCs w:val="18"/>
        </w:rPr>
        <w:t>】第</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T-10801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号《北京首创建设有限公司拟转让持有的深圳市新国都技术股份有限公司</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2.5263%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国有股权权益价值股权转让项目资产评估报告书》对深圳市新国都技术股份有限公司股权转让项目有效。</w:t>
      </w:r>
    </w:p>
    <w:p>
      <w:pPr>
        <w:spacing w:line="232" w:lineRule="auto" w:before="48"/>
        <w:ind w:left="222" w:right="97" w:firstLine="359"/>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根据上述批复，首创建设将其持有的新国都技术全部股权在北京产权交易所挂牌转让。</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首创建设与湖南瑞驰丰和创业投资管理有限公司、钟可颐、谢建龙、黄健生、欧阳伟强等五方签署产权交易合 同，将其所持有的 </w:t>
      </w:r>
      <w:r>
        <w:rPr>
          <w:rFonts w:ascii="Times New Roman" w:hAnsi="Times New Roman" w:cs="Times New Roman" w:eastAsia="Times New Roman" w:hint="default"/>
          <w:sz w:val="18"/>
          <w:szCs w:val="18"/>
        </w:rPr>
        <w:t>120 </w:t>
      </w:r>
      <w:r>
        <w:rPr>
          <w:rFonts w:ascii="宋体" w:hAnsi="宋体" w:cs="宋体" w:eastAsia="宋体" w:hint="default"/>
          <w:sz w:val="18"/>
          <w:szCs w:val="18"/>
        </w:rPr>
        <w:t>万股新国都技术股份，作价 </w:t>
      </w:r>
      <w:r>
        <w:rPr>
          <w:rFonts w:ascii="Times New Roman" w:hAnsi="Times New Roman" w:cs="Times New Roman" w:eastAsia="Times New Roman" w:hint="default"/>
          <w:sz w:val="18"/>
          <w:szCs w:val="18"/>
        </w:rPr>
        <w:t>900 </w:t>
      </w:r>
      <w:r>
        <w:rPr>
          <w:rFonts w:ascii="宋体" w:hAnsi="宋体" w:cs="宋体" w:eastAsia="宋体" w:hint="default"/>
          <w:sz w:val="18"/>
          <w:szCs w:val="18"/>
        </w:rPr>
        <w:t>万元转让给上述五方，转让价格高于评估价值</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484.02</w:t>
      </w:r>
    </w:p>
    <w:p>
      <w:pPr>
        <w:spacing w:line="225"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万元。其中，湖南瑞驰丰和创业投资管理有限公司受让</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万股，钟可颐受让</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万股，谢建龙受让</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万股，</w:t>
      </w:r>
    </w:p>
    <w:p>
      <w:pPr>
        <w:spacing w:line="240" w:lineRule="exact" w:before="0"/>
        <w:ind w:left="222" w:right="0" w:firstLine="0"/>
        <w:jc w:val="both"/>
        <w:rPr>
          <w:rFonts w:ascii="宋体" w:hAnsi="宋体" w:cs="宋体" w:eastAsia="宋体" w:hint="default"/>
          <w:sz w:val="18"/>
          <w:szCs w:val="18"/>
        </w:rPr>
      </w:pPr>
      <w:r>
        <w:rPr>
          <w:rFonts w:ascii="宋体" w:hAnsi="宋体" w:cs="宋体" w:eastAsia="宋体" w:hint="default"/>
          <w:sz w:val="18"/>
          <w:szCs w:val="18"/>
        </w:rPr>
        <w:t>黄健生、欧阳伟强各受让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万股。上述股权变更及过户于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日完成。</w:t>
      </w:r>
    </w:p>
    <w:p>
      <w:pPr>
        <w:spacing w:line="232" w:lineRule="exact" w:before="51"/>
        <w:ind w:left="222" w:right="193"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日，深圳国际高新技术产权交易所作为非上市股份公司股权登记托管机构，就新国都技术 </w:t>
      </w:r>
      <w:r>
        <w:rPr>
          <w:rFonts w:ascii="宋体" w:hAnsi="宋体" w:cs="宋体" w:eastAsia="宋体" w:hint="default"/>
          <w:spacing w:val="-2"/>
          <w:sz w:val="18"/>
          <w:szCs w:val="18"/>
        </w:rPr>
        <w:t>股份转让后的股东情况向发行人出具了《非上市股份有限公司股东名册》。至此，新国都技术股本结构如下：</w:t>
      </w: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3300"/>
        <w:gridCol w:w="1215"/>
        <w:gridCol w:w="1664"/>
        <w:gridCol w:w="965"/>
        <w:gridCol w:w="1622"/>
      </w:tblGrid>
      <w:tr>
        <w:trPr>
          <w:trHeight w:val="267" w:hRule="exact"/>
        </w:trPr>
        <w:tc>
          <w:tcPr>
            <w:tcW w:w="3300"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持股数（万股）</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股权比例</w:t>
            </w:r>
          </w:p>
        </w:tc>
      </w:tr>
      <w:tr>
        <w:trPr>
          <w:trHeight w:val="346" w:hRule="exact"/>
        </w:trPr>
        <w:tc>
          <w:tcPr>
            <w:tcW w:w="33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2,115</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44.5263%</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705</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14.8421%</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705</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14.8421%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160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3.3684%</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100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2.1053%</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80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1.6842%</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60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1.2632%</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60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1.2632%</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60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1.2632%</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1.0526%</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1.0526%</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1.0526%</w:t>
            </w:r>
          </w:p>
        </w:tc>
      </w:tr>
      <w:tr>
        <w:trPr>
          <w:trHeight w:val="262"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121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50</w:t>
            </w:r>
          </w:p>
        </w:tc>
        <w:tc>
          <w:tcPr>
            <w:tcW w:w="96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1.0526%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480" w:right="1380"/>
        </w:sectPr>
      </w:pP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436"/>
        <w:gridCol w:w="1664"/>
        <w:gridCol w:w="958"/>
        <w:gridCol w:w="1617"/>
      </w:tblGrid>
      <w:tr>
        <w:trPr>
          <w:trHeight w:val="364" w:hRule="exact"/>
        </w:trPr>
        <w:tc>
          <w:tcPr>
            <w:tcW w:w="4436"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1664"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08" w:right="0"/>
              <w:jc w:val="lef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6" w:space="0" w:color="000000"/>
              <w:left w:val="nil" w:sz="6" w:space="0" w:color="auto"/>
              <w:bottom w:val="nil" w:sz="6" w:space="0" w:color="auto"/>
              <w:right w:val="nil" w:sz="6" w:space="0" w:color="auto"/>
            </w:tcBorders>
          </w:tcPr>
          <w:p>
            <w:pPr/>
          </w:p>
        </w:tc>
        <w:tc>
          <w:tcPr>
            <w:tcW w:w="1617"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15" w:right="0"/>
              <w:jc w:val="left"/>
              <w:rPr>
                <w:rFonts w:ascii="Times New Roman" w:hAnsi="Times New Roman" w:cs="Times New Roman" w:eastAsia="Times New Roman" w:hint="default"/>
                <w:sz w:val="18"/>
                <w:szCs w:val="18"/>
              </w:rPr>
            </w:pPr>
            <w:r>
              <w:rPr>
                <w:rFonts w:ascii="Times New Roman"/>
                <w:sz w:val="18"/>
              </w:rPr>
              <w:t>0.8421%</w:t>
            </w:r>
          </w:p>
        </w:tc>
      </w:tr>
      <w:tr>
        <w:trPr>
          <w:trHeight w:val="339"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5" w:right="0"/>
              <w:jc w:val="left"/>
              <w:rPr>
                <w:rFonts w:ascii="Times New Roman" w:hAnsi="Times New Roman" w:cs="Times New Roman" w:eastAsia="Times New Roman" w:hint="default"/>
                <w:sz w:val="18"/>
                <w:szCs w:val="18"/>
              </w:rPr>
            </w:pPr>
            <w:r>
              <w:rPr>
                <w:rFonts w:ascii="Times New Roman"/>
                <w:sz w:val="18"/>
              </w:rPr>
              <w:t>0.8421%</w:t>
            </w:r>
          </w:p>
        </w:tc>
      </w:tr>
      <w:tr>
        <w:trPr>
          <w:trHeight w:val="341"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0.8421%</w:t>
            </w:r>
          </w:p>
        </w:tc>
      </w:tr>
      <w:tr>
        <w:trPr>
          <w:trHeight w:val="341"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0.8421%</w:t>
            </w:r>
          </w:p>
        </w:tc>
      </w:tr>
      <w:tr>
        <w:trPr>
          <w:trHeight w:val="338"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5" w:right="0"/>
              <w:jc w:val="left"/>
              <w:rPr>
                <w:rFonts w:ascii="Times New Roman" w:hAnsi="Times New Roman" w:cs="Times New Roman" w:eastAsia="Times New Roman" w:hint="default"/>
                <w:sz w:val="18"/>
                <w:szCs w:val="18"/>
              </w:rPr>
            </w:pPr>
            <w:r>
              <w:rPr>
                <w:rFonts w:ascii="Times New Roman"/>
                <w:sz w:val="18"/>
              </w:rPr>
              <w:t>0.8421%</w:t>
            </w:r>
          </w:p>
        </w:tc>
      </w:tr>
      <w:tr>
        <w:trPr>
          <w:trHeight w:val="341"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35</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0.7368%</w:t>
            </w:r>
          </w:p>
        </w:tc>
      </w:tr>
      <w:tr>
        <w:trPr>
          <w:trHeight w:val="341"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30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0.6316%</w:t>
            </w:r>
          </w:p>
        </w:tc>
      </w:tr>
      <w:tr>
        <w:trPr>
          <w:trHeight w:val="338"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5" w:right="0"/>
              <w:jc w:val="left"/>
              <w:rPr>
                <w:rFonts w:ascii="Times New Roman" w:hAnsi="Times New Roman" w:cs="Times New Roman" w:eastAsia="Times New Roman" w:hint="default"/>
                <w:sz w:val="18"/>
                <w:szCs w:val="18"/>
              </w:rPr>
            </w:pPr>
            <w:r>
              <w:rPr>
                <w:rFonts w:ascii="Times New Roman"/>
                <w:sz w:val="18"/>
              </w:rPr>
              <w:t>0.4211%</w:t>
            </w:r>
          </w:p>
        </w:tc>
      </w:tr>
      <w:tr>
        <w:trPr>
          <w:trHeight w:val="341"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0.4211%</w:t>
            </w:r>
          </w:p>
        </w:tc>
      </w:tr>
      <w:tr>
        <w:trPr>
          <w:trHeight w:val="341"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0.4211%</w:t>
            </w:r>
          </w:p>
        </w:tc>
      </w:tr>
      <w:tr>
        <w:trPr>
          <w:trHeight w:val="339"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5" w:right="0"/>
              <w:jc w:val="left"/>
              <w:rPr>
                <w:rFonts w:ascii="Times New Roman" w:hAnsi="Times New Roman" w:cs="Times New Roman" w:eastAsia="Times New Roman" w:hint="default"/>
                <w:sz w:val="18"/>
                <w:szCs w:val="18"/>
              </w:rPr>
            </w:pPr>
            <w:r>
              <w:rPr>
                <w:rFonts w:ascii="Times New Roman"/>
                <w:sz w:val="18"/>
              </w:rPr>
              <w:t>0.4211%</w:t>
            </w:r>
          </w:p>
        </w:tc>
      </w:tr>
      <w:tr>
        <w:trPr>
          <w:trHeight w:val="344"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0.2105%</w:t>
            </w:r>
          </w:p>
        </w:tc>
      </w:tr>
      <w:tr>
        <w:trPr>
          <w:trHeight w:val="362" w:hRule="exact"/>
        </w:trPr>
        <w:tc>
          <w:tcPr>
            <w:tcW w:w="44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8"/>
                <w:szCs w:val="18"/>
              </w:rPr>
            </w:pPr>
            <w:r>
              <w:rPr>
                <w:rFonts w:ascii="Times New Roman"/>
                <w:sz w:val="18"/>
              </w:rPr>
              <w:t>4,750</w:t>
            </w:r>
          </w:p>
        </w:tc>
        <w:tc>
          <w:tcPr>
            <w:tcW w:w="958" w:type="dxa"/>
            <w:tcBorders>
              <w:top w:val="nil" w:sz="6" w:space="0" w:color="auto"/>
              <w:left w:val="nil" w:sz="6" w:space="0" w:color="auto"/>
              <w:bottom w:val="nil" w:sz="6" w:space="0" w:color="auto"/>
              <w:right w:val="nil" w:sz="6" w:space="0" w:color="auto"/>
            </w:tcBorders>
          </w:tcPr>
          <w:p>
            <w:pPr/>
          </w:p>
        </w:tc>
        <w:tc>
          <w:tcPr>
            <w:tcW w:w="1617"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6"/>
          <w:szCs w:val="16"/>
        </w:rPr>
      </w:pPr>
    </w:p>
    <w:p>
      <w:pPr>
        <w:spacing w:line="236" w:lineRule="exact" w:before="66"/>
        <w:ind w:left="142" w:right="128" w:firstLine="359"/>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经中国证券监督管理委员会证监发行字</w:t>
      </w:r>
      <w:r>
        <w:rPr>
          <w:rFonts w:ascii="Times New Roman" w:hAnsi="Times New Roman" w:cs="Times New Roman" w:eastAsia="Times New Roman" w:hint="default"/>
          <w:sz w:val="18"/>
          <w:szCs w:val="18"/>
        </w:rPr>
        <w:t>[2010]1292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号文核准，并经深圳证券交易所同意，本公司由主承销 商中信证券股份有限公司于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万股，每股面值</w:t>
      </w:r>
    </w:p>
    <w:p>
      <w:pPr>
        <w:spacing w:line="216" w:lineRule="exact" w:before="0"/>
        <w:ind w:left="1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日止，共募集资金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69,328.00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p>
    <w:p>
      <w:pPr>
        <w:spacing w:line="232" w:lineRule="exact" w:before="0"/>
        <w:ind w:left="1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46,945,065.67  </w:t>
      </w:r>
      <w:r>
        <w:rPr>
          <w:rFonts w:ascii="宋体" w:hAnsi="宋体" w:cs="宋体" w:eastAsia="宋体" w:hint="default"/>
          <w:sz w:val="18"/>
          <w:szCs w:val="18"/>
        </w:rPr>
        <w:t>元，募集资金净额 </w:t>
      </w:r>
      <w:r>
        <w:rPr>
          <w:rFonts w:ascii="Times New Roman" w:hAnsi="Times New Roman" w:cs="Times New Roman" w:eastAsia="Times New Roman" w:hint="default"/>
          <w:sz w:val="18"/>
          <w:szCs w:val="18"/>
        </w:rPr>
        <w:t>646,334,934.33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元，本次募集资本业经立信大华会计师事务所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立信大华验字</w:t>
      </w:r>
    </w:p>
    <w:p>
      <w:pPr>
        <w:spacing w:line="240" w:lineRule="exact" w:before="0"/>
        <w:ind w:left="142" w:right="1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w:t>
      </w:r>
    </w:p>
    <w:p>
      <w:pPr>
        <w:spacing w:line="228" w:lineRule="auto" w:before="37"/>
        <w:ind w:left="142" w:right="145" w:firstLine="359"/>
        <w:jc w:val="both"/>
        <w:rPr>
          <w:rFonts w:ascii="宋体" w:hAnsi="宋体" w:cs="宋体" w:eastAsia="宋体" w:hint="default"/>
          <w:sz w:val="18"/>
          <w:szCs w:val="18"/>
        </w:rPr>
      </w:pPr>
      <w:r>
        <w:rPr>
          <w:rFonts w:ascii="宋体" w:hAnsi="宋体" w:cs="宋体" w:eastAsia="宋体" w:hint="default"/>
          <w:sz w:val="18"/>
          <w:szCs w:val="18"/>
        </w:rPr>
        <w:t>新国都技术现注册地为深圳市福田区深南路车公庙工业区泰然劲松大厦</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17A</w:t>
      </w:r>
      <w:r>
        <w:rPr>
          <w:rFonts w:ascii="宋体" w:hAnsi="宋体" w:cs="宋体" w:eastAsia="宋体" w:hint="default"/>
          <w:sz w:val="18"/>
          <w:szCs w:val="18"/>
        </w:rPr>
        <w:t>，法定代表人为刘祥。经营范 </w:t>
      </w:r>
      <w:r>
        <w:rPr>
          <w:rFonts w:ascii="宋体" w:hAnsi="宋体" w:cs="宋体" w:eastAsia="宋体" w:hint="default"/>
          <w:w w:val="99"/>
          <w:sz w:val="18"/>
          <w:szCs w:val="18"/>
        </w:rPr>
        <w:t>围为：银行卡电子支付终端产品（</w:t>
      </w:r>
      <w:r>
        <w:rPr>
          <w:rFonts w:ascii="Times New Roman" w:hAnsi="Times New Roman" w:cs="Times New Roman" w:eastAsia="Times New Roman" w:hint="default"/>
          <w:w w:val="99"/>
          <w:sz w:val="18"/>
          <w:szCs w:val="18"/>
        </w:rPr>
        <w:t>POS</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3"/>
          <w:sz w:val="18"/>
          <w:szCs w:val="18"/>
        </w:rPr>
        <w:t>机）、电子技术密码系统产品、计算机产品及电子产品的技术开发、生</w:t>
      </w:r>
      <w:r>
        <w:rPr>
          <w:rFonts w:ascii="宋体" w:hAnsi="宋体" w:cs="宋体" w:eastAsia="宋体" w:hint="default"/>
          <w:sz w:val="18"/>
          <w:szCs w:val="18"/>
        </w:rPr>
        <w:t> </w:t>
      </w:r>
      <w:r>
        <w:rPr>
          <w:rFonts w:ascii="宋体" w:hAnsi="宋体" w:cs="宋体" w:eastAsia="宋体" w:hint="default"/>
          <w:spacing w:val="-5"/>
          <w:sz w:val="18"/>
          <w:szCs w:val="18"/>
        </w:rPr>
        <w:t>产（生产项目由分支机构经营）、销售、租赁及服务（不含专营、专控、专卖商品及限制产品）；移动支付业务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6"/>
          <w:sz w:val="18"/>
          <w:szCs w:val="18"/>
        </w:rPr>
        <w:t>的技术开发运营及服务（不含生产）。</w:t>
      </w:r>
    </w:p>
    <w:p>
      <w:pPr>
        <w:spacing w:line="501" w:lineRule="auto" w:before="39"/>
        <w:ind w:left="142" w:right="1755" w:firstLine="359"/>
        <w:jc w:val="left"/>
        <w:rPr>
          <w:rFonts w:ascii="宋体" w:hAnsi="宋体" w:cs="宋体" w:eastAsia="宋体" w:hint="default"/>
          <w:sz w:val="18"/>
          <w:szCs w:val="18"/>
        </w:rPr>
      </w:pPr>
      <w:r>
        <w:rPr>
          <w:rFonts w:ascii="宋体" w:hAnsi="宋体" w:cs="宋体" w:eastAsia="宋体" w:hint="default"/>
          <w:sz w:val="18"/>
          <w:szCs w:val="18"/>
        </w:rPr>
        <w:t>新国都技术的主营业务为生产、研发、销售、租赁银行卡电子支付终端（</w:t>
      </w:r>
      <w:r>
        <w:rPr>
          <w:rFonts w:ascii="Times New Roman" w:hAnsi="Times New Roman" w:cs="Times New Roman" w:eastAsia="Times New Roman" w:hint="default"/>
          <w:sz w:val="18"/>
          <w:szCs w:val="18"/>
        </w:rPr>
        <w:t>POS</w:t>
      </w:r>
      <w:r>
        <w:rPr>
          <w:rFonts w:ascii="宋体" w:hAnsi="宋体" w:cs="宋体" w:eastAsia="宋体" w:hint="default"/>
          <w:sz w:val="18"/>
          <w:szCs w:val="18"/>
        </w:rPr>
        <w:t>）机。 </w:t>
      </w:r>
      <w:r>
        <w:rPr>
          <w:rFonts w:ascii="宋体" w:hAnsi="宋体" w:cs="宋体" w:eastAsia="宋体" w:hint="default"/>
          <w:b/>
          <w:bCs/>
          <w:sz w:val="18"/>
          <w:szCs w:val="18"/>
        </w:rPr>
        <w:t>二、主要会计政策、会计估计和前期差错</w:t>
      </w:r>
      <w:r>
        <w:rPr>
          <w:rFonts w:ascii="宋体" w:hAnsi="宋体" w:cs="宋体" w:eastAsia="宋体" w:hint="default"/>
          <w:sz w:val="18"/>
          <w:szCs w:val="18"/>
        </w:rPr>
      </w:r>
    </w:p>
    <w:p>
      <w:pPr>
        <w:spacing w:line="280" w:lineRule="auto" w:before="89"/>
        <w:ind w:left="501" w:right="139" w:firstLine="0"/>
        <w:jc w:val="left"/>
        <w:rPr>
          <w:rFonts w:ascii="宋体" w:hAnsi="宋体" w:cs="宋体" w:eastAsia="宋体" w:hint="default"/>
          <w:sz w:val="18"/>
          <w:szCs w:val="18"/>
        </w:rPr>
      </w:pPr>
      <w:r>
        <w:rPr>
          <w:rFonts w:ascii="宋体" w:hAnsi="宋体" w:cs="宋体" w:eastAsia="宋体" w:hint="default"/>
          <w:b/>
          <w:bCs/>
          <w:sz w:val="18"/>
          <w:szCs w:val="18"/>
        </w:rPr>
        <w:t>（一）财务报表的编制基础</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本公司以持续经营为基础，根据实际发生的交易和事项，按照《企业会计准则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基本准则》和其他各项</w:t>
      </w:r>
    </w:p>
    <w:p>
      <w:pPr>
        <w:spacing w:line="197"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会计准则的规定进行确认和计量，在此基础上编制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年度财务报表。</w:t>
      </w:r>
    </w:p>
    <w:p>
      <w:pPr>
        <w:spacing w:line="280" w:lineRule="auto" w:before="24"/>
        <w:ind w:left="501" w:right="139" w:firstLine="0"/>
        <w:jc w:val="left"/>
        <w:rPr>
          <w:rFonts w:ascii="宋体" w:hAnsi="宋体" w:cs="宋体" w:eastAsia="宋体" w:hint="default"/>
          <w:sz w:val="18"/>
          <w:szCs w:val="18"/>
        </w:rPr>
      </w:pPr>
      <w:r>
        <w:rPr>
          <w:rFonts w:ascii="宋体" w:hAnsi="宋体" w:cs="宋体" w:eastAsia="宋体" w:hint="default"/>
          <w:b/>
          <w:bCs/>
          <w:sz w:val="18"/>
          <w:szCs w:val="18"/>
        </w:rPr>
        <w:t>（二）遵循企业会计准则的声明</w:t>
      </w:r>
      <w:r>
        <w:rPr>
          <w:rFonts w:ascii="宋体" w:hAnsi="宋体" w:cs="宋体" w:eastAsia="宋体" w:hint="default"/>
          <w:b/>
          <w:bCs/>
          <w:w w:val="99"/>
          <w:sz w:val="18"/>
          <w:szCs w:val="18"/>
        </w:rPr>
        <w:t> </w:t>
      </w:r>
      <w:r>
        <w:rPr>
          <w:rFonts w:ascii="宋体" w:hAnsi="宋体" w:cs="宋体" w:eastAsia="宋体" w:hint="default"/>
          <w:spacing w:val="-1"/>
          <w:sz w:val="18"/>
          <w:szCs w:val="18"/>
        </w:rPr>
        <w:t>本公司编制的财务报表符合企业会计准则的要求，真实、完整地反映了本公司财务状况、经营成果和现金</w:t>
      </w:r>
    </w:p>
    <w:p>
      <w:pPr>
        <w:spacing w:line="200"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流量等有关信息。</w:t>
      </w:r>
    </w:p>
    <w:p>
      <w:pPr>
        <w:spacing w:before="38"/>
        <w:ind w:left="501" w:right="1334" w:firstLine="0"/>
        <w:jc w:val="left"/>
        <w:rPr>
          <w:rFonts w:ascii="宋体" w:hAnsi="宋体" w:cs="宋体" w:eastAsia="宋体" w:hint="default"/>
          <w:sz w:val="18"/>
          <w:szCs w:val="18"/>
        </w:rPr>
      </w:pPr>
      <w:r>
        <w:rPr>
          <w:rFonts w:ascii="宋体" w:hAnsi="宋体" w:cs="宋体" w:eastAsia="宋体" w:hint="default"/>
          <w:b/>
          <w:bCs/>
          <w:sz w:val="18"/>
          <w:szCs w:val="18"/>
        </w:rPr>
        <w:t>（三）会计期间</w:t>
      </w:r>
      <w:r>
        <w:rPr>
          <w:rFonts w:ascii="宋体" w:hAnsi="宋体" w:cs="宋体" w:eastAsia="宋体" w:hint="default"/>
          <w:sz w:val="18"/>
          <w:szCs w:val="18"/>
        </w:rPr>
      </w:r>
    </w:p>
    <w:p>
      <w:pPr>
        <w:spacing w:before="38"/>
        <w:ind w:left="501" w:right="1334" w:firstLine="0"/>
        <w:jc w:val="left"/>
        <w:rPr>
          <w:rFonts w:ascii="宋体" w:hAnsi="宋体" w:cs="宋体" w:eastAsia="宋体" w:hint="default"/>
          <w:sz w:val="18"/>
          <w:szCs w:val="18"/>
        </w:rPr>
      </w:pPr>
      <w:r>
        <w:rPr>
          <w:rFonts w:ascii="宋体" w:hAnsi="宋体" w:cs="宋体" w:eastAsia="宋体" w:hint="default"/>
          <w:sz w:val="18"/>
          <w:szCs w:val="18"/>
        </w:rPr>
        <w:t>自公历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日止为一个会计年度。</w:t>
      </w:r>
    </w:p>
    <w:p>
      <w:pPr>
        <w:spacing w:line="278" w:lineRule="auto" w:before="25"/>
        <w:ind w:left="501" w:right="6225" w:firstLine="0"/>
        <w:jc w:val="left"/>
        <w:rPr>
          <w:rFonts w:ascii="宋体" w:hAnsi="宋体" w:cs="宋体" w:eastAsia="宋体" w:hint="default"/>
          <w:sz w:val="18"/>
          <w:szCs w:val="18"/>
        </w:rPr>
      </w:pPr>
      <w:r>
        <w:rPr>
          <w:rFonts w:ascii="宋体" w:hAnsi="宋体" w:cs="宋体" w:eastAsia="宋体" w:hint="default"/>
          <w:b/>
          <w:bCs/>
          <w:sz w:val="18"/>
          <w:szCs w:val="18"/>
        </w:rPr>
        <w:t>（四）记账本位币</w:t>
      </w:r>
      <w:r>
        <w:rPr>
          <w:rFonts w:ascii="宋体" w:hAnsi="宋体" w:cs="宋体" w:eastAsia="宋体" w:hint="default"/>
          <w:b/>
          <w:bCs/>
          <w:w w:val="99"/>
          <w:sz w:val="18"/>
          <w:szCs w:val="18"/>
        </w:rPr>
        <w:t> </w:t>
      </w:r>
      <w:r>
        <w:rPr>
          <w:rFonts w:ascii="宋体" w:hAnsi="宋体" w:cs="宋体" w:eastAsia="宋体" w:hint="default"/>
          <w:sz w:val="18"/>
          <w:szCs w:val="18"/>
        </w:rPr>
        <w:t>采用人民币为记账本位币。</w:t>
      </w:r>
    </w:p>
    <w:p>
      <w:pPr>
        <w:spacing w:before="9"/>
        <w:ind w:left="501" w:right="1334" w:firstLine="0"/>
        <w:jc w:val="left"/>
        <w:rPr>
          <w:rFonts w:ascii="宋体" w:hAnsi="宋体" w:cs="宋体" w:eastAsia="宋体" w:hint="default"/>
          <w:sz w:val="18"/>
          <w:szCs w:val="18"/>
        </w:rPr>
      </w:pPr>
      <w:r>
        <w:rPr>
          <w:rFonts w:ascii="宋体" w:hAnsi="宋体" w:cs="宋体" w:eastAsia="宋体" w:hint="default"/>
          <w:b/>
          <w:bCs/>
          <w:sz w:val="18"/>
          <w:szCs w:val="18"/>
        </w:rPr>
        <w:t>（五）同一控制下和非同一控制下企业合并的会计处理</w:t>
      </w:r>
      <w:r>
        <w:rPr>
          <w:rFonts w:ascii="宋体" w:hAnsi="宋体" w:cs="宋体" w:eastAsia="宋体" w:hint="default"/>
          <w:sz w:val="18"/>
          <w:szCs w:val="18"/>
        </w:rPr>
      </w:r>
    </w:p>
    <w:p>
      <w:pPr>
        <w:spacing w:line="266" w:lineRule="auto" w:before="38"/>
        <w:ind w:left="501" w:right="13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．同一控制下企业合并</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本公司在企业合并中取得的资产和负债，按照合并日在被合并方的账面价值计量。在合并中取得的净资产</w:t>
      </w:r>
    </w:p>
    <w:p>
      <w:pPr>
        <w:spacing w:line="230" w:lineRule="exact" w:before="3"/>
        <w:ind w:left="142" w:right="104" w:firstLine="0"/>
        <w:jc w:val="left"/>
        <w:rPr>
          <w:rFonts w:ascii="宋体" w:hAnsi="宋体" w:cs="宋体" w:eastAsia="宋体" w:hint="default"/>
          <w:sz w:val="18"/>
          <w:szCs w:val="18"/>
        </w:rPr>
      </w:pPr>
      <w:r>
        <w:rPr>
          <w:rFonts w:ascii="宋体" w:hAnsi="宋体" w:cs="宋体" w:eastAsia="宋体" w:hint="default"/>
          <w:sz w:val="18"/>
          <w:szCs w:val="18"/>
        </w:rPr>
        <w:t>账面价值与支付的合并对价账面价值（或发行股份面值总额）的差额，调整资本公积，资本公积不足冲减的， 调整留存收益。</w:t>
      </w:r>
    </w:p>
    <w:p>
      <w:pPr>
        <w:spacing w:line="230" w:lineRule="exact" w:before="46"/>
        <w:ind w:left="142" w:right="105" w:firstLine="359"/>
        <w:jc w:val="left"/>
        <w:rPr>
          <w:rFonts w:ascii="宋体" w:hAnsi="宋体" w:cs="宋体" w:eastAsia="宋体" w:hint="default"/>
          <w:sz w:val="18"/>
          <w:szCs w:val="18"/>
        </w:rPr>
      </w:pPr>
      <w:r>
        <w:rPr>
          <w:rFonts w:ascii="宋体" w:hAnsi="宋体" w:cs="宋体" w:eastAsia="宋体" w:hint="default"/>
          <w:sz w:val="18"/>
          <w:szCs w:val="18"/>
        </w:rPr>
        <w:t>本公司为进行企业合并而发生的各项直接相关费用，包括为进行企业合并而支付的审计费用、评估费用、 法律服务费等，于发生时计入当期损益。</w:t>
      </w:r>
    </w:p>
    <w:p>
      <w:pPr>
        <w:spacing w:line="232" w:lineRule="exact" w:before="44"/>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企业合并中发行权益性证券发生的手续费、佣金等，抵减权益性证券溢价收入，溢价收入不足冲减的，冲</w:t>
      </w:r>
      <w:r>
        <w:rPr>
          <w:rFonts w:ascii="宋体" w:hAnsi="宋体" w:cs="宋体" w:eastAsia="宋体" w:hint="default"/>
          <w:sz w:val="18"/>
          <w:szCs w:val="18"/>
        </w:rPr>
        <w:t> 减留存收益。</w:t>
      </w:r>
    </w:p>
    <w:p>
      <w:pPr>
        <w:spacing w:line="230" w:lineRule="exact" w:before="45"/>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被合并各方采用的会计政策与本公司不一致的，本公司在合并日按照本公司会计政策进行调整，在此基础</w:t>
      </w:r>
      <w:r>
        <w:rPr>
          <w:rFonts w:ascii="宋体" w:hAnsi="宋体" w:cs="宋体" w:eastAsia="宋体" w:hint="default"/>
          <w:sz w:val="18"/>
          <w:szCs w:val="18"/>
        </w:rPr>
        <w:t> 上按照企业会计准则规定确认。</w:t>
      </w:r>
    </w:p>
    <w:p>
      <w:pPr>
        <w:spacing w:line="266" w:lineRule="auto" w:before="17"/>
        <w:ind w:left="501" w:right="13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本公司在购买日对作为企业合并对价付出的资产、发生或承担的负债按照公允价值计量。公允价值与其账</w:t>
      </w:r>
    </w:p>
    <w:p>
      <w:pPr>
        <w:spacing w:line="211"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面价值的差额，计入当期损益。</w:t>
      </w:r>
    </w:p>
    <w:p>
      <w:pPr>
        <w:spacing w:after="0" w:line="211" w:lineRule="exact"/>
        <w:jc w:val="left"/>
        <w:rPr>
          <w:rFonts w:ascii="宋体" w:hAnsi="宋体" w:cs="宋体" w:eastAsia="宋体" w:hint="default"/>
          <w:sz w:val="18"/>
          <w:szCs w:val="18"/>
        </w:rPr>
        <w:sectPr>
          <w:pgSz w:w="11910" w:h="16840"/>
          <w:pgMar w:header="877" w:footer="1226" w:top="1060" w:bottom="1420" w:left="1560" w:right="14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80" w:lineRule="auto" w:before="0"/>
        <w:ind w:left="501" w:right="112" w:firstLine="0"/>
        <w:jc w:val="left"/>
        <w:rPr>
          <w:rFonts w:ascii="宋体" w:hAnsi="宋体" w:cs="宋体" w:eastAsia="宋体" w:hint="default"/>
          <w:sz w:val="18"/>
          <w:szCs w:val="18"/>
        </w:rPr>
      </w:pPr>
      <w:r>
        <w:rPr>
          <w:rFonts w:ascii="宋体" w:hAnsi="宋体" w:cs="宋体" w:eastAsia="宋体" w:hint="default"/>
          <w:sz w:val="18"/>
          <w:szCs w:val="18"/>
        </w:rPr>
        <w:t>本公司在购买日对合并成本进行分配。 </w:t>
      </w:r>
      <w:r>
        <w:rPr>
          <w:rFonts w:ascii="宋体" w:hAnsi="宋体" w:cs="宋体" w:eastAsia="宋体" w:hint="default"/>
          <w:spacing w:val="-1"/>
          <w:sz w:val="18"/>
          <w:szCs w:val="18"/>
        </w:rPr>
        <w:t>本公司对合并成本大于合并中取得的被购买方可辨认净资产公允价值份额的差额，确认为商誉；合并成本</w:t>
      </w:r>
    </w:p>
    <w:p>
      <w:pPr>
        <w:spacing w:line="203"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小于合并中取得的被购买方可辨认净资产公允价值份额的差额，计入当期损益。</w:t>
      </w:r>
    </w:p>
    <w:p>
      <w:pPr>
        <w:spacing w:line="232" w:lineRule="exact" w:before="65"/>
        <w:ind w:left="142" w:right="182" w:firstLine="359"/>
        <w:jc w:val="both"/>
        <w:rPr>
          <w:rFonts w:ascii="宋体" w:hAnsi="宋体" w:cs="宋体" w:eastAsia="宋体" w:hint="default"/>
          <w:sz w:val="18"/>
          <w:szCs w:val="18"/>
        </w:rPr>
      </w:pPr>
      <w:r>
        <w:rPr>
          <w:rFonts w:ascii="宋体" w:hAnsi="宋体" w:cs="宋体" w:eastAsia="宋体" w:hint="default"/>
          <w:spacing w:val="-1"/>
          <w:sz w:val="18"/>
          <w:szCs w:val="18"/>
        </w:rPr>
        <w:t>企业合并中取得的被购买方除无形资产外的其他各项资产（不仅限于被购买方原已确认的资产），其所带</w:t>
      </w:r>
      <w:r>
        <w:rPr>
          <w:rFonts w:ascii="宋体" w:hAnsi="宋体" w:cs="宋体" w:eastAsia="宋体" w:hint="default"/>
          <w:sz w:val="18"/>
          <w:szCs w:val="18"/>
        </w:rPr>
        <w:t> </w:t>
      </w:r>
      <w:r>
        <w:rPr>
          <w:rFonts w:ascii="宋体" w:hAnsi="宋体" w:cs="宋体" w:eastAsia="宋体" w:hint="default"/>
          <w:spacing w:val="-1"/>
          <w:sz w:val="18"/>
          <w:szCs w:val="18"/>
        </w:rPr>
        <w:t>来的经济利益很可能流入本公司且公允价值能够可靠计量的，单独确认并按公允价值计量；公允价值能够可靠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计量的无形资产，单独确认为无形资产并按公允价值计量；取得的被购买方除或有负债以外的其他各项负债， </w:t>
      </w:r>
      <w:r>
        <w:rPr>
          <w:rFonts w:ascii="宋体" w:hAnsi="宋体" w:cs="宋体" w:eastAsia="宋体" w:hint="default"/>
          <w:spacing w:val="-1"/>
          <w:sz w:val="18"/>
          <w:szCs w:val="18"/>
        </w:rPr>
        <w:t>履行有关义务很可能导致经济利益流出本公司且公允价值能够可靠计量的，单独确认并按照公允价值计量；取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得的被购买方或有负债，其公允价值能可靠计量的，单独确认为负债并按照公允价值计量。</w:t>
      </w:r>
    </w:p>
    <w:p>
      <w:pPr>
        <w:spacing w:line="278" w:lineRule="auto" w:before="17"/>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（六）合并财务报表的编制方法</w:t>
      </w:r>
      <w:r>
        <w:rPr>
          <w:rFonts w:ascii="宋体" w:hAnsi="宋体" w:cs="宋体" w:eastAsia="宋体" w:hint="default"/>
          <w:b/>
          <w:bCs/>
          <w:w w:val="99"/>
          <w:sz w:val="18"/>
          <w:szCs w:val="18"/>
        </w:rPr>
        <w:t> </w:t>
      </w:r>
      <w:r>
        <w:rPr>
          <w:rFonts w:ascii="宋体" w:hAnsi="宋体" w:cs="宋体" w:eastAsia="宋体" w:hint="default"/>
          <w:sz w:val="18"/>
          <w:szCs w:val="18"/>
        </w:rPr>
        <w:t>本公司合并财务报表的合并范围以控制为基础确定，所有子公司均纳入合并财务报表。 </w:t>
      </w:r>
      <w:r>
        <w:rPr>
          <w:rFonts w:ascii="宋体" w:hAnsi="宋体" w:cs="宋体" w:eastAsia="宋体" w:hint="default"/>
          <w:spacing w:val="-1"/>
          <w:sz w:val="18"/>
          <w:szCs w:val="18"/>
        </w:rPr>
        <w:t>所有纳入合并财务报表合并范围的子公司所采用的会计政策、会计期间与本公司一致，如子公司采用的会</w:t>
      </w:r>
    </w:p>
    <w:p>
      <w:pPr>
        <w:spacing w:line="204"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计政策、会计期间与本公司不一致的，在编制合并财务报表时，按本公司的会计政策、会计期间进行必要的调</w:t>
      </w:r>
    </w:p>
    <w:p>
      <w:pPr>
        <w:spacing w:line="233" w:lineRule="exact" w:before="0"/>
        <w:ind w:left="142" w:right="6105" w:firstLine="0"/>
        <w:jc w:val="left"/>
        <w:rPr>
          <w:rFonts w:ascii="宋体" w:hAnsi="宋体" w:cs="宋体" w:eastAsia="宋体" w:hint="default"/>
          <w:sz w:val="18"/>
          <w:szCs w:val="18"/>
        </w:rPr>
      </w:pPr>
      <w:r>
        <w:rPr>
          <w:rFonts w:ascii="宋体" w:hAnsi="宋体" w:cs="宋体" w:eastAsia="宋体" w:hint="default"/>
          <w:sz w:val="18"/>
          <w:szCs w:val="18"/>
        </w:rPr>
        <w:t>整。</w:t>
      </w:r>
    </w:p>
    <w:p>
      <w:pPr>
        <w:spacing w:line="232" w:lineRule="exact" w:before="65"/>
        <w:ind w:left="142" w:right="205" w:firstLine="359"/>
        <w:jc w:val="both"/>
        <w:rPr>
          <w:rFonts w:ascii="宋体" w:hAnsi="宋体" w:cs="宋体" w:eastAsia="宋体" w:hint="default"/>
          <w:sz w:val="18"/>
          <w:szCs w:val="18"/>
        </w:rPr>
      </w:pPr>
      <w:r>
        <w:rPr>
          <w:rFonts w:ascii="宋体" w:hAnsi="宋体" w:cs="宋体" w:eastAsia="宋体" w:hint="default"/>
          <w:spacing w:val="-1"/>
          <w:sz w:val="18"/>
          <w:szCs w:val="18"/>
        </w:rPr>
        <w:t>合并财务报表以本公司及子公司的财务报表为基础，根据其他有关资料，按照权益法调整对子公司的长期</w:t>
      </w:r>
      <w:r>
        <w:rPr>
          <w:rFonts w:ascii="宋体" w:hAnsi="宋体" w:cs="宋体" w:eastAsia="宋体" w:hint="default"/>
          <w:sz w:val="18"/>
          <w:szCs w:val="18"/>
        </w:rPr>
        <w:t> 股权投资后，由本公司编制。</w:t>
      </w:r>
    </w:p>
    <w:p>
      <w:pPr>
        <w:spacing w:line="230" w:lineRule="exact" w:before="45"/>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合并财务报表时抵销本公司与各子公司、各子公司相互之间发生的内部交易对合并资产负债表、合并利润</w:t>
      </w:r>
      <w:r>
        <w:rPr>
          <w:rFonts w:ascii="宋体" w:hAnsi="宋体" w:cs="宋体" w:eastAsia="宋体" w:hint="default"/>
          <w:sz w:val="18"/>
          <w:szCs w:val="18"/>
        </w:rPr>
        <w:t> 表、合并现金流量表、合并所有者权益变动表的影响。</w:t>
      </w:r>
    </w:p>
    <w:p>
      <w:pPr>
        <w:spacing w:line="232" w:lineRule="exact" w:before="44"/>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子公司少数股东分担的当期亏损超过了少数股东在该子公司期初所有者权益中所享有的份额的，其余额仍</w:t>
      </w:r>
      <w:r>
        <w:rPr>
          <w:rFonts w:ascii="宋体" w:hAnsi="宋体" w:cs="宋体" w:eastAsia="宋体" w:hint="default"/>
          <w:sz w:val="18"/>
          <w:szCs w:val="18"/>
        </w:rPr>
        <w:t> 应当冲减少数股东权益。</w:t>
      </w:r>
    </w:p>
    <w:p>
      <w:pPr>
        <w:spacing w:line="235" w:lineRule="auto" w:before="23"/>
        <w:ind w:left="142" w:right="202" w:firstLine="359"/>
        <w:jc w:val="both"/>
        <w:rPr>
          <w:rFonts w:ascii="宋体" w:hAnsi="宋体" w:cs="宋体" w:eastAsia="宋体" w:hint="default"/>
          <w:sz w:val="18"/>
          <w:szCs w:val="18"/>
        </w:rPr>
      </w:pPr>
      <w:r>
        <w:rPr>
          <w:rFonts w:ascii="宋体" w:hAnsi="宋体" w:cs="宋体" w:eastAsia="宋体" w:hint="default"/>
          <w:spacing w:val="-1"/>
          <w:sz w:val="18"/>
          <w:szCs w:val="18"/>
        </w:rPr>
        <w:t>在报告期内，若因同一控制下企业合并增加子公司的，则调整合并资产负债表的期初数；将子公司合并当</w:t>
      </w:r>
      <w:r>
        <w:rPr>
          <w:rFonts w:ascii="宋体" w:hAnsi="宋体" w:cs="宋体" w:eastAsia="宋体" w:hint="default"/>
          <w:sz w:val="18"/>
          <w:szCs w:val="18"/>
        </w:rPr>
        <w:t> </w:t>
      </w:r>
      <w:r>
        <w:rPr>
          <w:rFonts w:ascii="宋体" w:hAnsi="宋体" w:cs="宋体" w:eastAsia="宋体" w:hint="default"/>
          <w:spacing w:val="-1"/>
          <w:sz w:val="18"/>
          <w:szCs w:val="18"/>
        </w:rPr>
        <w:t>期期初至报告年末的收入、费用、利润纳入合并利润表；将子公司合并当期期初至报告年末的现金流量纳入合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并现金流量表。</w:t>
      </w:r>
    </w:p>
    <w:p>
      <w:pPr>
        <w:spacing w:line="232" w:lineRule="exact" w:before="65"/>
        <w:ind w:left="142" w:right="203" w:firstLine="359"/>
        <w:jc w:val="both"/>
        <w:rPr>
          <w:rFonts w:ascii="宋体" w:hAnsi="宋体" w:cs="宋体" w:eastAsia="宋体" w:hint="default"/>
          <w:sz w:val="18"/>
          <w:szCs w:val="18"/>
        </w:rPr>
      </w:pPr>
      <w:r>
        <w:rPr>
          <w:rFonts w:ascii="宋体" w:hAnsi="宋体" w:cs="宋体" w:eastAsia="宋体" w:hint="default"/>
          <w:spacing w:val="-1"/>
          <w:sz w:val="18"/>
          <w:szCs w:val="18"/>
        </w:rPr>
        <w:t>在报告期内，若因非同一控制下企业合并增加子公司的，则不调整合并资产负债表期初数；将子公司自购</w:t>
      </w:r>
      <w:r>
        <w:rPr>
          <w:rFonts w:ascii="宋体" w:hAnsi="宋体" w:cs="宋体" w:eastAsia="宋体" w:hint="default"/>
          <w:sz w:val="18"/>
          <w:szCs w:val="18"/>
        </w:rPr>
        <w:t> </w:t>
      </w:r>
      <w:r>
        <w:rPr>
          <w:rFonts w:ascii="宋体" w:hAnsi="宋体" w:cs="宋体" w:eastAsia="宋体" w:hint="default"/>
          <w:spacing w:val="-1"/>
          <w:sz w:val="18"/>
          <w:szCs w:val="18"/>
        </w:rPr>
        <w:t>买日至报告年末的收入、费用、利润纳入合并利润表；该子公司自购买日至报告年末的现金流量纳入合并现金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流量表。</w:t>
      </w:r>
    </w:p>
    <w:p>
      <w:pPr>
        <w:spacing w:line="232" w:lineRule="exact" w:before="41"/>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在报告期内，本公司处置子公司，则该子公司期初至处置日的收入、费用、利润纳入合并利润表；该子公</w:t>
      </w:r>
      <w:r>
        <w:rPr>
          <w:rFonts w:ascii="宋体" w:hAnsi="宋体" w:cs="宋体" w:eastAsia="宋体" w:hint="default"/>
          <w:sz w:val="18"/>
          <w:szCs w:val="18"/>
        </w:rPr>
        <w:t> 司期初至处置日的现金流量纳入合并现金流量表。</w:t>
      </w:r>
    </w:p>
    <w:p>
      <w:pPr>
        <w:spacing w:line="280" w:lineRule="auto" w:before="17"/>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（七）计量属性</w:t>
      </w:r>
      <w:r>
        <w:rPr>
          <w:rFonts w:ascii="宋体" w:hAnsi="宋体" w:cs="宋体" w:eastAsia="宋体" w:hint="default"/>
          <w:b/>
          <w:bCs/>
          <w:w w:val="99"/>
          <w:sz w:val="18"/>
          <w:szCs w:val="18"/>
        </w:rPr>
        <w:t> </w:t>
      </w:r>
      <w:r>
        <w:rPr>
          <w:rFonts w:ascii="宋体" w:hAnsi="宋体" w:cs="宋体" w:eastAsia="宋体" w:hint="default"/>
          <w:spacing w:val="-1"/>
          <w:sz w:val="18"/>
          <w:szCs w:val="18"/>
        </w:rPr>
        <w:t>本公司采用权责发生制记账基础，除在附注中特别说明的计价基础外，一般以实际成本为计价原则。资产</w:t>
      </w:r>
    </w:p>
    <w:p>
      <w:pPr>
        <w:spacing w:line="200"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于取得时按实际成本入账，如果以后发生资产减值的情形，则计提相应的资产减值准备。</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报告期报表项目的计量属性未发生变化。</w:t>
      </w:r>
    </w:p>
    <w:p>
      <w:pPr>
        <w:spacing w:line="280" w:lineRule="auto" w:before="38"/>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（八）现金等价物的确定标准</w:t>
      </w:r>
      <w:r>
        <w:rPr>
          <w:rFonts w:ascii="宋体" w:hAnsi="宋体" w:cs="宋体" w:eastAsia="宋体" w:hint="default"/>
          <w:b/>
          <w:bCs/>
          <w:w w:val="99"/>
          <w:sz w:val="18"/>
          <w:szCs w:val="18"/>
        </w:rPr>
        <w:t> </w:t>
      </w:r>
      <w:r>
        <w:rPr>
          <w:rFonts w:ascii="宋体" w:hAnsi="宋体" w:cs="宋体" w:eastAsia="宋体" w:hint="default"/>
          <w:spacing w:val="-3"/>
          <w:sz w:val="18"/>
          <w:szCs w:val="18"/>
        </w:rPr>
        <w:t>在编制现金流量表时，将同时具备期限短（从购买日起三个月内到期）、流动性强、易于转换为已知现金、</w:t>
      </w:r>
    </w:p>
    <w:p>
      <w:pPr>
        <w:spacing w:line="200"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价值变动风险很小四个条件的投资，确定为现金等价物。</w:t>
      </w:r>
    </w:p>
    <w:p>
      <w:pPr>
        <w:spacing w:line="280" w:lineRule="auto" w:before="38"/>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（九）外币业务核算方法</w:t>
      </w:r>
      <w:r>
        <w:rPr>
          <w:rFonts w:ascii="宋体" w:hAnsi="宋体" w:cs="宋体" w:eastAsia="宋体" w:hint="default"/>
          <w:b/>
          <w:bCs/>
          <w:w w:val="99"/>
          <w:sz w:val="18"/>
          <w:szCs w:val="18"/>
        </w:rPr>
        <w:t> </w:t>
      </w:r>
      <w:r>
        <w:rPr>
          <w:rFonts w:ascii="宋体" w:hAnsi="宋体" w:cs="宋体" w:eastAsia="宋体" w:hint="default"/>
          <w:spacing w:val="-3"/>
          <w:sz w:val="18"/>
          <w:szCs w:val="18"/>
        </w:rPr>
        <w:t>外币交易在初始确认时，采用交易发生日的即期汇率将外币金额折算为记账本位币金额。在资产负债表日，</w:t>
      </w:r>
    </w:p>
    <w:p>
      <w:pPr>
        <w:spacing w:line="201"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对外币货币性项目，采用资产负债表日即期汇率折算，因资产负债表日即期汇率与初始确认时或者前一资产负</w:t>
      </w:r>
    </w:p>
    <w:p>
      <w:pPr>
        <w:spacing w:line="232" w:lineRule="exact" w:before="23"/>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债表日即期汇率不同而产生的汇兑差额，计入当期损益。以历史成本计量的外币非货币性项目，仍采用交易发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生日的即期汇率折算，不改变其记账本位币金额。</w:t>
      </w:r>
    </w:p>
    <w:p>
      <w:pPr>
        <w:spacing w:line="278" w:lineRule="auto" w:before="17"/>
        <w:ind w:left="501" w:right="185" w:firstLine="0"/>
        <w:jc w:val="left"/>
        <w:rPr>
          <w:rFonts w:ascii="宋体" w:hAnsi="宋体" w:cs="宋体" w:eastAsia="宋体" w:hint="default"/>
          <w:sz w:val="18"/>
          <w:szCs w:val="18"/>
        </w:rPr>
      </w:pPr>
      <w:r>
        <w:rPr>
          <w:rFonts w:ascii="宋体" w:hAnsi="宋体" w:cs="宋体" w:eastAsia="宋体" w:hint="default"/>
          <w:b/>
          <w:bCs/>
          <w:sz w:val="18"/>
          <w:szCs w:val="18"/>
        </w:rPr>
        <w:t>（十）外币财务报表的折算方法</w:t>
      </w:r>
      <w:r>
        <w:rPr>
          <w:rFonts w:ascii="宋体" w:hAnsi="宋体" w:cs="宋体" w:eastAsia="宋体" w:hint="default"/>
          <w:b/>
          <w:bCs/>
          <w:w w:val="99"/>
          <w:sz w:val="18"/>
          <w:szCs w:val="18"/>
        </w:rPr>
        <w:t> </w:t>
      </w:r>
      <w:r>
        <w:rPr>
          <w:rFonts w:ascii="宋体" w:hAnsi="宋体" w:cs="宋体" w:eastAsia="宋体" w:hint="default"/>
          <w:sz w:val="18"/>
          <w:szCs w:val="18"/>
        </w:rPr>
        <w:t>资产负债表中的资产和负债项目，采用资产负债表日的即期汇率折算；所有者权益项目除</w:t>
      </w:r>
      <w:r>
        <w:rPr>
          <w:rFonts w:ascii="Times New Roman" w:hAnsi="Times New Roman" w:cs="Times New Roman" w:eastAsia="Times New Roman" w:hint="default"/>
          <w:sz w:val="18"/>
          <w:szCs w:val="18"/>
        </w:rPr>
        <w:t>“</w:t>
      </w: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p>
      <w:pPr>
        <w:spacing w:line="187"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目外，其他项目采用发生时的即期汇率折算。利润表中的收入和费用项目，采用交易发生日的即期汇率折算。</w:t>
      </w:r>
    </w:p>
    <w:p>
      <w:pPr>
        <w:spacing w:line="280" w:lineRule="auto" w:before="0"/>
        <w:ind w:left="501" w:right="112" w:hanging="360"/>
        <w:jc w:val="left"/>
        <w:rPr>
          <w:rFonts w:ascii="宋体" w:hAnsi="宋体" w:cs="宋体" w:eastAsia="宋体" w:hint="default"/>
          <w:sz w:val="18"/>
          <w:szCs w:val="18"/>
        </w:rPr>
      </w:pPr>
      <w:r>
        <w:rPr>
          <w:rFonts w:ascii="宋体" w:hAnsi="宋体" w:cs="宋体" w:eastAsia="宋体" w:hint="default"/>
          <w:sz w:val="18"/>
          <w:szCs w:val="18"/>
        </w:rPr>
        <w:t>按照上述折算产生的外币财务报表折算差额，在资产负债表所有者权益项目下单独列示。 </w:t>
      </w:r>
      <w:r>
        <w:rPr>
          <w:rFonts w:ascii="宋体" w:hAnsi="宋体" w:cs="宋体" w:eastAsia="宋体" w:hint="default"/>
          <w:spacing w:val="-1"/>
          <w:sz w:val="18"/>
          <w:szCs w:val="18"/>
        </w:rPr>
        <w:t>在处置境外经营时，将资产负债表中所有者权益项目下列示的、与该境外经营相关的外币财务报表折算差</w:t>
      </w:r>
    </w:p>
    <w:p>
      <w:pPr>
        <w:spacing w:line="200"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额，自所有者权益项目转入处置当期损益；部分处置境外经营的，按处置的比例计算处置部分的外币财务报表</w:t>
      </w:r>
    </w:p>
    <w:p>
      <w:pPr>
        <w:spacing w:line="233" w:lineRule="exact" w:before="0"/>
        <w:ind w:left="142" w:right="6105" w:firstLine="0"/>
        <w:jc w:val="left"/>
        <w:rPr>
          <w:rFonts w:ascii="宋体" w:hAnsi="宋体" w:cs="宋体" w:eastAsia="宋体" w:hint="default"/>
          <w:sz w:val="18"/>
          <w:szCs w:val="18"/>
        </w:rPr>
      </w:pPr>
      <w:r>
        <w:rPr>
          <w:rFonts w:ascii="宋体" w:hAnsi="宋体" w:cs="宋体" w:eastAsia="宋体" w:hint="default"/>
          <w:sz w:val="18"/>
          <w:szCs w:val="18"/>
        </w:rPr>
        <w:t>折算差额，转入处置当期损益。</w:t>
      </w:r>
    </w:p>
    <w:p>
      <w:pPr>
        <w:spacing w:before="38"/>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（十一）金融资产和金融负债的核算方法</w:t>
      </w:r>
      <w:r>
        <w:rPr>
          <w:rFonts w:ascii="宋体" w:hAnsi="宋体" w:cs="宋体" w:eastAsia="宋体" w:hint="default"/>
          <w:sz w:val="18"/>
          <w:szCs w:val="18"/>
        </w:rPr>
      </w:r>
    </w:p>
    <w:p>
      <w:pPr>
        <w:spacing w:line="266" w:lineRule="auto" w:before="38"/>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．金融资产和金融负债的分类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管理层按照取得持有金融资产和承担金融负债的目的，将其划分为：以公允价值计量且其变动计入当期损</w:t>
      </w:r>
    </w:p>
    <w:p>
      <w:pPr>
        <w:spacing w:line="230" w:lineRule="exact" w:before="6"/>
        <w:ind w:left="142" w:right="112" w:firstLine="0"/>
        <w:jc w:val="left"/>
        <w:rPr>
          <w:rFonts w:ascii="宋体" w:hAnsi="宋体" w:cs="宋体" w:eastAsia="宋体" w:hint="default"/>
          <w:sz w:val="18"/>
          <w:szCs w:val="18"/>
        </w:rPr>
      </w:pPr>
      <w:r>
        <w:rPr>
          <w:rFonts w:ascii="宋体" w:hAnsi="宋体" w:cs="宋体" w:eastAsia="宋体" w:hint="default"/>
          <w:spacing w:val="-3"/>
          <w:sz w:val="18"/>
          <w:szCs w:val="18"/>
        </w:rPr>
        <w:t>益的金融资产或金融负债，包括交易性金融资产或金融负债；持有至到期投资；应收款项；可供出售金融资产；</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其他金融负债等。</w:t>
      </w:r>
    </w:p>
    <w:p>
      <w:pPr>
        <w:spacing w:before="17"/>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．金融资产和金融负债的确认和计量方法</w:t>
      </w:r>
      <w:r>
        <w:rPr>
          <w:rFonts w:ascii="宋体" w:hAnsi="宋体" w:cs="宋体" w:eastAsia="宋体" w:hint="default"/>
          <w:sz w:val="18"/>
          <w:szCs w:val="18"/>
        </w:rPr>
      </w:r>
    </w:p>
    <w:p>
      <w:pPr>
        <w:spacing w:line="266" w:lineRule="auto" w:before="25"/>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）以公允价值计量且其变动计入当期损益的金融资产（金融负债） </w:t>
      </w:r>
      <w:r>
        <w:rPr>
          <w:rFonts w:ascii="宋体" w:hAnsi="宋体" w:cs="宋体" w:eastAsia="宋体" w:hint="default"/>
          <w:spacing w:val="-1"/>
          <w:sz w:val="18"/>
          <w:szCs w:val="18"/>
        </w:rPr>
        <w:t>取得时以公允价值（扣除已宣告但尚未发放的现金股利或已到付息期但尚未领取的债券利息）作为初始确</w:t>
      </w:r>
    </w:p>
    <w:p>
      <w:pPr>
        <w:spacing w:line="211"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认金额，相关的交易费用计入当期损益。</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持有期间将取得的利息或现金股利确认为投资收益，年末将公允价值变动计入当期损益。</w:t>
      </w:r>
    </w:p>
    <w:p>
      <w:pPr>
        <w:spacing w:after="0"/>
        <w:jc w:val="left"/>
        <w:rPr>
          <w:rFonts w:ascii="宋体" w:hAnsi="宋体" w:cs="宋体" w:eastAsia="宋体" w:hint="default"/>
          <w:sz w:val="18"/>
          <w:szCs w:val="18"/>
        </w:rPr>
        <w:sectPr>
          <w:pgSz w:w="11910" w:h="16840"/>
          <w:pgMar w:header="877" w:footer="1226" w:top="1060" w:bottom="1420" w:left="1560" w:right="138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before="0"/>
        <w:ind w:left="501" w:right="176" w:firstLine="0"/>
        <w:jc w:val="left"/>
        <w:rPr>
          <w:rFonts w:ascii="宋体" w:hAnsi="宋体" w:cs="宋体" w:eastAsia="宋体" w:hint="default"/>
          <w:sz w:val="18"/>
          <w:szCs w:val="18"/>
        </w:rPr>
      </w:pPr>
      <w:r>
        <w:rPr>
          <w:rFonts w:ascii="宋体" w:hAnsi="宋体" w:cs="宋体" w:eastAsia="宋体" w:hint="default"/>
          <w:sz w:val="18"/>
          <w:szCs w:val="18"/>
        </w:rPr>
        <w:t>处置时，其公允价值与初始入账金额之间的差额确认为投资收益，同时调整公允价值变动损益。</w:t>
      </w:r>
    </w:p>
    <w:p>
      <w:pPr>
        <w:spacing w:line="273" w:lineRule="auto" w:before="38"/>
        <w:ind w:left="501" w:right="1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）持有至到期投资 取得时按公允价值（扣除已到付息期但尚未领取的债券利息）和相关交易费用之和作为初始确认金额。 </w:t>
      </w:r>
      <w:r>
        <w:rPr>
          <w:rFonts w:ascii="宋体" w:hAnsi="宋体" w:cs="宋体" w:eastAsia="宋体" w:hint="default"/>
          <w:spacing w:val="-1"/>
          <w:sz w:val="18"/>
          <w:szCs w:val="18"/>
        </w:rPr>
        <w:t>持有期间按照摊余成本和实际利率计算确认利息收入，计入投资收益。实际利率在取得时确定，在该预期</w:t>
      </w:r>
    </w:p>
    <w:p>
      <w:pPr>
        <w:spacing w:line="208"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存续期间或适用的更短期间内保持不变。</w:t>
      </w:r>
    </w:p>
    <w:p>
      <w:pPr>
        <w:spacing w:before="35"/>
        <w:ind w:left="501" w:right="1334" w:firstLine="0"/>
        <w:jc w:val="left"/>
        <w:rPr>
          <w:rFonts w:ascii="宋体" w:hAnsi="宋体" w:cs="宋体" w:eastAsia="宋体" w:hint="default"/>
          <w:sz w:val="18"/>
          <w:szCs w:val="18"/>
        </w:rPr>
      </w:pPr>
      <w:r>
        <w:rPr>
          <w:rFonts w:ascii="宋体" w:hAnsi="宋体" w:cs="宋体" w:eastAsia="宋体" w:hint="default"/>
          <w:sz w:val="18"/>
          <w:szCs w:val="18"/>
        </w:rPr>
        <w:t>处置时，将所取得价款与该投资账面价值之间的差额计入投资收益。</w:t>
      </w:r>
    </w:p>
    <w:p>
      <w:pPr>
        <w:spacing w:line="266" w:lineRule="auto" w:before="38"/>
        <w:ind w:left="501" w:right="1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）应收款项 </w:t>
      </w:r>
      <w:r>
        <w:rPr>
          <w:rFonts w:ascii="宋体" w:hAnsi="宋体" w:cs="宋体" w:eastAsia="宋体" w:hint="default"/>
          <w:spacing w:val="-1"/>
          <w:sz w:val="18"/>
          <w:szCs w:val="18"/>
        </w:rPr>
        <w:t>本公司对外销售商品或提供劳务形成的应收债权，以及本公司持有的其他企业的不包括在活跃市场上有报</w:t>
      </w:r>
    </w:p>
    <w:p>
      <w:pPr>
        <w:spacing w:line="230" w:lineRule="exact" w:before="6"/>
        <w:ind w:left="142" w:right="139" w:firstLine="0"/>
        <w:jc w:val="left"/>
        <w:rPr>
          <w:rFonts w:ascii="宋体" w:hAnsi="宋体" w:cs="宋体" w:eastAsia="宋体" w:hint="default"/>
          <w:sz w:val="18"/>
          <w:szCs w:val="18"/>
        </w:rPr>
      </w:pPr>
      <w:r>
        <w:rPr>
          <w:rFonts w:ascii="宋体" w:hAnsi="宋体" w:cs="宋体" w:eastAsia="宋体" w:hint="default"/>
          <w:spacing w:val="-1"/>
          <w:sz w:val="18"/>
          <w:szCs w:val="18"/>
        </w:rPr>
        <w:t>价的债务工具的债权，包括应收账款、其他应收款、应收票据、预付账款、长期应收款等，以向购货方应收的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合同或协议价款作为初始确认金额。</w:t>
      </w:r>
    </w:p>
    <w:p>
      <w:pPr>
        <w:spacing w:before="17"/>
        <w:ind w:left="501" w:right="1334" w:firstLine="0"/>
        <w:jc w:val="left"/>
        <w:rPr>
          <w:rFonts w:ascii="宋体" w:hAnsi="宋体" w:cs="宋体" w:eastAsia="宋体" w:hint="default"/>
          <w:sz w:val="18"/>
          <w:szCs w:val="18"/>
        </w:rPr>
      </w:pPr>
      <w:r>
        <w:rPr>
          <w:rFonts w:ascii="宋体" w:hAnsi="宋体" w:cs="宋体" w:eastAsia="宋体" w:hint="default"/>
          <w:sz w:val="18"/>
          <w:szCs w:val="18"/>
        </w:rPr>
        <w:t>收回或处置时，将取得的价款与该应收款项账面价值之间的差额计入当期损益。</w:t>
      </w:r>
    </w:p>
    <w:p>
      <w:pPr>
        <w:spacing w:line="266" w:lineRule="auto" w:before="38"/>
        <w:ind w:left="501" w:right="1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 </w:t>
      </w:r>
      <w:r>
        <w:rPr>
          <w:rFonts w:ascii="宋体" w:hAnsi="宋体" w:cs="宋体" w:eastAsia="宋体" w:hint="default"/>
          <w:spacing w:val="-1"/>
          <w:sz w:val="18"/>
          <w:szCs w:val="18"/>
        </w:rPr>
        <w:t>取得时按公允价值（扣除已宣告但尚未发放的现金股利或已到付息期但尚未领取的债券利息）和相关交易</w:t>
      </w:r>
    </w:p>
    <w:p>
      <w:pPr>
        <w:spacing w:line="211"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费用之和作为初始确认金额。</w:t>
      </w:r>
    </w:p>
    <w:p>
      <w:pPr>
        <w:spacing w:line="233" w:lineRule="exact" w:before="41"/>
        <w:ind w:left="501" w:right="0" w:firstLine="0"/>
        <w:jc w:val="left"/>
        <w:rPr>
          <w:rFonts w:ascii="宋体" w:hAnsi="宋体" w:cs="宋体" w:eastAsia="宋体" w:hint="default"/>
          <w:sz w:val="18"/>
          <w:szCs w:val="18"/>
        </w:rPr>
      </w:pPr>
      <w:r>
        <w:rPr>
          <w:rFonts w:ascii="宋体" w:hAnsi="宋体" w:cs="宋体" w:eastAsia="宋体" w:hint="default"/>
          <w:sz w:val="18"/>
          <w:szCs w:val="18"/>
        </w:rPr>
        <w:t>持有期间将取得的利息或现金股利确认为投资收益。年末以公允价值计量且将公允价值变动计入资本公积</w:t>
      </w:r>
    </w:p>
    <w:p>
      <w:pPr>
        <w:spacing w:line="280" w:lineRule="auto" w:before="0"/>
        <w:ind w:left="501" w:right="139" w:hanging="360"/>
        <w:jc w:val="left"/>
        <w:rPr>
          <w:rFonts w:ascii="宋体" w:hAnsi="宋体" w:cs="宋体" w:eastAsia="宋体" w:hint="default"/>
          <w:sz w:val="18"/>
          <w:szCs w:val="18"/>
        </w:rPr>
      </w:pPr>
      <w:r>
        <w:rPr>
          <w:rFonts w:ascii="宋体" w:hAnsi="宋体" w:cs="宋体" w:eastAsia="宋体" w:hint="default"/>
          <w:spacing w:val="-11"/>
          <w:sz w:val="18"/>
          <w:szCs w:val="18"/>
        </w:rPr>
        <w:t>（其他资本公积）。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处置时，将取得的价款与该金融资产账面价值之间的差额，计入投资损益；同时，将原直接计入所有者权</w:t>
      </w:r>
    </w:p>
    <w:p>
      <w:pPr>
        <w:spacing w:line="200"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益的公允价值变动累计额对应处置部分的金额转出，计入投资损益。</w:t>
      </w:r>
    </w:p>
    <w:p>
      <w:pPr>
        <w:spacing w:line="271" w:lineRule="auto" w:before="38"/>
        <w:ind w:left="501" w:right="172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spacing w:line="230" w:lineRule="exact" w:before="27"/>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本公司发生金融资产转移时，如已将金融资产所有权上几乎所有的风险和报酬转移给转入方，则终止确认</w:t>
      </w:r>
      <w:r>
        <w:rPr>
          <w:rFonts w:ascii="宋体" w:hAnsi="宋体" w:cs="宋体" w:eastAsia="宋体" w:hint="default"/>
          <w:sz w:val="18"/>
          <w:szCs w:val="18"/>
        </w:rPr>
        <w:t> 该金融资产；如保留了金融资产所有权上几乎所有的风险和报酬的，则不终止确认该金融资产。</w:t>
      </w:r>
    </w:p>
    <w:p>
      <w:pPr>
        <w:spacing w:line="237" w:lineRule="auto" w:before="22"/>
        <w:ind w:left="142" w:right="146" w:firstLine="359"/>
        <w:jc w:val="both"/>
        <w:rPr>
          <w:rFonts w:ascii="宋体" w:hAnsi="宋体" w:cs="宋体" w:eastAsia="宋体" w:hint="default"/>
          <w:sz w:val="18"/>
          <w:szCs w:val="18"/>
        </w:rPr>
      </w:pPr>
      <w:r>
        <w:rPr>
          <w:rFonts w:ascii="宋体" w:hAnsi="宋体" w:cs="宋体" w:eastAsia="宋体" w:hint="default"/>
          <w:spacing w:val="-1"/>
          <w:sz w:val="18"/>
          <w:szCs w:val="18"/>
        </w:rPr>
        <w:t>在判断金融资产转移是否满足上述金融资产终止确认条件时，采用实质重于形式的原则。本公司将金融资</w:t>
      </w:r>
      <w:r>
        <w:rPr>
          <w:rFonts w:ascii="宋体" w:hAnsi="宋体" w:cs="宋体" w:eastAsia="宋体" w:hint="default"/>
          <w:sz w:val="18"/>
          <w:szCs w:val="18"/>
        </w:rPr>
        <w:t> </w:t>
      </w:r>
      <w:r>
        <w:rPr>
          <w:rFonts w:ascii="宋体" w:hAnsi="宋体" w:cs="宋体" w:eastAsia="宋体" w:hint="default"/>
          <w:spacing w:val="-1"/>
          <w:sz w:val="18"/>
          <w:szCs w:val="18"/>
        </w:rPr>
        <w:t>产转移区分为金融资产整体转移和部分转移。金融资产整体转移满足终止确认条件的，将下列两项金额的差额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计入当期损益：</w:t>
      </w:r>
    </w:p>
    <w:p>
      <w:pPr>
        <w:spacing w:before="38"/>
        <w:ind w:left="501" w:right="13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）所转移金融资产的账面价值；</w:t>
      </w:r>
    </w:p>
    <w:p>
      <w:pPr>
        <w:spacing w:line="230" w:lineRule="exact" w:before="53"/>
        <w:ind w:left="142" w:right="139"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）因转移而收到的对价，与原直接计入所有者权益的公允价值变动累计额（涉及转移的金融资产为可 供出售金融资产的情形）之和。</w:t>
      </w:r>
    </w:p>
    <w:p>
      <w:pPr>
        <w:spacing w:line="230" w:lineRule="exact" w:before="46"/>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金融资产部分转移满足终止确认条件的，将所转移金融资产整体的账面价值，在终止确认部分和未终止确</w:t>
      </w:r>
      <w:r>
        <w:rPr>
          <w:rFonts w:ascii="宋体" w:hAnsi="宋体" w:cs="宋体" w:eastAsia="宋体" w:hint="default"/>
          <w:sz w:val="18"/>
          <w:szCs w:val="18"/>
        </w:rPr>
        <w:t> 认部分之间，按照各自的相对公允价值进行分摊，并将下列两项金额的差额计入当期损益：</w:t>
      </w:r>
    </w:p>
    <w:p>
      <w:pPr>
        <w:spacing w:before="17"/>
        <w:ind w:left="501" w:right="13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）终止确认部分的账面价值；</w:t>
      </w:r>
    </w:p>
    <w:p>
      <w:pPr>
        <w:spacing w:line="240" w:lineRule="exact" w:before="27"/>
        <w:ind w:left="501" w:right="1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）终止确认部分的对价，与原直接计入所有者权益的公允价值变动累计额中对应终止确认部分的金额</w:t>
      </w:r>
    </w:p>
    <w:p>
      <w:pPr>
        <w:spacing w:line="276" w:lineRule="auto" w:before="0"/>
        <w:ind w:left="501" w:right="645" w:hanging="360"/>
        <w:jc w:val="left"/>
        <w:rPr>
          <w:rFonts w:ascii="宋体" w:hAnsi="宋体" w:cs="宋体" w:eastAsia="宋体" w:hint="default"/>
          <w:sz w:val="18"/>
          <w:szCs w:val="18"/>
        </w:rPr>
      </w:pPr>
      <w:r>
        <w:rPr>
          <w:rFonts w:ascii="宋体" w:hAnsi="宋体" w:cs="宋体" w:eastAsia="宋体" w:hint="default"/>
          <w:sz w:val="18"/>
          <w:szCs w:val="18"/>
        </w:rPr>
        <w:t>（涉及转移的金融资产为可供出售金融资产的情形）之和。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本公司采用公允价值计量的金融资产和金融负债全部直接参考活跃市场中的报价。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．金融资产的减值准备</w:t>
      </w:r>
      <w:r>
        <w:rPr>
          <w:rFonts w:ascii="宋体" w:hAnsi="宋体" w:cs="宋体" w:eastAsia="宋体" w:hint="default"/>
          <w:sz w:val="18"/>
          <w:szCs w:val="18"/>
        </w:rPr>
      </w:r>
    </w:p>
    <w:p>
      <w:pPr>
        <w:spacing w:line="266" w:lineRule="auto" w:before="0"/>
        <w:ind w:left="501" w:right="1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）可供出售金融资产的减值准备： </w:t>
      </w:r>
      <w:r>
        <w:rPr>
          <w:rFonts w:ascii="宋体" w:hAnsi="宋体" w:cs="宋体" w:eastAsia="宋体" w:hint="default"/>
          <w:spacing w:val="-1"/>
          <w:sz w:val="18"/>
          <w:szCs w:val="18"/>
        </w:rPr>
        <w:t>年末如果可供出售金融资产的公允价值发生较大幅度下降，或在综合考虑各种相关因素后，预期这种下降</w:t>
      </w:r>
    </w:p>
    <w:p>
      <w:pPr>
        <w:spacing w:line="230" w:lineRule="exact" w:before="3"/>
        <w:ind w:left="142" w:right="139" w:firstLine="0"/>
        <w:jc w:val="left"/>
        <w:rPr>
          <w:rFonts w:ascii="宋体" w:hAnsi="宋体" w:cs="宋体" w:eastAsia="宋体" w:hint="default"/>
          <w:sz w:val="18"/>
          <w:szCs w:val="18"/>
        </w:rPr>
      </w:pPr>
      <w:r>
        <w:rPr>
          <w:rFonts w:ascii="宋体" w:hAnsi="宋体" w:cs="宋体" w:eastAsia="宋体" w:hint="default"/>
          <w:spacing w:val="-1"/>
          <w:sz w:val="18"/>
          <w:szCs w:val="18"/>
        </w:rPr>
        <w:t>趋势属于非暂时性的，就认定其已发生减值，将原直接计入所有者权益的公允价值下降形成的累计损失一并转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出，确认减值损失。</w:t>
      </w:r>
    </w:p>
    <w:p>
      <w:pPr>
        <w:spacing w:line="264" w:lineRule="auto" w:before="17"/>
        <w:ind w:left="501" w:right="2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）持有至到期投资的减值准备： 持有至到期投资减值损失的计量比照应收款项减值损失计量方法处理。</w:t>
      </w:r>
    </w:p>
    <w:p>
      <w:pPr>
        <w:spacing w:before="20"/>
        <w:ind w:left="501" w:right="1334" w:firstLine="0"/>
        <w:jc w:val="left"/>
        <w:rPr>
          <w:rFonts w:ascii="宋体" w:hAnsi="宋体" w:cs="宋体" w:eastAsia="宋体" w:hint="default"/>
          <w:sz w:val="18"/>
          <w:szCs w:val="18"/>
        </w:rPr>
      </w:pPr>
      <w:r>
        <w:rPr>
          <w:rFonts w:ascii="宋体" w:hAnsi="宋体" w:cs="宋体" w:eastAsia="宋体" w:hint="default"/>
          <w:b/>
          <w:bCs/>
          <w:sz w:val="18"/>
          <w:szCs w:val="18"/>
        </w:rPr>
        <w:t>（十二）应收款项坏账准备的确认标准和计提方法</w:t>
      </w:r>
      <w:r>
        <w:rPr>
          <w:rFonts w:ascii="宋体" w:hAnsi="宋体" w:cs="宋体" w:eastAsia="宋体" w:hint="default"/>
          <w:sz w:val="18"/>
          <w:szCs w:val="18"/>
        </w:rPr>
      </w:r>
    </w:p>
    <w:p>
      <w:pPr>
        <w:tabs>
          <w:tab w:pos="981" w:val="left" w:leader="none"/>
        </w:tabs>
        <w:spacing w:line="268" w:lineRule="auto" w:before="38"/>
        <w:ind w:left="501" w:right="37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tab/>
        <w:t>单项金额重大并单项计提坏账准备的应收款项： 单项金额重大并单项计提坏账准备的应收款项的确认标准： 单项金额重大的具体标准为：金额在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 单项金额重大的应收款项坏账准备的计提方法：</w:t>
      </w:r>
    </w:p>
    <w:p>
      <w:pPr>
        <w:spacing w:before="16"/>
        <w:ind w:left="501" w:right="176" w:firstLine="0"/>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单独进行减值测试，按预计未来现金流量现值低于其账面价值的差额计提坏账准备，计入当期损益。</w:t>
      </w:r>
    </w:p>
    <w:p>
      <w:pPr>
        <w:spacing w:before="38"/>
        <w:ind w:left="501" w:right="1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按组合计提坏账准备应收款项：</w:t>
      </w:r>
    </w:p>
    <w:p>
      <w:pPr>
        <w:spacing w:after="0"/>
        <w:jc w:val="left"/>
        <w:rPr>
          <w:rFonts w:ascii="宋体" w:hAnsi="宋体" w:cs="宋体" w:eastAsia="宋体" w:hint="default"/>
          <w:sz w:val="18"/>
          <w:szCs w:val="18"/>
        </w:rPr>
        <w:sectPr>
          <w:pgSz w:w="11910" w:h="16840"/>
          <w:pgMar w:header="877" w:footer="1226" w:top="1060" w:bottom="1420" w:left="1560" w:right="1440"/>
        </w:sectPr>
      </w:pP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619"/>
        <w:gridCol w:w="3445"/>
        <w:gridCol w:w="2612"/>
      </w:tblGrid>
      <w:tr>
        <w:trPr>
          <w:trHeight w:val="425" w:hRule="exact"/>
        </w:trPr>
        <w:tc>
          <w:tcPr>
            <w:tcW w:w="2619"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1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445" w:type="dxa"/>
            <w:tcBorders>
              <w:top w:val="single" w:sz="6" w:space="0" w:color="000000"/>
              <w:left w:val="nil" w:sz="6" w:space="0" w:color="auto"/>
              <w:bottom w:val="nil" w:sz="6" w:space="0" w:color="auto"/>
              <w:right w:val="nil" w:sz="6" w:space="0" w:color="auto"/>
            </w:tcBorders>
          </w:tcPr>
          <w:p>
            <w:pPr/>
          </w:p>
        </w:tc>
        <w:tc>
          <w:tcPr>
            <w:tcW w:w="2612"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61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445" w:type="dxa"/>
            <w:tcBorders>
              <w:top w:val="nil" w:sz="6" w:space="0" w:color="auto"/>
              <w:left w:val="nil" w:sz="6" w:space="0" w:color="auto"/>
              <w:bottom w:val="nil" w:sz="6" w:space="0" w:color="auto"/>
              <w:right w:val="nil" w:sz="6" w:space="0" w:color="auto"/>
            </w:tcBorders>
          </w:tcPr>
          <w:p>
            <w:pPr/>
          </w:p>
        </w:tc>
        <w:tc>
          <w:tcPr>
            <w:tcW w:w="2612"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288" w:right="0"/>
              <w:jc w:val="left"/>
              <w:rPr>
                <w:rFonts w:ascii="Times New Roman" w:hAnsi="Times New Roman" w:cs="Times New Roman" w:eastAsia="Times New Roman" w:hint="default"/>
                <w:sz w:val="18"/>
                <w:szCs w:val="18"/>
              </w:rPr>
            </w:pPr>
            <w:r>
              <w:rPr>
                <w:rFonts w:ascii="Times New Roman"/>
                <w:sz w:val="18"/>
              </w:rPr>
              <w:t>5%</w:t>
            </w:r>
          </w:p>
        </w:tc>
      </w:tr>
      <w:tr>
        <w:trPr>
          <w:trHeight w:val="396"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445"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6" w:right="0"/>
              <w:jc w:val="left"/>
              <w:rPr>
                <w:rFonts w:ascii="Times New Roman" w:hAnsi="Times New Roman" w:cs="Times New Roman" w:eastAsia="Times New Roman" w:hint="default"/>
                <w:sz w:val="18"/>
                <w:szCs w:val="18"/>
              </w:rPr>
            </w:pPr>
            <w:r>
              <w:rPr>
                <w:rFonts w:ascii="Times New Roman"/>
                <w:sz w:val="18"/>
              </w:rPr>
              <w:t>20%</w:t>
            </w:r>
          </w:p>
        </w:tc>
      </w:tr>
      <w:tr>
        <w:trPr>
          <w:trHeight w:val="398"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3445"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96" w:right="0"/>
              <w:jc w:val="left"/>
              <w:rPr>
                <w:rFonts w:ascii="Times New Roman" w:hAnsi="Times New Roman" w:cs="Times New Roman" w:eastAsia="Times New Roman" w:hint="default"/>
                <w:sz w:val="18"/>
                <w:szCs w:val="18"/>
              </w:rPr>
            </w:pPr>
            <w:r>
              <w:rPr>
                <w:rFonts w:ascii="Times New Roman"/>
                <w:sz w:val="18"/>
              </w:rPr>
              <w:t>50%</w:t>
            </w:r>
          </w:p>
        </w:tc>
      </w:tr>
      <w:tr>
        <w:trPr>
          <w:trHeight w:val="291"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445"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6"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24"/>
          <w:szCs w:val="24"/>
        </w:rPr>
      </w:pPr>
    </w:p>
    <w:p>
      <w:pPr>
        <w:spacing w:line="264" w:lineRule="auto" w:before="44"/>
        <w:ind w:left="501" w:right="5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单项金额虽不重大但单项计提坏账准备的应收账款的计提方法</w:t>
      </w:r>
      <w:r>
        <w:rPr>
          <w:rFonts w:ascii="宋体" w:hAnsi="宋体" w:cs="宋体" w:eastAsia="宋体" w:hint="default"/>
          <w:sz w:val="18"/>
          <w:szCs w:val="18"/>
        </w:rPr>
        <w:t> 单独进行减值测试，按预计未来现金流量现值低于其账面价值的差额计提坏账准备，计入当期损益。</w:t>
      </w:r>
    </w:p>
    <w:p>
      <w:pPr>
        <w:spacing w:line="240" w:lineRule="auto" w:before="6"/>
        <w:rPr>
          <w:rFonts w:ascii="宋体" w:hAnsi="宋体" w:cs="宋体" w:eastAsia="宋体" w:hint="default"/>
          <w:sz w:val="20"/>
          <w:szCs w:val="20"/>
        </w:rPr>
      </w:pPr>
    </w:p>
    <w:p>
      <w:pPr>
        <w:spacing w:before="0"/>
        <w:ind w:left="501" w:right="6105" w:firstLine="0"/>
        <w:jc w:val="left"/>
        <w:rPr>
          <w:rFonts w:ascii="宋体" w:hAnsi="宋体" w:cs="宋体" w:eastAsia="宋体" w:hint="default"/>
          <w:sz w:val="18"/>
          <w:szCs w:val="18"/>
        </w:rPr>
      </w:pPr>
      <w:r>
        <w:rPr>
          <w:rFonts w:ascii="宋体" w:hAnsi="宋体" w:cs="宋体" w:eastAsia="宋体" w:hint="default"/>
          <w:b/>
          <w:bCs/>
          <w:sz w:val="18"/>
          <w:szCs w:val="18"/>
        </w:rPr>
        <w:t>（十三）存货</w:t>
      </w:r>
      <w:r>
        <w:rPr>
          <w:rFonts w:ascii="宋体" w:hAnsi="宋体" w:cs="宋体" w:eastAsia="宋体" w:hint="default"/>
          <w:sz w:val="18"/>
          <w:szCs w:val="18"/>
        </w:rPr>
      </w:r>
    </w:p>
    <w:p>
      <w:pPr>
        <w:spacing w:line="271" w:lineRule="auto" w:before="38"/>
        <w:ind w:left="501" w:right="322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存货分类为：原材料、包装物、周转材料、在产品、库存商品等。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sz w:val="18"/>
          <w:szCs w:val="18"/>
        </w:rPr>
      </w:r>
    </w:p>
    <w:p>
      <w:pPr>
        <w:spacing w:line="230" w:lineRule="exact" w:before="27"/>
        <w:ind w:left="142" w:right="210" w:firstLine="3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）产成品和在产品成本包括原材料、直接人工、其他直接成本以及按正常生产能力下适当比例分摊的 间接生产成本。各类存货的购入与入库按实际成本计价</w:t>
      </w:r>
      <w:r>
        <w:rPr>
          <w:rFonts w:ascii="Times New Roman" w:hAnsi="Times New Roman" w:cs="Times New Roman" w:eastAsia="Times New Roman" w:hint="default"/>
          <w:sz w:val="18"/>
          <w:szCs w:val="18"/>
        </w:rPr>
        <w:t>,</w:t>
      </w:r>
      <w:r>
        <w:rPr>
          <w:rFonts w:ascii="宋体" w:hAnsi="宋体" w:cs="宋体" w:eastAsia="宋体" w:hint="default"/>
          <w:sz w:val="18"/>
          <w:szCs w:val="18"/>
        </w:rPr>
        <w:t>发出按加权平均法计价。</w:t>
      </w:r>
    </w:p>
    <w:p>
      <w:pPr>
        <w:spacing w:before="17"/>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）周转材料</w:t>
      </w:r>
      <w:r>
        <w:rPr>
          <w:rFonts w:ascii="Times New Roman" w:hAnsi="Times New Roman" w:cs="Times New Roman" w:eastAsia="Times New Roman" w:hint="default"/>
          <w:sz w:val="18"/>
          <w:szCs w:val="18"/>
        </w:rPr>
        <w:t>--</w:t>
      </w:r>
      <w:r>
        <w:rPr>
          <w:rFonts w:ascii="宋体" w:hAnsi="宋体" w:cs="宋体" w:eastAsia="宋体" w:hint="default"/>
          <w:sz w:val="18"/>
          <w:szCs w:val="18"/>
        </w:rPr>
        <w:t>低值易耗品采用一次摊销法。</w:t>
      </w:r>
    </w:p>
    <w:p>
      <w:pPr>
        <w:spacing w:line="271" w:lineRule="auto" w:before="24"/>
        <w:ind w:left="501" w:right="61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．存货跌价准备的计提方法</w:t>
      </w:r>
      <w:r>
        <w:rPr>
          <w:rFonts w:ascii="宋体" w:hAnsi="宋体" w:cs="宋体" w:eastAsia="宋体" w:hint="default"/>
          <w:sz w:val="18"/>
          <w:szCs w:val="18"/>
        </w:rPr>
      </w:r>
    </w:p>
    <w:p>
      <w:pPr>
        <w:spacing w:line="280" w:lineRule="auto" w:before="0"/>
        <w:ind w:left="501" w:right="112" w:firstLine="0"/>
        <w:jc w:val="left"/>
        <w:rPr>
          <w:rFonts w:ascii="宋体" w:hAnsi="宋体" w:cs="宋体" w:eastAsia="宋体" w:hint="default"/>
          <w:sz w:val="18"/>
          <w:szCs w:val="18"/>
        </w:rPr>
      </w:pPr>
      <w:r>
        <w:rPr>
          <w:rFonts w:ascii="宋体" w:hAnsi="宋体" w:cs="宋体" w:eastAsia="宋体" w:hint="default"/>
          <w:sz w:val="18"/>
          <w:szCs w:val="18"/>
        </w:rPr>
        <w:t>年末对存货进行全面清查后，按存货的成本与可变现净值孰低提取或调整存货跌价准备。 </w:t>
      </w:r>
      <w:r>
        <w:rPr>
          <w:rFonts w:ascii="宋体" w:hAnsi="宋体" w:cs="宋体" w:eastAsia="宋体" w:hint="default"/>
          <w:spacing w:val="-1"/>
          <w:sz w:val="18"/>
          <w:szCs w:val="18"/>
        </w:rPr>
        <w:t>库存商品和用于出售的材料等直接用于出售的商品存货，在正常生产经营过程中，以该存货的估计售价减</w:t>
      </w:r>
    </w:p>
    <w:p>
      <w:pPr>
        <w:spacing w:line="201"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去估计的销售费用和相关税费后的金额，确定其可变现净值；需要经过加工的材料存货，在正常生产经营过程</w:t>
      </w:r>
    </w:p>
    <w:p>
      <w:pPr>
        <w:spacing w:line="234" w:lineRule="exact" w:before="21"/>
        <w:ind w:left="142" w:right="182" w:firstLine="0"/>
        <w:jc w:val="both"/>
        <w:rPr>
          <w:rFonts w:ascii="宋体" w:hAnsi="宋体" w:cs="宋体" w:eastAsia="宋体" w:hint="default"/>
          <w:sz w:val="18"/>
          <w:szCs w:val="18"/>
        </w:rPr>
      </w:pPr>
      <w:r>
        <w:rPr>
          <w:rFonts w:ascii="宋体" w:hAnsi="宋体" w:cs="宋体" w:eastAsia="宋体" w:hint="default"/>
          <w:sz w:val="18"/>
          <w:szCs w:val="18"/>
        </w:rPr>
        <w:t>中，以所生产的产成品的估计售价减去至完工时估计将要发生的成本、估计的销售费用和相关税费后的金额， </w:t>
      </w:r>
      <w:r>
        <w:rPr>
          <w:rFonts w:ascii="宋体" w:hAnsi="宋体" w:cs="宋体" w:eastAsia="宋体" w:hint="default"/>
          <w:spacing w:val="-1"/>
          <w:sz w:val="18"/>
          <w:szCs w:val="18"/>
        </w:rPr>
        <w:t>确定其可变现净值；为执行销售合同或者劳务合同而持有的存货，其可变现净值以合同价格为基础计算，若持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有存货的数量多于销售合同订购数量的，超出部分的存货的可变现净值以一般销售价格为基础计算。</w:t>
      </w:r>
    </w:p>
    <w:p>
      <w:pPr>
        <w:spacing w:line="235" w:lineRule="auto" w:before="23"/>
        <w:ind w:left="142" w:right="205" w:firstLine="359"/>
        <w:jc w:val="both"/>
        <w:rPr>
          <w:rFonts w:ascii="宋体" w:hAnsi="宋体" w:cs="宋体" w:eastAsia="宋体" w:hint="default"/>
          <w:sz w:val="18"/>
          <w:szCs w:val="18"/>
        </w:rPr>
      </w:pPr>
      <w:r>
        <w:rPr>
          <w:rFonts w:ascii="宋体" w:hAnsi="宋体" w:cs="宋体" w:eastAsia="宋体" w:hint="default"/>
          <w:spacing w:val="-1"/>
          <w:sz w:val="18"/>
          <w:szCs w:val="18"/>
        </w:rPr>
        <w:t>年末按照单个存货项目计提存货跌价准备；但对于数量繁多、单价较低的存货，按照存货类别计提存货跌</w:t>
      </w:r>
      <w:r>
        <w:rPr>
          <w:rFonts w:ascii="宋体" w:hAnsi="宋体" w:cs="宋体" w:eastAsia="宋体" w:hint="default"/>
          <w:sz w:val="18"/>
          <w:szCs w:val="18"/>
        </w:rPr>
        <w:t> </w:t>
      </w:r>
      <w:r>
        <w:rPr>
          <w:rFonts w:ascii="宋体" w:hAnsi="宋体" w:cs="宋体" w:eastAsia="宋体" w:hint="default"/>
          <w:spacing w:val="-1"/>
          <w:sz w:val="18"/>
          <w:szCs w:val="18"/>
        </w:rPr>
        <w:t>价准备；与在同一地区生产和销售的产品系列相关、具有相同或类似最终用途或目的，且难以与其他项目分开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计量的存货，则合并计提存货跌价准备。</w:t>
      </w:r>
    </w:p>
    <w:p>
      <w:pPr>
        <w:spacing w:line="230" w:lineRule="exact" w:before="67"/>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以前减记存货价值的影响因素已经消失的，减记的金额予以恢复，并在原已计提的存货跌价准备金额内转</w:t>
      </w:r>
      <w:r>
        <w:rPr>
          <w:rFonts w:ascii="宋体" w:hAnsi="宋体" w:cs="宋体" w:eastAsia="宋体" w:hint="default"/>
          <w:sz w:val="18"/>
          <w:szCs w:val="18"/>
        </w:rPr>
        <w:t> 回，转回的金额计入当期损益。</w:t>
      </w:r>
    </w:p>
    <w:p>
      <w:pPr>
        <w:spacing w:before="17"/>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（十四）长期股权投资的核算</w:t>
      </w:r>
      <w:r>
        <w:rPr>
          <w:rFonts w:ascii="宋体" w:hAnsi="宋体" w:cs="宋体" w:eastAsia="宋体" w:hint="default"/>
          <w:sz w:val="18"/>
          <w:szCs w:val="18"/>
        </w:rPr>
      </w:r>
    </w:p>
    <w:p>
      <w:pPr>
        <w:spacing w:before="38"/>
        <w:ind w:left="501" w:right="61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．初始计量</w:t>
      </w:r>
      <w:r>
        <w:rPr>
          <w:rFonts w:ascii="宋体" w:hAnsi="宋体" w:cs="宋体" w:eastAsia="宋体" w:hint="default"/>
          <w:sz w:val="18"/>
          <w:szCs w:val="18"/>
        </w:rPr>
      </w:r>
    </w:p>
    <w:p>
      <w:pPr>
        <w:spacing w:line="266" w:lineRule="auto" w:before="24"/>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）企业合并形成的长期股权投资 </w:t>
      </w:r>
      <w:r>
        <w:rPr>
          <w:rFonts w:ascii="宋体" w:hAnsi="宋体" w:cs="宋体" w:eastAsia="宋体" w:hint="default"/>
          <w:spacing w:val="-1"/>
          <w:sz w:val="18"/>
          <w:szCs w:val="18"/>
        </w:rPr>
        <w:t>同一控制下的企业合并：本公司以支付现金、转让非现金资产或承担债务方式以及以发行权益性证券作为</w:t>
      </w:r>
    </w:p>
    <w:p>
      <w:pPr>
        <w:spacing w:line="213"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合并对价的，在合并日按照取得被合并方所有者权益账面价值的份额作为长期股权投资的初始投资成本。长期</w:t>
      </w:r>
    </w:p>
    <w:p>
      <w:pPr>
        <w:spacing w:line="235" w:lineRule="auto" w:before="4"/>
        <w:ind w:left="142" w:right="201" w:firstLine="0"/>
        <w:jc w:val="both"/>
        <w:rPr>
          <w:rFonts w:ascii="宋体" w:hAnsi="宋体" w:cs="宋体" w:eastAsia="宋体" w:hint="default"/>
          <w:sz w:val="18"/>
          <w:szCs w:val="18"/>
        </w:rPr>
      </w:pPr>
      <w:r>
        <w:rPr>
          <w:rFonts w:ascii="宋体" w:hAnsi="宋体" w:cs="宋体" w:eastAsia="宋体" w:hint="default"/>
          <w:spacing w:val="-1"/>
          <w:sz w:val="18"/>
          <w:szCs w:val="18"/>
        </w:rPr>
        <w:t>股权投资初始投资成本与支付合并对价之间的差额，调整资本公积；资本公积不足冲减的，调整留存收益。合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并发生的各项直接相关费用，包括为进行合并而支付的审计费用、评估费用、法律服务费用等，于发生时计入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当期损益。</w:t>
      </w:r>
    </w:p>
    <w:p>
      <w:pPr>
        <w:spacing w:line="237" w:lineRule="auto" w:before="43"/>
        <w:ind w:left="142" w:right="203" w:firstLine="359"/>
        <w:jc w:val="both"/>
        <w:rPr>
          <w:rFonts w:ascii="宋体" w:hAnsi="宋体" w:cs="宋体" w:eastAsia="宋体" w:hint="default"/>
          <w:sz w:val="18"/>
          <w:szCs w:val="18"/>
        </w:rPr>
      </w:pPr>
      <w:r>
        <w:rPr>
          <w:rFonts w:ascii="宋体" w:hAnsi="宋体" w:cs="宋体" w:eastAsia="宋体" w:hint="default"/>
          <w:spacing w:val="-1"/>
          <w:sz w:val="18"/>
          <w:szCs w:val="18"/>
        </w:rPr>
        <w:t>非同一控制下的企业合并：合并成本为购买日购买方为取得对被购买方的控制权而付出的资产、发生或承</w:t>
      </w:r>
      <w:r>
        <w:rPr>
          <w:rFonts w:ascii="宋体" w:hAnsi="宋体" w:cs="宋体" w:eastAsia="宋体" w:hint="default"/>
          <w:sz w:val="18"/>
          <w:szCs w:val="18"/>
        </w:rPr>
        <w:t> </w:t>
      </w:r>
      <w:r>
        <w:rPr>
          <w:rFonts w:ascii="宋体" w:hAnsi="宋体" w:cs="宋体" w:eastAsia="宋体" w:hint="default"/>
          <w:spacing w:val="-1"/>
          <w:sz w:val="18"/>
          <w:szCs w:val="18"/>
        </w:rPr>
        <w:t>担的负债以及发行的权益性证券的公允价值，本公司为进行企业合并而发生的各项直接相关费用，包括为进行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企业合并而支付的审计、法律服务、评估咨询等中介费用以及其他相关管理费用于发生时计入当期损益，作为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合并对价发行的权益性证券或债务性证券的交易费用，计入权益性证券或债务性证券的初始确认金额。通过多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次交换交易分步实现的企业合并，合并成本为每一单项交易成本之和。在合并合同中对可能影响合并成本的未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来事项作出约定的，购买日如果估计未来事项很可能发生并且对合并成本的影响金额能够可靠计量的，也计入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合并成本。</w:t>
      </w:r>
    </w:p>
    <w:p>
      <w:pPr>
        <w:spacing w:line="273" w:lineRule="auto"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）其他方式取得的长期股权投资 以支付现金方式取得的长期股权投资，按照实际支付的购买价款作为初始投资成本。 以发行权益性证券取得的长期股权投资，按照发行权益性证券公允价值作为初始投资成本。 </w:t>
      </w:r>
      <w:r>
        <w:rPr>
          <w:rFonts w:ascii="宋体" w:hAnsi="宋体" w:cs="宋体" w:eastAsia="宋体" w:hint="default"/>
          <w:spacing w:val="-3"/>
          <w:sz w:val="18"/>
          <w:szCs w:val="18"/>
        </w:rPr>
        <w:t>投资者投入的长期股权投资，按照投资合同或协议约定的价值（扣除已宣告但尚未发放的现金股利或利润）</w:t>
      </w:r>
    </w:p>
    <w:p>
      <w:pPr>
        <w:spacing w:line="208"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作为初始投资成本，但合同或协议约定价值不公允的除外。</w:t>
      </w:r>
    </w:p>
    <w:p>
      <w:pPr>
        <w:spacing w:line="232" w:lineRule="exact" w:before="65"/>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在非货币性资产交换具备商业实质和换入资产或换出资产的公允价值能够可靠计量的前提下，非货币性资</w:t>
      </w:r>
      <w:r>
        <w:rPr>
          <w:rFonts w:ascii="宋体" w:hAnsi="宋体" w:cs="宋体" w:eastAsia="宋体" w:hint="default"/>
          <w:sz w:val="18"/>
          <w:szCs w:val="18"/>
        </w:rPr>
        <w:t> </w:t>
      </w:r>
      <w:r>
        <w:rPr>
          <w:rFonts w:ascii="宋体" w:hAnsi="宋体" w:cs="宋体" w:eastAsia="宋体" w:hint="default"/>
          <w:spacing w:val="-1"/>
          <w:sz w:val="18"/>
          <w:szCs w:val="18"/>
        </w:rPr>
        <w:t>产交换换入的长期股权投资以换出资产的公允价值为基础确定其初始投资成本，除非有确凿证据表明换入资产</w:t>
      </w:r>
    </w:p>
    <w:p>
      <w:pPr>
        <w:spacing w:after="0" w:line="232" w:lineRule="exact"/>
        <w:jc w:val="both"/>
        <w:rPr>
          <w:rFonts w:ascii="宋体" w:hAnsi="宋体" w:cs="宋体" w:eastAsia="宋体" w:hint="default"/>
          <w:sz w:val="18"/>
          <w:szCs w:val="18"/>
        </w:rPr>
        <w:sectPr>
          <w:pgSz w:w="11910" w:h="16840"/>
          <w:pgMar w:header="877" w:footer="1226" w:top="1060" w:bottom="1420" w:left="1560" w:right="138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32" w:lineRule="exact" w:before="3"/>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的公允价值更加可靠；不满足上述前提的非货币性资产交换，以换出资产的账面价值和应支付的相关税费作为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换入长期股权投资的初始投资成本。</w:t>
      </w:r>
    </w:p>
    <w:p>
      <w:pPr>
        <w:spacing w:line="271" w:lineRule="auto" w:before="17"/>
        <w:ind w:left="501" w:right="112" w:firstLine="0"/>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1"/>
          <w:sz w:val="18"/>
          <w:szCs w:val="18"/>
        </w:rPr>
        <w:t>按照合同约定对某项经济活动所共有的控制，仅在与该项经济活动相关的重要财务和经营决策需要分享控</w:t>
      </w:r>
    </w:p>
    <w:p>
      <w:pPr>
        <w:spacing w:line="208"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制权的投资方一致同意时存在，则视为与其他方对被投资单位实施共同控制；对一个企业的财务和经营决策有</w:t>
      </w:r>
    </w:p>
    <w:p>
      <w:pPr>
        <w:spacing w:line="230" w:lineRule="exact" w:before="25"/>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参与决策的权力，但并不能够控制或者与其他方一起共同控制这些政策的制定，则视为投资企业能够对被投资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单位施加重大影响。</w:t>
      </w:r>
    </w:p>
    <w:p>
      <w:pPr>
        <w:spacing w:line="266" w:lineRule="auto" w:before="17"/>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．后续计量及收益确认</w:t>
      </w:r>
      <w:r>
        <w:rPr>
          <w:rFonts w:ascii="宋体" w:hAnsi="宋体" w:cs="宋体" w:eastAsia="宋体" w:hint="default"/>
          <w:b/>
          <w:bCs/>
          <w:w w:val="99"/>
          <w:sz w:val="18"/>
          <w:szCs w:val="18"/>
        </w:rPr>
        <w:t> </w:t>
      </w:r>
      <w:r>
        <w:rPr>
          <w:rFonts w:ascii="宋体" w:hAnsi="宋体" w:cs="宋体" w:eastAsia="宋体" w:hint="default"/>
          <w:spacing w:val="-1"/>
          <w:sz w:val="18"/>
          <w:szCs w:val="18"/>
        </w:rPr>
        <w:t>本公司能够对被投资单位施加重大影响或共同控制的，初始投资成本大于投资时应享有被投资单位可辨认</w:t>
      </w:r>
    </w:p>
    <w:p>
      <w:pPr>
        <w:spacing w:line="232" w:lineRule="exact" w:before="2"/>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净资产公允价值份额的差额，不调整长期股权投资的初始投资成本；初始投资成本小于投资时应享有被投资单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位可辨认净资产公允价值份额的差额，计入当期损益。</w:t>
      </w:r>
    </w:p>
    <w:p>
      <w:pPr>
        <w:spacing w:line="280" w:lineRule="auto" w:before="17"/>
        <w:ind w:left="501" w:right="112" w:firstLine="0"/>
        <w:jc w:val="left"/>
        <w:rPr>
          <w:rFonts w:ascii="宋体" w:hAnsi="宋体" w:cs="宋体" w:eastAsia="宋体" w:hint="default"/>
          <w:sz w:val="18"/>
          <w:szCs w:val="18"/>
        </w:rPr>
      </w:pPr>
      <w:r>
        <w:rPr>
          <w:rFonts w:ascii="宋体" w:hAnsi="宋体" w:cs="宋体" w:eastAsia="宋体" w:hint="default"/>
          <w:sz w:val="18"/>
          <w:szCs w:val="18"/>
        </w:rPr>
        <w:t>本公司对子公司的长期股权投资，采用成本法核算，编制合并财务报表时按照权益法进行调整。 </w:t>
      </w:r>
      <w:r>
        <w:rPr>
          <w:rFonts w:ascii="宋体" w:hAnsi="宋体" w:cs="宋体" w:eastAsia="宋体" w:hint="default"/>
          <w:spacing w:val="-1"/>
          <w:sz w:val="18"/>
          <w:szCs w:val="18"/>
        </w:rPr>
        <w:t>对被投资单位不具有共同控制或重大影响，并且在活跃市场中没有报价、公允价值不能可靠计量的长期股</w:t>
      </w:r>
    </w:p>
    <w:p>
      <w:pPr>
        <w:spacing w:line="200" w:lineRule="exact" w:before="0"/>
        <w:ind w:left="142" w:right="6105" w:firstLine="0"/>
        <w:jc w:val="left"/>
        <w:rPr>
          <w:rFonts w:ascii="宋体" w:hAnsi="宋体" w:cs="宋体" w:eastAsia="宋体" w:hint="default"/>
          <w:sz w:val="18"/>
          <w:szCs w:val="18"/>
        </w:rPr>
      </w:pPr>
      <w:r>
        <w:rPr>
          <w:rFonts w:ascii="宋体" w:hAnsi="宋体" w:cs="宋体" w:eastAsia="宋体" w:hint="default"/>
          <w:sz w:val="18"/>
          <w:szCs w:val="18"/>
        </w:rPr>
        <w:t>权投资，采用成本法核算。</w:t>
      </w:r>
    </w:p>
    <w:p>
      <w:pPr>
        <w:spacing w:line="280" w:lineRule="auto"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对被投资单位具有共同控制或重大影响的长期股权投资，采用权益法核算。 </w:t>
      </w:r>
      <w:r>
        <w:rPr>
          <w:rFonts w:ascii="宋体" w:hAnsi="宋体" w:cs="宋体" w:eastAsia="宋体" w:hint="default"/>
          <w:spacing w:val="-1"/>
          <w:sz w:val="18"/>
          <w:szCs w:val="18"/>
        </w:rPr>
        <w:t>权益法下在本公司确认应分担被投资单位发生的亏损时，按照以下顺序进行处理：首先，冲减长期股权投</w:t>
      </w:r>
    </w:p>
    <w:p>
      <w:pPr>
        <w:spacing w:line="201"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资的账面价值。其次，长期股权投资的账面价值不足以冲减的，以其他实质上构成对被投资单位净投资的长期</w:t>
      </w:r>
    </w:p>
    <w:p>
      <w:pPr>
        <w:spacing w:line="232" w:lineRule="exact" w:before="23"/>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权益账面价值为限继续确认投资损失，冲减长期应收项目等的账面价值。最后，经过上述处理，按照投资合同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或协议约定企业仍承担额外义务的，按预计承担的义务确认预计负债，计入当期投资损失。</w:t>
      </w:r>
    </w:p>
    <w:p>
      <w:pPr>
        <w:spacing w:line="237" w:lineRule="auto" w:before="19"/>
        <w:ind w:left="142" w:right="205" w:firstLine="359"/>
        <w:jc w:val="both"/>
        <w:rPr>
          <w:rFonts w:ascii="宋体" w:hAnsi="宋体" w:cs="宋体" w:eastAsia="宋体" w:hint="default"/>
          <w:sz w:val="18"/>
          <w:szCs w:val="18"/>
        </w:rPr>
      </w:pPr>
      <w:r>
        <w:rPr>
          <w:rFonts w:ascii="宋体" w:hAnsi="宋体" w:cs="宋体" w:eastAsia="宋体" w:hint="default"/>
          <w:spacing w:val="-1"/>
          <w:sz w:val="18"/>
          <w:szCs w:val="18"/>
        </w:rPr>
        <w:t>被投资单位以后期间实现盈利的，本公司在扣除未确认的亏损分担额后，按与上述相反的顺序处理，减记</w:t>
      </w:r>
      <w:r>
        <w:rPr>
          <w:rFonts w:ascii="宋体" w:hAnsi="宋体" w:cs="宋体" w:eastAsia="宋体" w:hint="default"/>
          <w:sz w:val="18"/>
          <w:szCs w:val="18"/>
        </w:rPr>
        <w:t> </w:t>
      </w:r>
      <w:r>
        <w:rPr>
          <w:rFonts w:ascii="宋体" w:hAnsi="宋体" w:cs="宋体" w:eastAsia="宋体" w:hint="default"/>
          <w:spacing w:val="2"/>
          <w:sz w:val="18"/>
          <w:szCs w:val="18"/>
        </w:rPr>
        <w:t>已确认预计负债的账面余额、恢复其他实质上构成对被投资单位净投资的长期权益及长期股权投资的账面价</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值，同时确认投资收益。</w:t>
      </w:r>
    </w:p>
    <w:p>
      <w:pPr>
        <w:spacing w:line="235" w:lineRule="auto" w:before="45"/>
        <w:ind w:left="142" w:right="112" w:firstLine="359"/>
        <w:jc w:val="left"/>
        <w:rPr>
          <w:rFonts w:ascii="宋体" w:hAnsi="宋体" w:cs="宋体" w:eastAsia="宋体" w:hint="default"/>
          <w:sz w:val="18"/>
          <w:szCs w:val="18"/>
        </w:rPr>
      </w:pPr>
      <w:r>
        <w:rPr>
          <w:rFonts w:ascii="宋体" w:hAnsi="宋体" w:cs="宋体" w:eastAsia="宋体" w:hint="default"/>
          <w:sz w:val="18"/>
          <w:szCs w:val="18"/>
        </w:rPr>
        <w:t>被投资单位除净损益以外所有者权益其他变动的处理：对于被投资单位除净损益以外所有者权益的其他变 </w:t>
      </w:r>
      <w:r>
        <w:rPr>
          <w:rFonts w:ascii="宋体" w:hAnsi="宋体" w:cs="宋体" w:eastAsia="宋体" w:hint="default"/>
          <w:spacing w:val="-3"/>
          <w:sz w:val="18"/>
          <w:szCs w:val="18"/>
        </w:rPr>
        <w:t>动，在持股比例不变的情况下，本公司按照持股比例计算应享有或承担的部分，调整长期股权投资的账面价值，</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同时增加或减少资本公积（其他资本公积）。</w:t>
      </w:r>
    </w:p>
    <w:p>
      <w:pPr>
        <w:spacing w:before="38"/>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（十五）固定资产计价和折旧方法</w:t>
      </w:r>
      <w:r>
        <w:rPr>
          <w:rFonts w:ascii="宋体" w:hAnsi="宋体" w:cs="宋体" w:eastAsia="宋体" w:hint="default"/>
          <w:sz w:val="18"/>
          <w:szCs w:val="18"/>
        </w:rPr>
      </w:r>
    </w:p>
    <w:p>
      <w:pPr>
        <w:spacing w:line="266" w:lineRule="auto" w:before="38"/>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．固定资产确认条件</w:t>
      </w:r>
      <w:r>
        <w:rPr>
          <w:rFonts w:ascii="宋体" w:hAnsi="宋体" w:cs="宋体" w:eastAsia="宋体" w:hint="default"/>
          <w:b/>
          <w:bCs/>
          <w:w w:val="99"/>
          <w:sz w:val="18"/>
          <w:szCs w:val="18"/>
        </w:rPr>
        <w:t> </w:t>
      </w:r>
      <w:r>
        <w:rPr>
          <w:rFonts w:ascii="宋体" w:hAnsi="宋体" w:cs="宋体" w:eastAsia="宋体" w:hint="default"/>
          <w:spacing w:val="-3"/>
          <w:sz w:val="18"/>
          <w:szCs w:val="18"/>
        </w:rPr>
        <w:t>固定资产指为生产商品、提供劳务、出租或经营管理而持有，并且使用寿命超过一个会计年度的有形资产。</w:t>
      </w:r>
    </w:p>
    <w:p>
      <w:pPr>
        <w:spacing w:line="213"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固定资产在同时满足下列条件时予以确认：</w:t>
      </w:r>
    </w:p>
    <w:p>
      <w:pPr>
        <w:spacing w:before="35"/>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p>
    <w:p>
      <w:pPr>
        <w:spacing w:before="24"/>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71" w:lineRule="auto" w:before="24"/>
        <w:ind w:left="501" w:right="214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．固定资产的分类</w:t>
      </w:r>
      <w:r>
        <w:rPr>
          <w:rFonts w:ascii="宋体" w:hAnsi="宋体" w:cs="宋体" w:eastAsia="宋体" w:hint="default"/>
          <w:b/>
          <w:bCs/>
          <w:w w:val="99"/>
          <w:sz w:val="18"/>
          <w:szCs w:val="18"/>
        </w:rPr>
        <w:t> </w:t>
      </w:r>
      <w:r>
        <w:rPr>
          <w:rFonts w:ascii="宋体" w:hAnsi="宋体" w:cs="宋体" w:eastAsia="宋体" w:hint="default"/>
          <w:sz w:val="18"/>
          <w:szCs w:val="18"/>
        </w:rPr>
        <w:t>固定资产分类为：房屋及建筑物、机器设备、电子设备、运输设备和其他设备。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．固定资产的初始计量</w:t>
      </w:r>
      <w:r>
        <w:rPr>
          <w:rFonts w:ascii="宋体" w:hAnsi="宋体" w:cs="宋体" w:eastAsia="宋体" w:hint="default"/>
          <w:sz w:val="18"/>
          <w:szCs w:val="18"/>
        </w:rPr>
      </w:r>
    </w:p>
    <w:p>
      <w:pPr>
        <w:spacing w:line="280" w:lineRule="auto" w:before="0"/>
        <w:ind w:left="501" w:right="112" w:firstLine="0"/>
        <w:jc w:val="left"/>
        <w:rPr>
          <w:rFonts w:ascii="宋体" w:hAnsi="宋体" w:cs="宋体" w:eastAsia="宋体" w:hint="default"/>
          <w:sz w:val="18"/>
          <w:szCs w:val="18"/>
        </w:rPr>
      </w:pPr>
      <w:r>
        <w:rPr>
          <w:rFonts w:ascii="宋体" w:hAnsi="宋体" w:cs="宋体" w:eastAsia="宋体" w:hint="default"/>
          <w:sz w:val="18"/>
          <w:szCs w:val="18"/>
        </w:rPr>
        <w:t>固定资产取得时按照实际成本进行初始计量。 </w:t>
      </w:r>
      <w:r>
        <w:rPr>
          <w:rFonts w:ascii="宋体" w:hAnsi="宋体" w:cs="宋体" w:eastAsia="宋体" w:hint="default"/>
          <w:spacing w:val="-1"/>
          <w:sz w:val="18"/>
          <w:szCs w:val="18"/>
        </w:rPr>
        <w:t>外购固定资产的成本，以购买价款、相关税费、使固定资产达到预定可使用状态前所发生的可归属于该项</w:t>
      </w:r>
    </w:p>
    <w:p>
      <w:pPr>
        <w:spacing w:line="200"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资产的运输费、装卸费、安装费和专业人员服务费等确定。</w:t>
      </w:r>
    </w:p>
    <w:p>
      <w:pPr>
        <w:spacing w:line="234" w:lineRule="exact" w:before="63"/>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购买固定资产的价款超过正常信用条件延期支付，实质上具有融资性质的，固定资产的成本以购买价款的</w:t>
      </w:r>
      <w:r>
        <w:rPr>
          <w:rFonts w:ascii="宋体" w:hAnsi="宋体" w:cs="宋体" w:eastAsia="宋体" w:hint="default"/>
          <w:sz w:val="18"/>
          <w:szCs w:val="18"/>
        </w:rPr>
        <w:t> 现值为基础确定。</w:t>
      </w:r>
    </w:p>
    <w:p>
      <w:pPr>
        <w:spacing w:line="280" w:lineRule="auto" w:before="14"/>
        <w:ind w:left="501" w:right="112" w:firstLine="0"/>
        <w:jc w:val="left"/>
        <w:rPr>
          <w:rFonts w:ascii="宋体" w:hAnsi="宋体" w:cs="宋体" w:eastAsia="宋体" w:hint="default"/>
          <w:sz w:val="18"/>
          <w:szCs w:val="18"/>
        </w:rPr>
      </w:pPr>
      <w:r>
        <w:rPr>
          <w:rFonts w:ascii="宋体" w:hAnsi="宋体" w:cs="宋体" w:eastAsia="宋体" w:hint="default"/>
          <w:sz w:val="18"/>
          <w:szCs w:val="18"/>
        </w:rPr>
        <w:t>自行建造固定资产的成本，由建造该项资产达到预定可使用状态前所发生的必要支出构成。 </w:t>
      </w:r>
      <w:r>
        <w:rPr>
          <w:rFonts w:ascii="宋体" w:hAnsi="宋体" w:cs="宋体" w:eastAsia="宋体" w:hint="default"/>
          <w:spacing w:val="-1"/>
          <w:sz w:val="18"/>
          <w:szCs w:val="18"/>
        </w:rPr>
        <w:t>债务重组取得债务人用以抵债的固定资产，以该固定资产的公允价值为基础确定其入账价值，并将重组债</w:t>
      </w:r>
    </w:p>
    <w:p>
      <w:pPr>
        <w:spacing w:line="202"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务的账面价值与该用以抵债的固定资产公允价值之间的差额，计入当期损益；</w:t>
      </w:r>
    </w:p>
    <w:p>
      <w:pPr>
        <w:spacing w:line="235" w:lineRule="auto" w:before="44"/>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在非货币性资产交换具备商业实质且换入资产或换出资产的公允价值能够可靠计量的前提下，换入的固定</w:t>
      </w:r>
      <w:r>
        <w:rPr>
          <w:rFonts w:ascii="宋体" w:hAnsi="宋体" w:cs="宋体" w:eastAsia="宋体" w:hint="default"/>
          <w:sz w:val="18"/>
          <w:szCs w:val="18"/>
        </w:rPr>
        <w:t> </w:t>
      </w:r>
      <w:r>
        <w:rPr>
          <w:rFonts w:ascii="宋体" w:hAnsi="宋体" w:cs="宋体" w:eastAsia="宋体" w:hint="default"/>
          <w:spacing w:val="-1"/>
          <w:sz w:val="18"/>
          <w:szCs w:val="18"/>
        </w:rPr>
        <w:t>资产以换出资产的公允价值为基础确定其入账价值，除非有确凿证据表明换入资产的公允价值更加可靠；不满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足上述前提的非货币性资产交换，以换出资产的账面价值和应支付的相关税费作为换入固定资产的成本，不确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认损益。</w:t>
      </w:r>
    </w:p>
    <w:p>
      <w:pPr>
        <w:spacing w:line="266" w:lineRule="auto" w:before="38"/>
        <w:ind w:left="501" w:right="9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．固定资产折旧计提方法</w:t>
      </w:r>
      <w:r>
        <w:rPr>
          <w:rFonts w:ascii="宋体" w:hAnsi="宋体" w:cs="宋体" w:eastAsia="宋体" w:hint="default"/>
          <w:b/>
          <w:bCs/>
          <w:w w:val="99"/>
          <w:sz w:val="18"/>
          <w:szCs w:val="18"/>
        </w:rPr>
        <w:t> </w:t>
      </w:r>
      <w:r>
        <w:rPr>
          <w:rFonts w:ascii="宋体" w:hAnsi="宋体" w:cs="宋体" w:eastAsia="宋体" w:hint="default"/>
          <w:spacing w:val="-1"/>
          <w:sz w:val="18"/>
          <w:szCs w:val="18"/>
        </w:rPr>
        <w:t>固定资产折旧采用分类法计算，并按各类固定资产的原值和预计的使用寿命扣除预计净残值（原值的</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w:t>
      </w:r>
    </w:p>
    <w:p>
      <w:pPr>
        <w:spacing w:line="197"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确定其折旧率，分类折旧率如下：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42" w:type="dxa"/>
        <w:tblLayout w:type="fixed"/>
        <w:tblCellMar>
          <w:top w:w="0" w:type="dxa"/>
          <w:left w:w="0" w:type="dxa"/>
          <w:bottom w:w="0" w:type="dxa"/>
          <w:right w:w="0" w:type="dxa"/>
        </w:tblCellMar>
        <w:tblLook w:val="01E0"/>
      </w:tblPr>
      <w:tblGrid>
        <w:gridCol w:w="2016"/>
        <w:gridCol w:w="517"/>
        <w:gridCol w:w="1776"/>
        <w:gridCol w:w="420"/>
        <w:gridCol w:w="1678"/>
        <w:gridCol w:w="420"/>
        <w:gridCol w:w="1786"/>
      </w:tblGrid>
      <w:tr>
        <w:trPr>
          <w:trHeight w:val="282" w:hRule="exact"/>
        </w:trPr>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51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使用年限</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77"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517"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20" w:right="0"/>
              <w:jc w:val="left"/>
              <w:rPr>
                <w:rFonts w:ascii="Times New Roman" w:hAnsi="Times New Roman" w:cs="Times New Roman" w:eastAsia="Times New Roman" w:hint="default"/>
                <w:sz w:val="18"/>
                <w:szCs w:val="18"/>
              </w:rPr>
            </w:pPr>
            <w:r>
              <w:rPr>
                <w:rFonts w:ascii="Times New Roman"/>
                <w:sz w:val="18"/>
              </w:rPr>
              <w:t>4.75%</w:t>
            </w:r>
          </w:p>
        </w:tc>
      </w:tr>
      <w:tr>
        <w:trPr>
          <w:trHeight w:val="280"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51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8" w:right="0"/>
              <w:jc w:val="left"/>
              <w:rPr>
                <w:rFonts w:ascii="Times New Roman" w:hAnsi="Times New Roman" w:cs="Times New Roman" w:eastAsia="Times New Roman" w:hint="default"/>
                <w:sz w:val="18"/>
                <w:szCs w:val="18"/>
              </w:rPr>
            </w:pPr>
            <w:r>
              <w:rPr>
                <w:rFonts w:ascii="Times New Roman"/>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8"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1380"/>
        </w:sectPr>
      </w:pPr>
    </w:p>
    <w:p>
      <w:pPr>
        <w:spacing w:line="240" w:lineRule="auto" w:before="5"/>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99"/>
        <w:gridCol w:w="1893"/>
        <w:gridCol w:w="2064"/>
        <w:gridCol w:w="1685"/>
      </w:tblGrid>
      <w:tr>
        <w:trPr>
          <w:trHeight w:val="394"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1"/>
              <w:jc w:val="center"/>
              <w:rPr>
                <w:rFonts w:ascii="Times New Roman" w:hAnsi="Times New Roman" w:cs="Times New Roman" w:eastAsia="Times New Roman" w:hint="default"/>
                <w:sz w:val="18"/>
                <w:szCs w:val="18"/>
              </w:rPr>
            </w:pPr>
            <w:r>
              <w:rPr>
                <w:rFonts w:ascii="Times New Roman"/>
                <w:sz w:val="18"/>
              </w:rPr>
              <w:t>5%</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8"/>
              <w:jc w:val="right"/>
              <w:rPr>
                <w:rFonts w:ascii="Times New Roman" w:hAnsi="Times New Roman" w:cs="Times New Roman" w:eastAsia="Times New Roman" w:hint="default"/>
                <w:sz w:val="18"/>
                <w:szCs w:val="18"/>
              </w:rPr>
            </w:pPr>
            <w:r>
              <w:rPr>
                <w:rFonts w:ascii="Times New Roman"/>
                <w:sz w:val="18"/>
              </w:rPr>
              <w:t>19.00%</w:t>
            </w:r>
          </w:p>
        </w:tc>
      </w:tr>
      <w:tr>
        <w:trPr>
          <w:trHeight w:val="37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1"/>
              <w:jc w:val="center"/>
              <w:rPr>
                <w:rFonts w:ascii="Times New Roman" w:hAnsi="Times New Roman" w:cs="Times New Roman" w:eastAsia="Times New Roman" w:hint="default"/>
                <w:sz w:val="18"/>
                <w:szCs w:val="18"/>
              </w:rPr>
            </w:pPr>
            <w:r>
              <w:rPr>
                <w:rFonts w:ascii="Times New Roman"/>
                <w:sz w:val="18"/>
              </w:rPr>
              <w:t>5%</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8"/>
              <w:jc w:val="right"/>
              <w:rPr>
                <w:rFonts w:ascii="Times New Roman" w:hAnsi="Times New Roman" w:cs="Times New Roman" w:eastAsia="Times New Roman" w:hint="default"/>
                <w:sz w:val="18"/>
                <w:szCs w:val="18"/>
              </w:rPr>
            </w:pPr>
            <w:r>
              <w:rPr>
                <w:rFonts w:ascii="Times New Roman"/>
                <w:sz w:val="18"/>
              </w:rPr>
              <w:t>19.00%</w:t>
            </w:r>
          </w:p>
        </w:tc>
      </w:tr>
      <w:tr>
        <w:trPr>
          <w:trHeight w:val="28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
              <w:jc w:val="center"/>
              <w:rPr>
                <w:rFonts w:ascii="Times New Roman" w:hAnsi="Times New Roman" w:cs="Times New Roman" w:eastAsia="Times New Roman" w:hint="default"/>
                <w:sz w:val="18"/>
                <w:szCs w:val="18"/>
              </w:rPr>
            </w:pPr>
            <w:r>
              <w:rPr>
                <w:rFonts w:ascii="Times New Roman"/>
                <w:sz w:val="18"/>
              </w:rPr>
              <w:t>5%</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8"/>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宋体" w:hAnsi="宋体" w:cs="宋体" w:eastAsia="宋体" w:hint="default"/>
          <w:sz w:val="22"/>
          <w:szCs w:val="22"/>
        </w:rPr>
      </w:pPr>
    </w:p>
    <w:p>
      <w:pPr>
        <w:spacing w:line="273" w:lineRule="auto" w:before="44"/>
        <w:ind w:left="501" w:right="5102" w:firstLine="0"/>
        <w:jc w:val="left"/>
        <w:rPr>
          <w:rFonts w:ascii="宋体" w:hAnsi="宋体" w:cs="宋体" w:eastAsia="宋体" w:hint="default"/>
          <w:sz w:val="18"/>
          <w:szCs w:val="18"/>
        </w:rPr>
      </w:pPr>
      <w:r>
        <w:rPr/>
        <w:pict>
          <v:group style="position:absolute;margin-left:83.664001pt;margin-top:-66.988312pt;width:433.75pt;height:.1pt;mso-position-horizontal-relative:page;mso-position-vertical-relative:paragraph;z-index:-676672" coordorigin="1673,-1340" coordsize="8675,2">
            <v:shape style="position:absolute;left:1673;top:-1340;width:8675;height:2" coordorigin="1673,-1340" coordsize="8675,0" path="m1673,-1340l10348,-1340e" filled="false" stroked="true" strokeweight=".72pt" strokecolor="#000000">
              <v:path arrowok="t"/>
            </v:shape>
            <w10:wrap type="none"/>
          </v:group>
        </w:pict>
      </w:r>
      <w:r>
        <w:rPr>
          <w:rFonts w:ascii="宋体" w:hAnsi="宋体" w:cs="宋体" w:eastAsia="宋体" w:hint="default"/>
          <w:b/>
          <w:bCs/>
          <w:sz w:val="18"/>
          <w:szCs w:val="18"/>
        </w:rPr>
        <w:t>（十六）在建工程核算方法</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．在建工程类别</w:t>
      </w:r>
      <w:r>
        <w:rPr>
          <w:rFonts w:ascii="宋体" w:hAnsi="宋体" w:cs="宋体" w:eastAsia="宋体" w:hint="default"/>
          <w:b/>
          <w:bCs/>
          <w:w w:val="99"/>
          <w:sz w:val="18"/>
          <w:szCs w:val="18"/>
        </w:rPr>
        <w:t> </w:t>
      </w:r>
      <w:r>
        <w:rPr>
          <w:rFonts w:ascii="宋体" w:hAnsi="宋体" w:cs="宋体" w:eastAsia="宋体" w:hint="default"/>
          <w:sz w:val="18"/>
          <w:szCs w:val="18"/>
        </w:rPr>
        <w:t>在建工程以立项项目分类核算。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sz w:val="18"/>
          <w:szCs w:val="18"/>
        </w:rPr>
      </w:r>
    </w:p>
    <w:p>
      <w:pPr>
        <w:spacing w:line="237" w:lineRule="auto" w:before="1"/>
        <w:ind w:left="142" w:right="203" w:firstLine="359"/>
        <w:jc w:val="both"/>
        <w:rPr>
          <w:rFonts w:ascii="宋体" w:hAnsi="宋体" w:cs="宋体" w:eastAsia="宋体" w:hint="default"/>
          <w:sz w:val="18"/>
          <w:szCs w:val="18"/>
        </w:rPr>
      </w:pPr>
      <w:r>
        <w:rPr>
          <w:rFonts w:ascii="宋体" w:hAnsi="宋体" w:cs="宋体" w:eastAsia="宋体" w:hint="default"/>
          <w:spacing w:val="-1"/>
          <w:sz w:val="18"/>
          <w:szCs w:val="18"/>
        </w:rPr>
        <w:t>在建工程项目按建造该项资产达到预定可使用状态前所发生的全部支出，作为固定资产的入账价值。所建</w:t>
      </w:r>
      <w:r>
        <w:rPr>
          <w:rFonts w:ascii="宋体" w:hAnsi="宋体" w:cs="宋体" w:eastAsia="宋体" w:hint="default"/>
          <w:sz w:val="18"/>
          <w:szCs w:val="18"/>
        </w:rPr>
        <w:t> </w:t>
      </w:r>
      <w:r>
        <w:rPr>
          <w:rFonts w:ascii="宋体" w:hAnsi="宋体" w:cs="宋体" w:eastAsia="宋体" w:hint="default"/>
          <w:spacing w:val="-1"/>
          <w:sz w:val="18"/>
          <w:szCs w:val="18"/>
        </w:rPr>
        <w:t>造的固定资产在建工程已达到预定可使用状态，但尚未办理竣工决算的，自达到预定可使用状态之日起，根据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工程预算、造价或者工程实际成本等，按估计的价值转入固定资产，并按本公司固定资产折旧政策计提固定资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产的折旧，待办理竣工决算后，再按实际成本调整原来的暂估价值，但不调整原已计提的折旧额。</w:t>
      </w:r>
    </w:p>
    <w:p>
      <w:pPr>
        <w:spacing w:line="271" w:lineRule="auto" w:before="38"/>
        <w:ind w:left="501" w:right="5734" w:firstLine="0"/>
        <w:jc w:val="left"/>
        <w:rPr>
          <w:rFonts w:ascii="宋体" w:hAnsi="宋体" w:cs="宋体" w:eastAsia="宋体" w:hint="default"/>
          <w:sz w:val="18"/>
          <w:szCs w:val="18"/>
        </w:rPr>
      </w:pPr>
      <w:r>
        <w:rPr>
          <w:rFonts w:ascii="宋体" w:hAnsi="宋体" w:cs="宋体" w:eastAsia="宋体" w:hint="default"/>
          <w:b/>
          <w:bCs/>
          <w:sz w:val="18"/>
          <w:szCs w:val="18"/>
        </w:rPr>
        <w:t>（十七）无形资产与研究开发费用</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．无形资产的计价方法</w:t>
      </w:r>
      <w:r>
        <w:rPr>
          <w:rFonts w:ascii="宋体" w:hAnsi="宋体" w:cs="宋体" w:eastAsia="宋体" w:hint="default"/>
          <w:b/>
          <w:bCs/>
          <w:w w:val="99"/>
          <w:sz w:val="18"/>
          <w:szCs w:val="18"/>
        </w:rPr>
        <w:t> </w:t>
      </w:r>
      <w:r>
        <w:rPr>
          <w:rFonts w:ascii="宋体" w:hAnsi="宋体" w:cs="宋体" w:eastAsia="宋体" w:hint="default"/>
          <w:sz w:val="18"/>
          <w:szCs w:val="18"/>
        </w:rPr>
        <w:t>按成本进行初始计量；</w:t>
      </w:r>
    </w:p>
    <w:p>
      <w:pPr>
        <w:spacing w:line="235" w:lineRule="auto" w:before="21"/>
        <w:ind w:left="142" w:right="202" w:firstLine="359"/>
        <w:jc w:val="both"/>
        <w:rPr>
          <w:rFonts w:ascii="宋体" w:hAnsi="宋体" w:cs="宋体" w:eastAsia="宋体" w:hint="default"/>
          <w:sz w:val="18"/>
          <w:szCs w:val="18"/>
        </w:rPr>
      </w:pPr>
      <w:r>
        <w:rPr>
          <w:rFonts w:ascii="宋体" w:hAnsi="宋体" w:cs="宋体" w:eastAsia="宋体" w:hint="default"/>
          <w:spacing w:val="-1"/>
          <w:sz w:val="18"/>
          <w:szCs w:val="18"/>
        </w:rPr>
        <w:t>外购无形资产的成本，包括购买价款、相关税费以及直接归属于使该项资产达到预定用途所发生的其他支</w:t>
      </w:r>
      <w:r>
        <w:rPr>
          <w:rFonts w:ascii="宋体" w:hAnsi="宋体" w:cs="宋体" w:eastAsia="宋体" w:hint="default"/>
          <w:sz w:val="18"/>
          <w:szCs w:val="18"/>
        </w:rPr>
        <w:t> </w:t>
      </w:r>
      <w:r>
        <w:rPr>
          <w:rFonts w:ascii="宋体" w:hAnsi="宋体" w:cs="宋体" w:eastAsia="宋体" w:hint="default"/>
          <w:spacing w:val="-1"/>
          <w:sz w:val="18"/>
          <w:szCs w:val="18"/>
        </w:rPr>
        <w:t>出。购买无形资产的价款超过正常信用条件延期支付，实质上具有融资性质的，无形资产的成本以购买价款的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现值为基础确定。</w:t>
      </w:r>
    </w:p>
    <w:p>
      <w:pPr>
        <w:spacing w:line="230" w:lineRule="exact" w:before="67"/>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债务重组取得债务人用以抵债的无形资产，以该无形资产的公允价值为基础确定其入账价值，并将重组债</w:t>
      </w:r>
      <w:r>
        <w:rPr>
          <w:rFonts w:ascii="宋体" w:hAnsi="宋体" w:cs="宋体" w:eastAsia="宋体" w:hint="default"/>
          <w:sz w:val="18"/>
          <w:szCs w:val="18"/>
        </w:rPr>
        <w:t> 务的账面价值与该用以抵债的无形资产公允价值之间的差额，计入当期损益；</w:t>
      </w:r>
    </w:p>
    <w:p>
      <w:pPr>
        <w:spacing w:line="237" w:lineRule="auto" w:before="22"/>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在非货币性资产交换具备商业实质且换入资产或换出资产的公允价值能够可靠计量的前提下，非货币性资</w:t>
      </w:r>
      <w:r>
        <w:rPr>
          <w:rFonts w:ascii="宋体" w:hAnsi="宋体" w:cs="宋体" w:eastAsia="宋体" w:hint="default"/>
          <w:sz w:val="18"/>
          <w:szCs w:val="18"/>
        </w:rPr>
        <w:t> </w:t>
      </w:r>
      <w:r>
        <w:rPr>
          <w:rFonts w:ascii="宋体" w:hAnsi="宋体" w:cs="宋体" w:eastAsia="宋体" w:hint="default"/>
          <w:spacing w:val="-1"/>
          <w:sz w:val="18"/>
          <w:szCs w:val="18"/>
        </w:rPr>
        <w:t>产交换换入的无形资产以换出资产的公允价值为基础确定其入账价值，除非有确凿证据表明换入资产的公允价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值更加可靠；不满足上述前提的非货币性资产交换，以换出资产的账面价值和应支付的相关税费作为换入无形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资产的成本，不确认损益。</w:t>
      </w:r>
    </w:p>
    <w:p>
      <w:pPr>
        <w:spacing w:line="230" w:lineRule="exact" w:before="67"/>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以同一控制下的企业吸收合并方式取得的无形资产按被合并方的账面价值确定其入账价值；以非同一控制</w:t>
      </w:r>
      <w:r>
        <w:rPr>
          <w:rFonts w:ascii="宋体" w:hAnsi="宋体" w:cs="宋体" w:eastAsia="宋体" w:hint="default"/>
          <w:sz w:val="18"/>
          <w:szCs w:val="18"/>
        </w:rPr>
        <w:t> 下的企业吸收合并方式取得的无形资产按公允价值确定其入账价值。</w:t>
      </w:r>
    </w:p>
    <w:p>
      <w:pPr>
        <w:spacing w:line="271" w:lineRule="auto" w:before="17"/>
        <w:ind w:left="501" w:right="268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．无形资产使用寿命及摊销</w:t>
      </w:r>
      <w:r>
        <w:rPr>
          <w:rFonts w:ascii="宋体" w:hAnsi="宋体" w:cs="宋体" w:eastAsia="宋体" w:hint="default"/>
          <w:b/>
          <w:bCs/>
          <w:w w:val="99"/>
          <w:sz w:val="18"/>
          <w:szCs w:val="18"/>
        </w:rPr>
        <w:t> </w:t>
      </w:r>
      <w:r>
        <w:rPr>
          <w:rFonts w:ascii="宋体" w:hAnsi="宋体" w:cs="宋体" w:eastAsia="宋体" w:hint="default"/>
          <w:sz w:val="18"/>
          <w:szCs w:val="18"/>
        </w:rPr>
        <w:t>每年末，对使用寿命有限的无形资产的使用寿命及摊销方法进行复核。 经复核，本年年末无形资产的使用寿命及摊销方法与以前估计未有不同。</w:t>
      </w:r>
    </w:p>
    <w:p>
      <w:pPr>
        <w:spacing w:line="230" w:lineRule="exact" w:before="43"/>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对于使用寿命有限的无形资产，在为企业带来经济利益的期限内按直线法摊销；无法预见无形资产为企业</w:t>
      </w:r>
      <w:r>
        <w:rPr>
          <w:rFonts w:ascii="宋体" w:hAnsi="宋体" w:cs="宋体" w:eastAsia="宋体" w:hint="default"/>
          <w:sz w:val="18"/>
          <w:szCs w:val="18"/>
        </w:rPr>
        <w:t> 带来经济利益期限的，视为使用寿命不确定的无形资产，不予摊销。</w:t>
      </w:r>
    </w:p>
    <w:p>
      <w:pPr>
        <w:spacing w:line="264" w:lineRule="auto" w:before="17"/>
        <w:ind w:left="501" w:right="4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．研发支出会计处理的具体会计政策</w:t>
      </w:r>
      <w:r>
        <w:rPr>
          <w:rFonts w:ascii="宋体" w:hAnsi="宋体" w:cs="宋体" w:eastAsia="宋体" w:hint="default"/>
          <w:b/>
          <w:bCs/>
          <w:w w:val="99"/>
          <w:sz w:val="18"/>
          <w:szCs w:val="18"/>
        </w:rPr>
        <w:t> </w:t>
      </w:r>
      <w:r>
        <w:rPr>
          <w:rFonts w:ascii="宋体" w:hAnsi="宋体" w:cs="宋体" w:eastAsia="宋体" w:hint="default"/>
          <w:sz w:val="18"/>
          <w:szCs w:val="18"/>
        </w:rPr>
        <w:t>发行人研发支出分为研究阶段支出和开发阶段支出。</w:t>
      </w:r>
    </w:p>
    <w:p>
      <w:pPr>
        <w:spacing w:line="271" w:lineRule="auto" w:before="20"/>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）划分本公司研究开发项目的研究阶段和开发阶段具体标准： 研究阶段：为获取并理解新的科学或技术知识等而进行的独创性的有计划调查、研究活动的阶段。 </w:t>
      </w:r>
      <w:r>
        <w:rPr>
          <w:rFonts w:ascii="宋体" w:hAnsi="宋体" w:cs="宋体" w:eastAsia="宋体" w:hint="default"/>
          <w:spacing w:val="-1"/>
          <w:sz w:val="18"/>
          <w:szCs w:val="18"/>
        </w:rPr>
        <w:t>开发阶段：在进行商业性生产或使用前，将研究成果或其他知识应用于某项计划或设计，以生产出新的或</w:t>
      </w:r>
    </w:p>
    <w:p>
      <w:pPr>
        <w:spacing w:line="207"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具有实质性改进的材料、装置、产品等活动的阶段。</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内部研究开发项目研究阶段的支出，在发生时计入当期损益。</w:t>
      </w:r>
    </w:p>
    <w:p>
      <w:pPr>
        <w:spacing w:line="264" w:lineRule="auto" w:before="38"/>
        <w:ind w:left="501" w:right="30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）开发阶段支出符合资本化的具体标准： 满足下列条件的开发阶段支出确认为无形资产外，其余确认为费用：</w:t>
      </w:r>
    </w:p>
    <w:p>
      <w:pPr>
        <w:spacing w:before="20"/>
        <w:ind w:left="501" w:right="112" w:firstLine="0"/>
        <w:jc w:val="left"/>
        <w:rPr>
          <w:rFonts w:ascii="宋体" w:hAnsi="宋体" w:cs="宋体" w:eastAsia="宋体" w:hint="default"/>
          <w:sz w:val="18"/>
          <w:szCs w:val="18"/>
        </w:rPr>
      </w:pPr>
      <w:r>
        <w:rPr>
          <w:rFonts w:ascii="宋体" w:hAnsi="宋体" w:cs="宋体" w:eastAsia="宋体" w:hint="default"/>
          <w:sz w:val="18"/>
          <w:szCs w:val="18"/>
        </w:rPr>
        <w:t>①完成该无形资产以使其能够使用或出售在技术上具有可行性；</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②具有完成该无形资产并使用或出售的意图；</w:t>
      </w:r>
    </w:p>
    <w:p>
      <w:pPr>
        <w:spacing w:line="230" w:lineRule="exact" w:before="66"/>
        <w:ind w:left="142" w:right="206" w:firstLine="359"/>
        <w:jc w:val="both"/>
        <w:rPr>
          <w:rFonts w:ascii="宋体" w:hAnsi="宋体" w:cs="宋体" w:eastAsia="宋体" w:hint="default"/>
          <w:sz w:val="18"/>
          <w:szCs w:val="18"/>
        </w:rPr>
      </w:pPr>
      <w:r>
        <w:rPr>
          <w:rFonts w:ascii="宋体" w:hAnsi="宋体" w:cs="宋体" w:eastAsia="宋体" w:hint="default"/>
          <w:spacing w:val="-1"/>
          <w:sz w:val="18"/>
          <w:szCs w:val="18"/>
        </w:rPr>
        <w:t>③无形资产产生经济利益的方式，包括能够证明运用该无形资产生产的产品存在市场或无形资产自身存在</w:t>
      </w:r>
      <w:r>
        <w:rPr>
          <w:rFonts w:ascii="宋体" w:hAnsi="宋体" w:cs="宋体" w:eastAsia="宋体" w:hint="default"/>
          <w:sz w:val="18"/>
          <w:szCs w:val="18"/>
        </w:rPr>
        <w:t> 市场，无形资产将在内部使用的，应当证明其有用性；</w:t>
      </w:r>
    </w:p>
    <w:p>
      <w:pPr>
        <w:spacing w:before="17"/>
        <w:ind w:left="501" w:right="99" w:firstLine="0"/>
        <w:jc w:val="left"/>
        <w:rPr>
          <w:rFonts w:ascii="宋体" w:hAnsi="宋体" w:cs="宋体" w:eastAsia="宋体" w:hint="default"/>
          <w:sz w:val="18"/>
          <w:szCs w:val="18"/>
        </w:rPr>
      </w:pPr>
      <w:r>
        <w:rPr>
          <w:rFonts w:ascii="宋体" w:hAnsi="宋体" w:cs="宋体" w:eastAsia="宋体" w:hint="default"/>
          <w:spacing w:val="-3"/>
          <w:sz w:val="18"/>
          <w:szCs w:val="18"/>
        </w:rPr>
        <w:t>④有足够的技术、财务资源和其他资源支持，以完成该无形资产的开发，并有能力使用或出售该无形资产；</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⑤归属于该无形资产开发阶段的支出能够可靠地计量。</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）报告期内，本公司未区分研究支出与开发支出，因此内部研究开发项目支出全部予以当期费用化。</w:t>
      </w:r>
    </w:p>
    <w:p>
      <w:pPr>
        <w:spacing w:line="280" w:lineRule="auto" w:before="24"/>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（十八）长期待摊费用的摊销方法及摊销年限</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本公司以经营租赁方式租入的固定资产发生的改良支出，以及对实际发生的但由本期和以后各期负担的分</w:t>
      </w:r>
    </w:p>
    <w:p>
      <w:pPr>
        <w:spacing w:line="200"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摊期限在一年以上的各项费用，作为长期待摊费用，按照项目的预计受益期平均摊销；筹备期间的开办费在开</w:t>
      </w:r>
    </w:p>
    <w:p>
      <w:pPr>
        <w:spacing w:line="233"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始生产经营当月一次性摊入当期费用。</w:t>
      </w:r>
    </w:p>
    <w:p>
      <w:pPr>
        <w:spacing w:before="38"/>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（十九）除存货、投资性房地产及金融资产外的其他主要资产的减值</w:t>
      </w:r>
      <w:r>
        <w:rPr>
          <w:rFonts w:ascii="宋体" w:hAnsi="宋体" w:cs="宋体" w:eastAsia="宋体" w:hint="default"/>
          <w:sz w:val="18"/>
          <w:szCs w:val="18"/>
        </w:rPr>
      </w:r>
    </w:p>
    <w:p>
      <w:pPr>
        <w:spacing w:before="38"/>
        <w:ind w:left="501" w:right="61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6" w:top="1060" w:bottom="1420" w:left="1560" w:right="1380"/>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32" w:lineRule="exact" w:before="3"/>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成本法核算的、在活跃市场中没有报价、公允价值不能可靠计量的长期股权投资，其减值损失是根据其账</w:t>
      </w:r>
      <w:r>
        <w:rPr>
          <w:rFonts w:ascii="宋体" w:hAnsi="宋体" w:cs="宋体" w:eastAsia="宋体" w:hint="default"/>
          <w:sz w:val="18"/>
          <w:szCs w:val="18"/>
        </w:rPr>
        <w:t> 面价值与按类似金融资产当时市场收益率对未来现金流量折现确定的现值之间的差额进行确定。</w:t>
      </w:r>
    </w:p>
    <w:p>
      <w:pPr>
        <w:spacing w:line="230" w:lineRule="exact" w:before="46"/>
        <w:ind w:left="142" w:right="105" w:firstLine="359"/>
        <w:jc w:val="left"/>
        <w:rPr>
          <w:rFonts w:ascii="宋体" w:hAnsi="宋体" w:cs="宋体" w:eastAsia="宋体" w:hint="default"/>
          <w:sz w:val="18"/>
          <w:szCs w:val="18"/>
        </w:rPr>
      </w:pPr>
      <w:r>
        <w:rPr>
          <w:rFonts w:ascii="宋体" w:hAnsi="宋体" w:cs="宋体" w:eastAsia="宋体" w:hint="default"/>
          <w:sz w:val="18"/>
          <w:szCs w:val="18"/>
        </w:rPr>
        <w:t>其他长期股权投资，如果可收回金额的计量结果表明，该长期股权投资的可收回金额低于其账面价值的， 将差额确认为减值损失。</w:t>
      </w:r>
    </w:p>
    <w:p>
      <w:pPr>
        <w:spacing w:line="271" w:lineRule="auto" w:before="17"/>
        <w:ind w:left="501" w:right="139" w:firstLine="0"/>
        <w:jc w:val="left"/>
        <w:rPr>
          <w:rFonts w:ascii="宋体" w:hAnsi="宋体" w:cs="宋体" w:eastAsia="宋体" w:hint="default"/>
          <w:sz w:val="18"/>
          <w:szCs w:val="18"/>
        </w:rPr>
      </w:pPr>
      <w:r>
        <w:rPr>
          <w:rFonts w:ascii="宋体" w:hAnsi="宋体" w:cs="宋体" w:eastAsia="宋体" w:hint="default"/>
          <w:sz w:val="18"/>
          <w:szCs w:val="18"/>
        </w:rPr>
        <w:t>长期股权投资减值损失一经确认，不再转回。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．固定资产、在建工程、无形资产、商誉等长期非金融资产</w:t>
      </w:r>
      <w:r>
        <w:rPr>
          <w:rFonts w:ascii="宋体" w:hAnsi="宋体" w:cs="宋体" w:eastAsia="宋体" w:hint="default"/>
          <w:b/>
          <w:bCs/>
          <w:w w:val="99"/>
          <w:sz w:val="18"/>
          <w:szCs w:val="18"/>
        </w:rPr>
        <w:t> </w:t>
      </w:r>
      <w:r>
        <w:rPr>
          <w:rFonts w:ascii="宋体" w:hAnsi="宋体" w:cs="宋体" w:eastAsia="宋体" w:hint="default"/>
          <w:spacing w:val="-1"/>
          <w:sz w:val="18"/>
          <w:szCs w:val="18"/>
        </w:rPr>
        <w:t>对于固定资产、在建工程、无形资产等长期非金融资产，本公司在每年末判断相关资产是否存在可能发生</w:t>
      </w:r>
    </w:p>
    <w:p>
      <w:pPr>
        <w:spacing w:line="207"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减值的迹象。</w:t>
      </w:r>
    </w:p>
    <w:p>
      <w:pPr>
        <w:spacing w:line="280" w:lineRule="auto" w:before="38"/>
        <w:ind w:left="501" w:right="105" w:firstLine="0"/>
        <w:jc w:val="left"/>
        <w:rPr>
          <w:rFonts w:ascii="宋体" w:hAnsi="宋体" w:cs="宋体" w:eastAsia="宋体" w:hint="default"/>
          <w:sz w:val="18"/>
          <w:szCs w:val="18"/>
        </w:rPr>
      </w:pPr>
      <w:r>
        <w:rPr>
          <w:rFonts w:ascii="宋体" w:hAnsi="宋体" w:cs="宋体" w:eastAsia="宋体" w:hint="default"/>
          <w:sz w:val="18"/>
          <w:szCs w:val="18"/>
        </w:rPr>
        <w:t>因企业合并所形成的商誉和使用寿命不确定的无形资产，无论是否存在减值迹象，每年都进行减值测试。 </w:t>
      </w:r>
      <w:r>
        <w:rPr>
          <w:rFonts w:ascii="宋体" w:hAnsi="宋体" w:cs="宋体" w:eastAsia="宋体" w:hint="default"/>
          <w:spacing w:val="-1"/>
          <w:sz w:val="18"/>
          <w:szCs w:val="18"/>
        </w:rPr>
        <w:t>资产存在减值迹象的，估计其可收回金额。可收回金额根据资产的公允价值减去处置费用后的净额与资产</w:t>
      </w:r>
    </w:p>
    <w:p>
      <w:pPr>
        <w:spacing w:line="200"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预计未来现金流量的现值两者之间较高者确定。</w:t>
      </w:r>
    </w:p>
    <w:p>
      <w:pPr>
        <w:spacing w:line="230" w:lineRule="exact" w:before="66"/>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当资产的可收回金额低于其账面价值的，将资产的账面价值减记至可收回金额，减记的金额确认为资产减</w:t>
      </w:r>
      <w:r>
        <w:rPr>
          <w:rFonts w:ascii="宋体" w:hAnsi="宋体" w:cs="宋体" w:eastAsia="宋体" w:hint="default"/>
          <w:sz w:val="18"/>
          <w:szCs w:val="18"/>
        </w:rPr>
        <w:t> 值损失，计入当期损益，同时计提相应的资产减值准备。</w:t>
      </w:r>
    </w:p>
    <w:p>
      <w:pPr>
        <w:spacing w:line="234" w:lineRule="exact" w:before="42"/>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资产减值损失确认后，减值资产的折旧或者摊销费用在未来期间作相应调整，以使该资产在剩余使用寿命</w:t>
      </w:r>
      <w:r>
        <w:rPr>
          <w:rFonts w:ascii="宋体" w:hAnsi="宋体" w:cs="宋体" w:eastAsia="宋体" w:hint="default"/>
          <w:sz w:val="18"/>
          <w:szCs w:val="18"/>
        </w:rPr>
        <w:t> </w:t>
      </w:r>
      <w:r>
        <w:rPr>
          <w:rFonts w:ascii="宋体" w:hAnsi="宋体" w:cs="宋体" w:eastAsia="宋体" w:hint="default"/>
          <w:spacing w:val="-4"/>
          <w:sz w:val="18"/>
          <w:szCs w:val="18"/>
        </w:rPr>
        <w:t>内，系统地分摊调整后的资产账面价值（扣除预计净残值）。</w:t>
      </w:r>
    </w:p>
    <w:p>
      <w:pPr>
        <w:spacing w:line="278" w:lineRule="auto" w:before="14"/>
        <w:ind w:left="501" w:right="1905" w:firstLine="0"/>
        <w:jc w:val="left"/>
        <w:rPr>
          <w:rFonts w:ascii="宋体" w:hAnsi="宋体" w:cs="宋体" w:eastAsia="宋体" w:hint="default"/>
          <w:sz w:val="18"/>
          <w:szCs w:val="18"/>
        </w:rPr>
      </w:pPr>
      <w:r>
        <w:rPr>
          <w:rFonts w:ascii="宋体" w:hAnsi="宋体" w:cs="宋体" w:eastAsia="宋体" w:hint="default"/>
          <w:sz w:val="18"/>
          <w:szCs w:val="18"/>
        </w:rPr>
        <w:t>长期非金融资产的减值损失一经确认，在以后会计期间不再转回。 有迹象表明一项资产可能发生减值的，企业以单项资产为基础估计其可收回金额。</w:t>
      </w:r>
    </w:p>
    <w:p>
      <w:pPr>
        <w:spacing w:before="9"/>
        <w:ind w:left="501" w:right="1334" w:firstLine="0"/>
        <w:jc w:val="left"/>
        <w:rPr>
          <w:rFonts w:ascii="宋体" w:hAnsi="宋体" w:cs="宋体" w:eastAsia="宋体" w:hint="default"/>
          <w:sz w:val="18"/>
          <w:szCs w:val="18"/>
        </w:rPr>
      </w:pPr>
      <w:r>
        <w:rPr>
          <w:rFonts w:ascii="宋体" w:hAnsi="宋体" w:cs="宋体" w:eastAsia="宋体" w:hint="default"/>
          <w:b/>
          <w:bCs/>
          <w:sz w:val="18"/>
          <w:szCs w:val="18"/>
        </w:rPr>
        <w:t>（二十）借款费用资本化</w:t>
      </w:r>
      <w:r>
        <w:rPr>
          <w:rFonts w:ascii="宋体" w:hAnsi="宋体" w:cs="宋体" w:eastAsia="宋体" w:hint="default"/>
          <w:sz w:val="18"/>
          <w:szCs w:val="18"/>
        </w:rPr>
      </w:r>
    </w:p>
    <w:p>
      <w:pPr>
        <w:spacing w:line="266" w:lineRule="auto" w:before="38"/>
        <w:ind w:left="501" w:right="13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本公司发生的借款费用，可直接归属于符合资本化条件的资产的购建或者生产的，予以资本化，计入相关</w:t>
      </w:r>
    </w:p>
    <w:p>
      <w:pPr>
        <w:spacing w:line="211"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资产成本；其他借款费用，在发生时根据其发生额确认为费用，计入当期损益。</w:t>
      </w:r>
    </w:p>
    <w:p>
      <w:pPr>
        <w:spacing w:line="232" w:lineRule="exact" w:before="65"/>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符合资本化条件的资产，是指需要经过相当长时间的购建或者生产活动才能达到预定可使用或者可销售状</w:t>
      </w:r>
      <w:r>
        <w:rPr>
          <w:rFonts w:ascii="宋体" w:hAnsi="宋体" w:cs="宋体" w:eastAsia="宋体" w:hint="default"/>
          <w:sz w:val="18"/>
          <w:szCs w:val="18"/>
        </w:rPr>
        <w:t> 态的固定资产、投资性房地产和存货等资产。</w:t>
      </w:r>
    </w:p>
    <w:p>
      <w:pPr>
        <w:spacing w:before="17"/>
        <w:ind w:left="501" w:right="1334" w:firstLine="0"/>
        <w:jc w:val="left"/>
        <w:rPr>
          <w:rFonts w:ascii="宋体" w:hAnsi="宋体" w:cs="宋体" w:eastAsia="宋体" w:hint="default"/>
          <w:sz w:val="18"/>
          <w:szCs w:val="18"/>
        </w:rPr>
      </w:pPr>
      <w:r>
        <w:rPr>
          <w:rFonts w:ascii="宋体" w:hAnsi="宋体" w:cs="宋体" w:eastAsia="宋体" w:hint="default"/>
          <w:sz w:val="18"/>
          <w:szCs w:val="18"/>
        </w:rPr>
        <w:t>借款费用同时满足下列条件时开始资本化：</w:t>
      </w:r>
    </w:p>
    <w:p>
      <w:pPr>
        <w:spacing w:line="230" w:lineRule="exact" w:before="66"/>
        <w:ind w:left="142" w:right="139"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）资产支出已经发生，资产支出包括为购建或者生产符合资本化条件的资产而以支付现金、转移非现 金资产或者承担带息债务形式发生的支出；</w:t>
      </w:r>
    </w:p>
    <w:p>
      <w:pPr>
        <w:spacing w:before="17"/>
        <w:ind w:left="501" w:right="13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）借款费用已经发生；</w:t>
      </w:r>
    </w:p>
    <w:p>
      <w:pPr>
        <w:spacing w:line="266" w:lineRule="auto" w:before="24"/>
        <w:ind w:left="501" w:right="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）为使资产达到预定可使用或者可销售状态所必要的购建或者生产活动已经开始。 当符合资本化条件的资产在购建或者生产过程中发生非正常中断、且中断时间连续超过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个月的，借款费</w:t>
      </w:r>
    </w:p>
    <w:p>
      <w:pPr>
        <w:spacing w:line="195"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用暂停资本化。</w:t>
      </w:r>
    </w:p>
    <w:p>
      <w:pPr>
        <w:spacing w:line="280" w:lineRule="auto" w:before="38"/>
        <w:ind w:left="501" w:right="139" w:firstLine="0"/>
        <w:jc w:val="left"/>
        <w:rPr>
          <w:rFonts w:ascii="宋体" w:hAnsi="宋体" w:cs="宋体" w:eastAsia="宋体" w:hint="default"/>
          <w:sz w:val="18"/>
          <w:szCs w:val="18"/>
        </w:rPr>
      </w:pPr>
      <w:r>
        <w:rPr>
          <w:rFonts w:ascii="宋体" w:hAnsi="宋体" w:cs="宋体" w:eastAsia="宋体" w:hint="default"/>
          <w:sz w:val="18"/>
          <w:szCs w:val="18"/>
        </w:rPr>
        <w:t>当购建或者生产符合资本化条件的资产达到预定可使用或者可销售状态时，借款费用停止资本化。 </w:t>
      </w:r>
      <w:r>
        <w:rPr>
          <w:rFonts w:ascii="宋体" w:hAnsi="宋体" w:cs="宋体" w:eastAsia="宋体" w:hint="default"/>
          <w:spacing w:val="-1"/>
          <w:sz w:val="18"/>
          <w:szCs w:val="18"/>
        </w:rPr>
        <w:t>当购建或者生产符合资本化条件的资产中部分项目分别完工且可单独使用时，该部分资产借款费用停止资</w:t>
      </w:r>
    </w:p>
    <w:p>
      <w:pPr>
        <w:spacing w:line="200"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本化。</w:t>
      </w:r>
    </w:p>
    <w:p>
      <w:pPr>
        <w:spacing w:line="266" w:lineRule="auto" w:before="38"/>
        <w:ind w:left="501" w:right="13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b/>
          <w:bCs/>
          <w:w w:val="99"/>
          <w:sz w:val="18"/>
          <w:szCs w:val="18"/>
        </w:rPr>
        <w:t> </w:t>
      </w:r>
      <w:r>
        <w:rPr>
          <w:rFonts w:ascii="宋体" w:hAnsi="宋体" w:cs="宋体" w:eastAsia="宋体" w:hint="default"/>
          <w:spacing w:val="-1"/>
          <w:sz w:val="18"/>
          <w:szCs w:val="18"/>
        </w:rPr>
        <w:t>资本化期间，指从借款费用开始资本化时点到停止资本化时点的期间，借款费用暂停资本化的期间不包括</w:t>
      </w:r>
    </w:p>
    <w:p>
      <w:pPr>
        <w:spacing w:line="211"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在内。</w:t>
      </w:r>
    </w:p>
    <w:p>
      <w:pPr>
        <w:spacing w:line="266" w:lineRule="auto" w:before="38"/>
        <w:ind w:left="501" w:right="13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1"/>
          <w:sz w:val="18"/>
          <w:szCs w:val="18"/>
        </w:rPr>
        <w:t>专门借款的利息费用（扣除尚未动用的借款资金存入银行取得的利息收入或者进行暂时性投资取得的投资</w:t>
      </w:r>
    </w:p>
    <w:p>
      <w:pPr>
        <w:spacing w:line="234" w:lineRule="exact" w:before="0"/>
        <w:ind w:left="142" w:right="139" w:firstLine="0"/>
        <w:jc w:val="left"/>
        <w:rPr>
          <w:rFonts w:ascii="宋体" w:hAnsi="宋体" w:cs="宋体" w:eastAsia="宋体" w:hint="default"/>
          <w:sz w:val="18"/>
          <w:szCs w:val="18"/>
        </w:rPr>
      </w:pPr>
      <w:r>
        <w:rPr>
          <w:rFonts w:ascii="宋体" w:hAnsi="宋体" w:cs="宋体" w:eastAsia="宋体" w:hint="default"/>
          <w:spacing w:val="-1"/>
          <w:sz w:val="18"/>
          <w:szCs w:val="18"/>
        </w:rPr>
        <w:t>收益）及其辅助费用在所购建或者生产的符合资本化条件的资产达到预定可使用或者可销售状态前，予以资本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化。</w:t>
      </w:r>
    </w:p>
    <w:p>
      <w:pPr>
        <w:spacing w:line="232" w:lineRule="exact" w:before="41"/>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根据累计资产支出超过专门借款部分的资产支出加权平均数乘以所占用一般借款的资本化率，计算确定一</w:t>
      </w:r>
      <w:r>
        <w:rPr>
          <w:rFonts w:ascii="宋体" w:hAnsi="宋体" w:cs="宋体" w:eastAsia="宋体" w:hint="default"/>
          <w:sz w:val="18"/>
          <w:szCs w:val="18"/>
        </w:rPr>
        <w:t> 般借款应予资本化的利息金额。资本化率根据一般借款加权平均利率计算确定。</w:t>
      </w:r>
    </w:p>
    <w:p>
      <w:pPr>
        <w:spacing w:line="230" w:lineRule="exact" w:before="45"/>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借款存在折价或者溢价的，按照实际利率法确定每一会计期间应摊销的折价或者溢价金额，调整每期利息</w:t>
      </w:r>
      <w:r>
        <w:rPr>
          <w:rFonts w:ascii="宋体" w:hAnsi="宋体" w:cs="宋体" w:eastAsia="宋体" w:hint="default"/>
          <w:sz w:val="18"/>
          <w:szCs w:val="18"/>
        </w:rPr>
        <w:t> 金额。</w:t>
      </w:r>
    </w:p>
    <w:p>
      <w:pPr>
        <w:spacing w:line="280" w:lineRule="auto" w:before="17"/>
        <w:ind w:left="501" w:right="139" w:firstLine="0"/>
        <w:jc w:val="left"/>
        <w:rPr>
          <w:rFonts w:ascii="宋体" w:hAnsi="宋体" w:cs="宋体" w:eastAsia="宋体" w:hint="default"/>
          <w:sz w:val="18"/>
          <w:szCs w:val="18"/>
        </w:rPr>
      </w:pPr>
      <w:r>
        <w:rPr>
          <w:rFonts w:ascii="宋体" w:hAnsi="宋体" w:cs="宋体" w:eastAsia="宋体" w:hint="default"/>
          <w:b/>
          <w:bCs/>
          <w:sz w:val="18"/>
          <w:szCs w:val="18"/>
        </w:rPr>
        <w:t>（二十一）商誉</w:t>
      </w:r>
      <w:r>
        <w:rPr>
          <w:rFonts w:ascii="宋体" w:hAnsi="宋体" w:cs="宋体" w:eastAsia="宋体" w:hint="default"/>
          <w:b/>
          <w:bCs/>
          <w:w w:val="99"/>
          <w:sz w:val="18"/>
          <w:szCs w:val="18"/>
        </w:rPr>
        <w:t> </w:t>
      </w:r>
      <w:r>
        <w:rPr>
          <w:rFonts w:ascii="宋体" w:hAnsi="宋体" w:cs="宋体" w:eastAsia="宋体" w:hint="default"/>
          <w:spacing w:val="-1"/>
          <w:sz w:val="18"/>
          <w:szCs w:val="18"/>
        </w:rPr>
        <w:t>在非同一控制下企业合并时，支付的合并成本大于合并中取得的被购买方可辨认净资产公允价值份额的差</w:t>
      </w:r>
    </w:p>
    <w:p>
      <w:pPr>
        <w:spacing w:line="200"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额，确认为商誉。</w:t>
      </w:r>
    </w:p>
    <w:p>
      <w:pPr>
        <w:spacing w:line="230" w:lineRule="exact" w:before="66"/>
        <w:ind w:left="142" w:right="139" w:firstLine="359"/>
        <w:jc w:val="left"/>
        <w:rPr>
          <w:rFonts w:ascii="宋体" w:hAnsi="宋体" w:cs="宋体" w:eastAsia="宋体" w:hint="default"/>
          <w:sz w:val="18"/>
          <w:szCs w:val="18"/>
        </w:rPr>
      </w:pPr>
      <w:r>
        <w:rPr>
          <w:rFonts w:ascii="宋体" w:hAnsi="宋体" w:cs="宋体" w:eastAsia="宋体" w:hint="default"/>
          <w:spacing w:val="-1"/>
          <w:sz w:val="18"/>
          <w:szCs w:val="18"/>
        </w:rPr>
        <w:t>本公司于年末，将商誉分摊至相关的资产组进行减值测试，计提的减值准备计入当期损益，减值准备一经</w:t>
      </w:r>
      <w:r>
        <w:rPr>
          <w:rFonts w:ascii="宋体" w:hAnsi="宋体" w:cs="宋体" w:eastAsia="宋体" w:hint="default"/>
          <w:sz w:val="18"/>
          <w:szCs w:val="18"/>
        </w:rPr>
        <w:t> 计提，在以后的会计期间不再转回。</w:t>
      </w:r>
    </w:p>
    <w:p>
      <w:pPr>
        <w:spacing w:line="280" w:lineRule="auto" w:before="17"/>
        <w:ind w:left="501" w:right="139" w:firstLine="0"/>
        <w:jc w:val="left"/>
        <w:rPr>
          <w:rFonts w:ascii="宋体" w:hAnsi="宋体" w:cs="宋体" w:eastAsia="宋体" w:hint="default"/>
          <w:sz w:val="18"/>
          <w:szCs w:val="18"/>
        </w:rPr>
      </w:pPr>
      <w:r>
        <w:rPr>
          <w:rFonts w:ascii="宋体" w:hAnsi="宋体" w:cs="宋体" w:eastAsia="宋体" w:hint="default"/>
          <w:b/>
          <w:bCs/>
          <w:sz w:val="18"/>
          <w:szCs w:val="18"/>
        </w:rPr>
        <w:t>（二十二）职工薪酬</w:t>
      </w:r>
      <w:r>
        <w:rPr>
          <w:rFonts w:ascii="宋体" w:hAnsi="宋体" w:cs="宋体" w:eastAsia="宋体" w:hint="default"/>
          <w:b/>
          <w:bCs/>
          <w:w w:val="99"/>
          <w:sz w:val="18"/>
          <w:szCs w:val="18"/>
        </w:rPr>
        <w:t> </w:t>
      </w:r>
      <w:r>
        <w:rPr>
          <w:rFonts w:ascii="宋体" w:hAnsi="宋体" w:cs="宋体" w:eastAsia="宋体" w:hint="default"/>
          <w:spacing w:val="-1"/>
          <w:sz w:val="18"/>
          <w:szCs w:val="18"/>
        </w:rPr>
        <w:t>在每一会计期间内，将应付的职工薪酬确认为负债，按受益对象分别计入产品或劳务成本、当期费用或固</w:t>
      </w:r>
    </w:p>
    <w:p>
      <w:pPr>
        <w:spacing w:line="201" w:lineRule="exact"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定资产或无形资产成本。根据有关规定，本公司按照月工资额的一定比例提取保险费和公积金，并按月向劳动</w:t>
      </w:r>
    </w:p>
    <w:p>
      <w:pPr>
        <w:spacing w:line="234" w:lineRule="exact" w:before="0"/>
        <w:ind w:left="142" w:right="1334" w:firstLine="0"/>
        <w:jc w:val="left"/>
        <w:rPr>
          <w:rFonts w:ascii="宋体" w:hAnsi="宋体" w:cs="宋体" w:eastAsia="宋体" w:hint="default"/>
          <w:sz w:val="18"/>
          <w:szCs w:val="18"/>
        </w:rPr>
      </w:pPr>
      <w:r>
        <w:rPr>
          <w:rFonts w:ascii="宋体" w:hAnsi="宋体" w:cs="宋体" w:eastAsia="宋体" w:hint="default"/>
          <w:sz w:val="18"/>
          <w:szCs w:val="18"/>
        </w:rPr>
        <w:t>和社会保障机构缴纳，相应的支出计入当期成本或费用。</w:t>
      </w:r>
    </w:p>
    <w:p>
      <w:pPr>
        <w:spacing w:line="280" w:lineRule="auto" w:before="38"/>
        <w:ind w:left="501" w:right="139" w:firstLine="0"/>
        <w:jc w:val="left"/>
        <w:rPr>
          <w:rFonts w:ascii="宋体" w:hAnsi="宋体" w:cs="宋体" w:eastAsia="宋体" w:hint="default"/>
          <w:sz w:val="18"/>
          <w:szCs w:val="18"/>
        </w:rPr>
      </w:pPr>
      <w:r>
        <w:rPr>
          <w:rFonts w:ascii="宋体" w:hAnsi="宋体" w:cs="宋体" w:eastAsia="宋体" w:hint="default"/>
          <w:b/>
          <w:bCs/>
          <w:sz w:val="18"/>
          <w:szCs w:val="18"/>
        </w:rPr>
        <w:t>（二十三）预计负债的确认</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本公司将同时符合以下条件与或有事项相关的义务确认为负债：该义务是企业承担的现时义务；履行该义</w:t>
      </w:r>
    </w:p>
    <w:p>
      <w:pPr>
        <w:spacing w:after="0" w:line="280" w:lineRule="auto"/>
        <w:jc w:val="left"/>
        <w:rPr>
          <w:rFonts w:ascii="宋体" w:hAnsi="宋体" w:cs="宋体" w:eastAsia="宋体" w:hint="default"/>
          <w:sz w:val="18"/>
          <w:szCs w:val="18"/>
        </w:rPr>
        <w:sectPr>
          <w:pgSz w:w="11910" w:h="16840"/>
          <w:pgMar w:header="877" w:footer="1226" w:top="1060" w:bottom="1420" w:left="1560" w:right="144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78" w:lineRule="auto" w:before="0"/>
        <w:ind w:left="501" w:right="345" w:hanging="360"/>
        <w:jc w:val="left"/>
        <w:rPr>
          <w:rFonts w:ascii="宋体" w:hAnsi="宋体" w:cs="宋体" w:eastAsia="宋体" w:hint="default"/>
          <w:sz w:val="18"/>
          <w:szCs w:val="18"/>
        </w:rPr>
      </w:pPr>
      <w:r>
        <w:rPr>
          <w:rFonts w:ascii="宋体" w:hAnsi="宋体" w:cs="宋体" w:eastAsia="宋体" w:hint="default"/>
          <w:sz w:val="18"/>
          <w:szCs w:val="18"/>
        </w:rPr>
        <w:t>务很可能导致经济利益流出企业；该义务的金额能够可靠地计量。 待执行合同变成亏损合同的，该亏损合同产生的义务满足上述条件的，确认为预计负债。 本公司承担的其他义务（如承担超额亏损、重组义务、弃置费用等）满足上述条件，确认为预计负债。</w:t>
      </w:r>
    </w:p>
    <w:p>
      <w:pPr>
        <w:spacing w:before="9"/>
        <w:ind w:left="501" w:right="6105" w:firstLine="0"/>
        <w:jc w:val="left"/>
        <w:rPr>
          <w:rFonts w:ascii="宋体" w:hAnsi="宋体" w:cs="宋体" w:eastAsia="宋体" w:hint="default"/>
          <w:sz w:val="18"/>
          <w:szCs w:val="18"/>
        </w:rPr>
      </w:pPr>
      <w:r>
        <w:rPr>
          <w:rFonts w:ascii="宋体" w:hAnsi="宋体" w:cs="宋体" w:eastAsia="宋体" w:hint="default"/>
          <w:b/>
          <w:bCs/>
          <w:sz w:val="18"/>
          <w:szCs w:val="18"/>
        </w:rPr>
        <w:t>（二十四）收入确认原则</w:t>
      </w:r>
      <w:r>
        <w:rPr>
          <w:rFonts w:ascii="宋体" w:hAnsi="宋体" w:cs="宋体" w:eastAsia="宋体" w:hint="default"/>
          <w:sz w:val="18"/>
          <w:szCs w:val="18"/>
        </w:rPr>
      </w:r>
    </w:p>
    <w:p>
      <w:pPr>
        <w:spacing w:line="266" w:lineRule="auto" w:before="38"/>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本公司已将商品所有权上的主要风险和报酬转移给购买方；本公司既没有保留与所有权相联系的继续管理</w:t>
      </w:r>
    </w:p>
    <w:p>
      <w:pPr>
        <w:spacing w:line="232" w:lineRule="exact" w:before="2"/>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权，也没有对已售出的商品实施有效控制；收入的金额能够可靠地计量；相关的经济利益很可能流入企业；相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关的已发生或将发生的成本能够可靠地计量时，确认商品销售收入实现。</w:t>
      </w:r>
    </w:p>
    <w:p>
      <w:pPr>
        <w:spacing w:line="266" w:lineRule="auto" w:before="17"/>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．提供劳务</w:t>
      </w:r>
      <w:r>
        <w:rPr>
          <w:rFonts w:ascii="宋体" w:hAnsi="宋体" w:cs="宋体" w:eastAsia="宋体" w:hint="default"/>
          <w:b/>
          <w:bCs/>
          <w:w w:val="99"/>
          <w:sz w:val="18"/>
          <w:szCs w:val="18"/>
        </w:rPr>
        <w:t> </w:t>
      </w:r>
      <w:r>
        <w:rPr>
          <w:rFonts w:ascii="宋体" w:hAnsi="宋体" w:cs="宋体" w:eastAsia="宋体" w:hint="default"/>
          <w:spacing w:val="-1"/>
          <w:sz w:val="18"/>
          <w:szCs w:val="18"/>
        </w:rPr>
        <w:t>以劳务的收入、劳务的完工程度能够可靠地确定，与交易相关的价款能够流入，相关的成本能够可靠地计</w:t>
      </w:r>
    </w:p>
    <w:p>
      <w:pPr>
        <w:spacing w:line="211" w:lineRule="exact" w:before="0"/>
        <w:ind w:left="142" w:right="6105" w:firstLine="0"/>
        <w:jc w:val="left"/>
        <w:rPr>
          <w:rFonts w:ascii="宋体" w:hAnsi="宋体" w:cs="宋体" w:eastAsia="宋体" w:hint="default"/>
          <w:sz w:val="18"/>
          <w:szCs w:val="18"/>
        </w:rPr>
      </w:pPr>
      <w:r>
        <w:rPr>
          <w:rFonts w:ascii="宋体" w:hAnsi="宋体" w:cs="宋体" w:eastAsia="宋体" w:hint="default"/>
          <w:sz w:val="18"/>
          <w:szCs w:val="18"/>
        </w:rPr>
        <w:t>量为前提。</w:t>
      </w:r>
    </w:p>
    <w:p>
      <w:pPr>
        <w:spacing w:line="266" w:lineRule="auto" w:before="38"/>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．让渡资产使用权</w:t>
      </w:r>
      <w:r>
        <w:rPr>
          <w:rFonts w:ascii="宋体" w:hAnsi="宋体" w:cs="宋体" w:eastAsia="宋体" w:hint="default"/>
          <w:b/>
          <w:bCs/>
          <w:w w:val="99"/>
          <w:sz w:val="18"/>
          <w:szCs w:val="18"/>
        </w:rPr>
        <w:t> </w:t>
      </w:r>
      <w:r>
        <w:rPr>
          <w:rFonts w:ascii="宋体" w:hAnsi="宋体" w:cs="宋体" w:eastAsia="宋体" w:hint="default"/>
          <w:spacing w:val="-1"/>
          <w:sz w:val="18"/>
          <w:szCs w:val="18"/>
        </w:rPr>
        <w:t>与交易相关的经济利益很可能流入企业，收入的金额能够可靠地计量时。分别下列情况确定让渡资产使用</w:t>
      </w:r>
    </w:p>
    <w:p>
      <w:pPr>
        <w:spacing w:line="211" w:lineRule="exact" w:before="0"/>
        <w:ind w:left="142" w:right="6105" w:firstLine="0"/>
        <w:jc w:val="left"/>
        <w:rPr>
          <w:rFonts w:ascii="宋体" w:hAnsi="宋体" w:cs="宋体" w:eastAsia="宋体" w:hint="default"/>
          <w:sz w:val="18"/>
          <w:szCs w:val="18"/>
        </w:rPr>
      </w:pPr>
      <w:r>
        <w:rPr>
          <w:rFonts w:ascii="宋体" w:hAnsi="宋体" w:cs="宋体" w:eastAsia="宋体" w:hint="default"/>
          <w:sz w:val="18"/>
          <w:szCs w:val="18"/>
        </w:rPr>
        <w:t>权收入金额：</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）利息收入金额，按照他人使用本企业货币资金的时间和实际利率计算确定。</w:t>
      </w:r>
    </w:p>
    <w:p>
      <w:pPr>
        <w:spacing w:before="24"/>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）使用费收入金额，按照有关合同或协议约定的收费时间和方法计算确定。</w:t>
      </w:r>
    </w:p>
    <w:p>
      <w:pPr>
        <w:spacing w:before="24"/>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（二十五）递延所得税资产和递延所得税负债</w:t>
      </w:r>
      <w:r>
        <w:rPr>
          <w:rFonts w:ascii="宋体" w:hAnsi="宋体" w:cs="宋体" w:eastAsia="宋体" w:hint="default"/>
          <w:sz w:val="18"/>
          <w:szCs w:val="18"/>
        </w:rPr>
      </w:r>
    </w:p>
    <w:p>
      <w:pPr>
        <w:spacing w:line="266" w:lineRule="auto" w:before="38"/>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t>确认递延所得税资产的依据</w:t>
      </w:r>
      <w:r>
        <w:rPr>
          <w:rFonts w:ascii="宋体" w:hAnsi="宋体" w:cs="宋体" w:eastAsia="宋体" w:hint="default"/>
          <w:spacing w:val="-88"/>
          <w:sz w:val="18"/>
          <w:szCs w:val="18"/>
        </w:rPr>
        <w:t> </w:t>
      </w:r>
      <w:r>
        <w:rPr>
          <w:rFonts w:ascii="宋体" w:hAnsi="宋体" w:cs="宋体" w:eastAsia="宋体" w:hint="default"/>
          <w:spacing w:val="-1"/>
          <w:sz w:val="18"/>
          <w:szCs w:val="18"/>
        </w:rPr>
        <w:t>公司以很可能取得用来抵扣可抵扣暂时性差异的应纳税所得额为限，确认由可抵扣暂时性差异产生的递延</w:t>
      </w:r>
    </w:p>
    <w:p>
      <w:pPr>
        <w:spacing w:line="211" w:lineRule="exact" w:before="0"/>
        <w:ind w:left="142" w:right="6105" w:firstLine="0"/>
        <w:jc w:val="left"/>
        <w:rPr>
          <w:rFonts w:ascii="宋体" w:hAnsi="宋体" w:cs="宋体" w:eastAsia="宋体" w:hint="default"/>
          <w:sz w:val="18"/>
          <w:szCs w:val="18"/>
        </w:rPr>
      </w:pPr>
      <w:r>
        <w:rPr>
          <w:rFonts w:ascii="宋体" w:hAnsi="宋体" w:cs="宋体" w:eastAsia="宋体" w:hint="default"/>
          <w:sz w:val="18"/>
          <w:szCs w:val="18"/>
        </w:rPr>
        <w:t>所得税资产。</w:t>
      </w:r>
    </w:p>
    <w:p>
      <w:pPr>
        <w:spacing w:line="266" w:lineRule="auto" w:before="38"/>
        <w:ind w:left="501"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t>确认递延所得税负债的依据</w:t>
      </w:r>
      <w:r>
        <w:rPr>
          <w:rFonts w:ascii="宋体" w:hAnsi="宋体" w:cs="宋体" w:eastAsia="宋体" w:hint="default"/>
          <w:spacing w:val="-88"/>
          <w:sz w:val="18"/>
          <w:szCs w:val="18"/>
        </w:rPr>
        <w:t> </w:t>
      </w:r>
      <w:r>
        <w:rPr>
          <w:rFonts w:ascii="宋体" w:hAnsi="宋体" w:cs="宋体" w:eastAsia="宋体" w:hint="default"/>
          <w:spacing w:val="-1"/>
          <w:sz w:val="18"/>
          <w:szCs w:val="18"/>
        </w:rPr>
        <w:t>公司将当期与以前期间应交未交的应纳税暂时性差异确认为递延所得税负债。但不包括商誉、非企业合并</w:t>
      </w:r>
    </w:p>
    <w:p>
      <w:pPr>
        <w:spacing w:line="211" w:lineRule="exact" w:before="0"/>
        <w:ind w:left="142" w:right="112" w:firstLine="0"/>
        <w:jc w:val="left"/>
        <w:rPr>
          <w:rFonts w:ascii="宋体" w:hAnsi="宋体" w:cs="宋体" w:eastAsia="宋体" w:hint="default"/>
          <w:sz w:val="18"/>
          <w:szCs w:val="18"/>
        </w:rPr>
      </w:pPr>
      <w:r>
        <w:rPr>
          <w:rFonts w:ascii="宋体" w:hAnsi="宋体" w:cs="宋体" w:eastAsia="宋体" w:hint="default"/>
          <w:sz w:val="18"/>
          <w:szCs w:val="18"/>
        </w:rPr>
        <w:t>形成的交易且该交易发生时既不影响会计利润也不影响应纳税所得额所形成的暂时性差异。</w:t>
      </w:r>
    </w:p>
    <w:p>
      <w:pPr>
        <w:spacing w:before="38"/>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（二十六）经营租赁、融资租赁的会计处理方法</w:t>
      </w:r>
      <w:r>
        <w:rPr>
          <w:rFonts w:ascii="宋体" w:hAnsi="宋体" w:cs="宋体" w:eastAsia="宋体" w:hint="default"/>
          <w:sz w:val="18"/>
          <w:szCs w:val="18"/>
        </w:rPr>
      </w:r>
    </w:p>
    <w:p>
      <w:pPr>
        <w:spacing w:before="38"/>
        <w:ind w:left="501" w:right="61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．经营租赁会计处理</w:t>
      </w:r>
      <w:r>
        <w:rPr>
          <w:rFonts w:ascii="宋体" w:hAnsi="宋体" w:cs="宋体" w:eastAsia="宋体" w:hint="default"/>
          <w:sz w:val="18"/>
          <w:szCs w:val="18"/>
        </w:rPr>
      </w:r>
    </w:p>
    <w:p>
      <w:pPr>
        <w:spacing w:line="230" w:lineRule="exact" w:before="53"/>
        <w:ind w:left="142" w:right="112"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）公司租入资产所支付的租赁费，在不扣除免租期的整个租赁期内，按直线法进行分摊，计入当期费 用。公司支付的与租赁交易相关的初始直接费用，计入当期费用。</w:t>
      </w:r>
    </w:p>
    <w:p>
      <w:pPr>
        <w:spacing w:line="230" w:lineRule="exact" w:before="46"/>
        <w:ind w:left="142" w:right="112" w:firstLine="359"/>
        <w:jc w:val="left"/>
        <w:rPr>
          <w:rFonts w:ascii="宋体" w:hAnsi="宋体" w:cs="宋体" w:eastAsia="宋体" w:hint="default"/>
          <w:sz w:val="18"/>
          <w:szCs w:val="18"/>
        </w:rPr>
      </w:pPr>
      <w:r>
        <w:rPr>
          <w:rFonts w:ascii="宋体" w:hAnsi="宋体" w:cs="宋体" w:eastAsia="宋体" w:hint="default"/>
          <w:spacing w:val="-1"/>
          <w:sz w:val="18"/>
          <w:szCs w:val="18"/>
        </w:rPr>
        <w:t>资产出租方承担了应由公司承担的与租赁相关的费用时，公司将该部分费用从租金总额中扣除，按扣除后</w:t>
      </w:r>
      <w:r>
        <w:rPr>
          <w:rFonts w:ascii="宋体" w:hAnsi="宋体" w:cs="宋体" w:eastAsia="宋体" w:hint="default"/>
          <w:sz w:val="18"/>
          <w:szCs w:val="18"/>
        </w:rPr>
        <w:t> 的租金费用在租赁期内分摊，计入当期费用。</w:t>
      </w:r>
    </w:p>
    <w:p>
      <w:pPr>
        <w:spacing w:line="232" w:lineRule="exact" w:before="44"/>
        <w:ind w:left="142" w:right="206" w:firstLine="359"/>
        <w:jc w:val="both"/>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）公司出租资产所收取的租赁费，在不扣除免租期的整个租赁期内，按直线法进行分摊，确认为租赁 </w:t>
      </w:r>
      <w:r>
        <w:rPr>
          <w:rFonts w:ascii="宋体" w:hAnsi="宋体" w:cs="宋体" w:eastAsia="宋体" w:hint="default"/>
          <w:spacing w:val="-1"/>
          <w:sz w:val="18"/>
          <w:szCs w:val="18"/>
        </w:rPr>
        <w:t>收入。公司支付的与租赁交易相关的初始直接费用，计入当期费用；如金额较大的，则予以资本化，在整个租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赁期间内按照与租赁收入确认相同的基础分期计入当期收益。</w:t>
      </w:r>
    </w:p>
    <w:p>
      <w:pPr>
        <w:spacing w:line="230" w:lineRule="exact" w:before="45"/>
        <w:ind w:left="142" w:right="112" w:firstLine="359"/>
        <w:jc w:val="left"/>
        <w:rPr>
          <w:rFonts w:ascii="宋体" w:hAnsi="宋体" w:cs="宋体" w:eastAsia="宋体" w:hint="default"/>
          <w:sz w:val="18"/>
          <w:szCs w:val="18"/>
        </w:rPr>
      </w:pPr>
      <w:r>
        <w:rPr>
          <w:rFonts w:ascii="宋体" w:hAnsi="宋体" w:cs="宋体" w:eastAsia="宋体" w:hint="default"/>
          <w:spacing w:val="-1"/>
          <w:sz w:val="18"/>
          <w:szCs w:val="18"/>
        </w:rPr>
        <w:t>公司承担了应由承租方承担的与租赁相关的费用时，公司将该部分费用从租金收入总额中扣除，按扣除后</w:t>
      </w:r>
      <w:r>
        <w:rPr>
          <w:rFonts w:ascii="宋体" w:hAnsi="宋体" w:cs="宋体" w:eastAsia="宋体" w:hint="default"/>
          <w:sz w:val="18"/>
          <w:szCs w:val="18"/>
        </w:rPr>
        <w:t> 的租金费用在租赁期内分配。</w:t>
      </w:r>
    </w:p>
    <w:p>
      <w:pPr>
        <w:spacing w:before="17"/>
        <w:ind w:left="501" w:right="61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．融资租赁会计处理</w:t>
      </w:r>
      <w:r>
        <w:rPr>
          <w:rFonts w:ascii="宋体" w:hAnsi="宋体" w:cs="宋体" w:eastAsia="宋体" w:hint="default"/>
          <w:sz w:val="18"/>
          <w:szCs w:val="18"/>
        </w:rPr>
      </w:r>
    </w:p>
    <w:p>
      <w:pPr>
        <w:spacing w:line="230" w:lineRule="exact" w:before="53"/>
        <w:ind w:left="142" w:right="112"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）融资租入资产：公司在承租开始日，将租赁资产公允价值与最低租赁付款额现值两者中较低者作为 租入资产的入账价值，将最低租赁付款额作为长期应付款的入账价值，其差额作为未确认的融资费用。</w:t>
      </w:r>
    </w:p>
    <w:p>
      <w:pPr>
        <w:spacing w:before="17"/>
        <w:ind w:left="501" w:right="112" w:firstLine="0"/>
        <w:jc w:val="left"/>
        <w:rPr>
          <w:rFonts w:ascii="宋体" w:hAnsi="宋体" w:cs="宋体" w:eastAsia="宋体" w:hint="default"/>
          <w:sz w:val="18"/>
          <w:szCs w:val="18"/>
        </w:rPr>
      </w:pPr>
      <w:r>
        <w:rPr>
          <w:rFonts w:ascii="宋体" w:hAnsi="宋体" w:cs="宋体" w:eastAsia="宋体" w:hint="default"/>
          <w:sz w:val="18"/>
          <w:szCs w:val="18"/>
        </w:rPr>
        <w:t>公司采用实际利率法对未确认的融资费用，在资产租赁期间内摊销，计入财务费用。</w:t>
      </w:r>
    </w:p>
    <w:p>
      <w:pPr>
        <w:spacing w:line="230" w:lineRule="auto" w:before="49"/>
        <w:ind w:left="142" w:right="203" w:firstLine="3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）融资租出资产：公司在租赁开始日，将应收融资租赁款，未担保余值之和与其现值的差额确认为未 </w:t>
      </w:r>
      <w:r>
        <w:rPr>
          <w:rFonts w:ascii="宋体" w:hAnsi="宋体" w:cs="宋体" w:eastAsia="宋体" w:hint="default"/>
          <w:spacing w:val="-1"/>
          <w:sz w:val="18"/>
          <w:szCs w:val="18"/>
        </w:rPr>
        <w:t>实现融资收益，在将来受到租赁的各期间内确认为租赁收入，公司发生的与出租交易相关的初始直接费用，计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入应收融资租赁款的初始计量中，并减少租赁期内确认的收益金额。</w:t>
      </w:r>
    </w:p>
    <w:p>
      <w:pPr>
        <w:spacing w:before="39"/>
        <w:ind w:left="501" w:right="112" w:firstLine="0"/>
        <w:jc w:val="left"/>
        <w:rPr>
          <w:rFonts w:ascii="宋体" w:hAnsi="宋体" w:cs="宋体" w:eastAsia="宋体" w:hint="default"/>
          <w:sz w:val="18"/>
          <w:szCs w:val="18"/>
        </w:rPr>
      </w:pPr>
      <w:r>
        <w:rPr>
          <w:rFonts w:ascii="宋体" w:hAnsi="宋体" w:cs="宋体" w:eastAsia="宋体" w:hint="default"/>
          <w:b/>
          <w:bCs/>
          <w:sz w:val="18"/>
          <w:szCs w:val="18"/>
        </w:rPr>
        <w:t>（二十七）主要会计政策、会计估计的变更</w:t>
      </w:r>
      <w:r>
        <w:rPr>
          <w:rFonts w:ascii="宋体" w:hAnsi="宋体" w:cs="宋体" w:eastAsia="宋体" w:hint="default"/>
          <w:sz w:val="18"/>
          <w:szCs w:val="18"/>
        </w:rPr>
      </w:r>
    </w:p>
    <w:p>
      <w:pPr>
        <w:spacing w:before="38"/>
        <w:ind w:left="501" w:right="61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主要会计政策变更</w:t>
      </w:r>
      <w:r>
        <w:rPr>
          <w:rFonts w:ascii="宋体" w:hAnsi="宋体" w:cs="宋体" w:eastAsia="宋体" w:hint="default"/>
          <w:sz w:val="18"/>
          <w:szCs w:val="18"/>
        </w:rPr>
      </w:r>
    </w:p>
    <w:p>
      <w:pPr>
        <w:spacing w:line="232" w:lineRule="exact" w:before="51"/>
        <w:ind w:left="142" w:right="199" w:firstLine="359"/>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日财政部财会（</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号文《企业会计准则解释第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号》之规定，本公司对会计政</w:t>
      </w:r>
      <w:r>
        <w:rPr>
          <w:rFonts w:ascii="宋体" w:hAnsi="宋体" w:cs="宋体" w:eastAsia="宋体" w:hint="default"/>
          <w:sz w:val="18"/>
          <w:szCs w:val="18"/>
        </w:rPr>
        <w:t> 策进行了以下变更：</w:t>
      </w:r>
    </w:p>
    <w:p>
      <w:pPr>
        <w:spacing w:line="266" w:lineRule="auto" w:before="14"/>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）变更非同一控制下的企业合并合并成本计量政策 </w:t>
      </w:r>
      <w:r>
        <w:rPr>
          <w:rFonts w:ascii="宋体" w:hAnsi="宋体" w:cs="宋体" w:eastAsia="宋体" w:hint="default"/>
          <w:spacing w:val="-1"/>
          <w:sz w:val="18"/>
          <w:szCs w:val="18"/>
        </w:rPr>
        <w:t>变更前：非同一控制下的企业合并合并成本为购买日购买方为取得对被购买方的控制权而付出的资产、发</w:t>
      </w:r>
    </w:p>
    <w:p>
      <w:pPr>
        <w:spacing w:line="232" w:lineRule="exact" w:before="4"/>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生或承担的负债以及发行的权益性证券的公允价值，以及为企业合并而发生的各项直接相关费用。通过多次交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换交易分步实现的企业合并，合并成本为每一单项交易成本之和。在合并合同中对可能影响合并成本的未来事</w:t>
      </w:r>
    </w:p>
    <w:p>
      <w:pPr>
        <w:spacing w:line="230" w:lineRule="exact" w:before="2"/>
        <w:ind w:left="142" w:right="112" w:firstLine="0"/>
        <w:jc w:val="left"/>
        <w:rPr>
          <w:rFonts w:ascii="宋体" w:hAnsi="宋体" w:cs="宋体" w:eastAsia="宋体" w:hint="default"/>
          <w:sz w:val="18"/>
          <w:szCs w:val="18"/>
        </w:rPr>
      </w:pPr>
      <w:r>
        <w:rPr>
          <w:rFonts w:ascii="宋体" w:hAnsi="宋体" w:cs="宋体" w:eastAsia="宋体" w:hint="default"/>
          <w:spacing w:val="-1"/>
          <w:sz w:val="18"/>
          <w:szCs w:val="18"/>
        </w:rPr>
        <w:t>项作出约定的，购买日如果估计未来事项很可能发生并且对合并成本的影响金额能够可靠计量的，也计入合并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成本。</w:t>
      </w:r>
    </w:p>
    <w:p>
      <w:pPr>
        <w:spacing w:line="237" w:lineRule="auto" w:before="22"/>
        <w:ind w:left="142" w:right="112" w:firstLine="359"/>
        <w:jc w:val="left"/>
        <w:rPr>
          <w:rFonts w:ascii="宋体" w:hAnsi="宋体" w:cs="宋体" w:eastAsia="宋体" w:hint="default"/>
          <w:sz w:val="18"/>
          <w:szCs w:val="18"/>
        </w:rPr>
      </w:pPr>
      <w:r>
        <w:rPr>
          <w:rFonts w:ascii="宋体" w:hAnsi="宋体" w:cs="宋体" w:eastAsia="宋体" w:hint="default"/>
          <w:sz w:val="18"/>
          <w:szCs w:val="18"/>
        </w:rPr>
        <w:t>变更后：非同一控制下的企业合并合并成本为购买日购买方为取得对被购买方的控制权而付出的资产、发 生或承担的负债以及发行的权益性证券的公允价值，本公司为进行企业合并而发生的各项直接相关费用，包括 </w:t>
      </w:r>
      <w:r>
        <w:rPr>
          <w:rFonts w:ascii="宋体" w:hAnsi="宋体" w:cs="宋体" w:eastAsia="宋体" w:hint="default"/>
          <w:spacing w:val="-3"/>
          <w:sz w:val="18"/>
          <w:szCs w:val="18"/>
        </w:rPr>
        <w:t>为进行企业合并而支付的审计、法律服务、评估咨询等中介费用以及其他相关管理费用于发生时计入当期损益，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作为合并对价发行的权益性证券或债务性证券的交易费用，计入权益性证券或债务性证券的初始确认金额。通</w:t>
      </w:r>
    </w:p>
    <w:p>
      <w:pPr>
        <w:spacing w:after="0" w:line="237" w:lineRule="auto"/>
        <w:jc w:val="left"/>
        <w:rPr>
          <w:rFonts w:ascii="宋体" w:hAnsi="宋体" w:cs="宋体" w:eastAsia="宋体" w:hint="default"/>
          <w:sz w:val="18"/>
          <w:szCs w:val="18"/>
        </w:rPr>
        <w:sectPr>
          <w:footerReference w:type="default" r:id="rId58"/>
          <w:pgSz w:w="11910" w:h="16840"/>
          <w:pgMar w:footer="1226" w:header="877" w:top="1060" w:bottom="1420" w:left="1560" w:right="1380"/>
          <w:pgNumType w:start="11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37" w:lineRule="auto" w:before="0"/>
        <w:ind w:left="142" w:right="206" w:firstLine="0"/>
        <w:jc w:val="both"/>
        <w:rPr>
          <w:rFonts w:ascii="宋体" w:hAnsi="宋体" w:cs="宋体" w:eastAsia="宋体" w:hint="default"/>
          <w:sz w:val="18"/>
          <w:szCs w:val="18"/>
        </w:rPr>
      </w:pPr>
      <w:r>
        <w:rPr>
          <w:rFonts w:ascii="宋体" w:hAnsi="宋体" w:cs="宋体" w:eastAsia="宋体" w:hint="default"/>
          <w:spacing w:val="-1"/>
          <w:sz w:val="18"/>
          <w:szCs w:val="18"/>
        </w:rPr>
        <w:t>过多次交换交易分步实现的企业合并，合并成本为每一单项交易成本之和。在合并合同中对可能影响合并成本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的未来事项作出约定的，购买日如果估计未来事项很可能发生并且对合并成本的影响金额能够可靠计量的，也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计入合并成本。</w:t>
      </w:r>
    </w:p>
    <w:p>
      <w:pPr>
        <w:spacing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该项会计政策变更对本公司财务报表无影响。</w:t>
      </w:r>
    </w:p>
    <w:p>
      <w:pPr>
        <w:spacing w:line="266" w:lineRule="auto" w:before="38"/>
        <w:ind w:left="501" w:right="1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）变更合并财务报表的少数股东分担当期亏损的处理方法 </w:t>
      </w:r>
      <w:r>
        <w:rPr>
          <w:rFonts w:ascii="宋体" w:hAnsi="宋体" w:cs="宋体" w:eastAsia="宋体" w:hint="default"/>
          <w:spacing w:val="-1"/>
          <w:sz w:val="18"/>
          <w:szCs w:val="18"/>
        </w:rPr>
        <w:t>变更前：子公司少数股东分担的当期亏损超过了少数股东在该子公司期初所有者权益中所享有份额而形成</w:t>
      </w:r>
    </w:p>
    <w:p>
      <w:pPr>
        <w:spacing w:line="230" w:lineRule="exact" w:before="3"/>
        <w:ind w:left="142" w:right="203" w:firstLine="0"/>
        <w:jc w:val="both"/>
        <w:rPr>
          <w:rFonts w:ascii="宋体" w:hAnsi="宋体" w:cs="宋体" w:eastAsia="宋体" w:hint="default"/>
          <w:sz w:val="18"/>
          <w:szCs w:val="18"/>
        </w:rPr>
      </w:pPr>
      <w:r>
        <w:rPr>
          <w:rFonts w:ascii="宋体" w:hAnsi="宋体" w:cs="宋体" w:eastAsia="宋体" w:hint="default"/>
          <w:spacing w:val="-1"/>
          <w:sz w:val="18"/>
          <w:szCs w:val="18"/>
        </w:rPr>
        <w:t>的余额，若公司章程或协议未规定少数股东有义务承担的，该余额冲减本公司的所有者权益；若公司章程或协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议规定由少数股东承担的，该余额冲减少数股东权益。</w:t>
      </w:r>
    </w:p>
    <w:p>
      <w:pPr>
        <w:spacing w:line="232" w:lineRule="exact" w:before="44"/>
        <w:ind w:left="142" w:right="165" w:firstLine="359"/>
        <w:jc w:val="left"/>
        <w:rPr>
          <w:rFonts w:ascii="宋体" w:hAnsi="宋体" w:cs="宋体" w:eastAsia="宋体" w:hint="default"/>
          <w:sz w:val="18"/>
          <w:szCs w:val="18"/>
        </w:rPr>
      </w:pPr>
      <w:r>
        <w:rPr>
          <w:rFonts w:ascii="宋体" w:hAnsi="宋体" w:cs="宋体" w:eastAsia="宋体" w:hint="default"/>
          <w:sz w:val="18"/>
          <w:szCs w:val="18"/>
        </w:rPr>
        <w:t>变更后：子公司少数股东分担的当期亏损超过了少数股东在该子公司期初所有者权益中所享有的份额的， 其余额仍应当冲减少数股东权益。</w:t>
      </w:r>
    </w:p>
    <w:p>
      <w:pPr>
        <w:spacing w:line="271" w:lineRule="auto" w:before="14"/>
        <w:ind w:left="501" w:right="4845" w:firstLine="0"/>
        <w:jc w:val="left"/>
        <w:rPr>
          <w:rFonts w:ascii="宋体" w:hAnsi="宋体" w:cs="宋体" w:eastAsia="宋体" w:hint="default"/>
          <w:sz w:val="18"/>
          <w:szCs w:val="18"/>
        </w:rPr>
      </w:pPr>
      <w:r>
        <w:rPr>
          <w:rFonts w:ascii="宋体" w:hAnsi="宋体" w:cs="宋体" w:eastAsia="宋体" w:hint="default"/>
          <w:sz w:val="18"/>
          <w:szCs w:val="18"/>
        </w:rPr>
        <w:t>该项会计政策变更对本公司财务报表无影响。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主要会计估计变更</w:t>
      </w:r>
      <w:r>
        <w:rPr>
          <w:rFonts w:ascii="宋体" w:hAnsi="宋体" w:cs="宋体" w:eastAsia="宋体" w:hint="default"/>
          <w:b/>
          <w:bCs/>
          <w:w w:val="99"/>
          <w:sz w:val="18"/>
          <w:szCs w:val="18"/>
        </w:rPr>
        <w:t> </w:t>
      </w:r>
      <w:r>
        <w:rPr>
          <w:rFonts w:ascii="宋体" w:hAnsi="宋体" w:cs="宋体" w:eastAsia="宋体" w:hint="default"/>
          <w:sz w:val="18"/>
          <w:szCs w:val="18"/>
        </w:rPr>
        <w:t>报告期内不存在主要会计估计变更。</w:t>
      </w:r>
    </w:p>
    <w:p>
      <w:pPr>
        <w:spacing w:line="278" w:lineRule="auto" w:before="14"/>
        <w:ind w:left="501" w:right="6096" w:firstLine="0"/>
        <w:jc w:val="left"/>
        <w:rPr>
          <w:rFonts w:ascii="宋体" w:hAnsi="宋体" w:cs="宋体" w:eastAsia="宋体" w:hint="default"/>
          <w:sz w:val="18"/>
          <w:szCs w:val="18"/>
        </w:rPr>
      </w:pPr>
      <w:r>
        <w:rPr>
          <w:rFonts w:ascii="宋体" w:hAnsi="宋体" w:cs="宋体" w:eastAsia="宋体" w:hint="default"/>
          <w:b/>
          <w:bCs/>
          <w:sz w:val="18"/>
          <w:szCs w:val="18"/>
        </w:rPr>
        <w:t>（二十八）前期会计差错更正</w:t>
      </w:r>
      <w:r>
        <w:rPr>
          <w:rFonts w:ascii="宋体" w:hAnsi="宋体" w:cs="宋体" w:eastAsia="宋体" w:hint="default"/>
          <w:b/>
          <w:bCs/>
          <w:w w:val="99"/>
          <w:sz w:val="18"/>
          <w:szCs w:val="18"/>
        </w:rPr>
        <w:t> </w:t>
      </w:r>
      <w:r>
        <w:rPr>
          <w:rFonts w:ascii="宋体" w:hAnsi="宋体" w:cs="宋体" w:eastAsia="宋体" w:hint="default"/>
          <w:sz w:val="18"/>
          <w:szCs w:val="18"/>
        </w:rPr>
        <w:t>报告期内无前期差错更正。 </w:t>
      </w:r>
      <w:r>
        <w:rPr>
          <w:rFonts w:ascii="宋体" w:hAnsi="宋体" w:cs="宋体" w:eastAsia="宋体" w:hint="default"/>
          <w:b/>
          <w:bCs/>
          <w:sz w:val="18"/>
          <w:szCs w:val="18"/>
        </w:rPr>
        <w:t>三、税项</w:t>
      </w:r>
      <w:r>
        <w:rPr>
          <w:rFonts w:ascii="宋体" w:hAnsi="宋体" w:cs="宋体" w:eastAsia="宋体" w:hint="default"/>
          <w:sz w:val="18"/>
          <w:szCs w:val="18"/>
        </w:rPr>
      </w:r>
    </w:p>
    <w:p>
      <w:pPr>
        <w:spacing w:line="240" w:lineRule="auto" w:before="8"/>
        <w:rPr>
          <w:rFonts w:ascii="宋体" w:hAnsi="宋体" w:cs="宋体" w:eastAsia="宋体" w:hint="default"/>
          <w:b/>
          <w:bCs/>
          <w:sz w:val="19"/>
          <w:szCs w:val="19"/>
        </w:rPr>
      </w:pPr>
    </w:p>
    <w:p>
      <w:pPr>
        <w:spacing w:before="0"/>
        <w:ind w:left="501" w:right="112" w:firstLine="0"/>
        <w:jc w:val="left"/>
        <w:rPr>
          <w:rFonts w:ascii="宋体" w:hAnsi="宋体" w:cs="宋体" w:eastAsia="宋体" w:hint="default"/>
          <w:sz w:val="18"/>
          <w:szCs w:val="18"/>
        </w:rPr>
      </w:pPr>
      <w:r>
        <w:rPr>
          <w:rFonts w:ascii="宋体" w:hAnsi="宋体" w:cs="宋体" w:eastAsia="宋体" w:hint="default"/>
          <w:sz w:val="18"/>
          <w:szCs w:val="18"/>
        </w:rPr>
        <w:t>新国都技术适用主要税种包括：增值税、营业税、城市维护建设税、企业所得税等。</w:t>
      </w:r>
    </w:p>
    <w:p>
      <w:pPr>
        <w:spacing w:line="240" w:lineRule="auto" w:before="10"/>
        <w:rPr>
          <w:rFonts w:ascii="宋体" w:hAnsi="宋体" w:cs="宋体" w:eastAsia="宋体" w:hint="default"/>
          <w:sz w:val="21"/>
          <w:szCs w:val="21"/>
        </w:rPr>
      </w:pPr>
    </w:p>
    <w:p>
      <w:pPr>
        <w:spacing w:before="0"/>
        <w:ind w:left="14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流转税税率如下表：</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2801"/>
        <w:gridCol w:w="504"/>
        <w:gridCol w:w="1498"/>
        <w:gridCol w:w="449"/>
        <w:gridCol w:w="1538"/>
        <w:gridCol w:w="363"/>
        <w:gridCol w:w="1526"/>
      </w:tblGrid>
      <w:tr>
        <w:trPr>
          <w:trHeight w:val="296" w:hRule="exact"/>
        </w:trPr>
        <w:tc>
          <w:tcPr>
            <w:tcW w:w="280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城建税</w:t>
            </w:r>
          </w:p>
        </w:tc>
      </w:tr>
      <w:tr>
        <w:trPr>
          <w:trHeight w:val="405"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17%</w:t>
            </w:r>
          </w:p>
        </w:tc>
        <w:tc>
          <w:tcPr>
            <w:tcW w:w="449"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7"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深圳市新国都软件技术有限公司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17%</w:t>
            </w:r>
          </w:p>
        </w:tc>
        <w:tc>
          <w:tcPr>
            <w:tcW w:w="44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5"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 w:right="0"/>
              <w:jc w:val="left"/>
              <w:rPr>
                <w:rFonts w:ascii="Times New Roman" w:hAnsi="Times New Roman" w:cs="Times New Roman" w:eastAsia="Times New Roman" w:hint="default"/>
                <w:sz w:val="18"/>
                <w:szCs w:val="18"/>
              </w:rPr>
            </w:pPr>
            <w:r>
              <w:rPr>
                <w:rFonts w:ascii="Times New Roman"/>
                <w:sz w:val="18"/>
              </w:rPr>
              <w:t>3%</w:t>
            </w:r>
          </w:p>
        </w:tc>
        <w:tc>
          <w:tcPr>
            <w:tcW w:w="44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 w:right="0"/>
              <w:jc w:val="left"/>
              <w:rPr>
                <w:rFonts w:ascii="Times New Roman" w:hAnsi="Times New Roman" w:cs="Times New Roman" w:eastAsia="Times New Roman" w:hint="default"/>
                <w:sz w:val="18"/>
                <w:szCs w:val="18"/>
              </w:rPr>
            </w:pPr>
            <w:r>
              <w:rPr>
                <w:rFonts w:ascii="Times New Roman"/>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1" w:right="0"/>
              <w:jc w:val="left"/>
              <w:rPr>
                <w:rFonts w:ascii="Times New Roman" w:hAnsi="Times New Roman" w:cs="Times New Roman" w:eastAsia="Times New Roman" w:hint="default"/>
                <w:sz w:val="18"/>
                <w:szCs w:val="18"/>
              </w:rPr>
            </w:pPr>
            <w:r>
              <w:rPr>
                <w:rFonts w:ascii="Times New Roman"/>
                <w:sz w:val="18"/>
              </w:rPr>
              <w:t>7%</w:t>
            </w:r>
          </w:p>
        </w:tc>
      </w:tr>
      <w:tr>
        <w:trPr>
          <w:trHeight w:val="291"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3%</w:t>
            </w:r>
          </w:p>
        </w:tc>
        <w:tc>
          <w:tcPr>
            <w:tcW w:w="44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 w:right="0"/>
              <w:jc w:val="lef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b/>
          <w:bCs/>
          <w:sz w:val="24"/>
          <w:szCs w:val="24"/>
        </w:rPr>
      </w:pPr>
    </w:p>
    <w:p>
      <w:pPr>
        <w:spacing w:before="44"/>
        <w:ind w:left="142" w:right="11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各年度企业所得税法定税率如下表：</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156" w:type="dxa"/>
        <w:tblLayout w:type="fixed"/>
        <w:tblCellMar>
          <w:top w:w="0" w:type="dxa"/>
          <w:left w:w="0" w:type="dxa"/>
          <w:bottom w:w="0" w:type="dxa"/>
          <w:right w:w="0" w:type="dxa"/>
        </w:tblCellMar>
        <w:tblLook w:val="01E0"/>
      </w:tblPr>
      <w:tblGrid>
        <w:gridCol w:w="3068"/>
        <w:gridCol w:w="3301"/>
        <w:gridCol w:w="2266"/>
      </w:tblGrid>
      <w:tr>
        <w:trPr>
          <w:trHeight w:val="308" w:hRule="exact"/>
        </w:trPr>
        <w:tc>
          <w:tcPr>
            <w:tcW w:w="306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本期法定税率</w:t>
            </w:r>
          </w:p>
        </w:tc>
      </w:tr>
      <w:tr>
        <w:trPr>
          <w:trHeight w:val="431" w:hRule="exact"/>
        </w:trPr>
        <w:tc>
          <w:tcPr>
            <w:tcW w:w="306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28" w:right="0"/>
              <w:jc w:val="left"/>
              <w:rPr>
                <w:rFonts w:ascii="Times New Roman" w:hAnsi="Times New Roman" w:cs="Times New Roman" w:eastAsia="Times New Roman" w:hint="default"/>
                <w:sz w:val="18"/>
                <w:szCs w:val="18"/>
              </w:rPr>
            </w:pPr>
            <w:r>
              <w:rPr>
                <w:rFonts w:ascii="Times New Roman"/>
                <w:sz w:val="18"/>
              </w:rPr>
              <w:t>25%</w:t>
            </w:r>
          </w:p>
        </w:tc>
      </w:tr>
      <w:tr>
        <w:trPr>
          <w:trHeight w:val="425"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深圳市新国都软件技术有限公司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25%</w:t>
            </w:r>
          </w:p>
        </w:tc>
      </w:tr>
      <w:tr>
        <w:trPr>
          <w:trHeight w:val="426"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8" w:right="0"/>
              <w:jc w:val="left"/>
              <w:rPr>
                <w:rFonts w:ascii="Times New Roman" w:hAnsi="Times New Roman" w:cs="Times New Roman" w:eastAsia="Times New Roman" w:hint="default"/>
                <w:sz w:val="18"/>
                <w:szCs w:val="18"/>
              </w:rPr>
            </w:pPr>
            <w:r>
              <w:rPr>
                <w:rFonts w:ascii="Times New Roman"/>
                <w:sz w:val="18"/>
              </w:rPr>
              <w:t>25%</w:t>
            </w:r>
          </w:p>
        </w:tc>
      </w:tr>
      <w:tr>
        <w:trPr>
          <w:trHeight w:val="306"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8"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b/>
          <w:bCs/>
          <w:sz w:val="25"/>
          <w:szCs w:val="25"/>
        </w:rPr>
      </w:pPr>
    </w:p>
    <w:p>
      <w:pPr>
        <w:spacing w:before="44"/>
        <w:ind w:left="14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税收优惠</w:t>
      </w:r>
      <w:r>
        <w:rPr>
          <w:rFonts w:ascii="宋体" w:hAnsi="宋体" w:cs="宋体" w:eastAsia="宋体" w:hint="default"/>
          <w:sz w:val="18"/>
          <w:szCs w:val="18"/>
        </w:rPr>
      </w:r>
    </w:p>
    <w:p>
      <w:pPr>
        <w:spacing w:before="22"/>
        <w:ind w:left="1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增值税</w:t>
      </w:r>
    </w:p>
    <w:p>
      <w:pPr>
        <w:spacing w:line="230" w:lineRule="auto" w:before="35"/>
        <w:ind w:left="142" w:right="202" w:firstLine="0"/>
        <w:jc w:val="both"/>
        <w:rPr>
          <w:rFonts w:ascii="宋体" w:hAnsi="宋体" w:cs="宋体" w:eastAsia="宋体" w:hint="default"/>
          <w:sz w:val="18"/>
          <w:szCs w:val="18"/>
        </w:rPr>
      </w:pPr>
      <w:r>
        <w:rPr>
          <w:rFonts w:ascii="宋体" w:hAnsi="宋体" w:cs="宋体" w:eastAsia="宋体" w:hint="default"/>
          <w:sz w:val="18"/>
          <w:szCs w:val="18"/>
        </w:rPr>
        <w:t>根据国发</w:t>
      </w:r>
      <w:r>
        <w:rPr>
          <w:rFonts w:ascii="Times New Roman" w:hAnsi="Times New Roman" w:cs="Times New Roman" w:eastAsia="Times New Roman" w:hint="default"/>
          <w:sz w:val="18"/>
          <w:szCs w:val="18"/>
        </w:rPr>
        <w:t>[2000]18 </w:t>
      </w:r>
      <w:r>
        <w:rPr>
          <w:rFonts w:ascii="宋体" w:hAnsi="宋体" w:cs="宋体" w:eastAsia="宋体" w:hint="default"/>
          <w:sz w:val="18"/>
          <w:szCs w:val="18"/>
        </w:rPr>
        <w:t>号《鼓励软件产业和集成电路产业发展的若干政策》和财税</w:t>
      </w:r>
      <w:r>
        <w:rPr>
          <w:rFonts w:ascii="Times New Roman" w:hAnsi="Times New Roman" w:cs="Times New Roman" w:eastAsia="Times New Roman" w:hint="default"/>
          <w:sz w:val="18"/>
          <w:szCs w:val="18"/>
        </w:rPr>
        <w:t>[2000] 25</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号《财政部、国家税务</w:t>
      </w:r>
      <w:r>
        <w:rPr>
          <w:rFonts w:ascii="宋体" w:hAnsi="宋体" w:cs="宋体" w:eastAsia="宋体" w:hint="default"/>
          <w:sz w:val="18"/>
          <w:szCs w:val="18"/>
        </w:rPr>
        <w:t> </w:t>
      </w:r>
      <w:r>
        <w:rPr>
          <w:rFonts w:ascii="宋体" w:hAnsi="宋体" w:cs="宋体" w:eastAsia="宋体" w:hint="default"/>
          <w:spacing w:val="-1"/>
          <w:sz w:val="18"/>
          <w:szCs w:val="18"/>
        </w:rPr>
        <w:t>总局、海关总署关于鼓励软件产业和集成电路产业发展有关税收政策问题的通知》的规定，对增值税一般纳税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人销售其自行开发的软件产品，</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年底以前按</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％的法定税率征收增值税，对其增值税实际税负超过</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 </w:t>
      </w:r>
      <w:r>
        <w:rPr>
          <w:rFonts w:ascii="宋体" w:hAnsi="宋体" w:cs="宋体" w:eastAsia="宋体" w:hint="default"/>
          <w:spacing w:val="-1"/>
          <w:sz w:val="18"/>
          <w:szCs w:val="18"/>
        </w:rPr>
        <w:t>部分即征即退，由企业用于研究开发软件产品和扩大再生产，不作为企业所得税应征收入，不予征收企业所得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税。</w:t>
      </w:r>
    </w:p>
    <w:p>
      <w:pPr>
        <w:spacing w:line="223" w:lineRule="auto" w:before="56"/>
        <w:ind w:left="142" w:right="200" w:firstLine="0"/>
        <w:jc w:val="both"/>
        <w:rPr>
          <w:rFonts w:ascii="宋体" w:hAnsi="宋体" w:cs="宋体" w:eastAsia="宋体" w:hint="default"/>
          <w:sz w:val="18"/>
          <w:szCs w:val="18"/>
        </w:rPr>
      </w:pPr>
      <w:r>
        <w:rPr>
          <w:rFonts w:ascii="宋体" w:hAnsi="宋体" w:cs="宋体" w:eastAsia="宋体" w:hint="default"/>
          <w:sz w:val="18"/>
          <w:szCs w:val="18"/>
        </w:rPr>
        <w:t>新国都技术于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月通过软件企业认证（证书号码深</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R-2001-0043</w:t>
      </w:r>
      <w:r>
        <w:rPr>
          <w:rFonts w:ascii="宋体" w:hAnsi="宋体" w:cs="宋体" w:eastAsia="宋体" w:hint="default"/>
          <w:spacing w:val="-4"/>
          <w:sz w:val="18"/>
          <w:szCs w:val="18"/>
        </w:rPr>
        <w:t>），新国都技术的软件产品新国都</w:t>
      </w:r>
      <w:r>
        <w:rPr>
          <w:rFonts w:ascii="宋体" w:hAnsi="宋体" w:cs="宋体" w:eastAsia="宋体" w:hint="default"/>
          <w:spacing w:val="-35"/>
          <w:sz w:val="18"/>
          <w:szCs w:val="18"/>
        </w:rPr>
        <w:t> </w:t>
      </w:r>
      <w:r>
        <w:rPr>
          <w:rFonts w:ascii="Times New Roman" w:hAnsi="Times New Roman" w:cs="Times New Roman" w:eastAsia="Times New Roman" w:hint="default"/>
          <w:w w:val="99"/>
          <w:sz w:val="18"/>
          <w:szCs w:val="18"/>
        </w:rPr>
        <w:t>POS </w:t>
      </w:r>
      <w:r>
        <w:rPr>
          <w:rFonts w:ascii="宋体" w:hAnsi="宋体" w:cs="宋体" w:eastAsia="宋体" w:hint="default"/>
          <w:sz w:val="18"/>
          <w:szCs w:val="18"/>
        </w:rPr>
        <w:t>软件</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V2.0</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月通过了深圳市科技局的软件产品认证（证书号码深</w:t>
      </w:r>
      <w:r>
        <w:rPr>
          <w:rFonts w:ascii="宋体" w:hAnsi="宋体" w:cs="宋体" w:eastAsia="宋体" w:hint="default"/>
          <w:spacing w:val="-42"/>
          <w:sz w:val="18"/>
          <w:szCs w:val="18"/>
        </w:rPr>
        <w:t> </w:t>
      </w:r>
      <w:r>
        <w:rPr>
          <w:rFonts w:ascii="Times New Roman" w:hAnsi="Times New Roman" w:cs="Times New Roman" w:eastAsia="Times New Roman" w:hint="default"/>
          <w:spacing w:val="-6"/>
          <w:w w:val="99"/>
          <w:sz w:val="18"/>
          <w:szCs w:val="18"/>
        </w:rPr>
        <w:t>DGY-2007-1230</w:t>
      </w:r>
      <w:r>
        <w:rPr>
          <w:rFonts w:ascii="宋体" w:hAnsi="宋体" w:cs="宋体" w:eastAsia="宋体" w:hint="default"/>
          <w:spacing w:val="-6"/>
          <w:w w:val="99"/>
          <w:sz w:val="18"/>
          <w:szCs w:val="18"/>
        </w:rPr>
        <w:t>）。新国都技术自</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月起对于销售的产品实行软硬件产品价格在合同中单独列示，并分别开具销售发票，单独核算软硬件</w:t>
      </w:r>
      <w:r>
        <w:rPr>
          <w:rFonts w:ascii="宋体" w:hAnsi="宋体" w:cs="宋体" w:eastAsia="宋体" w:hint="default"/>
          <w:w w:val="99"/>
          <w:sz w:val="18"/>
          <w:szCs w:val="18"/>
        </w:rPr>
        <w:t> </w:t>
      </w:r>
      <w:r>
        <w:rPr>
          <w:rFonts w:ascii="宋体" w:hAnsi="宋体" w:cs="宋体" w:eastAsia="宋体" w:hint="default"/>
          <w:sz w:val="18"/>
          <w:szCs w:val="18"/>
        </w:rPr>
        <w:t>产品收入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并开始享受软件产品的增值税税收优惠政策。</w:t>
      </w:r>
    </w:p>
    <w:p>
      <w:pPr>
        <w:spacing w:line="241" w:lineRule="exact" w:before="29"/>
        <w:ind w:left="14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深圳市新国都</w:t>
      </w:r>
      <w:r>
        <w:rPr>
          <w:rFonts w:ascii="宋体" w:hAnsi="宋体" w:cs="宋体" w:eastAsia="宋体" w:hint="default"/>
          <w:spacing w:val="2"/>
          <w:sz w:val="18"/>
          <w:szCs w:val="18"/>
        </w:rPr>
        <w:t>软</w:t>
      </w:r>
      <w:r>
        <w:rPr>
          <w:rFonts w:ascii="宋体" w:hAnsi="宋体" w:cs="宋体" w:eastAsia="宋体" w:hint="default"/>
          <w:sz w:val="18"/>
          <w:szCs w:val="18"/>
        </w:rPr>
        <w:t>件技术有</w:t>
      </w:r>
      <w:r>
        <w:rPr>
          <w:rFonts w:ascii="宋体" w:hAnsi="宋体" w:cs="宋体" w:eastAsia="宋体" w:hint="default"/>
          <w:spacing w:val="2"/>
          <w:sz w:val="18"/>
          <w:szCs w:val="18"/>
        </w:rPr>
        <w:t>限公</w:t>
      </w:r>
      <w:r>
        <w:rPr>
          <w:rFonts w:ascii="宋体" w:hAnsi="宋体" w:cs="宋体" w:eastAsia="宋体" w:hint="default"/>
          <w:sz w:val="18"/>
          <w:szCs w:val="18"/>
        </w:rPr>
        <w:t>司的软件产品</w:t>
      </w:r>
      <w:r>
        <w:rPr>
          <w:rFonts w:ascii="宋体" w:hAnsi="宋体" w:cs="宋体" w:eastAsia="宋体" w:hint="default"/>
          <w:spacing w:val="2"/>
          <w:sz w:val="18"/>
          <w:szCs w:val="18"/>
        </w:rPr>
        <w:t>（</w:t>
      </w:r>
      <w:r>
        <w:rPr>
          <w:rFonts w:ascii="宋体" w:hAnsi="宋体" w:cs="宋体" w:eastAsia="宋体" w:hint="default"/>
          <w:sz w:val="18"/>
          <w:szCs w:val="18"/>
        </w:rPr>
        <w:t>以下简</w:t>
      </w:r>
      <w:r>
        <w:rPr>
          <w:rFonts w:ascii="宋体" w:hAnsi="宋体" w:cs="宋体" w:eastAsia="宋体" w:hint="default"/>
          <w:spacing w:val="3"/>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w:t>
      </w:r>
      <w:r>
        <w:rPr>
          <w:rFonts w:ascii="宋体" w:hAnsi="宋体" w:cs="宋体" w:eastAsia="宋体" w:hint="default"/>
          <w:spacing w:val="2"/>
          <w:sz w:val="18"/>
          <w:szCs w:val="18"/>
        </w:rPr>
        <w:t>国</w:t>
      </w:r>
      <w:r>
        <w:rPr>
          <w:rFonts w:ascii="宋体" w:hAnsi="宋体" w:cs="宋体" w:eastAsia="宋体" w:hint="default"/>
          <w:sz w:val="18"/>
          <w:szCs w:val="18"/>
        </w:rPr>
        <w:t>都软件公</w:t>
      </w:r>
      <w:r>
        <w:rPr>
          <w:rFonts w:ascii="宋体" w:hAnsi="宋体" w:cs="宋体" w:eastAsia="宋体" w:hint="default"/>
          <w:spacing w:val="3"/>
          <w:sz w:val="18"/>
          <w:szCs w:val="18"/>
        </w:rPr>
        <w:t>司</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w:t>
      </w:r>
      <w:r>
        <w:rPr>
          <w:rFonts w:ascii="宋体" w:hAnsi="宋体" w:cs="宋体" w:eastAsia="宋体" w:hint="default"/>
          <w:spacing w:val="2"/>
          <w:sz w:val="18"/>
          <w:szCs w:val="18"/>
        </w:rPr>
        <w:t>国</w:t>
      </w:r>
      <w:r>
        <w:rPr>
          <w:rFonts w:ascii="宋体" w:hAnsi="宋体" w:cs="宋体" w:eastAsia="宋体" w:hint="default"/>
          <w:sz w:val="18"/>
          <w:szCs w:val="18"/>
        </w:rPr>
        <w:t>都移动</w:t>
      </w:r>
      <w:r>
        <w:rPr>
          <w:rFonts w:ascii="宋体" w:hAnsi="宋体" w:cs="宋体" w:eastAsia="宋体" w:hint="default"/>
          <w:spacing w:val="2"/>
          <w:sz w:val="18"/>
          <w:szCs w:val="18"/>
        </w:rPr>
        <w:t>终</w:t>
      </w:r>
      <w:r>
        <w:rPr>
          <w:rFonts w:ascii="宋体" w:hAnsi="宋体" w:cs="宋体" w:eastAsia="宋体" w:hint="default"/>
          <w:sz w:val="18"/>
          <w:szCs w:val="18"/>
        </w:rPr>
        <w:t>端应用软件</w:t>
      </w:r>
      <w:r>
        <w:rPr>
          <w:rFonts w:ascii="宋体" w:hAnsi="宋体" w:cs="宋体" w:eastAsia="宋体" w:hint="default"/>
          <w:spacing w:val="2"/>
          <w:sz w:val="18"/>
          <w:szCs w:val="18"/>
        </w:rPr>
        <w:t> </w:t>
      </w:r>
      <w:r>
        <w:rPr>
          <w:rFonts w:ascii="Times New Roman" w:hAnsi="Times New Roman" w:cs="Times New Roman" w:eastAsia="Times New Roman" w:hint="default"/>
          <w:spacing w:val="1"/>
          <w:w w:val="99"/>
          <w:sz w:val="18"/>
          <w:szCs w:val="18"/>
        </w:rPr>
        <w:t>V</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w w:val="100"/>
          <w:sz w:val="18"/>
          <w:szCs w:val="18"/>
        </w:rPr>
        <w:t>”</w:t>
      </w:r>
    </w:p>
    <w:p>
      <w:pPr>
        <w:spacing w:line="234" w:lineRule="exact" w:before="0"/>
        <w:ind w:left="142" w:right="0" w:firstLine="0"/>
        <w:jc w:val="both"/>
        <w:rPr>
          <w:rFonts w:ascii="宋体" w:hAnsi="宋体" w:cs="宋体" w:eastAsia="宋体" w:hint="default"/>
          <w:sz w:val="18"/>
          <w:szCs w:val="18"/>
        </w:rPr>
      </w:pPr>
      <w:r>
        <w:rPr>
          <w:rFonts w:ascii="宋体" w:hAnsi="宋体" w:cs="宋体" w:eastAsia="宋体" w:hint="default"/>
          <w:spacing w:val="11"/>
          <w:sz w:val="18"/>
          <w:szCs w:val="18"/>
        </w:rPr>
        <w:t>和</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新国都 </w:t>
      </w:r>
      <w:r>
        <w:rPr>
          <w:rFonts w:ascii="Times New Roman" w:hAnsi="Times New Roman" w:cs="Times New Roman" w:eastAsia="Times New Roman" w:hint="default"/>
          <w:sz w:val="18"/>
          <w:szCs w:val="18"/>
        </w:rPr>
        <w:t>SZM11  </w:t>
      </w:r>
      <w:r>
        <w:rPr>
          <w:rFonts w:ascii="宋体" w:hAnsi="宋体" w:cs="宋体" w:eastAsia="宋体" w:hint="default"/>
          <w:spacing w:val="11"/>
          <w:sz w:val="18"/>
          <w:szCs w:val="18"/>
        </w:rPr>
        <w:t>电子支付密码软件</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V4.0”</w:t>
      </w:r>
      <w:r>
        <w:rPr>
          <w:rFonts w:ascii="宋体" w:hAnsi="宋体" w:cs="宋体" w:eastAsia="宋体" w:hint="default"/>
          <w:spacing w:val="10"/>
          <w:sz w:val="18"/>
          <w:szCs w:val="18"/>
        </w:rPr>
        <w:t>符合深圳市人民政府《关于鼓励软件产业发展的若干政策》</w:t>
      </w:r>
    </w:p>
    <w:p>
      <w:pPr>
        <w:spacing w:line="242"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2001-1-19</w:t>
      </w:r>
      <w:r>
        <w:rPr>
          <w:rFonts w:ascii="宋体" w:hAnsi="宋体" w:cs="宋体" w:eastAsia="宋体" w:hint="default"/>
          <w:sz w:val="18"/>
          <w:szCs w:val="18"/>
        </w:rPr>
        <w:t>）的规定，并于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日获得上述两款软件的登记证书（证书号码深</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DGY-2008-0172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和</w:t>
      </w:r>
    </w:p>
    <w:p>
      <w:pPr>
        <w:spacing w:after="0" w:line="242" w:lineRule="exact"/>
        <w:jc w:val="both"/>
        <w:rPr>
          <w:rFonts w:ascii="宋体" w:hAnsi="宋体" w:cs="宋体" w:eastAsia="宋体" w:hint="default"/>
          <w:sz w:val="18"/>
          <w:szCs w:val="18"/>
        </w:rPr>
        <w:sectPr>
          <w:pgSz w:w="11910" w:h="16840"/>
          <w:pgMar w:header="877" w:footer="1226" w:top="1060" w:bottom="1420" w:left="1560" w:right="1380"/>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4"/>
          <w:w w:val="99"/>
          <w:sz w:val="18"/>
          <w:szCs w:val="18"/>
        </w:rPr>
        <w:t>G</w:t>
      </w:r>
      <w:r>
        <w:rPr>
          <w:rFonts w:ascii="Times New Roman" w:hAnsi="Times New Roman" w:cs="Times New Roman" w:eastAsia="Times New Roman" w:hint="default"/>
          <w:spacing w:val="-20"/>
          <w:w w:val="99"/>
          <w:sz w:val="18"/>
          <w:szCs w:val="18"/>
        </w:rPr>
        <w:t>Y</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2008</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73</w:t>
      </w:r>
      <w:r>
        <w:rPr>
          <w:rFonts w:ascii="宋体" w:hAnsi="宋体" w:cs="宋体" w:eastAsia="宋体" w:hint="default"/>
          <w:spacing w:val="-92"/>
          <w:w w:val="99"/>
          <w:sz w:val="18"/>
          <w:szCs w:val="18"/>
        </w:rPr>
        <w:t>）</w:t>
      </w:r>
      <w:r>
        <w:rPr>
          <w:rFonts w:ascii="宋体" w:hAnsi="宋体" w:cs="宋体" w:eastAsia="宋体" w:hint="default"/>
          <w:w w:val="99"/>
          <w:sz w:val="18"/>
          <w:szCs w:val="18"/>
        </w:rPr>
        <w:t>，新国都</w:t>
      </w:r>
      <w:r>
        <w:rPr>
          <w:rFonts w:ascii="宋体" w:hAnsi="宋体" w:cs="宋体" w:eastAsia="宋体" w:hint="default"/>
          <w:spacing w:val="-3"/>
          <w:w w:val="99"/>
          <w:sz w:val="18"/>
          <w:szCs w:val="18"/>
        </w:rPr>
        <w:t>软</w:t>
      </w:r>
      <w:r>
        <w:rPr>
          <w:rFonts w:ascii="宋体" w:hAnsi="宋体" w:cs="宋体" w:eastAsia="宋体" w:hint="default"/>
          <w:w w:val="99"/>
          <w:sz w:val="18"/>
          <w:szCs w:val="18"/>
        </w:rPr>
        <w:t>件公司自</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9"/>
          <w:w w:val="99"/>
          <w:sz w:val="18"/>
          <w:szCs w:val="18"/>
        </w:rPr>
        <w:t>1</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月开始</w:t>
      </w:r>
      <w:r>
        <w:rPr>
          <w:rFonts w:ascii="宋体" w:hAnsi="宋体" w:cs="宋体" w:eastAsia="宋体" w:hint="default"/>
          <w:spacing w:val="-3"/>
          <w:w w:val="99"/>
          <w:sz w:val="18"/>
          <w:szCs w:val="18"/>
        </w:rPr>
        <w:t>享</w:t>
      </w:r>
      <w:r>
        <w:rPr>
          <w:rFonts w:ascii="宋体" w:hAnsi="宋体" w:cs="宋体" w:eastAsia="宋体" w:hint="default"/>
          <w:w w:val="99"/>
          <w:sz w:val="18"/>
          <w:szCs w:val="18"/>
        </w:rPr>
        <w:t>受软件产品的增值税税收优惠政策。</w:t>
      </w:r>
      <w:r>
        <w:rPr>
          <w:rFonts w:ascii="宋体" w:hAnsi="宋体" w:cs="宋体" w:eastAsia="宋体" w:hint="default"/>
          <w:sz w:val="18"/>
          <w:szCs w:val="18"/>
        </w:rPr>
      </w:r>
    </w:p>
    <w:p>
      <w:pPr>
        <w:spacing w:before="24"/>
        <w:ind w:left="1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企业所得税</w:t>
      </w:r>
    </w:p>
    <w:p>
      <w:pPr>
        <w:spacing w:line="225" w:lineRule="auto" w:before="40"/>
        <w:ind w:left="142" w:right="802" w:firstLine="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日第五届全国人民代表大会常务委员会第十五次会议批准施行的《广东省经济特区条例》 中关于</w:t>
      </w:r>
      <w:r>
        <w:rPr>
          <w:rFonts w:ascii="Times New Roman" w:hAnsi="Times New Roman" w:cs="Times New Roman" w:eastAsia="Times New Roman" w:hint="default"/>
          <w:sz w:val="18"/>
          <w:szCs w:val="18"/>
        </w:rPr>
        <w:t>“</w:t>
      </w:r>
      <w:r>
        <w:rPr>
          <w:rFonts w:ascii="宋体" w:hAnsi="宋体" w:cs="宋体" w:eastAsia="宋体" w:hint="default"/>
          <w:sz w:val="18"/>
          <w:szCs w:val="18"/>
        </w:rPr>
        <w:t>广东省深圳、珠海、汕头经济特区的企业所得税率为</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的规定，</w:t>
      </w: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年以前执行</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的所得税率；根</w:t>
      </w:r>
      <w:r>
        <w:rPr>
          <w:rFonts w:ascii="宋体" w:hAnsi="宋体" w:cs="宋体" w:eastAsia="宋体" w:hint="default"/>
          <w:sz w:val="18"/>
          <w:szCs w:val="18"/>
        </w:rPr>
        <w:t> </w:t>
      </w:r>
      <w:r>
        <w:rPr>
          <w:rFonts w:ascii="宋体" w:hAnsi="宋体" w:cs="宋体" w:eastAsia="宋体" w:hint="default"/>
          <w:spacing w:val="-3"/>
          <w:sz w:val="18"/>
          <w:szCs w:val="18"/>
        </w:rPr>
        <w:t>据国务院国发【</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39</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号《关于实施企业所得税过渡优惠政策的通知》，自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日起，原享受低税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率优惠政策的企业，在新税法施行后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年内逐步过渡到法定税率。其中：享受企业所得税</w:t>
      </w:r>
      <w:r>
        <w:rPr>
          <w:rFonts w:ascii="宋体" w:hAnsi="宋体" w:cs="宋体" w:eastAsia="宋体" w:hint="default"/>
          <w:spacing w:val="-35"/>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税率的企业，</w:t>
      </w:r>
      <w:r>
        <w:rPr>
          <w:rFonts w:ascii="Times New Roman" w:hAnsi="Times New Roman" w:cs="Times New Roman" w:eastAsia="Times New Roman" w:hint="default"/>
          <w:spacing w:val="-5"/>
          <w:sz w:val="18"/>
          <w:szCs w:val="18"/>
        </w:rPr>
        <w:t>2008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年按</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年按 </w:t>
      </w:r>
      <w:r>
        <w:rPr>
          <w:rFonts w:ascii="Times New Roman" w:hAnsi="Times New Roman" w:cs="Times New Roman" w:eastAsia="Times New Roman" w:hint="default"/>
          <w:sz w:val="18"/>
          <w:szCs w:val="18"/>
        </w:rPr>
        <w:t>25%</w:t>
      </w:r>
      <w:r>
        <w:rPr>
          <w:rFonts w:ascii="宋体" w:hAnsi="宋体" w:cs="宋体" w:eastAsia="宋体" w:hint="default"/>
          <w:sz w:val="18"/>
          <w:szCs w:val="18"/>
        </w:rPr>
        <w:t>税率执行。</w:t>
      </w:r>
    </w:p>
    <w:p>
      <w:pPr>
        <w:spacing w:line="241" w:lineRule="exact" w:before="29"/>
        <w:ind w:left="142" w:right="0" w:firstLine="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日深圳市地方税务局第二稽查局深地税二函</w:t>
      </w:r>
      <w:r>
        <w:rPr>
          <w:rFonts w:ascii="Times New Roman" w:hAnsi="Times New Roman" w:cs="Times New Roman" w:eastAsia="Times New Roman" w:hint="default"/>
          <w:sz w:val="18"/>
          <w:szCs w:val="18"/>
        </w:rPr>
        <w:t>[2006]195 </w:t>
      </w:r>
      <w:r>
        <w:rPr>
          <w:rFonts w:ascii="宋体" w:hAnsi="宋体" w:cs="宋体" w:eastAsia="宋体" w:hint="default"/>
          <w:sz w:val="18"/>
          <w:szCs w:val="18"/>
        </w:rPr>
        <w:t>号《关于深圳市新国都技术有限公</w:t>
      </w:r>
    </w:p>
    <w:p>
      <w:pPr>
        <w:spacing w:line="232" w:lineRule="exact" w:before="16"/>
        <w:ind w:left="142" w:right="822" w:firstLine="0"/>
        <w:jc w:val="both"/>
        <w:rPr>
          <w:rFonts w:ascii="宋体" w:hAnsi="宋体" w:cs="宋体" w:eastAsia="宋体" w:hint="default"/>
          <w:sz w:val="18"/>
          <w:szCs w:val="18"/>
        </w:rPr>
      </w:pPr>
      <w:r>
        <w:rPr>
          <w:rFonts w:ascii="宋体" w:hAnsi="宋体" w:cs="宋体" w:eastAsia="宋体" w:hint="default"/>
          <w:spacing w:val="-3"/>
          <w:sz w:val="18"/>
          <w:szCs w:val="18"/>
        </w:rPr>
        <w:t>司企业所得税减免的复函》：深圳市新国都技术有限公司属生产性企业，预计经营期限</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年，根据《深圳市人</w:t>
      </w:r>
      <w:r>
        <w:rPr>
          <w:rFonts w:ascii="宋体" w:hAnsi="宋体" w:cs="宋体" w:eastAsia="宋体" w:hint="default"/>
          <w:sz w:val="18"/>
          <w:szCs w:val="18"/>
        </w:rPr>
        <w:t> </w:t>
      </w:r>
      <w:r>
        <w:rPr>
          <w:rFonts w:ascii="宋体" w:hAnsi="宋体" w:cs="宋体" w:eastAsia="宋体" w:hint="default"/>
          <w:spacing w:val="-4"/>
          <w:sz w:val="18"/>
          <w:szCs w:val="18"/>
        </w:rPr>
        <w:t>民政府关于深圳特区税收政策若干问题的规定》（深府</w:t>
      </w:r>
      <w:r>
        <w:rPr>
          <w:rFonts w:ascii="Times New Roman" w:hAnsi="Times New Roman" w:cs="Times New Roman" w:eastAsia="Times New Roman" w:hint="default"/>
          <w:spacing w:val="-4"/>
          <w:sz w:val="18"/>
          <w:szCs w:val="18"/>
        </w:rPr>
        <w:t>[1988]232</w:t>
      </w:r>
      <w:r>
        <w:rPr>
          <w:rFonts w:ascii="Times New Roman" w:hAnsi="Times New Roman" w:cs="Times New Roman" w:eastAsia="Times New Roman" w:hint="default"/>
          <w:spacing w:val="25"/>
          <w:sz w:val="18"/>
          <w:szCs w:val="18"/>
        </w:rPr>
        <w:t> </w:t>
      </w:r>
      <w:r>
        <w:rPr>
          <w:rFonts w:ascii="宋体" w:hAnsi="宋体" w:cs="宋体" w:eastAsia="宋体" w:hint="default"/>
          <w:spacing w:val="-4"/>
          <w:w w:val="100"/>
          <w:sz w:val="18"/>
          <w:szCs w:val="18"/>
        </w:rPr>
        <w:t>号）第八条</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对从事工业、农业、交通运输等生</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产性行业的特区企业，经营期限在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年以上的，从开始获利年度起，第一年和第二年免征企业所得税，第三</w:t>
      </w:r>
    </w:p>
    <w:p>
      <w:pPr>
        <w:spacing w:line="218" w:lineRule="exact" w:before="0"/>
        <w:ind w:left="14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年至第五年减半征收所得税</w:t>
      </w:r>
      <w:r>
        <w:rPr>
          <w:rFonts w:ascii="Times New Roman" w:hAnsi="Times New Roman" w:cs="Times New Roman" w:eastAsia="Times New Roman" w:hint="default"/>
          <w:sz w:val="18"/>
          <w:szCs w:val="18"/>
        </w:rPr>
        <w:t>”</w:t>
      </w:r>
      <w:r>
        <w:rPr>
          <w:rFonts w:ascii="宋体" w:hAnsi="宋体" w:cs="宋体" w:eastAsia="宋体" w:hint="default"/>
          <w:sz w:val="18"/>
          <w:szCs w:val="18"/>
        </w:rPr>
        <w:t>的规定。新国都技术自首个获利年度起享受第 </w:t>
      </w:r>
      <w:r>
        <w:rPr>
          <w:rFonts w:ascii="Times New Roman" w:hAnsi="Times New Roman" w:cs="Times New Roman" w:eastAsia="Times New Roman" w:hint="default"/>
          <w:sz w:val="18"/>
          <w:szCs w:val="18"/>
        </w:rPr>
        <w:t>1 </w:t>
      </w:r>
      <w:r>
        <w:rPr>
          <w:rFonts w:ascii="宋体" w:hAnsi="宋体" w:cs="宋体" w:eastAsia="宋体" w:hint="default"/>
          <w:sz w:val="18"/>
          <w:szCs w:val="18"/>
        </w:rPr>
        <w:t>和第 </w:t>
      </w:r>
      <w:r>
        <w:rPr>
          <w:rFonts w:ascii="Times New Roman" w:hAnsi="Times New Roman" w:cs="Times New Roman" w:eastAsia="Times New Roman" w:hint="default"/>
          <w:sz w:val="18"/>
          <w:szCs w:val="18"/>
        </w:rPr>
        <w:t>2 </w:t>
      </w:r>
      <w:r>
        <w:rPr>
          <w:rFonts w:ascii="宋体" w:hAnsi="宋体" w:cs="宋体" w:eastAsia="宋体" w:hint="default"/>
          <w:sz w:val="18"/>
          <w:szCs w:val="18"/>
        </w:rPr>
        <w:t>年免缴企业所得税，第</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3</w:t>
      </w:r>
    </w:p>
    <w:p>
      <w:pPr>
        <w:spacing w:line="240" w:lineRule="exact" w:before="0"/>
        <w:ind w:left="142" w:right="0" w:firstLine="0"/>
        <w:jc w:val="both"/>
        <w:rPr>
          <w:rFonts w:ascii="宋体" w:hAnsi="宋体" w:cs="宋体" w:eastAsia="宋体" w:hint="default"/>
          <w:sz w:val="18"/>
          <w:szCs w:val="18"/>
        </w:rPr>
      </w:pPr>
      <w:r>
        <w:rPr>
          <w:rFonts w:ascii="宋体" w:hAnsi="宋体" w:cs="宋体" w:eastAsia="宋体" w:hint="default"/>
          <w:sz w:val="18"/>
          <w:szCs w:val="18"/>
        </w:rPr>
        <w:t>至第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年减半缴纳企业所得税优惠。</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年度为首个获利年度。</w:t>
      </w:r>
    </w:p>
    <w:p>
      <w:pPr>
        <w:spacing w:line="228" w:lineRule="auto" w:before="37"/>
        <w:ind w:left="142" w:right="734" w:firstLine="0"/>
        <w:jc w:val="both"/>
        <w:rPr>
          <w:rFonts w:ascii="宋体" w:hAnsi="宋体" w:cs="宋体" w:eastAsia="宋体" w:hint="default"/>
          <w:sz w:val="18"/>
          <w:szCs w:val="18"/>
        </w:rPr>
      </w:pPr>
      <w:r>
        <w:rPr>
          <w:rFonts w:ascii="宋体" w:hAnsi="宋体" w:cs="宋体" w:eastAsia="宋体" w:hint="default"/>
          <w:sz w:val="18"/>
          <w:szCs w:val="18"/>
        </w:rPr>
        <w:t>根据财税</w:t>
      </w:r>
      <w:r>
        <w:rPr>
          <w:rFonts w:ascii="Times New Roman" w:hAnsi="Times New Roman" w:cs="Times New Roman" w:eastAsia="Times New Roman" w:hint="default"/>
          <w:sz w:val="18"/>
          <w:szCs w:val="18"/>
        </w:rPr>
        <w:t>[2008]1 </w:t>
      </w:r>
      <w:r>
        <w:rPr>
          <w:rFonts w:ascii="宋体" w:hAnsi="宋体" w:cs="宋体" w:eastAsia="宋体" w:hint="default"/>
          <w:sz w:val="18"/>
          <w:szCs w:val="18"/>
        </w:rPr>
        <w:t>号《财政部、国家税务总局关于企业所得税若干优惠政策的通知》中关于鼓励软件产业和集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成电路产业发展的优惠政策的规定和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sz w:val="18"/>
          <w:szCs w:val="18"/>
        </w:rPr>
        <w:t>日深圳市南山区国家税务局深国税南</w:t>
      </w:r>
      <w:r>
        <w:rPr>
          <w:rFonts w:ascii="宋体" w:hAnsi="宋体" w:cs="宋体" w:eastAsia="宋体" w:hint="default"/>
          <w:spacing w:val="-12"/>
          <w:sz w:val="18"/>
          <w:szCs w:val="18"/>
        </w:rPr>
        <w:t> </w:t>
      </w:r>
      <w:r>
        <w:rPr>
          <w:rFonts w:ascii="宋体" w:hAnsi="宋体" w:cs="宋体" w:eastAsia="宋体" w:hint="default"/>
          <w:sz w:val="18"/>
          <w:szCs w:val="18"/>
        </w:rPr>
        <w:t>减免备案</w:t>
      </w:r>
      <w:r>
        <w:rPr>
          <w:rFonts w:ascii="Times New Roman" w:hAnsi="Times New Roman" w:cs="Times New Roman" w:eastAsia="Times New Roman" w:hint="default"/>
          <w:sz w:val="18"/>
          <w:szCs w:val="18"/>
        </w:rPr>
        <w:t>[2009]131 </w:t>
      </w:r>
      <w:r>
        <w:rPr>
          <w:rFonts w:ascii="宋体" w:hAnsi="宋体" w:cs="宋体" w:eastAsia="宋体" w:hint="default"/>
          <w:spacing w:val="-1"/>
          <w:sz w:val="18"/>
          <w:szCs w:val="18"/>
        </w:rPr>
        <w:t>号文件《税收优惠登记备案通知书》，新国都软件公司符合软件及集成电路设计企业的税收优惠有关规定，新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国都软件公司自开始获利年度起，两年免征企业所得税，三年减半征收企业所得税，</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年度为首个获利年度。</w:t>
      </w:r>
    </w:p>
    <w:p>
      <w:pPr>
        <w:spacing w:before="26"/>
        <w:ind w:left="142" w:right="0" w:firstLine="0"/>
        <w:jc w:val="both"/>
        <w:rPr>
          <w:rFonts w:ascii="宋体" w:hAnsi="宋体" w:cs="宋体" w:eastAsia="宋体" w:hint="default"/>
          <w:sz w:val="18"/>
          <w:szCs w:val="18"/>
        </w:rPr>
      </w:pPr>
      <w:r>
        <w:rPr>
          <w:rFonts w:ascii="宋体" w:hAnsi="宋体" w:cs="宋体" w:eastAsia="宋体" w:hint="default"/>
          <w:sz w:val="18"/>
          <w:szCs w:val="18"/>
        </w:rPr>
        <w:t>根据上述企业所得税优惠政策新国都技术各年度企业所得税执行税率如下表：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2763"/>
        <w:gridCol w:w="1164"/>
        <w:gridCol w:w="2064"/>
        <w:gridCol w:w="1388"/>
        <w:gridCol w:w="1831"/>
      </w:tblGrid>
      <w:tr>
        <w:trPr>
          <w:trHeight w:val="296" w:hRule="exact"/>
        </w:trPr>
        <w:tc>
          <w:tcPr>
            <w:tcW w:w="276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6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本期执行税率</w:t>
            </w:r>
          </w:p>
        </w:tc>
        <w:tc>
          <w:tcPr>
            <w:tcW w:w="138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上期执行税率</w:t>
            </w:r>
          </w:p>
        </w:tc>
      </w:tr>
      <w:tr>
        <w:trPr>
          <w:trHeight w:val="402" w:hRule="exact"/>
        </w:trPr>
        <w:tc>
          <w:tcPr>
            <w:tcW w:w="27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c>
          <w:tcPr>
            <w:tcW w:w="1164"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11%</w:t>
            </w:r>
          </w:p>
        </w:tc>
        <w:tc>
          <w:tcPr>
            <w:tcW w:w="1388" w:type="dxa"/>
            <w:tcBorders>
              <w:top w:val="nil" w:sz="6" w:space="0" w:color="auto"/>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10%</w:t>
            </w:r>
          </w:p>
        </w:tc>
      </w:tr>
      <w:tr>
        <w:trPr>
          <w:trHeight w:val="396"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深圳市新国都软件技术有限公司</w:t>
            </w:r>
          </w:p>
        </w:tc>
        <w:tc>
          <w:tcPr>
            <w:tcW w:w="116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0%</w:t>
            </w:r>
          </w:p>
        </w:tc>
        <w:tc>
          <w:tcPr>
            <w:tcW w:w="138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116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25%</w:t>
            </w:r>
          </w:p>
        </w:tc>
        <w:tc>
          <w:tcPr>
            <w:tcW w:w="138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25%</w:t>
            </w:r>
          </w:p>
        </w:tc>
      </w:tr>
      <w:tr>
        <w:trPr>
          <w:trHeight w:val="291"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116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25%</w:t>
            </w:r>
          </w:p>
        </w:tc>
        <w:tc>
          <w:tcPr>
            <w:tcW w:w="138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24"/>
          <w:szCs w:val="24"/>
        </w:rPr>
      </w:pPr>
    </w:p>
    <w:p>
      <w:pPr>
        <w:spacing w:before="44"/>
        <w:ind w:left="142" w:right="817" w:firstLine="0"/>
        <w:jc w:val="left"/>
        <w:rPr>
          <w:rFonts w:ascii="宋体" w:hAnsi="宋体" w:cs="宋体" w:eastAsia="宋体" w:hint="default"/>
          <w:sz w:val="18"/>
          <w:szCs w:val="18"/>
        </w:rPr>
      </w:pPr>
      <w:r>
        <w:rPr>
          <w:rFonts w:ascii="宋体" w:hAnsi="宋体" w:cs="宋体" w:eastAsia="宋体" w:hint="default"/>
          <w:b/>
          <w:bCs/>
          <w:sz w:val="18"/>
          <w:szCs w:val="18"/>
        </w:rPr>
        <w:t>企业合并及合并财务报表</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142" w:right="8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．通过设立或投资等方式取得的子公司</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39" w:type="dxa"/>
        <w:tblLayout w:type="fixed"/>
        <w:tblCellMar>
          <w:top w:w="0" w:type="dxa"/>
          <w:left w:w="0" w:type="dxa"/>
          <w:bottom w:w="0" w:type="dxa"/>
          <w:right w:w="0" w:type="dxa"/>
        </w:tblCellMar>
        <w:tblLook w:val="01E0"/>
      </w:tblPr>
      <w:tblGrid>
        <w:gridCol w:w="1397"/>
        <w:gridCol w:w="699"/>
        <w:gridCol w:w="771"/>
        <w:gridCol w:w="962"/>
        <w:gridCol w:w="106"/>
        <w:gridCol w:w="950"/>
        <w:gridCol w:w="87"/>
        <w:gridCol w:w="982"/>
        <w:gridCol w:w="542"/>
        <w:gridCol w:w="60"/>
        <w:gridCol w:w="629"/>
        <w:gridCol w:w="106"/>
        <w:gridCol w:w="2040"/>
      </w:tblGrid>
      <w:tr>
        <w:trPr>
          <w:trHeight w:val="956" w:hRule="exact"/>
        </w:trPr>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控股公司名称</w:t>
            </w:r>
          </w:p>
        </w:tc>
        <w:tc>
          <w:tcPr>
            <w:tcW w:w="69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注册地</w:t>
            </w:r>
          </w:p>
        </w:tc>
        <w:tc>
          <w:tcPr>
            <w:tcW w:w="771" w:type="dxa"/>
            <w:tcBorders>
              <w:top w:val="nil" w:sz="6" w:space="0" w:color="auto"/>
              <w:left w:val="nil" w:sz="6" w:space="0" w:color="auto"/>
              <w:bottom w:val="single" w:sz="4" w:space="0" w:color="000000"/>
              <w:right w:val="nil" w:sz="6" w:space="0" w:color="auto"/>
            </w:tcBorders>
          </w:tcPr>
          <w:p>
            <w:pPr>
              <w:pStyle w:val="TableParagraph"/>
              <w:spacing w:line="278" w:lineRule="auto" w:before="158"/>
              <w:ind w:left="110" w:right="29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pacing w:val="37"/>
                <w:sz w:val="18"/>
                <w:szCs w:val="18"/>
              </w:rPr>
              <w:t>期末实际</w:t>
            </w:r>
            <w:r>
              <w:rPr>
                <w:rFonts w:ascii="宋体" w:hAnsi="宋体" w:cs="宋体" w:eastAsia="宋体" w:hint="default"/>
                <w:spacing w:val="-88"/>
                <w:sz w:val="18"/>
                <w:szCs w:val="18"/>
              </w:rPr>
              <w:t> </w:t>
            </w:r>
            <w:r>
              <w:rPr>
                <w:rFonts w:ascii="宋体" w:hAnsi="宋体" w:cs="宋体" w:eastAsia="宋体" w:hint="default"/>
                <w:sz w:val="18"/>
                <w:szCs w:val="18"/>
              </w:rPr>
              <w:t>投资额</w:t>
            </w:r>
          </w:p>
        </w:tc>
        <w:tc>
          <w:tcPr>
            <w:tcW w:w="87"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both"/>
              <w:rPr>
                <w:rFonts w:ascii="宋体" w:hAnsi="宋体" w:cs="宋体" w:eastAsia="宋体" w:hint="default"/>
                <w:sz w:val="18"/>
                <w:szCs w:val="18"/>
              </w:rPr>
            </w:pPr>
            <w:r>
              <w:rPr>
                <w:rFonts w:ascii="宋体" w:hAnsi="宋体" w:cs="宋体" w:eastAsia="宋体" w:hint="default"/>
                <w:spacing w:val="30"/>
                <w:sz w:val="18"/>
                <w:szCs w:val="18"/>
              </w:rPr>
              <w:t>实质上构</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28" w:right="67"/>
              <w:jc w:val="both"/>
              <w:rPr>
                <w:rFonts w:ascii="宋体" w:hAnsi="宋体" w:cs="宋体" w:eastAsia="宋体" w:hint="default"/>
                <w:sz w:val="18"/>
                <w:szCs w:val="18"/>
              </w:rPr>
            </w:pPr>
            <w:r>
              <w:rPr>
                <w:rFonts w:ascii="宋体" w:hAnsi="宋体" w:cs="宋体" w:eastAsia="宋体" w:hint="default"/>
                <w:spacing w:val="30"/>
                <w:sz w:val="18"/>
                <w:szCs w:val="18"/>
              </w:rPr>
              <w:t>成对子公</w:t>
            </w:r>
            <w:r>
              <w:rPr>
                <w:rFonts w:ascii="宋体" w:hAnsi="宋体" w:cs="宋体" w:eastAsia="宋体" w:hint="default"/>
                <w:spacing w:val="-50"/>
                <w:sz w:val="18"/>
                <w:szCs w:val="18"/>
              </w:rPr>
              <w:t> </w:t>
            </w:r>
            <w:r>
              <w:rPr>
                <w:rFonts w:ascii="宋体" w:hAnsi="宋体" w:cs="宋体" w:eastAsia="宋体" w:hint="default"/>
                <w:spacing w:val="30"/>
                <w:sz w:val="18"/>
                <w:szCs w:val="18"/>
              </w:rPr>
              <w:t>司的净投</w:t>
            </w:r>
            <w:r>
              <w:rPr>
                <w:rFonts w:ascii="宋体" w:hAnsi="宋体" w:cs="宋体" w:eastAsia="宋体" w:hint="default"/>
                <w:spacing w:val="-50"/>
                <w:sz w:val="18"/>
                <w:szCs w:val="18"/>
              </w:rPr>
              <w:t> </w:t>
            </w:r>
            <w:r>
              <w:rPr>
                <w:rFonts w:ascii="宋体" w:hAnsi="宋体" w:cs="宋体" w:eastAsia="宋体" w:hint="default"/>
                <w:sz w:val="18"/>
                <w:szCs w:val="18"/>
              </w:rPr>
              <w:t>资余额</w:t>
            </w:r>
          </w:p>
        </w:tc>
        <w:tc>
          <w:tcPr>
            <w:tcW w:w="54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pacing w:val="38"/>
                <w:sz w:val="18"/>
                <w:szCs w:val="18"/>
              </w:rPr>
              <w:t>持股</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60"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32" w:lineRule="exact"/>
              <w:ind w:left="28" w:right="15"/>
              <w:jc w:val="left"/>
              <w:rPr>
                <w:rFonts w:ascii="宋体" w:hAnsi="宋体" w:cs="宋体" w:eastAsia="宋体" w:hint="default"/>
                <w:sz w:val="18"/>
                <w:szCs w:val="18"/>
              </w:rPr>
            </w:pPr>
            <w:r>
              <w:rPr>
                <w:rFonts w:ascii="宋体" w:hAnsi="宋体" w:cs="宋体" w:eastAsia="宋体" w:hint="default"/>
                <w:spacing w:val="14"/>
                <w:sz w:val="18"/>
                <w:szCs w:val="18"/>
              </w:rPr>
              <w:t>表决权 </w:t>
            </w:r>
            <w:r>
              <w:rPr>
                <w:rFonts w:ascii="宋体" w:hAnsi="宋体" w:cs="宋体" w:eastAsia="宋体" w:hint="default"/>
                <w:sz w:val="18"/>
                <w:szCs w:val="18"/>
              </w:rPr>
              <w:t>比例</w:t>
            </w:r>
          </w:p>
        </w:tc>
        <w:tc>
          <w:tcPr>
            <w:tcW w:w="106"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主营业务范围</w:t>
            </w:r>
          </w:p>
        </w:tc>
      </w:tr>
      <w:tr>
        <w:trPr>
          <w:trHeight w:val="782" w:hRule="exact"/>
        </w:trPr>
        <w:tc>
          <w:tcPr>
            <w:tcW w:w="1397" w:type="dxa"/>
            <w:tcBorders>
              <w:top w:val="single" w:sz="4" w:space="0" w:color="000000"/>
              <w:left w:val="nil" w:sz="6" w:space="0" w:color="auto"/>
              <w:bottom w:val="nil" w:sz="6" w:space="0" w:color="auto"/>
              <w:right w:val="nil" w:sz="6" w:space="0" w:color="auto"/>
            </w:tcBorders>
          </w:tcPr>
          <w:p>
            <w:pPr>
              <w:pStyle w:val="TableParagraph"/>
              <w:spacing w:line="234" w:lineRule="exact" w:before="146"/>
              <w:ind w:left="31" w:right="19"/>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深圳市新国都软 </w:t>
            </w:r>
            <w:r>
              <w:rPr>
                <w:rFonts w:ascii="宋体" w:hAnsi="宋体" w:cs="宋体" w:eastAsia="宋体" w:hint="default"/>
                <w:sz w:val="18"/>
                <w:szCs w:val="18"/>
              </w:rPr>
              <w:t>件有限公司</w:t>
            </w:r>
            <w:r>
              <w:rPr>
                <w:rFonts w:ascii="Times New Roman" w:hAnsi="Times New Roman" w:cs="Times New Roman" w:eastAsia="Times New Roman" w:hint="default"/>
                <w:sz w:val="18"/>
                <w:szCs w:val="18"/>
              </w:rPr>
              <w:t>*</w:t>
            </w:r>
          </w:p>
        </w:tc>
        <w:tc>
          <w:tcPr>
            <w:tcW w:w="69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深圳市</w:t>
            </w:r>
          </w:p>
        </w:tc>
        <w:tc>
          <w:tcPr>
            <w:tcW w:w="7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软件业</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6" w:type="dxa"/>
            <w:tcBorders>
              <w:top w:val="nil" w:sz="6" w:space="0" w:color="auto"/>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7"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54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60" w:type="dxa"/>
            <w:tcBorders>
              <w:top w:val="nil" w:sz="6" w:space="0" w:color="auto"/>
              <w:left w:val="nil" w:sz="6" w:space="0" w:color="auto"/>
              <w:bottom w:val="nil" w:sz="6" w:space="0" w:color="auto"/>
              <w:right w:val="nil" w:sz="6" w:space="0" w:color="auto"/>
            </w:tcBorders>
          </w:tcPr>
          <w:p>
            <w:pP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nil" w:sz="6" w:space="0" w:color="auto"/>
              <w:right w:val="nil" w:sz="6" w:space="0" w:color="auto"/>
            </w:tcBorders>
          </w:tcPr>
          <w:p>
            <w:pPr>
              <w:pStyle w:val="TableParagraph"/>
              <w:spacing w:line="237" w:lineRule="auto" w:before="10"/>
              <w:ind w:left="28" w:right="86"/>
              <w:jc w:val="both"/>
              <w:rPr>
                <w:rFonts w:ascii="宋体" w:hAnsi="宋体" w:cs="宋体" w:eastAsia="宋体" w:hint="default"/>
                <w:sz w:val="18"/>
                <w:szCs w:val="18"/>
              </w:rPr>
            </w:pPr>
            <w:r>
              <w:rPr>
                <w:rFonts w:ascii="宋体" w:hAnsi="宋体" w:cs="宋体" w:eastAsia="宋体" w:hint="default"/>
                <w:spacing w:val="-6"/>
                <w:sz w:val="18"/>
                <w:szCs w:val="18"/>
              </w:rPr>
              <w:t>软件技术开发与销售，软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件技术咨询，计算机系统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集成。</w:t>
            </w:r>
          </w:p>
        </w:tc>
      </w:tr>
      <w:tr>
        <w:trPr>
          <w:trHeight w:val="1481" w:hRule="exact"/>
        </w:trPr>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32" w:lineRule="exact"/>
              <w:ind w:left="31" w:right="19"/>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南京市新国都技 </w:t>
            </w:r>
            <w:r>
              <w:rPr>
                <w:rFonts w:ascii="宋体" w:hAnsi="宋体" w:cs="宋体" w:eastAsia="宋体" w:hint="default"/>
                <w:sz w:val="18"/>
                <w:szCs w:val="18"/>
              </w:rPr>
              <w:t>术有限公司</w:t>
            </w:r>
            <w:r>
              <w:rPr>
                <w:rFonts w:ascii="Times New Roman" w:hAnsi="Times New Roman" w:cs="Times New Roman" w:eastAsia="Times New Roman" w:hint="default"/>
                <w:sz w:val="18"/>
                <w:szCs w:val="18"/>
              </w:rPr>
              <w:t>**</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right"/>
              <w:rPr>
                <w:rFonts w:ascii="宋体" w:hAnsi="宋体" w:cs="宋体" w:eastAsia="宋体" w:hint="default"/>
                <w:sz w:val="18"/>
                <w:szCs w:val="18"/>
              </w:rPr>
            </w:pPr>
            <w:r>
              <w:rPr>
                <w:rFonts w:ascii="宋体" w:hAnsi="宋体" w:cs="宋体" w:eastAsia="宋体" w:hint="default"/>
                <w:sz w:val="18"/>
                <w:szCs w:val="18"/>
              </w:rPr>
              <w:t>南京市</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19"/>
              <w:jc w:val="right"/>
              <w:rPr>
                <w:rFonts w:ascii="宋体" w:hAnsi="宋体" w:cs="宋体" w:eastAsia="宋体" w:hint="default"/>
                <w:sz w:val="18"/>
                <w:szCs w:val="18"/>
              </w:rPr>
            </w:pPr>
            <w:r>
              <w:rPr>
                <w:rFonts w:ascii="宋体" w:hAnsi="宋体" w:cs="宋体" w:eastAsia="宋体" w:hint="default"/>
                <w:sz w:val="18"/>
                <w:szCs w:val="18"/>
              </w:rPr>
              <w:t>软件业</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7"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60"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28" w:right="0"/>
              <w:jc w:val="both"/>
              <w:rPr>
                <w:rFonts w:ascii="宋体" w:hAnsi="宋体" w:cs="宋体" w:eastAsia="宋体" w:hint="default"/>
                <w:sz w:val="18"/>
                <w:szCs w:val="18"/>
              </w:rPr>
            </w:pPr>
            <w:r>
              <w:rPr>
                <w:rFonts w:ascii="宋体" w:hAnsi="宋体" w:cs="宋体" w:eastAsia="宋体" w:hint="default"/>
                <w:spacing w:val="-6"/>
                <w:sz w:val="18"/>
                <w:szCs w:val="18"/>
              </w:rPr>
              <w:t>软件技术开发与销售、技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术咨询和服务；计算机系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统集成；投资咨询服务； </w:t>
            </w:r>
            <w:r>
              <w:rPr>
                <w:rFonts w:ascii="宋体" w:hAnsi="宋体" w:cs="宋体" w:eastAsia="宋体" w:hint="default"/>
                <w:spacing w:val="12"/>
                <w:sz w:val="18"/>
                <w:szCs w:val="18"/>
              </w:rPr>
              <w:t>计算机产品及电子产品</w:t>
            </w:r>
            <w:r>
              <w:rPr>
                <w:rFonts w:ascii="宋体" w:hAnsi="宋体" w:cs="宋体" w:eastAsia="宋体" w:hint="default"/>
                <w:sz w:val="18"/>
                <w:szCs w:val="18"/>
              </w:rPr>
              <w:t> </w:t>
            </w:r>
            <w:r>
              <w:rPr>
                <w:rFonts w:ascii="宋体" w:hAnsi="宋体" w:cs="宋体" w:eastAsia="宋体" w:hint="default"/>
                <w:spacing w:val="-13"/>
                <w:sz w:val="18"/>
                <w:szCs w:val="18"/>
              </w:rPr>
              <w:t>的技术开发、生产、销售、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租赁及技术服务。</w:t>
            </w:r>
          </w:p>
        </w:tc>
      </w:tr>
      <w:tr>
        <w:trPr>
          <w:trHeight w:val="946" w:hRule="exact"/>
        </w:trPr>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1" w:right="19"/>
              <w:jc w:val="left"/>
              <w:rPr>
                <w:rFonts w:ascii="宋体" w:hAnsi="宋体" w:cs="宋体" w:eastAsia="宋体" w:hint="default"/>
                <w:sz w:val="18"/>
                <w:szCs w:val="18"/>
              </w:rPr>
            </w:pPr>
            <w:r>
              <w:rPr>
                <w:rFonts w:ascii="宋体" w:hAnsi="宋体" w:cs="宋体" w:eastAsia="宋体" w:hint="default"/>
                <w:spacing w:val="12"/>
                <w:sz w:val="18"/>
                <w:szCs w:val="18"/>
              </w:rPr>
              <w:t>广州市新国都信 息科技有限公司</w:t>
            </w:r>
            <w:r>
              <w:rPr>
                <w:rFonts w:ascii="宋体" w:hAnsi="宋体" w:cs="宋体" w:eastAsia="宋体" w:hint="default"/>
                <w:sz w:val="18"/>
                <w:szCs w:val="18"/>
              </w:rPr>
            </w:r>
          </w:p>
          <w:p>
            <w:pPr>
              <w:pStyle w:val="TableParagraph"/>
              <w:spacing w:line="240" w:lineRule="auto" w:before="20"/>
              <w:ind w:left="31" w:right="0"/>
              <w:jc w:val="left"/>
              <w:rPr>
                <w:rFonts w:ascii="Times New Roman" w:hAnsi="Times New Roman" w:cs="Times New Roman" w:eastAsia="Times New Roman" w:hint="default"/>
                <w:sz w:val="18"/>
                <w:szCs w:val="18"/>
              </w:rPr>
            </w:pPr>
            <w:r>
              <w:rPr>
                <w:rFonts w:ascii="Times New Roman"/>
                <w:sz w:val="18"/>
              </w:rPr>
              <w:t>***</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8"/>
              <w:jc w:val="right"/>
              <w:rPr>
                <w:rFonts w:ascii="宋体" w:hAnsi="宋体" w:cs="宋体" w:eastAsia="宋体" w:hint="default"/>
                <w:sz w:val="18"/>
                <w:szCs w:val="18"/>
              </w:rPr>
            </w:pPr>
            <w:r>
              <w:rPr>
                <w:rFonts w:ascii="宋体" w:hAnsi="宋体" w:cs="宋体" w:eastAsia="宋体" w:hint="default"/>
                <w:sz w:val="18"/>
                <w:szCs w:val="18"/>
              </w:rPr>
              <w:t>广州市</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9"/>
              <w:jc w:val="right"/>
              <w:rPr>
                <w:rFonts w:ascii="宋体" w:hAnsi="宋体" w:cs="宋体" w:eastAsia="宋体" w:hint="default"/>
                <w:sz w:val="18"/>
                <w:szCs w:val="18"/>
              </w:rPr>
            </w:pPr>
            <w:r>
              <w:rPr>
                <w:rFonts w:ascii="宋体" w:hAnsi="宋体" w:cs="宋体" w:eastAsia="宋体" w:hint="default"/>
                <w:sz w:val="18"/>
                <w:szCs w:val="18"/>
              </w:rPr>
              <w:t>软件业</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10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4"/>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87"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60"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28" w:right="86"/>
              <w:jc w:val="both"/>
              <w:rPr>
                <w:rFonts w:ascii="宋体" w:hAnsi="宋体" w:cs="宋体" w:eastAsia="宋体" w:hint="default"/>
                <w:sz w:val="18"/>
                <w:szCs w:val="18"/>
              </w:rPr>
            </w:pPr>
            <w:r>
              <w:rPr>
                <w:rFonts w:ascii="宋体" w:hAnsi="宋体" w:cs="宋体" w:eastAsia="宋体" w:hint="default"/>
                <w:spacing w:val="-6"/>
                <w:sz w:val="18"/>
                <w:szCs w:val="18"/>
              </w:rPr>
              <w:t>计算机软件、智能设备的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研究、开发、销售、技术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咨询、技术服务；计算机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系统集成技术服务。</w:t>
            </w:r>
          </w:p>
        </w:tc>
      </w:tr>
    </w:tbl>
    <w:p>
      <w:pPr>
        <w:spacing w:line="240" w:lineRule="auto" w:before="0"/>
        <w:rPr>
          <w:rFonts w:ascii="宋体" w:hAnsi="宋体" w:cs="宋体" w:eastAsia="宋体" w:hint="default"/>
          <w:b/>
          <w:bCs/>
          <w:sz w:val="18"/>
          <w:szCs w:val="18"/>
        </w:rPr>
      </w:pPr>
    </w:p>
    <w:p>
      <w:pPr>
        <w:spacing w:line="230" w:lineRule="exact" w:before="119"/>
        <w:ind w:left="142"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新国都软件公司由新国都技术</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月出资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万元设立，投资比例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。该出资业经深圳恒平会计师 事务所深恒平所（内）验字</w:t>
      </w:r>
      <w:r>
        <w:rPr>
          <w:rFonts w:ascii="Times New Roman" w:hAnsi="Times New Roman" w:cs="Times New Roman" w:eastAsia="Times New Roman" w:hint="default"/>
          <w:sz w:val="18"/>
          <w:szCs w:val="18"/>
        </w:rPr>
        <w:t>[2007]165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w:t>
      </w:r>
    </w:p>
    <w:p>
      <w:pPr>
        <w:spacing w:line="241" w:lineRule="exact" w:before="19"/>
        <w:ind w:left="142" w:right="0" w:firstLine="0"/>
        <w:jc w:val="left"/>
        <w:rPr>
          <w:rFonts w:ascii="宋体" w:hAnsi="宋体" w:cs="宋体" w:eastAsia="宋体" w:hint="default"/>
          <w:sz w:val="18"/>
          <w:szCs w:val="18"/>
        </w:rPr>
      </w:pPr>
      <w:r>
        <w:rPr>
          <w:rFonts w:ascii="宋体" w:hAnsi="宋体" w:cs="宋体" w:eastAsia="宋体" w:hint="default"/>
          <w:sz w:val="18"/>
          <w:szCs w:val="18"/>
        </w:rPr>
        <w:t>新国都技术于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日以货币资金向新国都软件公司增资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万元，此次增资业经深圳恒平会计师事</w:t>
      </w:r>
    </w:p>
    <w:p>
      <w:pPr>
        <w:spacing w:line="241" w:lineRule="exact"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务所深恒平所（内）验字</w:t>
      </w:r>
      <w:r>
        <w:rPr>
          <w:rFonts w:ascii="Times New Roman" w:hAnsi="Times New Roman" w:cs="Times New Roman" w:eastAsia="Times New Roman" w:hint="default"/>
          <w:sz w:val="18"/>
          <w:szCs w:val="18"/>
        </w:rPr>
        <w:t>[2009]22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号验资报告验证，并于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日完成工商变更手续，增资完成后新</w:t>
      </w:r>
    </w:p>
    <w:p>
      <w:pPr>
        <w:spacing w:after="0" w:line="241" w:lineRule="exact"/>
        <w:jc w:val="left"/>
        <w:rPr>
          <w:rFonts w:ascii="宋体" w:hAnsi="宋体" w:cs="宋体" w:eastAsia="宋体" w:hint="default"/>
          <w:sz w:val="18"/>
          <w:szCs w:val="18"/>
        </w:rPr>
        <w:sectPr>
          <w:footerReference w:type="default" r:id="rId59"/>
          <w:pgSz w:w="11910" w:h="16840"/>
          <w:pgMar w:footer="1226" w:header="877" w:top="1060" w:bottom="1420" w:left="1560" w:right="760"/>
          <w:pgNumType w:start="112"/>
        </w:sectPr>
      </w:pPr>
    </w:p>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before="0"/>
        <w:ind w:left="142" w:right="240" w:firstLine="0"/>
        <w:jc w:val="left"/>
        <w:rPr>
          <w:rFonts w:ascii="宋体" w:hAnsi="宋体" w:cs="宋体" w:eastAsia="宋体" w:hint="default"/>
          <w:sz w:val="18"/>
          <w:szCs w:val="18"/>
        </w:rPr>
      </w:pPr>
      <w:r>
        <w:rPr>
          <w:rFonts w:ascii="宋体" w:hAnsi="宋体" w:cs="宋体" w:eastAsia="宋体" w:hint="default"/>
          <w:sz w:val="18"/>
          <w:szCs w:val="18"/>
        </w:rPr>
        <w:t>国都技术对新国都软件公司投资额为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line="244" w:lineRule="auto" w:before="27"/>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南京市新国都技术有限公司（以下简称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南京新国都公司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）由新国都技术于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 </w:t>
      </w:r>
      <w:r>
        <w:rPr>
          <w:rFonts w:ascii="宋体" w:hAnsi="宋体" w:cs="宋体" w:eastAsia="宋体" w:hint="default"/>
          <w:spacing w:val="-6"/>
          <w:sz w:val="18"/>
          <w:szCs w:val="18"/>
        </w:rPr>
        <w:t>设立，投资比例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，该出资业经南京天正会计师事务所有限公司天正内资验（</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5-024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号验资报告验证。 新国都技术于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日以货币资金向南京新国都公司增资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万元，此次增资业经江苏鼎信会计师</w:t>
      </w:r>
    </w:p>
    <w:p>
      <w:pPr>
        <w:spacing w:line="230" w:lineRule="exact" w:before="6"/>
        <w:ind w:left="142" w:right="335" w:firstLine="0"/>
        <w:jc w:val="left"/>
        <w:rPr>
          <w:rFonts w:ascii="宋体" w:hAnsi="宋体" w:cs="宋体" w:eastAsia="宋体" w:hint="default"/>
          <w:sz w:val="18"/>
          <w:szCs w:val="18"/>
        </w:rPr>
      </w:pPr>
      <w:r>
        <w:rPr>
          <w:rFonts w:ascii="宋体" w:hAnsi="宋体" w:cs="宋体" w:eastAsia="宋体" w:hint="default"/>
          <w:sz w:val="18"/>
          <w:szCs w:val="18"/>
        </w:rPr>
        <w:t>事务所苏鼎验（</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号验资报告验证，并于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号完成工商变更手续，此次增资完成后新国 都技术对南京新国都公司投资额为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万元，持股比例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line="232" w:lineRule="exact" w:before="44"/>
        <w:ind w:left="142" w:right="3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广州市新国都信息科技有限公司（以下简称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广州新国都公司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）由新国都技术于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日出资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万元设立，投资比例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，该出资业经广州海正会计师事务所有限公司海会验字（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X044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号验资报告 验证。</w:t>
      </w:r>
    </w:p>
    <w:p>
      <w:pPr>
        <w:spacing w:line="240" w:lineRule="auto" w:before="12"/>
        <w:rPr>
          <w:rFonts w:ascii="宋体" w:hAnsi="宋体" w:cs="宋体" w:eastAsia="宋体" w:hint="default"/>
          <w:sz w:val="19"/>
          <w:szCs w:val="19"/>
        </w:rPr>
      </w:pPr>
    </w:p>
    <w:p>
      <w:pPr>
        <w:spacing w:before="0"/>
        <w:ind w:left="142" w:right="240" w:firstLine="0"/>
        <w:jc w:val="left"/>
        <w:rPr>
          <w:rFonts w:ascii="宋体" w:hAnsi="宋体" w:cs="宋体" w:eastAsia="宋体" w:hint="default"/>
          <w:sz w:val="21"/>
          <w:szCs w:val="21"/>
        </w:rPr>
      </w:pPr>
      <w:r>
        <w:rPr>
          <w:rFonts w:ascii="宋体" w:hAnsi="宋体" w:cs="宋体" w:eastAsia="宋体" w:hint="default"/>
          <w:sz w:val="21"/>
          <w:szCs w:val="21"/>
        </w:rPr>
        <w:t>五、合并财务报表主要项目注释</w:t>
      </w:r>
    </w:p>
    <w:p>
      <w:pPr>
        <w:spacing w:line="240" w:lineRule="auto" w:before="0"/>
        <w:rPr>
          <w:rFonts w:ascii="宋体" w:hAnsi="宋体" w:cs="宋体" w:eastAsia="宋体" w:hint="default"/>
          <w:sz w:val="22"/>
          <w:szCs w:val="22"/>
        </w:rPr>
      </w:pPr>
    </w:p>
    <w:p>
      <w:pPr>
        <w:spacing w:before="0"/>
        <w:ind w:left="142" w:right="240" w:firstLine="0"/>
        <w:jc w:val="left"/>
        <w:rPr>
          <w:rFonts w:ascii="宋体" w:hAnsi="宋体" w:cs="宋体" w:eastAsia="宋体" w:hint="default"/>
          <w:sz w:val="18"/>
          <w:szCs w:val="18"/>
        </w:rPr>
      </w:pPr>
      <w:r>
        <w:rPr>
          <w:rFonts w:ascii="宋体" w:hAnsi="宋体" w:cs="宋体" w:eastAsia="宋体" w:hint="default"/>
          <w:b/>
          <w:bCs/>
          <w:sz w:val="18"/>
          <w:szCs w:val="18"/>
        </w:rPr>
        <w:t>（一）货币资金</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1994"/>
        <w:gridCol w:w="526"/>
        <w:gridCol w:w="1373"/>
        <w:gridCol w:w="665"/>
        <w:gridCol w:w="1882"/>
        <w:gridCol w:w="533"/>
        <w:gridCol w:w="1817"/>
      </w:tblGrid>
      <w:tr>
        <w:trPr>
          <w:trHeight w:val="282"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52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6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533"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75"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26"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142,237.09</w:t>
            </w:r>
          </w:p>
        </w:tc>
        <w:tc>
          <w:tcPr>
            <w:tcW w:w="533"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157,801.89</w:t>
            </w:r>
          </w:p>
        </w:tc>
      </w:tr>
      <w:tr>
        <w:trPr>
          <w:trHeight w:val="368"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52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729,272,024.97</w:t>
            </w:r>
          </w:p>
        </w:tc>
        <w:tc>
          <w:tcPr>
            <w:tcW w:w="533"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91,041,799.75</w:t>
            </w:r>
          </w:p>
        </w:tc>
      </w:tr>
      <w:tr>
        <w:trPr>
          <w:trHeight w:val="375"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52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18"/>
                <w:szCs w:val="18"/>
              </w:rPr>
            </w:pPr>
            <w:r>
              <w:rPr>
                <w:rFonts w:ascii="Times New Roman"/>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4,878,274.20</w:t>
            </w:r>
          </w:p>
        </w:tc>
        <w:tc>
          <w:tcPr>
            <w:tcW w:w="533"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1,353,450.83</w:t>
            </w:r>
          </w:p>
        </w:tc>
      </w:tr>
      <w:tr>
        <w:trPr>
          <w:trHeight w:val="403"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2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0194" cy="9144"/>
                  <wp:effectExtent l="0" t="0" r="0" b="0"/>
                  <wp:docPr id="9" name="image15.png" descr=""/>
                  <wp:cNvGraphicFramePr>
                    <a:graphicFrameLocks noChangeAspect="1"/>
                  </wp:cNvGraphicFramePr>
                  <a:graphic>
                    <a:graphicData uri="http://schemas.openxmlformats.org/drawingml/2006/picture">
                      <pic:pic>
                        <pic:nvPicPr>
                          <pic:cNvPr id="10" name="image15.png"/>
                          <pic:cNvPicPr/>
                        </pic:nvPicPr>
                        <pic:blipFill>
                          <a:blip r:embed="rId60" cstate="print"/>
                          <a:stretch>
                            <a:fillRect/>
                          </a:stretch>
                        </pic:blipFill>
                        <pic:spPr>
                          <a:xfrm>
                            <a:off x="0" y="0"/>
                            <a:ext cx="119019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36" w:right="0"/>
              <w:jc w:val="left"/>
              <w:rPr>
                <w:rFonts w:ascii="Times New Roman" w:hAnsi="Times New Roman" w:cs="Times New Roman" w:eastAsia="Times New Roman" w:hint="default"/>
                <w:sz w:val="18"/>
                <w:szCs w:val="18"/>
              </w:rPr>
            </w:pPr>
            <w:r>
              <w:rPr>
                <w:rFonts w:ascii="Times New Roman"/>
                <w:sz w:val="18"/>
              </w:rPr>
              <w:t>734,292,536.26</w:t>
            </w:r>
          </w:p>
        </w:tc>
        <w:tc>
          <w:tcPr>
            <w:tcW w:w="533"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36" w:right="0"/>
              <w:jc w:val="left"/>
              <w:rPr>
                <w:rFonts w:ascii="Times New Roman" w:hAnsi="Times New Roman" w:cs="Times New Roman" w:eastAsia="Times New Roman" w:hint="default"/>
                <w:sz w:val="18"/>
                <w:szCs w:val="18"/>
              </w:rPr>
            </w:pPr>
            <w:r>
              <w:rPr>
                <w:rFonts w:ascii="Times New Roman"/>
                <w:sz w:val="18"/>
              </w:rPr>
              <w:t>92,553,052.47</w:t>
            </w:r>
          </w:p>
        </w:tc>
      </w:tr>
    </w:tbl>
    <w:p>
      <w:pPr>
        <w:spacing w:line="240" w:lineRule="auto" w:before="2"/>
        <w:rPr>
          <w:rFonts w:ascii="宋体" w:hAnsi="宋体" w:cs="宋体" w:eastAsia="宋体" w:hint="default"/>
          <w:b/>
          <w:bCs/>
          <w:sz w:val="16"/>
          <w:szCs w:val="16"/>
        </w:rPr>
      </w:pPr>
    </w:p>
    <w:p>
      <w:pPr>
        <w:spacing w:line="241" w:lineRule="exact" w:before="44"/>
        <w:ind w:left="142" w:right="240" w:firstLine="0"/>
        <w:jc w:val="left"/>
        <w:rPr>
          <w:rFonts w:ascii="宋体" w:hAnsi="宋体" w:cs="宋体" w:eastAsia="宋体" w:hint="default"/>
          <w:sz w:val="18"/>
          <w:szCs w:val="18"/>
        </w:rPr>
      </w:pPr>
      <w:r>
        <w:rPr/>
        <w:pict>
          <v:group style="position:absolute;margin-left:433.390015pt;margin-top:-12.608273pt;width:91.25pt;height:.1pt;mso-position-horizontal-relative:page;mso-position-vertical-relative:paragraph;z-index:-676528" coordorigin="8668,-252" coordsize="1825,2">
            <v:shape style="position:absolute;left:8668;top:-252;width:1825;height:2" coordorigin="8668,-252" coordsize="1825,0" path="m8668,-252l10492,-252e" filled="false" stroked="true" strokeweight=".48001pt" strokecolor="#000000">
              <v:path arrowok="t"/>
            </v:shape>
            <w10:wrap type="none"/>
          </v:group>
        </w:pic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货币资金期末数比期初数增加</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641,739,483.79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元，增幅</w:t>
      </w:r>
      <w:r>
        <w:rPr>
          <w:rFonts w:ascii="宋体" w:hAnsi="宋体" w:cs="宋体" w:eastAsia="宋体" w:hint="default"/>
          <w:b/>
          <w:bCs/>
          <w:spacing w:val="-41"/>
          <w:sz w:val="18"/>
          <w:szCs w:val="18"/>
        </w:rPr>
        <w:t> </w:t>
      </w:r>
      <w:r>
        <w:rPr>
          <w:rFonts w:ascii="Times New Roman" w:hAnsi="Times New Roman" w:cs="Times New Roman" w:eastAsia="Times New Roman" w:hint="default"/>
          <w:b/>
          <w:bCs/>
          <w:sz w:val="18"/>
          <w:szCs w:val="18"/>
        </w:rPr>
        <w:t>693.37%</w:t>
      </w:r>
      <w:r>
        <w:rPr>
          <w:rFonts w:ascii="宋体" w:hAnsi="宋体" w:cs="宋体" w:eastAsia="宋体" w:hint="default"/>
          <w:b/>
          <w:bCs/>
          <w:sz w:val="18"/>
          <w:szCs w:val="18"/>
        </w:rPr>
        <w:t>，增加的主要原因为本公司于</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1"/>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32" w:lineRule="exact" w:before="0"/>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日向社会公众公开发行普通股（</w:t>
      </w:r>
      <w:r>
        <w:rPr>
          <w:rFonts w:ascii="Times New Roman" w:hAnsi="Times New Roman" w:cs="Times New Roman" w:eastAsia="Times New Roman" w:hint="default"/>
          <w:b/>
          <w:bCs/>
          <w:sz w:val="18"/>
          <w:szCs w:val="18"/>
        </w:rPr>
        <w:t>A</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股）股票</w:t>
      </w:r>
      <w:r>
        <w:rPr>
          <w:rFonts w:ascii="宋体" w:hAnsi="宋体" w:cs="宋体" w:eastAsia="宋体" w:hint="default"/>
          <w:b/>
          <w:bCs/>
          <w:spacing w:val="-38"/>
          <w:sz w:val="18"/>
          <w:szCs w:val="18"/>
        </w:rPr>
        <w:t> </w:t>
      </w:r>
      <w:r>
        <w:rPr>
          <w:rFonts w:ascii="Times New Roman" w:hAnsi="Times New Roman" w:cs="Times New Roman" w:eastAsia="Times New Roman" w:hint="default"/>
          <w:b/>
          <w:bCs/>
          <w:sz w:val="18"/>
          <w:szCs w:val="18"/>
        </w:rPr>
        <w:t>1600</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万股，每股面值</w:t>
      </w:r>
      <w:r>
        <w:rPr>
          <w:rFonts w:ascii="宋体" w:hAnsi="宋体" w:cs="宋体" w:eastAsia="宋体" w:hint="default"/>
          <w:b/>
          <w:bCs/>
          <w:spacing w:val="-37"/>
          <w:sz w:val="18"/>
          <w:szCs w:val="18"/>
        </w:rPr>
        <w:t> </w:t>
      </w:r>
      <w:r>
        <w:rPr>
          <w:rFonts w:ascii="Times New Roman" w:hAnsi="Times New Roman" w:cs="Times New Roman" w:eastAsia="Times New Roman" w:hint="default"/>
          <w:b/>
          <w:bCs/>
          <w:sz w:val="18"/>
          <w:szCs w:val="18"/>
        </w:rPr>
        <w:t>1.00</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元，每股发行价人民币</w:t>
      </w:r>
      <w:r>
        <w:rPr>
          <w:rFonts w:ascii="宋体" w:hAnsi="宋体" w:cs="宋体" w:eastAsia="宋体" w:hint="default"/>
          <w:b/>
          <w:bCs/>
          <w:spacing w:val="-39"/>
          <w:sz w:val="18"/>
          <w:szCs w:val="18"/>
        </w:rPr>
        <w:t> </w:t>
      </w:r>
      <w:r>
        <w:rPr>
          <w:rFonts w:ascii="Times New Roman" w:hAnsi="Times New Roman" w:cs="Times New Roman" w:eastAsia="Times New Roman" w:hint="default"/>
          <w:b/>
          <w:bCs/>
          <w:sz w:val="18"/>
          <w:szCs w:val="18"/>
        </w:rPr>
        <w:t>43.33</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元，本</w:t>
      </w:r>
      <w:r>
        <w:rPr>
          <w:rFonts w:ascii="宋体" w:hAnsi="宋体" w:cs="宋体" w:eastAsia="宋体" w:hint="default"/>
          <w:sz w:val="18"/>
          <w:szCs w:val="18"/>
        </w:rPr>
      </w:r>
    </w:p>
    <w:p>
      <w:pPr>
        <w:spacing w:line="240" w:lineRule="exact" w:before="0"/>
        <w:ind w:left="142" w:right="240" w:firstLine="0"/>
        <w:jc w:val="left"/>
        <w:rPr>
          <w:rFonts w:ascii="宋体" w:hAnsi="宋体" w:cs="宋体" w:eastAsia="宋体" w:hint="default"/>
          <w:sz w:val="18"/>
          <w:szCs w:val="18"/>
        </w:rPr>
      </w:pPr>
      <w:r>
        <w:rPr>
          <w:rFonts w:ascii="宋体" w:hAnsi="宋体" w:cs="宋体" w:eastAsia="宋体" w:hint="default"/>
          <w:b/>
          <w:bCs/>
          <w:sz w:val="18"/>
          <w:szCs w:val="18"/>
        </w:rPr>
        <w:t>公司共募集资金</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69,328.00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万元，扣除发行费用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46,945,065.67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元，募集资金净额</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646,334,934.33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before="24"/>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期末银行存款中有</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636,182,000.00</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元为三个月或一年期的定期存款。</w:t>
      </w:r>
      <w:r>
        <w:rPr>
          <w:rFonts w:ascii="宋体" w:hAnsi="宋体" w:cs="宋体" w:eastAsia="宋体" w:hint="default"/>
          <w:sz w:val="18"/>
          <w:szCs w:val="18"/>
        </w:rPr>
      </w:r>
    </w:p>
    <w:p>
      <w:pPr>
        <w:spacing w:before="25"/>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期末其他货币资金为银行承兑汇票保证金，在编制现金流量时已将其从期末现金及现金等价物中扣除。</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1994"/>
        <w:gridCol w:w="1765"/>
        <w:gridCol w:w="1863"/>
        <w:gridCol w:w="1396"/>
        <w:gridCol w:w="1789"/>
      </w:tblGrid>
      <w:tr>
        <w:trPr>
          <w:trHeight w:val="282"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4,878,274.20</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1,353,450.83</w:t>
            </w:r>
          </w:p>
        </w:tc>
      </w:tr>
      <w:tr>
        <w:trPr>
          <w:trHeight w:val="396"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4,878,274.20</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1,353,450.83</w:t>
            </w:r>
          </w:p>
        </w:tc>
      </w:tr>
    </w:tbl>
    <w:p>
      <w:pPr>
        <w:spacing w:line="240" w:lineRule="auto" w:before="2"/>
        <w:rPr>
          <w:rFonts w:ascii="宋体" w:hAnsi="宋体" w:cs="宋体" w:eastAsia="宋体" w:hint="default"/>
          <w:b/>
          <w:bCs/>
          <w:sz w:val="16"/>
          <w:szCs w:val="16"/>
        </w:rPr>
      </w:pPr>
    </w:p>
    <w:p>
      <w:pPr>
        <w:spacing w:before="44"/>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应收票据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1994"/>
        <w:gridCol w:w="1765"/>
        <w:gridCol w:w="1863"/>
        <w:gridCol w:w="1396"/>
        <w:gridCol w:w="1789"/>
      </w:tblGrid>
      <w:tr>
        <w:trPr>
          <w:trHeight w:val="284"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74"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29,405,693.80</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3,219,102.50</w:t>
            </w:r>
          </w:p>
        </w:tc>
      </w:tr>
      <w:tr>
        <w:trPr>
          <w:trHeight w:val="373"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2"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76"/>
              <w:ind w:left="36" w:right="0"/>
              <w:jc w:val="left"/>
              <w:rPr>
                <w:rFonts w:ascii="Times New Roman" w:hAnsi="Times New Roman" w:cs="Times New Roman" w:eastAsia="Times New Roman" w:hint="default"/>
                <w:sz w:val="18"/>
                <w:szCs w:val="18"/>
              </w:rPr>
            </w:pPr>
            <w:r>
              <w:rPr>
                <w:rFonts w:ascii="Times New Roman"/>
                <w:sz w:val="18"/>
              </w:rPr>
              <w:t>29,405,693.80</w:t>
            </w:r>
          </w:p>
        </w:tc>
        <w:tc>
          <w:tcPr>
            <w:tcW w:w="1396" w:type="dxa"/>
            <w:tcBorders>
              <w:top w:val="nil" w:sz="6" w:space="0" w:color="auto"/>
              <w:left w:val="nil" w:sz="6" w:space="0" w:color="auto"/>
              <w:bottom w:val="nil" w:sz="6" w:space="0" w:color="auto"/>
              <w:right w:val="nil" w:sz="6" w:space="0" w:color="auto"/>
            </w:tcBorders>
          </w:tcPr>
          <w:p>
            <w:pPr/>
          </w:p>
        </w:tc>
        <w:tc>
          <w:tcPr>
            <w:tcW w:w="1789" w:type="dxa"/>
            <w:tcBorders>
              <w:top w:val="single" w:sz="4" w:space="0" w:color="000000"/>
              <w:left w:val="nil" w:sz="6" w:space="0" w:color="auto"/>
              <w:bottom w:val="single" w:sz="17" w:space="0" w:color="000000"/>
              <w:right w:val="nil" w:sz="6" w:space="0" w:color="auto"/>
            </w:tcBorders>
          </w:tcPr>
          <w:p>
            <w:pPr>
              <w:pStyle w:val="TableParagraph"/>
              <w:spacing w:line="240" w:lineRule="auto" w:before="76"/>
              <w:ind w:left="32" w:right="0"/>
              <w:jc w:val="left"/>
              <w:rPr>
                <w:rFonts w:ascii="Times New Roman" w:hAnsi="Times New Roman" w:cs="Times New Roman" w:eastAsia="Times New Roman" w:hint="default"/>
                <w:sz w:val="18"/>
                <w:szCs w:val="18"/>
              </w:rPr>
            </w:pPr>
            <w:r>
              <w:rPr>
                <w:rFonts w:ascii="Times New Roman"/>
                <w:sz w:val="18"/>
              </w:rPr>
              <w:t>3,219,102.50</w:t>
            </w:r>
          </w:p>
        </w:tc>
      </w:tr>
    </w:tbl>
    <w:p>
      <w:pPr>
        <w:spacing w:line="240" w:lineRule="auto" w:before="12"/>
        <w:rPr>
          <w:rFonts w:ascii="宋体" w:hAnsi="宋体" w:cs="宋体" w:eastAsia="宋体" w:hint="default"/>
          <w:b/>
          <w:bCs/>
          <w:sz w:val="15"/>
          <w:szCs w:val="15"/>
        </w:rPr>
      </w:pPr>
    </w:p>
    <w:p>
      <w:pPr>
        <w:spacing w:before="44"/>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应收票据期末数中无持本公司</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）表决权的股东单位票据。</w:t>
      </w:r>
      <w:r>
        <w:rPr>
          <w:rFonts w:ascii="宋体" w:hAnsi="宋体" w:cs="宋体" w:eastAsia="宋体" w:hint="default"/>
          <w:sz w:val="18"/>
          <w:szCs w:val="18"/>
        </w:rPr>
      </w:r>
    </w:p>
    <w:p>
      <w:pPr>
        <w:spacing w:before="24"/>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期末无质押的应收票据。</w:t>
      </w:r>
      <w:r>
        <w:rPr>
          <w:rFonts w:ascii="宋体" w:hAnsi="宋体" w:cs="宋体" w:eastAsia="宋体" w:hint="default"/>
          <w:sz w:val="18"/>
          <w:szCs w:val="18"/>
        </w:rPr>
      </w:r>
    </w:p>
    <w:p>
      <w:pPr>
        <w:spacing w:before="24"/>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本期无因出票人无力履约而将票据转为应收账款的票据，以及已经背书给他方但尚未到期的票据。</w:t>
      </w:r>
      <w:r>
        <w:rPr>
          <w:rFonts w:ascii="宋体" w:hAnsi="宋体" w:cs="宋体" w:eastAsia="宋体" w:hint="default"/>
          <w:sz w:val="18"/>
          <w:szCs w:val="18"/>
        </w:rPr>
      </w:r>
    </w:p>
    <w:p>
      <w:pPr>
        <w:spacing w:line="232" w:lineRule="exact" w:before="51"/>
        <w:ind w:left="142" w:right="33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．应收票据期末数比期初数增加</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26,186,591.30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元，增幅为</w:t>
      </w:r>
      <w:r>
        <w:rPr>
          <w:rFonts w:ascii="宋体" w:hAnsi="宋体" w:cs="宋体" w:eastAsia="宋体" w:hint="default"/>
          <w:b/>
          <w:bCs/>
          <w:spacing w:val="-52"/>
          <w:sz w:val="18"/>
          <w:szCs w:val="18"/>
        </w:rPr>
        <w:t> </w:t>
      </w:r>
      <w:r>
        <w:rPr>
          <w:rFonts w:ascii="Times New Roman" w:hAnsi="Times New Roman" w:cs="Times New Roman" w:eastAsia="Times New Roman" w:hint="default"/>
          <w:b/>
          <w:bCs/>
          <w:sz w:val="18"/>
          <w:szCs w:val="18"/>
        </w:rPr>
        <w:t>813.47%</w:t>
      </w:r>
      <w:r>
        <w:rPr>
          <w:rFonts w:ascii="宋体" w:hAnsi="宋体" w:cs="宋体" w:eastAsia="宋体" w:hint="default"/>
          <w:b/>
          <w:bCs/>
          <w:sz w:val="18"/>
          <w:szCs w:val="18"/>
        </w:rPr>
        <w:t>，增加原因主要为本期与银联商务有限公</w:t>
      </w:r>
      <w:r>
        <w:rPr>
          <w:rFonts w:ascii="宋体" w:hAnsi="宋体" w:cs="宋体" w:eastAsia="宋体" w:hint="default"/>
          <w:b/>
          <w:bCs/>
          <w:w w:val="99"/>
          <w:sz w:val="18"/>
          <w:szCs w:val="18"/>
        </w:rPr>
        <w:t> </w:t>
      </w:r>
      <w:r>
        <w:rPr>
          <w:rFonts w:ascii="宋体" w:hAnsi="宋体" w:cs="宋体" w:eastAsia="宋体" w:hint="default"/>
          <w:b/>
          <w:bCs/>
          <w:sz w:val="18"/>
          <w:szCs w:val="18"/>
        </w:rPr>
        <w:t>司以票据方式结算的货款增加。</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before="0"/>
        <w:ind w:left="142" w:right="2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应收利息</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1680"/>
        <w:gridCol w:w="204"/>
        <w:gridCol w:w="1582"/>
        <w:gridCol w:w="209"/>
        <w:gridCol w:w="1680"/>
        <w:gridCol w:w="211"/>
        <w:gridCol w:w="1503"/>
        <w:gridCol w:w="211"/>
        <w:gridCol w:w="1574"/>
      </w:tblGrid>
      <w:tr>
        <w:trPr>
          <w:trHeight w:val="296"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97"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1" w:right="0"/>
              <w:jc w:val="left"/>
              <w:rPr>
                <w:rFonts w:ascii="Times New Roman" w:hAnsi="Times New Roman" w:cs="Times New Roman" w:eastAsia="Times New Roman" w:hint="default"/>
                <w:sz w:val="18"/>
                <w:szCs w:val="18"/>
              </w:rPr>
            </w:pPr>
            <w:r>
              <w:rPr>
                <w:rFonts w:ascii="Times New Roman"/>
                <w:sz w:val="18"/>
              </w:rPr>
              <w:t>2,601,026.47</w:t>
            </w:r>
          </w:p>
        </w:tc>
        <w:tc>
          <w:tcPr>
            <w:tcW w:w="211"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211"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2,601,026.47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1240"/>
        </w:sectPr>
      </w:pPr>
    </w:p>
    <w:p>
      <w:pPr>
        <w:spacing w:line="240" w:lineRule="auto" w:before="11"/>
        <w:rPr>
          <w:rFonts w:ascii="宋体" w:hAnsi="宋体" w:cs="宋体" w:eastAsia="宋体" w:hint="default"/>
          <w:b/>
          <w:bCs/>
          <w:sz w:val="2"/>
          <w:szCs w:val="2"/>
        </w:rPr>
      </w:pPr>
    </w:p>
    <w:tbl>
      <w:tblPr>
        <w:tblW w:w="0" w:type="auto"/>
        <w:jc w:val="left"/>
        <w:tblInd w:w="1153" w:type="dxa"/>
        <w:tblLayout w:type="fixed"/>
        <w:tblCellMar>
          <w:top w:w="0" w:type="dxa"/>
          <w:left w:w="0" w:type="dxa"/>
          <w:bottom w:w="0" w:type="dxa"/>
          <w:right w:w="0" w:type="dxa"/>
        </w:tblCellMar>
        <w:tblLook w:val="01E0"/>
      </w:tblPr>
      <w:tblGrid>
        <w:gridCol w:w="1898"/>
        <w:gridCol w:w="1596"/>
        <w:gridCol w:w="195"/>
        <w:gridCol w:w="1695"/>
        <w:gridCol w:w="197"/>
        <w:gridCol w:w="1517"/>
        <w:gridCol w:w="197"/>
        <w:gridCol w:w="1380"/>
      </w:tblGrid>
      <w:tr>
        <w:trPr>
          <w:trHeight w:val="458" w:hRule="exact"/>
        </w:trPr>
        <w:tc>
          <w:tcPr>
            <w:tcW w:w="1898"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4738" cy="9144"/>
                  <wp:effectExtent l="0" t="0" r="0" b="0"/>
                  <wp:docPr id="11" name="image16.png" descr=""/>
                  <wp:cNvGraphicFramePr>
                    <a:graphicFrameLocks noChangeAspect="1"/>
                  </wp:cNvGraphicFramePr>
                  <a:graphic>
                    <a:graphicData uri="http://schemas.openxmlformats.org/drawingml/2006/picture">
                      <pic:pic>
                        <pic:nvPicPr>
                          <pic:cNvPr id="12" name="image16.png"/>
                          <pic:cNvPicPr/>
                        </pic:nvPicPr>
                        <pic:blipFill>
                          <a:blip r:embed="rId61" cstate="print"/>
                          <a:stretch>
                            <a:fillRect/>
                          </a:stretch>
                        </pic:blipFill>
                        <pic:spPr>
                          <a:xfrm>
                            <a:off x="0" y="0"/>
                            <a:ext cx="100473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w:t>
            </w:r>
          </w:p>
        </w:tc>
        <w:tc>
          <w:tcPr>
            <w:tcW w:w="195" w:type="dxa"/>
            <w:tcBorders>
              <w:top w:val="single" w:sz="6" w:space="0" w:color="000000"/>
              <w:left w:val="nil" w:sz="6" w:space="0" w:color="auto"/>
              <w:bottom w:val="nil" w:sz="6" w:space="0" w:color="auto"/>
              <w:right w:val="nil" w:sz="6" w:space="0" w:color="auto"/>
            </w:tcBorders>
          </w:tcPr>
          <w:p>
            <w:pPr/>
          </w:p>
        </w:tc>
        <w:tc>
          <w:tcPr>
            <w:tcW w:w="1695"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98" cy="9144"/>
                  <wp:effectExtent l="0" t="0" r="0" b="0"/>
                  <wp:docPr id="13" name="image17.png" descr=""/>
                  <wp:cNvGraphicFramePr>
                    <a:graphicFrameLocks noChangeAspect="1"/>
                  </wp:cNvGraphicFramePr>
                  <a:graphic>
                    <a:graphicData uri="http://schemas.openxmlformats.org/drawingml/2006/picture">
                      <pic:pic>
                        <pic:nvPicPr>
                          <pic:cNvPr id="14" name="image17.png"/>
                          <pic:cNvPicPr/>
                        </pic:nvPicPr>
                        <pic:blipFill>
                          <a:blip r:embed="rId62" cstate="print"/>
                          <a:stretch>
                            <a:fillRect/>
                          </a:stretch>
                        </pic:blipFill>
                        <pic:spPr>
                          <a:xfrm>
                            <a:off x="0" y="0"/>
                            <a:ext cx="106709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2,601,026.47</w:t>
            </w:r>
          </w:p>
        </w:tc>
        <w:tc>
          <w:tcPr>
            <w:tcW w:w="197" w:type="dxa"/>
            <w:tcBorders>
              <w:top w:val="single" w:sz="6" w:space="0" w:color="000000"/>
              <w:left w:val="nil" w:sz="6" w:space="0" w:color="auto"/>
              <w:bottom w:val="nil" w:sz="6" w:space="0" w:color="auto"/>
              <w:right w:val="nil" w:sz="6" w:space="0" w:color="auto"/>
            </w:tcBorders>
          </w:tcPr>
          <w:p>
            <w:pPr/>
          </w:p>
        </w:tc>
        <w:tc>
          <w:tcPr>
            <w:tcW w:w="1517"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4"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4444" cy="9144"/>
                  <wp:effectExtent l="0" t="0" r="0" b="0"/>
                  <wp:docPr id="15" name="image18.png" descr=""/>
                  <wp:cNvGraphicFramePr>
                    <a:graphicFrameLocks noChangeAspect="1"/>
                  </wp:cNvGraphicFramePr>
                  <a:graphic>
                    <a:graphicData uri="http://schemas.openxmlformats.org/drawingml/2006/picture">
                      <pic:pic>
                        <pic:nvPicPr>
                          <pic:cNvPr id="16" name="image18.png"/>
                          <pic:cNvPicPr/>
                        </pic:nvPicPr>
                        <pic:blipFill>
                          <a:blip r:embed="rId63" cstate="print"/>
                          <a:stretch>
                            <a:fillRect/>
                          </a:stretch>
                        </pic:blipFill>
                        <pic:spPr>
                          <a:xfrm>
                            <a:off x="0" y="0"/>
                            <a:ext cx="95444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single" w:sz="6" w:space="0" w:color="000000"/>
              <w:left w:val="nil" w:sz="6" w:space="0" w:color="auto"/>
              <w:bottom w:val="nil" w:sz="6" w:space="0" w:color="auto"/>
              <w:right w:val="nil" w:sz="6" w:space="0" w:color="auto"/>
            </w:tcBorders>
          </w:tcPr>
          <w:p>
            <w:pPr/>
          </w:p>
        </w:tc>
        <w:tc>
          <w:tcPr>
            <w:tcW w:w="1380" w:type="dxa"/>
            <w:tcBorders>
              <w:top w:val="single" w:sz="6" w:space="0" w:color="000000"/>
              <w:left w:val="nil" w:sz="6" w:space="0" w:color="auto"/>
              <w:bottom w:val="nil" w:sz="6" w:space="0" w:color="auto"/>
              <w:right w:val="nil" w:sz="6" w:space="0" w:color="auto"/>
            </w:tcBorders>
          </w:tcPr>
          <w:p>
            <w:pPr>
              <w:pStyle w:val="TableParagraph"/>
              <w:spacing w:line="240" w:lineRule="auto" w:before="120"/>
              <w:ind w:left="43" w:right="0"/>
              <w:jc w:val="left"/>
              <w:rPr>
                <w:rFonts w:ascii="Times New Roman" w:hAnsi="Times New Roman" w:cs="Times New Roman" w:eastAsia="Times New Roman" w:hint="default"/>
                <w:sz w:val="18"/>
                <w:szCs w:val="18"/>
              </w:rPr>
            </w:pPr>
            <w:r>
              <w:rPr>
                <w:rFonts w:ascii="Times New Roman"/>
                <w:sz w:val="18"/>
              </w:rPr>
              <w:t>2,601,026.47</w:t>
            </w:r>
          </w:p>
        </w:tc>
      </w:tr>
    </w:tbl>
    <w:p>
      <w:pPr>
        <w:spacing w:line="240" w:lineRule="auto" w:before="13"/>
        <w:rPr>
          <w:rFonts w:ascii="宋体" w:hAnsi="宋体" w:cs="宋体" w:eastAsia="宋体" w:hint="default"/>
          <w:b/>
          <w:bCs/>
          <w:sz w:val="15"/>
          <w:szCs w:val="15"/>
        </w:rPr>
      </w:pPr>
    </w:p>
    <w:p>
      <w:pPr>
        <w:spacing w:before="44"/>
        <w:ind w:left="1182" w:right="1174" w:firstLine="0"/>
        <w:jc w:val="left"/>
        <w:rPr>
          <w:rFonts w:ascii="宋体" w:hAnsi="宋体" w:cs="宋体" w:eastAsia="宋体" w:hint="default"/>
          <w:sz w:val="18"/>
          <w:szCs w:val="18"/>
        </w:rPr>
      </w:pPr>
      <w:r>
        <w:rPr/>
        <w:pict>
          <v:shape style="position:absolute;margin-left:449.140015pt;margin-top:-33.388260pt;width:78.7233pt;height:.72pt;mso-position-horizontal-relative:page;mso-position-vertical-relative:paragraph;z-index:-676504" type="#_x0000_t75" stroked="false">
            <v:imagedata r:id="rId64" o:title=""/>
          </v:shape>
        </w:pict>
      </w:r>
      <w:r>
        <w:rPr/>
        <w:pict>
          <v:group style="position:absolute;margin-left:448.059998pt;margin-top:-12.628288pt;width:80.2pt;height:2.2pt;mso-position-horizontal-relative:page;mso-position-vertical-relative:paragraph;z-index:-676480" coordorigin="8961,-253" coordsize="1604,44">
            <v:group style="position:absolute;left:8968;top:-217;width:1589;height:2" coordorigin="8968,-217" coordsize="1589,2">
              <v:shape style="position:absolute;left:8968;top:-217;width:1589;height:2" coordorigin="8968,-217" coordsize="1589,0" path="m8968,-217l10557,-217e" filled="false" stroked="true" strokeweight=".71999pt" strokecolor="#000000">
                <v:path arrowok="t"/>
              </v:shape>
            </v:group>
            <v:group style="position:absolute;left:8968;top:-245;width:1589;height:2" coordorigin="8968,-245" coordsize="1589,2">
              <v:shape style="position:absolute;left:8968;top:-245;width:1589;height:2" coordorigin="8968,-245" coordsize="1589,0" path="m8968,-245l10557,-245e" filled="false" stroked="true" strokeweight=".72pt" strokecolor="#000000">
                <v:path arrowok="t"/>
              </v:shape>
            </v:group>
            <w10:wrap type="none"/>
          </v:group>
        </w:pic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四</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应收账款</w:t>
      </w:r>
      <w:r>
        <w:rPr>
          <w:rFonts w:ascii="宋体" w:hAnsi="宋体" w:cs="宋体" w:eastAsia="宋体" w:hint="default"/>
          <w:sz w:val="18"/>
          <w:szCs w:val="18"/>
        </w:rPr>
      </w:r>
    </w:p>
    <w:p>
      <w:pPr>
        <w:spacing w:line="240" w:lineRule="auto" w:before="5"/>
        <w:rPr>
          <w:rFonts w:ascii="宋体" w:hAnsi="宋体" w:cs="宋体" w:eastAsia="宋体" w:hint="default"/>
          <w:b/>
          <w:bCs/>
          <w:sz w:val="17"/>
          <w:szCs w:val="17"/>
        </w:rPr>
      </w:pPr>
    </w:p>
    <w:p>
      <w:pPr>
        <w:spacing w:before="44"/>
        <w:ind w:left="1182" w:right="11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．应收账款按种类披露</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129"/>
        <w:gridCol w:w="142"/>
        <w:gridCol w:w="1277"/>
        <w:gridCol w:w="132"/>
        <w:gridCol w:w="718"/>
        <w:gridCol w:w="134"/>
        <w:gridCol w:w="1284"/>
        <w:gridCol w:w="132"/>
        <w:gridCol w:w="602"/>
        <w:gridCol w:w="106"/>
        <w:gridCol w:w="1313"/>
        <w:gridCol w:w="118"/>
        <w:gridCol w:w="564"/>
        <w:gridCol w:w="1274"/>
        <w:gridCol w:w="134"/>
        <w:gridCol w:w="718"/>
      </w:tblGrid>
      <w:tr>
        <w:trPr>
          <w:trHeight w:val="282" w:hRule="exact"/>
        </w:trPr>
        <w:tc>
          <w:tcPr>
            <w:tcW w:w="21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 w:type="dxa"/>
            <w:tcBorders>
              <w:top w:val="nil" w:sz="6" w:space="0" w:color="auto"/>
              <w:left w:val="nil" w:sz="6" w:space="0" w:color="auto"/>
              <w:bottom w:val="single" w:sz="4" w:space="0" w:color="000000"/>
              <w:right w:val="nil" w:sz="6" w:space="0" w:color="auto"/>
            </w:tcBorders>
          </w:tcPr>
          <w:p>
            <w:pPr/>
          </w:p>
        </w:tc>
        <w:tc>
          <w:tcPr>
            <w:tcW w:w="71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single" w:sz="4" w:space="0" w:color="000000"/>
              <w:right w:val="nil" w:sz="6" w:space="0" w:color="auto"/>
            </w:tcBorders>
          </w:tcPr>
          <w:p>
            <w:pPr/>
          </w:p>
        </w:tc>
        <w:tc>
          <w:tcPr>
            <w:tcW w:w="602"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8" w:type="dxa"/>
            <w:tcBorders>
              <w:top w:val="nil" w:sz="6" w:space="0" w:color="auto"/>
              <w:left w:val="nil" w:sz="6" w:space="0" w:color="auto"/>
              <w:bottom w:val="single" w:sz="4" w:space="0" w:color="000000"/>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718" w:type="dxa"/>
            <w:tcBorders>
              <w:top w:val="nil" w:sz="6" w:space="0" w:color="auto"/>
              <w:left w:val="nil" w:sz="6" w:space="0" w:color="auto"/>
              <w:bottom w:val="single" w:sz="4" w:space="0" w:color="000000"/>
              <w:right w:val="nil" w:sz="6" w:space="0" w:color="auto"/>
            </w:tcBorders>
          </w:tcPr>
          <w:p>
            <w:pPr/>
          </w:p>
        </w:tc>
      </w:tr>
      <w:tr>
        <w:trPr>
          <w:trHeight w:val="379" w:hRule="exact"/>
        </w:trPr>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3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 w:type="dxa"/>
            <w:tcBorders>
              <w:top w:val="single" w:sz="4" w:space="0" w:color="000000"/>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 w:type="dxa"/>
            <w:tcBorders>
              <w:top w:val="single" w:sz="4" w:space="0" w:color="000000"/>
              <w:left w:val="nil" w:sz="6" w:space="0" w:color="auto"/>
              <w:bottom w:val="nil" w:sz="6" w:space="0" w:color="auto"/>
              <w:right w:val="nil" w:sz="6" w:space="0" w:color="auto"/>
            </w:tcBorders>
          </w:tcPr>
          <w:p>
            <w:pPr/>
          </w:p>
        </w:tc>
        <w:tc>
          <w:tcPr>
            <w:tcW w:w="60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8" w:type="dxa"/>
            <w:tcBorders>
              <w:top w:val="single" w:sz="4" w:space="0" w:color="000000"/>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 w:type="dxa"/>
            <w:tcBorders>
              <w:top w:val="single" w:sz="4" w:space="0" w:color="000000"/>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49" w:hRule="exact"/>
        </w:trPr>
        <w:tc>
          <w:tcPr>
            <w:tcW w:w="2129"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31" w:right="29"/>
              <w:jc w:val="left"/>
              <w:rPr>
                <w:rFonts w:ascii="宋体" w:hAnsi="宋体" w:cs="宋体" w:eastAsia="宋体" w:hint="default"/>
                <w:sz w:val="18"/>
                <w:szCs w:val="18"/>
              </w:rPr>
            </w:pPr>
            <w:r>
              <w:rPr>
                <w:rFonts w:ascii="宋体" w:hAnsi="宋体" w:cs="宋体" w:eastAsia="宋体" w:hint="default"/>
                <w:spacing w:val="7"/>
                <w:sz w:val="18"/>
                <w:szCs w:val="18"/>
              </w:rPr>
              <w:t>一、单项金额重大并单项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计提坏账准备的应收账款</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32" w:type="dxa"/>
            <w:tcBorders>
              <w:top w:val="nil" w:sz="6" w:space="0" w:color="auto"/>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w:t>
            </w:r>
          </w:p>
        </w:tc>
        <w:tc>
          <w:tcPr>
            <w:tcW w:w="134"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tc>
        <w:tc>
          <w:tcPr>
            <w:tcW w:w="132" w:type="dxa"/>
            <w:tcBorders>
              <w:top w:val="nil" w:sz="6" w:space="0" w:color="auto"/>
              <w:left w:val="nil" w:sz="6" w:space="0" w:color="auto"/>
              <w:bottom w:val="nil" w:sz="6" w:space="0" w:color="auto"/>
              <w:right w:val="nil" w:sz="6" w:space="0" w:color="auto"/>
            </w:tcBorders>
          </w:tcPr>
          <w:p>
            <w:pPr/>
          </w:p>
        </w:tc>
        <w:tc>
          <w:tcPr>
            <w:tcW w:w="6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w:t>
            </w:r>
          </w:p>
        </w:tc>
        <w:tc>
          <w:tcPr>
            <w:tcW w:w="134" w:type="dxa"/>
            <w:tcBorders>
              <w:top w:val="nil" w:sz="6" w:space="0" w:color="auto"/>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w:t>
            </w:r>
          </w:p>
        </w:tc>
      </w:tr>
      <w:tr>
        <w:trPr>
          <w:trHeight w:val="548"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31" w:right="29"/>
              <w:jc w:val="left"/>
              <w:rPr>
                <w:rFonts w:ascii="宋体" w:hAnsi="宋体" w:cs="宋体" w:eastAsia="宋体" w:hint="default"/>
                <w:sz w:val="18"/>
                <w:szCs w:val="18"/>
              </w:rPr>
            </w:pPr>
            <w:r>
              <w:rPr>
                <w:rFonts w:ascii="宋体" w:hAnsi="宋体" w:cs="宋体" w:eastAsia="宋体" w:hint="default"/>
                <w:spacing w:val="7"/>
                <w:sz w:val="18"/>
                <w:szCs w:val="18"/>
              </w:rPr>
              <w:t>二、按账龄组合计提坏账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准备的应收账款</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74,493,191.89</w:t>
            </w:r>
          </w:p>
        </w:tc>
        <w:tc>
          <w:tcPr>
            <w:tcW w:w="132"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100%</w:t>
            </w:r>
          </w:p>
        </w:tc>
        <w:tc>
          <w:tcPr>
            <w:tcW w:w="13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3,967,922.39</w:t>
            </w:r>
          </w:p>
        </w:tc>
        <w:tc>
          <w:tcPr>
            <w:tcW w:w="132"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5.33%</w:t>
            </w:r>
          </w:p>
        </w:tc>
        <w:tc>
          <w:tcPr>
            <w:tcW w:w="10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31,985,201.09</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1,755,318.18</w:t>
            </w:r>
          </w:p>
        </w:tc>
        <w:tc>
          <w:tcPr>
            <w:tcW w:w="13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5.49%</w:t>
            </w:r>
          </w:p>
        </w:tc>
      </w:tr>
      <w:tr>
        <w:trPr>
          <w:trHeight w:val="80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37" w:lineRule="auto" w:before="14"/>
              <w:ind w:left="31" w:right="29"/>
              <w:jc w:val="both"/>
              <w:rPr>
                <w:rFonts w:ascii="宋体" w:hAnsi="宋体" w:cs="宋体" w:eastAsia="宋体" w:hint="default"/>
                <w:sz w:val="18"/>
                <w:szCs w:val="18"/>
              </w:rPr>
            </w:pPr>
            <w:r>
              <w:rPr>
                <w:rFonts w:ascii="宋体" w:hAnsi="宋体" w:cs="宋体" w:eastAsia="宋体" w:hint="default"/>
                <w:spacing w:val="7"/>
                <w:sz w:val="18"/>
                <w:szCs w:val="18"/>
              </w:rPr>
              <w:t>三、单项金额虽不重大但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单项计提坏账准备的应收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账款</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32"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w:t>
            </w:r>
          </w:p>
        </w:tc>
        <w:tc>
          <w:tcPr>
            <w:tcW w:w="13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0987" cy="9144"/>
                  <wp:effectExtent l="0" t="0" r="0" b="0"/>
                  <wp:docPr id="17" name="image20.png" descr=""/>
                  <wp:cNvGraphicFramePr>
                    <a:graphicFrameLocks noChangeAspect="1"/>
                  </wp:cNvGraphicFramePr>
                  <a:graphic>
                    <a:graphicData uri="http://schemas.openxmlformats.org/drawingml/2006/picture">
                      <pic:pic>
                        <pic:nvPicPr>
                          <pic:cNvPr id="18" name="image20.png"/>
                          <pic:cNvPicPr/>
                        </pic:nvPicPr>
                        <pic:blipFill>
                          <a:blip r:embed="rId65" cstate="print"/>
                          <a:stretch>
                            <a:fillRect/>
                          </a:stretch>
                        </pic:blipFill>
                        <pic:spPr>
                          <a:xfrm>
                            <a:off x="0" y="0"/>
                            <a:ext cx="810987" cy="9144"/>
                          </a:xfrm>
                          <a:prstGeom prst="rect">
                            <a:avLst/>
                          </a:prstGeom>
                        </pic:spPr>
                      </pic:pic>
                    </a:graphicData>
                  </a:graphic>
                </wp:inline>
              </w:drawing>
            </w:r>
            <w:r>
              <w:rPr>
                <w:rFonts w:ascii="宋体" w:hAnsi="宋体" w:cs="宋体" w:eastAsia="宋体" w:hint="default"/>
                <w:sz w:val="2"/>
                <w:szCs w:val="2"/>
              </w:rPr>
            </w:r>
          </w:p>
        </w:tc>
        <w:tc>
          <w:tcPr>
            <w:tcW w:w="132"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77936" cy="9144"/>
                  <wp:effectExtent l="0" t="0" r="0" b="0"/>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66" cstate="print"/>
                          <a:stretch>
                            <a:fillRect/>
                          </a:stretch>
                        </pic:blipFill>
                        <pic:spPr>
                          <a:xfrm>
                            <a:off x="0" y="0"/>
                            <a:ext cx="377936" cy="9144"/>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33593" cy="9144"/>
                  <wp:effectExtent l="0" t="0" r="0" b="0"/>
                  <wp:docPr id="21" name="image22.png" descr=""/>
                  <wp:cNvGraphicFramePr>
                    <a:graphicFrameLocks noChangeAspect="1"/>
                  </wp:cNvGraphicFramePr>
                  <a:graphic>
                    <a:graphicData uri="http://schemas.openxmlformats.org/drawingml/2006/picture">
                      <pic:pic>
                        <pic:nvPicPr>
                          <pic:cNvPr id="22" name="image22.png"/>
                          <pic:cNvPicPr/>
                        </pic:nvPicPr>
                        <pic:blipFill>
                          <a:blip r:embed="rId67" cstate="print"/>
                          <a:stretch>
                            <a:fillRect/>
                          </a:stretch>
                        </pic:blipFill>
                        <pic:spPr>
                          <a:xfrm>
                            <a:off x="0" y="0"/>
                            <a:ext cx="833593" cy="9144"/>
                          </a:xfrm>
                          <a:prstGeom prst="rect">
                            <a:avLst/>
                          </a:prstGeom>
                        </pic:spPr>
                      </pic:pic>
                    </a:graphicData>
                  </a:graphic>
                </wp:inline>
              </w:drawing>
            </w:r>
            <w:r>
              <w:rPr>
                <w:rFonts w:ascii="宋体" w:hAnsi="宋体" w:cs="宋体" w:eastAsia="宋体" w:hint="default"/>
                <w:sz w:val="2"/>
                <w:szCs w:val="2"/>
              </w:rPr>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8125" cy="9144"/>
                  <wp:effectExtent l="0" t="0" r="0" b="0"/>
                  <wp:docPr id="23" name="image23.png" descr=""/>
                  <wp:cNvGraphicFramePr>
                    <a:graphicFrameLocks noChangeAspect="1"/>
                  </wp:cNvGraphicFramePr>
                  <a:graphic>
                    <a:graphicData uri="http://schemas.openxmlformats.org/drawingml/2006/picture">
                      <pic:pic>
                        <pic:nvPicPr>
                          <pic:cNvPr id="24" name="image23.png"/>
                          <pic:cNvPicPr/>
                        </pic:nvPicPr>
                        <pic:blipFill>
                          <a:blip r:embed="rId68" cstate="print"/>
                          <a:stretch>
                            <a:fillRect/>
                          </a:stretch>
                        </pic:blipFill>
                        <pic:spPr>
                          <a:xfrm>
                            <a:off x="0" y="0"/>
                            <a:ext cx="358125" cy="9144"/>
                          </a:xfrm>
                          <a:prstGeom prst="rect">
                            <a:avLst/>
                          </a:prstGeom>
                        </pic:spPr>
                      </pic:pic>
                    </a:graphicData>
                  </a:graphic>
                </wp:inline>
              </w:drawing>
            </w:r>
            <w:r>
              <w:rPr>
                <w:rFonts w:ascii="宋体" w:hAnsi="宋体" w:cs="宋体" w:eastAsia="宋体" w:hint="default"/>
                <w:sz w:val="2"/>
                <w:szCs w:val="2"/>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8919" cy="9144"/>
                  <wp:effectExtent l="0" t="0" r="0" b="0"/>
                  <wp:docPr id="25" name="image24.png" descr=""/>
                  <wp:cNvGraphicFramePr>
                    <a:graphicFrameLocks noChangeAspect="1"/>
                  </wp:cNvGraphicFramePr>
                  <a:graphic>
                    <a:graphicData uri="http://schemas.openxmlformats.org/drawingml/2006/picture">
                      <pic:pic>
                        <pic:nvPicPr>
                          <pic:cNvPr id="26" name="image24.png"/>
                          <pic:cNvPicPr/>
                        </pic:nvPicPr>
                        <pic:blipFill>
                          <a:blip r:embed="rId69" cstate="print"/>
                          <a:stretch>
                            <a:fillRect/>
                          </a:stretch>
                        </pic:blipFill>
                        <pic:spPr>
                          <a:xfrm>
                            <a:off x="0" y="0"/>
                            <a:ext cx="758919" cy="9144"/>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51339" cy="9144"/>
                  <wp:effectExtent l="0" t="0" r="0" b="0"/>
                  <wp:docPr id="27" name="image25.png" descr=""/>
                  <wp:cNvGraphicFramePr>
                    <a:graphicFrameLocks noChangeAspect="1"/>
                  </wp:cNvGraphicFramePr>
                  <a:graphic>
                    <a:graphicData uri="http://schemas.openxmlformats.org/drawingml/2006/picture">
                      <pic:pic>
                        <pic:nvPicPr>
                          <pic:cNvPr id="28" name="image25.png"/>
                          <pic:cNvPicPr/>
                        </pic:nvPicPr>
                        <pic:blipFill>
                          <a:blip r:embed="rId70" cstate="print"/>
                          <a:stretch>
                            <a:fillRect/>
                          </a:stretch>
                        </pic:blipFill>
                        <pic:spPr>
                          <a:xfrm>
                            <a:off x="0" y="0"/>
                            <a:ext cx="451339" cy="9144"/>
                          </a:xfrm>
                          <a:prstGeom prst="rect">
                            <a:avLst/>
                          </a:prstGeom>
                        </pic:spPr>
                      </pic:pic>
                    </a:graphicData>
                  </a:graphic>
                </wp:inline>
              </w:drawing>
            </w:r>
            <w:r>
              <w:rPr>
                <w:rFonts w:ascii="宋体" w:hAnsi="宋体" w:cs="宋体" w:eastAsia="宋体" w:hint="default"/>
                <w:sz w:val="2"/>
                <w:szCs w:val="2"/>
              </w:rPr>
            </w:r>
          </w:p>
        </w:tc>
      </w:tr>
      <w:tr>
        <w:trPr>
          <w:trHeight w:val="39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1115" cy="9144"/>
                  <wp:effectExtent l="0" t="0" r="0" b="0"/>
                  <wp:docPr id="29" name="image26.png" descr=""/>
                  <wp:cNvGraphicFramePr>
                    <a:graphicFrameLocks noChangeAspect="1"/>
                  </wp:cNvGraphicFramePr>
                  <a:graphic>
                    <a:graphicData uri="http://schemas.openxmlformats.org/drawingml/2006/picture">
                      <pic:pic>
                        <pic:nvPicPr>
                          <pic:cNvPr id="30" name="image26.png"/>
                          <pic:cNvPicPr/>
                        </pic:nvPicPr>
                        <pic:blipFill>
                          <a:blip r:embed="rId71" cstate="print"/>
                          <a:stretch>
                            <a:fillRect/>
                          </a:stretch>
                        </pic:blipFill>
                        <pic:spPr>
                          <a:xfrm>
                            <a:off x="0" y="0"/>
                            <a:ext cx="81111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74,493,191.89</w:t>
            </w:r>
          </w:p>
        </w:tc>
        <w:tc>
          <w:tcPr>
            <w:tcW w:w="132"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51085" cy="9144"/>
                  <wp:effectExtent l="0" t="0" r="0" b="0"/>
                  <wp:docPr id="31" name="image27.png" descr=""/>
                  <wp:cNvGraphicFramePr>
                    <a:graphicFrameLocks noChangeAspect="1"/>
                  </wp:cNvGraphicFramePr>
                  <a:graphic>
                    <a:graphicData uri="http://schemas.openxmlformats.org/drawingml/2006/picture">
                      <pic:pic>
                        <pic:nvPicPr>
                          <pic:cNvPr id="32" name="image27.png"/>
                          <pic:cNvPicPr/>
                        </pic:nvPicPr>
                        <pic:blipFill>
                          <a:blip r:embed="rId72" cstate="print"/>
                          <a:stretch>
                            <a:fillRect/>
                          </a:stretch>
                        </pic:blipFill>
                        <pic:spPr>
                          <a:xfrm>
                            <a:off x="0" y="0"/>
                            <a:ext cx="4510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38" w:right="0"/>
              <w:jc w:val="left"/>
              <w:rPr>
                <w:rFonts w:ascii="Times New Roman" w:hAnsi="Times New Roman" w:cs="Times New Roman" w:eastAsia="Times New Roman" w:hint="default"/>
                <w:sz w:val="18"/>
                <w:szCs w:val="18"/>
              </w:rPr>
            </w:pPr>
            <w:r>
              <w:rPr>
                <w:rFonts w:ascii="Times New Roman"/>
                <w:sz w:val="18"/>
              </w:rPr>
              <w:t>100%</w:t>
            </w:r>
          </w:p>
        </w:tc>
        <w:tc>
          <w:tcPr>
            <w:tcW w:w="13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left="36" w:right="0"/>
              <w:jc w:val="left"/>
              <w:rPr>
                <w:rFonts w:ascii="Times New Roman" w:hAnsi="Times New Roman" w:cs="Times New Roman" w:eastAsia="Times New Roman" w:hint="default"/>
                <w:sz w:val="18"/>
                <w:szCs w:val="18"/>
              </w:rPr>
            </w:pPr>
            <w:r>
              <w:rPr>
                <w:rFonts w:ascii="Times New Roman"/>
                <w:sz w:val="18"/>
              </w:rPr>
              <w:t>3,967,922.39</w:t>
            </w:r>
          </w:p>
        </w:tc>
        <w:tc>
          <w:tcPr>
            <w:tcW w:w="132"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left="38" w:right="0"/>
              <w:jc w:val="left"/>
              <w:rPr>
                <w:rFonts w:ascii="Times New Roman" w:hAnsi="Times New Roman" w:cs="Times New Roman" w:eastAsia="Times New Roman" w:hint="default"/>
                <w:sz w:val="18"/>
                <w:szCs w:val="18"/>
              </w:rPr>
            </w:pPr>
            <w:r>
              <w:rPr>
                <w:rFonts w:ascii="Times New Roman"/>
                <w:sz w:val="18"/>
              </w:rPr>
              <w:t>5.33%</w:t>
            </w:r>
          </w:p>
        </w:tc>
        <w:tc>
          <w:tcPr>
            <w:tcW w:w="10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left="28" w:right="0"/>
              <w:jc w:val="left"/>
              <w:rPr>
                <w:rFonts w:ascii="Times New Roman" w:hAnsi="Times New Roman" w:cs="Times New Roman" w:eastAsia="Times New Roman" w:hint="default"/>
                <w:sz w:val="18"/>
                <w:szCs w:val="18"/>
              </w:rPr>
            </w:pPr>
            <w:r>
              <w:rPr>
                <w:rFonts w:ascii="Times New Roman"/>
                <w:sz w:val="18"/>
              </w:rPr>
              <w:t>31,985,201.09</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left="28" w:right="0"/>
              <w:jc w:val="left"/>
              <w:rPr>
                <w:rFonts w:ascii="Times New Roman" w:hAnsi="Times New Roman" w:cs="Times New Roman" w:eastAsia="Times New Roman" w:hint="default"/>
                <w:sz w:val="18"/>
                <w:szCs w:val="18"/>
              </w:rPr>
            </w:pPr>
            <w:r>
              <w:rPr>
                <w:rFonts w:ascii="Times New Roman"/>
                <w:sz w:val="18"/>
              </w:rPr>
              <w:t>100%</w:t>
            </w:r>
          </w:p>
        </w:tc>
        <w:tc>
          <w:tcPr>
            <w:tcW w:w="1274"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left="108" w:right="0"/>
              <w:jc w:val="left"/>
              <w:rPr>
                <w:rFonts w:ascii="Times New Roman" w:hAnsi="Times New Roman" w:cs="Times New Roman" w:eastAsia="Times New Roman" w:hint="default"/>
                <w:sz w:val="18"/>
                <w:szCs w:val="18"/>
              </w:rPr>
            </w:pPr>
            <w:r>
              <w:rPr>
                <w:rFonts w:ascii="Times New Roman"/>
                <w:sz w:val="18"/>
              </w:rPr>
              <w:t>1,755,318.18</w:t>
            </w:r>
          </w:p>
        </w:tc>
        <w:tc>
          <w:tcPr>
            <w:tcW w:w="13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18"/>
                <w:szCs w:val="18"/>
              </w:rPr>
            </w:pPr>
            <w:r>
              <w:rPr>
                <w:rFonts w:ascii="Times New Roman"/>
                <w:sz w:val="18"/>
              </w:rPr>
              <w:t>5.49%</w:t>
            </w:r>
          </w:p>
        </w:tc>
      </w:tr>
    </w:tbl>
    <w:p>
      <w:pPr>
        <w:spacing w:line="240" w:lineRule="auto" w:before="12"/>
        <w:rPr>
          <w:rFonts w:ascii="宋体" w:hAnsi="宋体" w:cs="宋体" w:eastAsia="宋体" w:hint="default"/>
          <w:b/>
          <w:bCs/>
          <w:sz w:val="15"/>
          <w:szCs w:val="15"/>
        </w:rPr>
      </w:pPr>
    </w:p>
    <w:p>
      <w:pPr>
        <w:spacing w:before="44"/>
        <w:ind w:left="1182" w:right="11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．应收账款按账龄结构列示如下：</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182" w:type="dxa"/>
        <w:tblLayout w:type="fixed"/>
        <w:tblCellMar>
          <w:top w:w="0" w:type="dxa"/>
          <w:left w:w="0" w:type="dxa"/>
          <w:bottom w:w="0" w:type="dxa"/>
          <w:right w:w="0" w:type="dxa"/>
        </w:tblCellMar>
        <w:tblLook w:val="01E0"/>
      </w:tblPr>
      <w:tblGrid>
        <w:gridCol w:w="1862"/>
        <w:gridCol w:w="1316"/>
        <w:gridCol w:w="106"/>
        <w:gridCol w:w="1070"/>
        <w:gridCol w:w="106"/>
        <w:gridCol w:w="1277"/>
        <w:gridCol w:w="103"/>
        <w:gridCol w:w="1385"/>
        <w:gridCol w:w="106"/>
        <w:gridCol w:w="1049"/>
        <w:gridCol w:w="106"/>
        <w:gridCol w:w="1188"/>
      </w:tblGrid>
      <w:tr>
        <w:trPr>
          <w:trHeight w:val="296" w:hRule="exact"/>
        </w:trPr>
        <w:tc>
          <w:tcPr>
            <w:tcW w:w="1862"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72,871,439.89</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97.82%</w:t>
            </w:r>
          </w:p>
        </w:tc>
        <w:tc>
          <w:tcPr>
            <w:tcW w:w="10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3,643,571.99</w:t>
            </w: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1" w:right="0"/>
              <w:jc w:val="left"/>
              <w:rPr>
                <w:rFonts w:ascii="Times New Roman" w:hAnsi="Times New Roman" w:cs="Times New Roman" w:eastAsia="Times New Roman" w:hint="default"/>
                <w:sz w:val="18"/>
                <w:szCs w:val="18"/>
              </w:rPr>
            </w:pPr>
            <w:r>
              <w:rPr>
                <w:rFonts w:ascii="Times New Roman"/>
                <w:sz w:val="18"/>
              </w:rPr>
              <w:t>30,944,813.59</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96.75%</w:t>
            </w:r>
          </w:p>
        </w:tc>
        <w:tc>
          <w:tcPr>
            <w:tcW w:w="106"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1,547,240.68</w:t>
            </w:r>
          </w:p>
        </w:tc>
      </w:tr>
      <w:tr>
        <w:trPr>
          <w:trHeight w:val="39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 w:right="0"/>
              <w:jc w:val="left"/>
              <w:rPr>
                <w:rFonts w:ascii="Times New Roman" w:hAnsi="Times New Roman" w:cs="Times New Roman" w:eastAsia="Times New Roman" w:hint="default"/>
                <w:sz w:val="18"/>
                <w:szCs w:val="18"/>
              </w:rPr>
            </w:pPr>
            <w:r>
              <w:rPr>
                <w:rFonts w:ascii="Times New Roman"/>
                <w:sz w:val="18"/>
              </w:rPr>
              <w:t>1,621,752.00</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 w:right="0"/>
              <w:jc w:val="left"/>
              <w:rPr>
                <w:rFonts w:ascii="Times New Roman" w:hAnsi="Times New Roman" w:cs="Times New Roman" w:eastAsia="Times New Roman" w:hint="default"/>
                <w:sz w:val="18"/>
                <w:szCs w:val="18"/>
              </w:rPr>
            </w:pPr>
            <w:r>
              <w:rPr>
                <w:rFonts w:ascii="Times New Roman"/>
                <w:sz w:val="18"/>
              </w:rPr>
              <w:t>2.18%</w:t>
            </w:r>
          </w:p>
        </w:tc>
        <w:tc>
          <w:tcPr>
            <w:tcW w:w="10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 w:right="0"/>
              <w:jc w:val="left"/>
              <w:rPr>
                <w:rFonts w:ascii="Times New Roman" w:hAnsi="Times New Roman" w:cs="Times New Roman" w:eastAsia="Times New Roman" w:hint="default"/>
                <w:sz w:val="18"/>
                <w:szCs w:val="18"/>
              </w:rPr>
            </w:pPr>
            <w:r>
              <w:rPr>
                <w:rFonts w:ascii="Times New Roman"/>
                <w:sz w:val="18"/>
              </w:rPr>
              <w:t>324,350.40</w:t>
            </w: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1" w:right="0"/>
              <w:jc w:val="left"/>
              <w:rPr>
                <w:rFonts w:ascii="Times New Roman" w:hAnsi="Times New Roman" w:cs="Times New Roman" w:eastAsia="Times New Roman" w:hint="default"/>
                <w:sz w:val="18"/>
                <w:szCs w:val="18"/>
              </w:rPr>
            </w:pPr>
            <w:r>
              <w:rPr>
                <w:rFonts w:ascii="Times New Roman"/>
                <w:sz w:val="18"/>
              </w:rPr>
              <w:t>1,040,387.50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 w:right="0"/>
              <w:jc w:val="left"/>
              <w:rPr>
                <w:rFonts w:ascii="Times New Roman" w:hAnsi="Times New Roman" w:cs="Times New Roman" w:eastAsia="Times New Roman" w:hint="default"/>
                <w:sz w:val="18"/>
                <w:szCs w:val="18"/>
              </w:rPr>
            </w:pPr>
            <w:r>
              <w:rPr>
                <w:rFonts w:ascii="Times New Roman"/>
                <w:sz w:val="18"/>
              </w:rPr>
              <w:t>3.25%</w:t>
            </w:r>
          </w:p>
        </w:tc>
        <w:tc>
          <w:tcPr>
            <w:tcW w:w="10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 w:right="0"/>
              <w:jc w:val="left"/>
              <w:rPr>
                <w:rFonts w:ascii="Times New Roman" w:hAnsi="Times New Roman" w:cs="Times New Roman" w:eastAsia="Times New Roman" w:hint="default"/>
                <w:sz w:val="18"/>
                <w:szCs w:val="18"/>
              </w:rPr>
            </w:pPr>
            <w:r>
              <w:rPr>
                <w:rFonts w:ascii="Times New Roman"/>
                <w:sz w:val="18"/>
              </w:rPr>
              <w:t>208,077.50</w:t>
            </w:r>
          </w:p>
        </w:tc>
      </w:tr>
      <w:tr>
        <w:trPr>
          <w:trHeight w:val="39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1"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35532" cy="9144"/>
                  <wp:effectExtent l="0" t="0" r="0" b="0"/>
                  <wp:docPr id="33" name="image28.png" descr=""/>
                  <wp:cNvGraphicFramePr>
                    <a:graphicFrameLocks noChangeAspect="1"/>
                  </wp:cNvGraphicFramePr>
                  <a:graphic>
                    <a:graphicData uri="http://schemas.openxmlformats.org/drawingml/2006/picture">
                      <pic:pic>
                        <pic:nvPicPr>
                          <pic:cNvPr id="34" name="image28.png"/>
                          <pic:cNvPicPr/>
                        </pic:nvPicPr>
                        <pic:blipFill>
                          <a:blip r:embed="rId73" cstate="print"/>
                          <a:stretch>
                            <a:fillRect/>
                          </a:stretch>
                        </pic:blipFill>
                        <pic:spPr>
                          <a:xfrm>
                            <a:off x="0" y="0"/>
                            <a:ext cx="8355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74,493,191.89</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9704" cy="9144"/>
                  <wp:effectExtent l="0" t="0" r="0" b="0"/>
                  <wp:docPr id="35" name="image29.png" descr=""/>
                  <wp:cNvGraphicFramePr>
                    <a:graphicFrameLocks noChangeAspect="1"/>
                  </wp:cNvGraphicFramePr>
                  <a:graphic>
                    <a:graphicData uri="http://schemas.openxmlformats.org/drawingml/2006/picture">
                      <pic:pic>
                        <pic:nvPicPr>
                          <pic:cNvPr id="36" name="image29.png"/>
                          <pic:cNvPicPr/>
                        </pic:nvPicPr>
                        <pic:blipFill>
                          <a:blip r:embed="rId74" cstate="print"/>
                          <a:stretch>
                            <a:fillRect/>
                          </a:stretch>
                        </pic:blipFill>
                        <pic:spPr>
                          <a:xfrm>
                            <a:off x="0" y="0"/>
                            <a:ext cx="67970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1022" cy="9144"/>
                  <wp:effectExtent l="0" t="0" r="0" b="0"/>
                  <wp:docPr id="37" name="image30.png" descr=""/>
                  <wp:cNvGraphicFramePr>
                    <a:graphicFrameLocks noChangeAspect="1"/>
                  </wp:cNvGraphicFramePr>
                  <a:graphic>
                    <a:graphicData uri="http://schemas.openxmlformats.org/drawingml/2006/picture">
                      <pic:pic>
                        <pic:nvPicPr>
                          <pic:cNvPr id="38" name="image30.png"/>
                          <pic:cNvPicPr/>
                        </pic:nvPicPr>
                        <pic:blipFill>
                          <a:blip r:embed="rId75" cstate="print"/>
                          <a:stretch>
                            <a:fillRect/>
                          </a:stretch>
                        </pic:blipFill>
                        <pic:spPr>
                          <a:xfrm>
                            <a:off x="0" y="0"/>
                            <a:ext cx="81102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3,967,922.39</w:t>
            </w:r>
          </w:p>
        </w:tc>
        <w:tc>
          <w:tcPr>
            <w:tcW w:w="103"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79728" cy="9144"/>
                  <wp:effectExtent l="0" t="0" r="0" b="0"/>
                  <wp:docPr id="39" name="image31.png" descr=""/>
                  <wp:cNvGraphicFramePr>
                    <a:graphicFrameLocks noChangeAspect="1"/>
                  </wp:cNvGraphicFramePr>
                  <a:graphic>
                    <a:graphicData uri="http://schemas.openxmlformats.org/drawingml/2006/picture">
                      <pic:pic>
                        <pic:nvPicPr>
                          <pic:cNvPr id="40" name="image31.png"/>
                          <pic:cNvPicPr/>
                        </pic:nvPicPr>
                        <pic:blipFill>
                          <a:blip r:embed="rId76" cstate="print"/>
                          <a:stretch>
                            <a:fillRect/>
                          </a:stretch>
                        </pic:blipFill>
                        <pic:spPr>
                          <a:xfrm>
                            <a:off x="0" y="0"/>
                            <a:ext cx="87972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1" w:right="0"/>
              <w:jc w:val="left"/>
              <w:rPr>
                <w:rFonts w:ascii="Times New Roman" w:hAnsi="Times New Roman" w:cs="Times New Roman" w:eastAsia="Times New Roman" w:hint="default"/>
                <w:sz w:val="18"/>
                <w:szCs w:val="18"/>
              </w:rPr>
            </w:pPr>
            <w:r>
              <w:rPr>
                <w:rFonts w:ascii="Times New Roman"/>
                <w:sz w:val="18"/>
              </w:rPr>
              <w:t>31,985,201.09</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5988" cy="9144"/>
                  <wp:effectExtent l="0" t="0" r="0" b="0"/>
                  <wp:docPr id="41" name="image32.png" descr=""/>
                  <wp:cNvGraphicFramePr>
                    <a:graphicFrameLocks noChangeAspect="1"/>
                  </wp:cNvGraphicFramePr>
                  <a:graphic>
                    <a:graphicData uri="http://schemas.openxmlformats.org/drawingml/2006/picture">
                      <pic:pic>
                        <pic:nvPicPr>
                          <pic:cNvPr id="42" name="image32.png"/>
                          <pic:cNvPicPr/>
                        </pic:nvPicPr>
                        <pic:blipFill>
                          <a:blip r:embed="rId77" cstate="print"/>
                          <a:stretch>
                            <a:fillRect/>
                          </a:stretch>
                        </pic:blipFill>
                        <pic:spPr>
                          <a:xfrm>
                            <a:off x="0" y="0"/>
                            <a:ext cx="66598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4633" cy="9144"/>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78" cstate="print"/>
                          <a:stretch>
                            <a:fillRect/>
                          </a:stretch>
                        </pic:blipFill>
                        <pic:spPr>
                          <a:xfrm>
                            <a:off x="0" y="0"/>
                            <a:ext cx="75463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1,755,318.18</w:t>
            </w:r>
          </w:p>
        </w:tc>
      </w:tr>
    </w:tbl>
    <w:p>
      <w:pPr>
        <w:spacing w:line="240" w:lineRule="auto" w:before="2"/>
        <w:rPr>
          <w:rFonts w:ascii="宋体" w:hAnsi="宋体" w:cs="宋体" w:eastAsia="宋体" w:hint="default"/>
          <w:b/>
          <w:bCs/>
          <w:sz w:val="16"/>
          <w:szCs w:val="16"/>
        </w:rPr>
      </w:pPr>
    </w:p>
    <w:p>
      <w:pPr>
        <w:spacing w:before="44"/>
        <w:ind w:left="1182" w:right="11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．应收账款期末数中无持本公司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）表决权的股东单位款项。</w:t>
      </w:r>
      <w:r>
        <w:rPr>
          <w:rFonts w:ascii="宋体" w:hAnsi="宋体" w:cs="宋体" w:eastAsia="宋体" w:hint="default"/>
          <w:sz w:val="18"/>
          <w:szCs w:val="18"/>
        </w:rPr>
      </w:r>
    </w:p>
    <w:p>
      <w:pPr>
        <w:spacing w:before="24"/>
        <w:ind w:left="1182" w:right="11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．应收账款期末数中欠款金额前五名：</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182" w:type="dxa"/>
        <w:tblLayout w:type="fixed"/>
        <w:tblCellMar>
          <w:top w:w="0" w:type="dxa"/>
          <w:left w:w="0" w:type="dxa"/>
          <w:bottom w:w="0" w:type="dxa"/>
          <w:right w:w="0" w:type="dxa"/>
        </w:tblCellMar>
        <w:tblLook w:val="01E0"/>
      </w:tblPr>
      <w:tblGrid>
        <w:gridCol w:w="3305"/>
        <w:gridCol w:w="154"/>
        <w:gridCol w:w="1443"/>
        <w:gridCol w:w="121"/>
        <w:gridCol w:w="1571"/>
        <w:gridCol w:w="1527"/>
        <w:gridCol w:w="132"/>
        <w:gridCol w:w="1392"/>
      </w:tblGrid>
      <w:tr>
        <w:trPr>
          <w:trHeight w:val="527" w:hRule="exact"/>
        </w:trPr>
        <w:tc>
          <w:tcPr>
            <w:tcW w:w="330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40" w:lineRule="auto" w:before="35"/>
              <w:ind w:left="36"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05" w:hRule="exact"/>
        </w:trPr>
        <w:tc>
          <w:tcPr>
            <w:tcW w:w="33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银联商务有限公司（含广银联、深银联）</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2" w:right="0"/>
              <w:jc w:val="left"/>
              <w:rPr>
                <w:rFonts w:ascii="Times New Roman" w:hAnsi="Times New Roman" w:cs="Times New Roman" w:eastAsia="Times New Roman" w:hint="default"/>
                <w:sz w:val="18"/>
                <w:szCs w:val="18"/>
              </w:rPr>
            </w:pPr>
            <w:r>
              <w:rPr>
                <w:rFonts w:ascii="Times New Roman"/>
                <w:sz w:val="18"/>
              </w:rPr>
              <w:t>37,719,469.52</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50.63%</w:t>
            </w:r>
          </w:p>
        </w:tc>
      </w:tr>
      <w:tr>
        <w:trPr>
          <w:trHeight w:val="397"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2" w:right="0"/>
              <w:jc w:val="left"/>
              <w:rPr>
                <w:rFonts w:ascii="Times New Roman" w:hAnsi="Times New Roman" w:cs="Times New Roman" w:eastAsia="Times New Roman" w:hint="default"/>
                <w:sz w:val="18"/>
                <w:szCs w:val="18"/>
              </w:rPr>
            </w:pPr>
            <w:r>
              <w:rPr>
                <w:rFonts w:ascii="Times New Roman"/>
                <w:sz w:val="18"/>
              </w:rPr>
              <w:t>3,103,721.00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4.17%</w:t>
            </w:r>
          </w:p>
        </w:tc>
      </w:tr>
      <w:tr>
        <w:trPr>
          <w:trHeight w:val="397"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2" w:right="0"/>
              <w:jc w:val="left"/>
              <w:rPr>
                <w:rFonts w:ascii="Times New Roman" w:hAnsi="Times New Roman" w:cs="Times New Roman" w:eastAsia="Times New Roman" w:hint="default"/>
                <w:sz w:val="18"/>
                <w:szCs w:val="18"/>
              </w:rPr>
            </w:pPr>
            <w:r>
              <w:rPr>
                <w:rFonts w:ascii="Times New Roman"/>
                <w:sz w:val="18"/>
              </w:rPr>
              <w:t>10,948,350.00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6" w:right="0"/>
              <w:jc w:val="left"/>
              <w:rPr>
                <w:rFonts w:ascii="Times New Roman" w:hAnsi="Times New Roman" w:cs="Times New Roman" w:eastAsia="Times New Roman" w:hint="default"/>
                <w:sz w:val="18"/>
                <w:szCs w:val="18"/>
              </w:rPr>
            </w:pPr>
            <w:r>
              <w:rPr>
                <w:rFonts w:ascii="Times New Roman"/>
                <w:sz w:val="18"/>
              </w:rPr>
              <w:t>14.70%</w:t>
            </w:r>
          </w:p>
        </w:tc>
      </w:tr>
      <w:tr>
        <w:trPr>
          <w:trHeight w:val="396"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安徽省农村信用社联合社</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2" w:right="0"/>
              <w:jc w:val="left"/>
              <w:rPr>
                <w:rFonts w:ascii="Times New Roman" w:hAnsi="Times New Roman" w:cs="Times New Roman" w:eastAsia="Times New Roman" w:hint="default"/>
                <w:sz w:val="18"/>
                <w:szCs w:val="18"/>
              </w:rPr>
            </w:pPr>
            <w:r>
              <w:rPr>
                <w:rFonts w:ascii="Times New Roman"/>
                <w:sz w:val="18"/>
              </w:rPr>
              <w:t>4,127,300.00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5.54%</w:t>
            </w:r>
          </w:p>
        </w:tc>
      </w:tr>
      <w:tr>
        <w:trPr>
          <w:trHeight w:val="399"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吉林省农村信用社联合社</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32" w:right="0"/>
              <w:jc w:val="left"/>
              <w:rPr>
                <w:rFonts w:ascii="Times New Roman" w:hAnsi="Times New Roman" w:cs="Times New Roman" w:eastAsia="Times New Roman" w:hint="default"/>
                <w:sz w:val="18"/>
                <w:szCs w:val="18"/>
              </w:rPr>
            </w:pPr>
            <w:r>
              <w:rPr>
                <w:rFonts w:ascii="Times New Roman"/>
                <w:sz w:val="18"/>
              </w:rPr>
              <w:t>2,582,990.00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3.47%</w:t>
            </w:r>
          </w:p>
        </w:tc>
      </w:tr>
      <w:tr>
        <w:trPr>
          <w:trHeight w:val="420"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58,481,830.52</w:t>
            </w:r>
          </w:p>
        </w:tc>
        <w:tc>
          <w:tcPr>
            <w:tcW w:w="1527"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78.51%</w:t>
            </w:r>
          </w:p>
        </w:tc>
      </w:tr>
    </w:tbl>
    <w:p>
      <w:pPr>
        <w:spacing w:line="240" w:lineRule="auto" w:before="2"/>
        <w:rPr>
          <w:rFonts w:ascii="宋体" w:hAnsi="宋体" w:cs="宋体" w:eastAsia="宋体" w:hint="default"/>
          <w:b/>
          <w:bCs/>
          <w:sz w:val="16"/>
          <w:szCs w:val="16"/>
        </w:rPr>
      </w:pPr>
    </w:p>
    <w:p>
      <w:pPr>
        <w:spacing w:line="230" w:lineRule="exact" w:before="70"/>
        <w:ind w:left="1182" w:right="1174" w:firstLine="0"/>
        <w:jc w:val="left"/>
        <w:rPr>
          <w:rFonts w:ascii="宋体" w:hAnsi="宋体" w:cs="宋体" w:eastAsia="宋体" w:hint="default"/>
          <w:sz w:val="18"/>
          <w:szCs w:val="18"/>
        </w:rPr>
      </w:pP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广州银联网络支付有限公司（简称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广银联</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）、深圳市银联金融网络有限公司（简称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深银联</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）本期变更为银</w:t>
      </w:r>
      <w:r>
        <w:rPr>
          <w:rFonts w:ascii="宋体" w:hAnsi="宋体" w:cs="宋体" w:eastAsia="宋体" w:hint="default"/>
          <w:spacing w:val="-68"/>
          <w:w w:val="100"/>
          <w:sz w:val="18"/>
          <w:szCs w:val="18"/>
        </w:rPr>
        <w:t> </w:t>
      </w:r>
      <w:r>
        <w:rPr>
          <w:rFonts w:ascii="宋体" w:hAnsi="宋体" w:cs="宋体" w:eastAsia="宋体" w:hint="default"/>
          <w:sz w:val="18"/>
          <w:szCs w:val="18"/>
        </w:rPr>
        <w:t>联商务有限公司之子公司。</w:t>
      </w:r>
    </w:p>
    <w:p>
      <w:pPr>
        <w:spacing w:line="240" w:lineRule="auto" w:before="4"/>
        <w:rPr>
          <w:rFonts w:ascii="宋体" w:hAnsi="宋体" w:cs="宋体" w:eastAsia="宋体" w:hint="default"/>
          <w:sz w:val="22"/>
          <w:szCs w:val="22"/>
        </w:rPr>
      </w:pPr>
    </w:p>
    <w:p>
      <w:pPr>
        <w:spacing w:line="232" w:lineRule="exact" w:before="0"/>
        <w:ind w:left="1182" w:right="11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 </w:t>
      </w:r>
      <w:r>
        <w:rPr>
          <w:rFonts w:ascii="宋体" w:hAnsi="宋体" w:cs="宋体" w:eastAsia="宋体" w:hint="default"/>
          <w:b/>
          <w:bCs/>
          <w:sz w:val="18"/>
          <w:szCs w:val="18"/>
        </w:rPr>
        <w:t>应收账款期末数比期初数增加 </w:t>
      </w:r>
      <w:r>
        <w:rPr>
          <w:rFonts w:ascii="Times New Roman" w:hAnsi="Times New Roman" w:cs="Times New Roman" w:eastAsia="Times New Roman" w:hint="default"/>
          <w:b/>
          <w:bCs/>
          <w:sz w:val="18"/>
          <w:szCs w:val="18"/>
        </w:rPr>
        <w:t>42,507,990.80 </w:t>
      </w:r>
      <w:r>
        <w:rPr>
          <w:rFonts w:ascii="宋体" w:hAnsi="宋体" w:cs="宋体" w:eastAsia="宋体" w:hint="default"/>
          <w:b/>
          <w:bCs/>
          <w:sz w:val="18"/>
          <w:szCs w:val="18"/>
        </w:rPr>
        <w:t>元，增幅为</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132.90%</w:t>
      </w:r>
      <w:r>
        <w:rPr>
          <w:rFonts w:ascii="宋体" w:hAnsi="宋体" w:cs="宋体" w:eastAsia="宋体" w:hint="default"/>
          <w:b/>
          <w:bCs/>
          <w:sz w:val="18"/>
          <w:szCs w:val="18"/>
        </w:rPr>
        <w:t>，增加原因为：本期销售规模扩大；受行</w:t>
      </w:r>
      <w:r>
        <w:rPr>
          <w:rFonts w:ascii="宋体" w:hAnsi="宋体" w:cs="宋体" w:eastAsia="宋体" w:hint="default"/>
          <w:b/>
          <w:bCs/>
          <w:w w:val="99"/>
          <w:sz w:val="18"/>
          <w:szCs w:val="18"/>
        </w:rPr>
        <w:t> </w:t>
      </w:r>
      <w:r>
        <w:rPr>
          <w:rFonts w:ascii="宋体" w:hAnsi="宋体" w:cs="宋体" w:eastAsia="宋体" w:hint="default"/>
          <w:b/>
          <w:bCs/>
          <w:sz w:val="18"/>
          <w:szCs w:val="18"/>
        </w:rPr>
        <w:t>业主要客户招标期间的影响，</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5"/>
          <w:sz w:val="18"/>
          <w:szCs w:val="18"/>
        </w:rPr>
        <w:t> </w:t>
      </w:r>
      <w:r>
        <w:rPr>
          <w:rFonts w:ascii="宋体" w:hAnsi="宋体" w:cs="宋体" w:eastAsia="宋体" w:hint="default"/>
          <w:b/>
          <w:bCs/>
          <w:sz w:val="18"/>
          <w:szCs w:val="18"/>
        </w:rPr>
        <w:t>年中标期间为</w:t>
      </w:r>
      <w:r>
        <w:rPr>
          <w:rFonts w:ascii="宋体" w:hAnsi="宋体" w:cs="宋体" w:eastAsia="宋体" w:hint="default"/>
          <w:b/>
          <w:bCs/>
          <w:spacing w:val="-71"/>
          <w:sz w:val="18"/>
          <w:szCs w:val="18"/>
        </w:rPr>
        <w:t> </w:t>
      </w:r>
      <w:r>
        <w:rPr>
          <w:rFonts w:ascii="Times New Roman" w:hAnsi="Times New Roman" w:cs="Times New Roman" w:eastAsia="Times New Roman" w:hint="default"/>
          <w:b/>
          <w:bCs/>
          <w:sz w:val="18"/>
          <w:szCs w:val="18"/>
        </w:rPr>
        <w:t>3-4</w:t>
      </w:r>
      <w:r>
        <w:rPr>
          <w:rFonts w:ascii="Times New Roman" w:hAnsi="Times New Roman" w:cs="Times New Roman" w:eastAsia="Times New Roman" w:hint="default"/>
          <w:b/>
          <w:bCs/>
          <w:spacing w:val="-26"/>
          <w:sz w:val="18"/>
          <w:szCs w:val="18"/>
        </w:rPr>
        <w:t> </w:t>
      </w:r>
      <w:r>
        <w:rPr>
          <w:rFonts w:ascii="宋体" w:hAnsi="宋体" w:cs="宋体" w:eastAsia="宋体" w:hint="default"/>
          <w:b/>
          <w:bCs/>
          <w:sz w:val="18"/>
          <w:szCs w:val="18"/>
        </w:rPr>
        <w:t>月份，本公司的销售大部分集中在下半年，同时对主要客</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pgSz w:w="11910" w:h="16840"/>
          <w:pgMar w:header="877" w:footer="1226" w:top="1060" w:bottom="1420" w:left="520" w:right="400"/>
        </w:sectPr>
      </w:pPr>
    </w:p>
    <w:p>
      <w:pPr>
        <w:spacing w:line="240" w:lineRule="auto" w:before="11"/>
        <w:rPr>
          <w:rFonts w:ascii="宋体" w:hAnsi="宋体" w:cs="宋体" w:eastAsia="宋体" w:hint="default"/>
          <w:b/>
          <w:bCs/>
          <w:sz w:val="2"/>
          <w:szCs w:val="2"/>
        </w:rPr>
      </w:pPr>
    </w:p>
    <w:p>
      <w:pPr>
        <w:spacing w:line="20" w:lineRule="exact"/>
        <w:ind w:left="92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before="0"/>
        <w:ind w:left="962" w:right="0" w:firstLine="0"/>
        <w:jc w:val="left"/>
        <w:rPr>
          <w:rFonts w:ascii="宋体" w:hAnsi="宋体" w:cs="宋体" w:eastAsia="宋体" w:hint="default"/>
          <w:sz w:val="18"/>
          <w:szCs w:val="18"/>
        </w:rPr>
      </w:pPr>
      <w:r>
        <w:rPr>
          <w:rFonts w:ascii="宋体" w:hAnsi="宋体" w:cs="宋体" w:eastAsia="宋体" w:hint="default"/>
          <w:b/>
          <w:bCs/>
          <w:sz w:val="18"/>
          <w:szCs w:val="18"/>
        </w:rPr>
        <w:t>户合同约定销售回款有</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月的账期，使得应收账款期末余额增加。</w:t>
      </w:r>
      <w:r>
        <w:rPr>
          <w:rFonts w:ascii="宋体" w:hAnsi="宋体" w:cs="宋体" w:eastAsia="宋体" w:hint="default"/>
          <w:sz w:val="18"/>
          <w:szCs w:val="18"/>
        </w:rPr>
      </w:r>
    </w:p>
    <w:p>
      <w:pPr>
        <w:spacing w:before="24"/>
        <w:ind w:left="96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本期实际核销的应收账款情况：</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962" w:type="dxa"/>
        <w:tblLayout w:type="fixed"/>
        <w:tblCellMar>
          <w:top w:w="0" w:type="dxa"/>
          <w:left w:w="0" w:type="dxa"/>
          <w:bottom w:w="0" w:type="dxa"/>
          <w:right w:w="0" w:type="dxa"/>
        </w:tblCellMar>
        <w:tblLook w:val="01E0"/>
      </w:tblPr>
      <w:tblGrid>
        <w:gridCol w:w="2506"/>
        <w:gridCol w:w="154"/>
        <w:gridCol w:w="1442"/>
        <w:gridCol w:w="120"/>
        <w:gridCol w:w="1476"/>
        <w:gridCol w:w="2254"/>
        <w:gridCol w:w="139"/>
        <w:gridCol w:w="1385"/>
      </w:tblGrid>
      <w:tr>
        <w:trPr>
          <w:trHeight w:val="488" w:hRule="exact"/>
        </w:trPr>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2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25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79" w:lineRule="exact"/>
              <w:ind w:left="28" w:right="0"/>
              <w:jc w:val="left"/>
              <w:rPr>
                <w:rFonts w:ascii="宋体" w:hAnsi="宋体" w:cs="宋体" w:eastAsia="宋体" w:hint="default"/>
                <w:sz w:val="18"/>
                <w:szCs w:val="18"/>
              </w:rPr>
            </w:pPr>
            <w:r>
              <w:rPr>
                <w:rFonts w:ascii="宋体" w:hAnsi="宋体" w:cs="宋体" w:eastAsia="宋体" w:hint="default"/>
                <w:spacing w:val="12"/>
                <w:sz w:val="18"/>
                <w:szCs w:val="18"/>
              </w:rPr>
              <w:t>是否因关联交易</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产生</w:t>
            </w:r>
          </w:p>
        </w:tc>
      </w:tr>
      <w:tr>
        <w:trPr>
          <w:trHeight w:val="339"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阳光雨露信息技术公司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0"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2,400.00</w:t>
            </w:r>
          </w:p>
        </w:tc>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无法收回，本期核销</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before="39"/>
              <w:ind w:left="26" w:right="15"/>
              <w:jc w:val="left"/>
              <w:rPr>
                <w:rFonts w:ascii="宋体" w:hAnsi="宋体" w:cs="宋体" w:eastAsia="宋体" w:hint="default"/>
                <w:sz w:val="18"/>
                <w:szCs w:val="18"/>
              </w:rPr>
            </w:pPr>
            <w:r>
              <w:rPr>
                <w:rFonts w:ascii="宋体" w:hAnsi="宋体" w:cs="宋体" w:eastAsia="宋体" w:hint="default"/>
                <w:spacing w:val="8"/>
                <w:sz w:val="18"/>
                <w:szCs w:val="18"/>
              </w:rPr>
              <w:t>广州银联网络支付有限公司珠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海分公司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8"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22" w:right="0"/>
              <w:jc w:val="left"/>
              <w:rPr>
                <w:rFonts w:ascii="宋体" w:hAnsi="宋体" w:cs="宋体" w:eastAsia="宋体" w:hint="default"/>
                <w:sz w:val="18"/>
                <w:szCs w:val="18"/>
              </w:rPr>
            </w:pPr>
            <w:r>
              <w:rPr>
                <w:rFonts w:ascii="宋体" w:hAnsi="宋体" w:cs="宋体" w:eastAsia="宋体" w:hint="default"/>
                <w:sz w:val="18"/>
                <w:szCs w:val="18"/>
              </w:rPr>
              <w:t>无法收回，本期核销</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2,410.00</w:t>
            </w:r>
          </w:p>
        </w:tc>
        <w:tc>
          <w:tcPr>
            <w:tcW w:w="225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16"/>
          <w:szCs w:val="16"/>
        </w:rPr>
      </w:pPr>
    </w:p>
    <w:p>
      <w:pPr>
        <w:spacing w:before="44"/>
        <w:ind w:left="962" w:right="0" w:firstLine="0"/>
        <w:jc w:val="left"/>
        <w:rPr>
          <w:rFonts w:ascii="宋体" w:hAnsi="宋体" w:cs="宋体" w:eastAsia="宋体" w:hint="default"/>
          <w:sz w:val="18"/>
          <w:szCs w:val="18"/>
        </w:rPr>
      </w:pPr>
      <w:r>
        <w:rPr>
          <w:rFonts w:ascii="宋体" w:hAnsi="宋体" w:cs="宋体" w:eastAsia="宋体" w:hint="default"/>
          <w:b/>
          <w:bCs/>
          <w:sz w:val="18"/>
          <w:szCs w:val="18"/>
        </w:rPr>
        <w:t>（五）预付款项</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96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账龄分析</w:t>
      </w:r>
      <w:r>
        <w:rPr>
          <w:rFonts w:ascii="宋体" w:hAnsi="宋体" w:cs="宋体" w:eastAsia="宋体" w:hint="default"/>
          <w:sz w:val="18"/>
          <w:szCs w:val="18"/>
        </w:rPr>
      </w:r>
    </w:p>
    <w:p>
      <w:pPr>
        <w:spacing w:line="240" w:lineRule="auto" w:before="1"/>
        <w:rPr>
          <w:rFonts w:ascii="宋体" w:hAnsi="宋体" w:cs="宋体" w:eastAsia="宋体" w:hint="default"/>
          <w:b/>
          <w:bCs/>
          <w:sz w:val="29"/>
          <w:szCs w:val="29"/>
        </w:rPr>
      </w:pPr>
    </w:p>
    <w:tbl>
      <w:tblPr>
        <w:tblW w:w="0" w:type="auto"/>
        <w:jc w:val="left"/>
        <w:tblInd w:w="957" w:type="dxa"/>
        <w:tblLayout w:type="fixed"/>
        <w:tblCellMar>
          <w:top w:w="0" w:type="dxa"/>
          <w:left w:w="0" w:type="dxa"/>
          <w:bottom w:w="0" w:type="dxa"/>
          <w:right w:w="0" w:type="dxa"/>
        </w:tblCellMar>
        <w:tblLook w:val="01E0"/>
      </w:tblPr>
      <w:tblGrid>
        <w:gridCol w:w="1922"/>
        <w:gridCol w:w="267"/>
        <w:gridCol w:w="1778"/>
        <w:gridCol w:w="202"/>
        <w:gridCol w:w="1508"/>
        <w:gridCol w:w="355"/>
        <w:gridCol w:w="1644"/>
        <w:gridCol w:w="183"/>
        <w:gridCol w:w="1652"/>
      </w:tblGrid>
      <w:tr>
        <w:trPr>
          <w:trHeight w:val="267" w:hRule="exact"/>
        </w:trPr>
        <w:tc>
          <w:tcPr>
            <w:tcW w:w="1922" w:type="dxa"/>
            <w:tcBorders>
              <w:top w:val="nil" w:sz="6" w:space="0" w:color="auto"/>
              <w:left w:val="nil" w:sz="6" w:space="0" w:color="auto"/>
              <w:bottom w:val="nil" w:sz="6" w:space="0" w:color="auto"/>
              <w:right w:val="nil" w:sz="6" w:space="0" w:color="auto"/>
            </w:tcBorders>
          </w:tcPr>
          <w:p>
            <w:pPr/>
          </w:p>
        </w:tc>
        <w:tc>
          <w:tcPr>
            <w:tcW w:w="26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2" w:type="dxa"/>
            <w:tcBorders>
              <w:top w:val="nil" w:sz="6" w:space="0" w:color="auto"/>
              <w:left w:val="nil" w:sz="6" w:space="0" w:color="auto"/>
              <w:bottom w:val="single" w:sz="4" w:space="0" w:color="000000"/>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3" w:type="dxa"/>
            <w:tcBorders>
              <w:top w:val="nil" w:sz="6" w:space="0" w:color="auto"/>
              <w:left w:val="nil" w:sz="6" w:space="0" w:color="auto"/>
              <w:bottom w:val="single" w:sz="4" w:space="0" w:color="000000"/>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7" w:type="dxa"/>
            <w:tcBorders>
              <w:top w:val="nil" w:sz="6" w:space="0" w:color="auto"/>
              <w:left w:val="nil" w:sz="6" w:space="0" w:color="auto"/>
              <w:bottom w:val="nil" w:sz="6" w:space="0" w:color="auto"/>
              <w:right w:val="nil" w:sz="6" w:space="0" w:color="auto"/>
            </w:tcBorders>
          </w:tcPr>
          <w:p>
            <w:pPr/>
          </w:p>
        </w:tc>
        <w:tc>
          <w:tcPr>
            <w:tcW w:w="177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02" w:type="dxa"/>
            <w:tcBorders>
              <w:top w:val="single" w:sz="4" w:space="0" w:color="000000"/>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3" w:type="dxa"/>
            <w:tcBorders>
              <w:top w:val="single" w:sz="4" w:space="0" w:color="000000"/>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6"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45" w:hRule="exact"/>
        </w:trPr>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7" w:type="dxa"/>
            <w:tcBorders>
              <w:top w:val="nil" w:sz="6" w:space="0" w:color="auto"/>
              <w:left w:val="nil" w:sz="6" w:space="0" w:color="auto"/>
              <w:bottom w:val="nil" w:sz="6" w:space="0" w:color="auto"/>
              <w:right w:val="nil" w:sz="6" w:space="0" w:color="auto"/>
            </w:tcBorders>
          </w:tcPr>
          <w:p>
            <w:pP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2,344,727.07</w:t>
            </w:r>
          </w:p>
        </w:tc>
        <w:tc>
          <w:tcPr>
            <w:tcW w:w="202"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70.29%</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5" w:right="0"/>
              <w:jc w:val="left"/>
              <w:rPr>
                <w:rFonts w:ascii="Times New Roman" w:hAnsi="Times New Roman" w:cs="Times New Roman" w:eastAsia="Times New Roman" w:hint="default"/>
                <w:sz w:val="18"/>
                <w:szCs w:val="18"/>
              </w:rPr>
            </w:pPr>
            <w:r>
              <w:rPr>
                <w:rFonts w:ascii="Times New Roman"/>
                <w:sz w:val="18"/>
              </w:rPr>
              <w:t>2,702,521.41</w:t>
            </w:r>
          </w:p>
        </w:tc>
        <w:tc>
          <w:tcPr>
            <w:tcW w:w="183"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6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990,939.85</w:t>
            </w:r>
          </w:p>
        </w:tc>
        <w:tc>
          <w:tcPr>
            <w:tcW w:w="202"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29.71%</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Times New Roman" w:hAnsi="Times New Roman" w:cs="Times New Roman" w:eastAsia="Times New Roman" w:hint="default"/>
                <w:sz w:val="18"/>
                <w:szCs w:val="18"/>
              </w:rPr>
            </w:pPr>
            <w:r>
              <w:rPr>
                <w:rFonts w:ascii="Times New Roman"/>
                <w:sz w:val="18"/>
              </w:rPr>
              <w:t>---</w:t>
            </w:r>
          </w:p>
        </w:tc>
        <w:tc>
          <w:tcPr>
            <w:tcW w:w="183"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29236" cy="9144"/>
                  <wp:effectExtent l="0" t="0" r="0" b="0"/>
                  <wp:docPr id="45" name="image34.png" descr=""/>
                  <wp:cNvGraphicFramePr>
                    <a:graphicFrameLocks noChangeAspect="1"/>
                  </wp:cNvGraphicFramePr>
                  <a:graphic>
                    <a:graphicData uri="http://schemas.openxmlformats.org/drawingml/2006/picture">
                      <pic:pic>
                        <pic:nvPicPr>
                          <pic:cNvPr id="46" name="image34.png"/>
                          <pic:cNvPicPr/>
                        </pic:nvPicPr>
                        <pic:blipFill>
                          <a:blip r:embed="rId79" cstate="print"/>
                          <a:stretch>
                            <a:fillRect/>
                          </a:stretch>
                        </pic:blipFill>
                        <pic:spPr>
                          <a:xfrm>
                            <a:off x="0" y="0"/>
                            <a:ext cx="112923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6"/>
              <w:ind w:left="28" w:right="0"/>
              <w:jc w:val="left"/>
              <w:rPr>
                <w:rFonts w:ascii="Times New Roman" w:hAnsi="Times New Roman" w:cs="Times New Roman" w:eastAsia="Times New Roman" w:hint="default"/>
                <w:sz w:val="18"/>
                <w:szCs w:val="18"/>
              </w:rPr>
            </w:pPr>
            <w:r>
              <w:rPr>
                <w:rFonts w:ascii="Times New Roman"/>
                <w:sz w:val="18"/>
              </w:rPr>
              <w:t>3,335,666.92</w:t>
            </w:r>
          </w:p>
        </w:tc>
        <w:tc>
          <w:tcPr>
            <w:tcW w:w="202"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2714" cy="9144"/>
                  <wp:effectExtent l="0" t="0" r="0" b="0"/>
                  <wp:docPr id="47" name="image35.png" descr=""/>
                  <wp:cNvGraphicFramePr>
                    <a:graphicFrameLocks noChangeAspect="1"/>
                  </wp:cNvGraphicFramePr>
                  <a:graphic>
                    <a:graphicData uri="http://schemas.openxmlformats.org/drawingml/2006/picture">
                      <pic:pic>
                        <pic:nvPicPr>
                          <pic:cNvPr id="48" name="image35.png"/>
                          <pic:cNvPicPr/>
                        </pic:nvPicPr>
                        <pic:blipFill>
                          <a:blip r:embed="rId80" cstate="print"/>
                          <a:stretch>
                            <a:fillRect/>
                          </a:stretch>
                        </pic:blipFill>
                        <pic:spPr>
                          <a:xfrm>
                            <a:off x="0" y="0"/>
                            <a:ext cx="95271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6"/>
              <w:ind w:left="38" w:right="0"/>
              <w:jc w:val="left"/>
              <w:rPr>
                <w:rFonts w:ascii="Times New Roman" w:hAnsi="Times New Roman" w:cs="Times New Roman" w:eastAsia="Times New Roman" w:hint="default"/>
                <w:sz w:val="18"/>
                <w:szCs w:val="18"/>
              </w:rPr>
            </w:pPr>
            <w:r>
              <w:rPr>
                <w:rFonts w:ascii="Times New Roman"/>
                <w:sz w:val="18"/>
              </w:rPr>
              <w:t>100%</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39705" cy="9144"/>
                  <wp:effectExtent l="0" t="0" r="0" b="0"/>
                  <wp:docPr id="49" name="image36.png" descr=""/>
                  <wp:cNvGraphicFramePr>
                    <a:graphicFrameLocks noChangeAspect="1"/>
                  </wp:cNvGraphicFramePr>
                  <a:graphic>
                    <a:graphicData uri="http://schemas.openxmlformats.org/drawingml/2006/picture">
                      <pic:pic>
                        <pic:nvPicPr>
                          <pic:cNvPr id="50" name="image36.png"/>
                          <pic:cNvPicPr/>
                        </pic:nvPicPr>
                        <pic:blipFill>
                          <a:blip r:embed="rId81" cstate="print"/>
                          <a:stretch>
                            <a:fillRect/>
                          </a:stretch>
                        </pic:blipFill>
                        <pic:spPr>
                          <a:xfrm>
                            <a:off x="0" y="0"/>
                            <a:ext cx="103970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6"/>
              <w:ind w:left="35" w:right="0"/>
              <w:jc w:val="left"/>
              <w:rPr>
                <w:rFonts w:ascii="Times New Roman" w:hAnsi="Times New Roman" w:cs="Times New Roman" w:eastAsia="Times New Roman" w:hint="default"/>
                <w:sz w:val="18"/>
                <w:szCs w:val="18"/>
              </w:rPr>
            </w:pPr>
            <w:r>
              <w:rPr>
                <w:rFonts w:ascii="Times New Roman"/>
                <w:sz w:val="18"/>
              </w:rPr>
              <w:t>2,702,521.41</w:t>
            </w:r>
          </w:p>
        </w:tc>
        <w:tc>
          <w:tcPr>
            <w:tcW w:w="183"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44150" cy="9144"/>
                  <wp:effectExtent l="0" t="0" r="0" b="0"/>
                  <wp:docPr id="51" name="image37.png" descr=""/>
                  <wp:cNvGraphicFramePr>
                    <a:graphicFrameLocks noChangeAspect="1"/>
                  </wp:cNvGraphicFramePr>
                  <a:graphic>
                    <a:graphicData uri="http://schemas.openxmlformats.org/drawingml/2006/picture">
                      <pic:pic>
                        <pic:nvPicPr>
                          <pic:cNvPr id="52" name="image37.png"/>
                          <pic:cNvPicPr/>
                        </pic:nvPicPr>
                        <pic:blipFill>
                          <a:blip r:embed="rId82" cstate="print"/>
                          <a:stretch>
                            <a:fillRect/>
                          </a:stretch>
                        </pic:blipFill>
                        <pic:spPr>
                          <a:xfrm>
                            <a:off x="0" y="0"/>
                            <a:ext cx="104415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6"/>
              <w:ind w:left="36"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2"/>
        <w:rPr>
          <w:rFonts w:ascii="宋体" w:hAnsi="宋体" w:cs="宋体" w:eastAsia="宋体" w:hint="default"/>
          <w:b/>
          <w:bCs/>
          <w:sz w:val="15"/>
          <w:szCs w:val="15"/>
        </w:rPr>
      </w:pPr>
    </w:p>
    <w:p>
      <w:pPr>
        <w:spacing w:before="44"/>
        <w:ind w:left="96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 </w:t>
      </w:r>
      <w:r>
        <w:rPr>
          <w:rFonts w:ascii="宋体" w:hAnsi="宋体" w:cs="宋体" w:eastAsia="宋体" w:hint="default"/>
          <w:b/>
          <w:bCs/>
          <w:sz w:val="18"/>
          <w:szCs w:val="18"/>
        </w:rPr>
        <w:t>预付款项期末数中无预付持本公司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）表决权的股东单位款项。</w:t>
      </w:r>
      <w:r>
        <w:rPr>
          <w:rFonts w:ascii="宋体" w:hAnsi="宋体" w:cs="宋体" w:eastAsia="宋体" w:hint="default"/>
          <w:sz w:val="18"/>
          <w:szCs w:val="18"/>
        </w:rPr>
      </w:r>
    </w:p>
    <w:p>
      <w:pPr>
        <w:spacing w:line="241" w:lineRule="exact" w:before="27"/>
        <w:ind w:left="96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 </w:t>
      </w:r>
      <w:r>
        <w:rPr>
          <w:rFonts w:ascii="宋体" w:hAnsi="宋体" w:cs="宋体" w:eastAsia="宋体" w:hint="default"/>
          <w:b/>
          <w:bCs/>
          <w:sz w:val="18"/>
          <w:szCs w:val="18"/>
        </w:rPr>
        <w:t>预付款项期末数比期初数增加 </w:t>
      </w:r>
      <w:r>
        <w:rPr>
          <w:rFonts w:ascii="Times New Roman" w:hAnsi="Times New Roman" w:cs="Times New Roman" w:eastAsia="Times New Roman" w:hint="default"/>
          <w:b/>
          <w:bCs/>
          <w:sz w:val="18"/>
          <w:szCs w:val="18"/>
        </w:rPr>
        <w:t>633,145.51 </w:t>
      </w:r>
      <w:r>
        <w:rPr>
          <w:rFonts w:ascii="宋体" w:hAnsi="宋体" w:cs="宋体" w:eastAsia="宋体" w:hint="default"/>
          <w:b/>
          <w:bCs/>
          <w:sz w:val="18"/>
          <w:szCs w:val="18"/>
        </w:rPr>
        <w:t>元，增幅</w:t>
      </w:r>
      <w:r>
        <w:rPr>
          <w:rFonts w:ascii="宋体" w:hAnsi="宋体" w:cs="宋体" w:eastAsia="宋体" w:hint="default"/>
          <w:b/>
          <w:bCs/>
          <w:spacing w:val="-64"/>
          <w:sz w:val="18"/>
          <w:szCs w:val="18"/>
        </w:rPr>
        <w:t> </w:t>
      </w:r>
      <w:r>
        <w:rPr>
          <w:rFonts w:ascii="Times New Roman" w:hAnsi="Times New Roman" w:cs="Times New Roman" w:eastAsia="Times New Roman" w:hint="default"/>
          <w:b/>
          <w:bCs/>
          <w:sz w:val="18"/>
          <w:szCs w:val="18"/>
        </w:rPr>
        <w:t>23.43%</w:t>
      </w:r>
      <w:r>
        <w:rPr>
          <w:rFonts w:ascii="宋体" w:hAnsi="宋体" w:cs="宋体" w:eastAsia="宋体" w:hint="default"/>
          <w:b/>
          <w:bCs/>
          <w:sz w:val="18"/>
          <w:szCs w:val="18"/>
        </w:rPr>
        <w:t>，增加的主要原因为本期预付给深圳市九富投资</w:t>
      </w:r>
      <w:r>
        <w:rPr>
          <w:rFonts w:ascii="宋体" w:hAnsi="宋体" w:cs="宋体" w:eastAsia="宋体" w:hint="default"/>
          <w:sz w:val="18"/>
          <w:szCs w:val="18"/>
        </w:rPr>
      </w:r>
    </w:p>
    <w:p>
      <w:pPr>
        <w:spacing w:line="241" w:lineRule="exact" w:before="0"/>
        <w:ind w:left="962" w:right="0" w:firstLine="0"/>
        <w:jc w:val="left"/>
        <w:rPr>
          <w:rFonts w:ascii="宋体" w:hAnsi="宋体" w:cs="宋体" w:eastAsia="宋体" w:hint="default"/>
          <w:sz w:val="18"/>
          <w:szCs w:val="18"/>
        </w:rPr>
      </w:pPr>
      <w:r>
        <w:rPr>
          <w:rFonts w:ascii="宋体" w:hAnsi="宋体" w:cs="宋体" w:eastAsia="宋体" w:hint="default"/>
          <w:b/>
          <w:bCs/>
          <w:sz w:val="18"/>
          <w:szCs w:val="18"/>
        </w:rPr>
        <w:t>顾问有限公司</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1,490,924.40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元的款项。</w:t>
      </w:r>
      <w:r>
        <w:rPr>
          <w:rFonts w:ascii="宋体" w:hAnsi="宋体" w:cs="宋体" w:eastAsia="宋体" w:hint="default"/>
          <w:sz w:val="18"/>
          <w:szCs w:val="18"/>
        </w:rPr>
      </w:r>
    </w:p>
    <w:p>
      <w:pPr>
        <w:spacing w:before="25"/>
        <w:ind w:left="96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预付款项期末数中金额前五名：</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962" w:type="dxa"/>
        <w:tblLayout w:type="fixed"/>
        <w:tblCellMar>
          <w:top w:w="0" w:type="dxa"/>
          <w:left w:w="0" w:type="dxa"/>
          <w:bottom w:w="0" w:type="dxa"/>
          <w:right w:w="0" w:type="dxa"/>
        </w:tblCellMar>
        <w:tblLook w:val="01E0"/>
      </w:tblPr>
      <w:tblGrid>
        <w:gridCol w:w="2758"/>
        <w:gridCol w:w="154"/>
        <w:gridCol w:w="1555"/>
        <w:gridCol w:w="122"/>
        <w:gridCol w:w="1504"/>
        <w:gridCol w:w="1364"/>
        <w:gridCol w:w="135"/>
        <w:gridCol w:w="1889"/>
      </w:tblGrid>
      <w:tr>
        <w:trPr>
          <w:trHeight w:val="267" w:hRule="exact"/>
        </w:trPr>
        <w:tc>
          <w:tcPr>
            <w:tcW w:w="2758"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p>
        </w:tc>
      </w:tr>
      <w:tr>
        <w:trPr>
          <w:trHeight w:val="347" w:hRule="exact"/>
        </w:trPr>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深圳市福田区建设局</w:t>
            </w:r>
            <w:r>
              <w:rPr>
                <w:rFonts w:ascii="Times New Roman" w:hAnsi="Times New Roman" w:cs="Times New Roman" w:eastAsia="Times New Roman" w:hint="default"/>
                <w:sz w:val="18"/>
                <w:szCs w:val="18"/>
              </w:rPr>
              <w:t>*</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975,939.85</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29.26%</w:t>
            </w:r>
          </w:p>
        </w:tc>
      </w:tr>
      <w:tr>
        <w:trPr>
          <w:trHeight w:val="34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深圳市锐得模具设计有限公司</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507,343.02</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15.21%</w:t>
            </w:r>
          </w:p>
        </w:tc>
      </w:tr>
      <w:tr>
        <w:trPr>
          <w:trHeight w:val="341"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深圳市九富投资顾问有限公司</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left"/>
              <w:rPr>
                <w:rFonts w:ascii="Times New Roman" w:hAnsi="Times New Roman" w:cs="Times New Roman" w:eastAsia="Times New Roman" w:hint="default"/>
                <w:sz w:val="18"/>
                <w:szCs w:val="18"/>
              </w:rPr>
            </w:pPr>
            <w:r>
              <w:rPr>
                <w:rFonts w:ascii="Times New Roman"/>
                <w:sz w:val="18"/>
              </w:rPr>
              <w:t>1,490,924.40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3" w:right="0"/>
              <w:jc w:val="left"/>
              <w:rPr>
                <w:rFonts w:ascii="Times New Roman" w:hAnsi="Times New Roman" w:cs="Times New Roman" w:eastAsia="Times New Roman" w:hint="default"/>
                <w:sz w:val="18"/>
                <w:szCs w:val="18"/>
              </w:rPr>
            </w:pPr>
            <w:r>
              <w:rPr>
                <w:rFonts w:ascii="Times New Roman"/>
                <w:sz w:val="18"/>
              </w:rPr>
              <w:t>44.70%</w:t>
            </w:r>
          </w:p>
        </w:tc>
      </w:tr>
      <w:tr>
        <w:trPr>
          <w:trHeight w:val="34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深圳市赛贝电子有限公司</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2" w:right="0"/>
              <w:jc w:val="left"/>
              <w:rPr>
                <w:rFonts w:ascii="Times New Roman" w:hAnsi="Times New Roman" w:cs="Times New Roman" w:eastAsia="Times New Roman" w:hint="default"/>
                <w:sz w:val="18"/>
                <w:szCs w:val="18"/>
              </w:rPr>
            </w:pPr>
            <w:r>
              <w:rPr>
                <w:rFonts w:ascii="Times New Roman"/>
                <w:sz w:val="18"/>
              </w:rPr>
              <w:t>91,435.09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2.74%</w:t>
            </w:r>
          </w:p>
        </w:tc>
      </w:tr>
      <w:tr>
        <w:trPr>
          <w:trHeight w:val="344"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深圳好架势展柜货架有限公司</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46,428.00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1.39%</w:t>
            </w:r>
          </w:p>
        </w:tc>
      </w:tr>
      <w:tr>
        <w:trPr>
          <w:trHeight w:val="36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3,112,070.36</w:t>
            </w:r>
          </w:p>
        </w:tc>
        <w:tc>
          <w:tcPr>
            <w:tcW w:w="1364"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93.30%</w:t>
            </w:r>
          </w:p>
        </w:tc>
      </w:tr>
    </w:tbl>
    <w:p>
      <w:pPr>
        <w:spacing w:line="240" w:lineRule="auto" w:before="13"/>
        <w:rPr>
          <w:rFonts w:ascii="宋体" w:hAnsi="宋体" w:cs="宋体" w:eastAsia="宋体" w:hint="default"/>
          <w:b/>
          <w:bCs/>
          <w:sz w:val="15"/>
          <w:szCs w:val="15"/>
        </w:rPr>
      </w:pPr>
    </w:p>
    <w:p>
      <w:pPr>
        <w:spacing w:before="44"/>
        <w:ind w:left="96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福田区建设局的款项为本公司购买政府出售的企业人才住房预付款</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日该房产尚未完工。</w:t>
      </w:r>
    </w:p>
    <w:p>
      <w:pPr>
        <w:spacing w:before="24"/>
        <w:ind w:left="962" w:right="0" w:firstLine="0"/>
        <w:jc w:val="left"/>
        <w:rPr>
          <w:rFonts w:ascii="宋体" w:hAnsi="宋体" w:cs="宋体" w:eastAsia="宋体" w:hint="default"/>
          <w:sz w:val="18"/>
          <w:szCs w:val="18"/>
        </w:rPr>
      </w:pPr>
      <w:r>
        <w:rPr>
          <w:rFonts w:ascii="宋体" w:hAnsi="宋体" w:cs="宋体" w:eastAsia="宋体" w:hint="default"/>
          <w:b/>
          <w:bCs/>
          <w:sz w:val="18"/>
          <w:szCs w:val="18"/>
        </w:rPr>
        <w:t>（六）其他应收款</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96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其他应收款按种类披露：</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1985"/>
        <w:gridCol w:w="144"/>
        <w:gridCol w:w="1275"/>
        <w:gridCol w:w="711"/>
        <w:gridCol w:w="139"/>
        <w:gridCol w:w="1136"/>
        <w:gridCol w:w="142"/>
        <w:gridCol w:w="710"/>
        <w:gridCol w:w="142"/>
        <w:gridCol w:w="1274"/>
        <w:gridCol w:w="708"/>
        <w:gridCol w:w="144"/>
        <w:gridCol w:w="1020"/>
        <w:gridCol w:w="113"/>
        <w:gridCol w:w="689"/>
      </w:tblGrid>
      <w:tr>
        <w:trPr>
          <w:trHeight w:val="282" w:hRule="exact"/>
        </w:trPr>
        <w:tc>
          <w:tcPr>
            <w:tcW w:w="1985"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11"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08"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single" w:sz="4" w:space="0" w:color="000000"/>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3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9" w:type="dxa"/>
            <w:tcBorders>
              <w:top w:val="single" w:sz="4" w:space="0" w:color="000000"/>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 w:type="dxa"/>
            <w:tcBorders>
              <w:top w:val="single" w:sz="4" w:space="0" w:color="000000"/>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 w:type="dxa"/>
            <w:tcBorders>
              <w:top w:val="single" w:sz="4" w:space="0" w:color="000000"/>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81"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237" w:lineRule="auto" w:before="10"/>
              <w:ind w:left="31" w:right="26"/>
              <w:jc w:val="both"/>
              <w:rPr>
                <w:rFonts w:ascii="宋体" w:hAnsi="宋体" w:cs="宋体" w:eastAsia="宋体" w:hint="default"/>
                <w:sz w:val="18"/>
                <w:szCs w:val="18"/>
              </w:rPr>
            </w:pPr>
            <w:r>
              <w:rPr>
                <w:rFonts w:ascii="宋体" w:hAnsi="宋体" w:cs="宋体" w:eastAsia="宋体" w:hint="default"/>
                <w:spacing w:val="-6"/>
                <w:sz w:val="18"/>
                <w:szCs w:val="18"/>
              </w:rPr>
              <w:t>一、单项金额重大并单项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计提坏账准备的其他应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收款</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44"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54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4" w:lineRule="exact" w:before="34"/>
              <w:ind w:left="31" w:right="27"/>
              <w:jc w:val="left"/>
              <w:rPr>
                <w:rFonts w:ascii="宋体" w:hAnsi="宋体" w:cs="宋体" w:eastAsia="宋体" w:hint="default"/>
                <w:sz w:val="18"/>
                <w:szCs w:val="18"/>
              </w:rPr>
            </w:pPr>
            <w:r>
              <w:rPr>
                <w:rFonts w:ascii="宋体" w:hAnsi="宋体" w:cs="宋体" w:eastAsia="宋体" w:hint="default"/>
                <w:spacing w:val="-6"/>
                <w:sz w:val="18"/>
                <w:szCs w:val="18"/>
              </w:rPr>
              <w:t>二、按账龄组合计提坏账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准备的其他应收款</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4,236,171.04</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393,346.81</w:t>
            </w:r>
          </w:p>
        </w:tc>
        <w:tc>
          <w:tcPr>
            <w:tcW w:w="14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9.29%</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1,278,310.74</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144"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252,398.09</w:t>
            </w:r>
          </w:p>
        </w:tc>
        <w:tc>
          <w:tcPr>
            <w:tcW w:w="113"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19.74%</w:t>
            </w:r>
          </w:p>
        </w:tc>
      </w:tr>
      <w:tr>
        <w:trPr>
          <w:trHeight w:val="713"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31" w:right="26"/>
              <w:jc w:val="both"/>
              <w:rPr>
                <w:rFonts w:ascii="宋体" w:hAnsi="宋体" w:cs="宋体" w:eastAsia="宋体" w:hint="default"/>
                <w:sz w:val="18"/>
                <w:szCs w:val="18"/>
              </w:rPr>
            </w:pPr>
            <w:r>
              <w:rPr>
                <w:rFonts w:ascii="宋体" w:hAnsi="宋体" w:cs="宋体" w:eastAsia="宋体" w:hint="default"/>
                <w:spacing w:val="-6"/>
                <w:sz w:val="18"/>
                <w:szCs w:val="18"/>
              </w:rPr>
              <w:t>三、单项金额虽不重大但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单项计提坏账准备的其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他应收款</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44"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740" w:right="580"/>
        </w:sectPr>
      </w:pPr>
    </w:p>
    <w:p>
      <w:pPr>
        <w:spacing w:line="240" w:lineRule="auto" w:before="11"/>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997"/>
        <w:gridCol w:w="1286"/>
        <w:gridCol w:w="1194"/>
        <w:gridCol w:w="805"/>
        <w:gridCol w:w="125"/>
        <w:gridCol w:w="1150"/>
        <w:gridCol w:w="127"/>
        <w:gridCol w:w="725"/>
        <w:gridCol w:w="127"/>
        <w:gridCol w:w="1194"/>
        <w:gridCol w:w="803"/>
        <w:gridCol w:w="130"/>
        <w:gridCol w:w="1008"/>
        <w:gridCol w:w="828"/>
      </w:tblGrid>
      <w:tr>
        <w:trPr>
          <w:trHeight w:val="430"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nil" w:sz="6" w:space="0" w:color="auto"/>
              <w:bottom w:val="nil" w:sz="6" w:space="0" w:color="auto"/>
              <w:right w:val="nil" w:sz="6" w:space="0" w:color="auto"/>
            </w:tcBorders>
          </w:tcPr>
          <w:p>
            <w:pPr/>
          </w:p>
        </w:tc>
        <w:tc>
          <w:tcPr>
            <w:tcW w:w="1194" w:type="dxa"/>
            <w:tcBorders>
              <w:top w:val="single" w:sz="6" w:space="0" w:color="000000"/>
              <w:left w:val="nil" w:sz="6" w:space="0" w:color="auto"/>
              <w:bottom w:val="single" w:sz="17" w:space="0" w:color="000000"/>
              <w:right w:val="nil" w:sz="6" w:space="0" w:color="auto"/>
            </w:tcBorders>
          </w:tcPr>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4,236,171.04</w:t>
            </w:r>
          </w:p>
        </w:tc>
        <w:tc>
          <w:tcPr>
            <w:tcW w:w="805"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7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304" cy="9144"/>
                  <wp:effectExtent l="0" t="0" r="0" b="0"/>
                  <wp:docPr id="53" name="image38.png" descr=""/>
                  <wp:cNvGraphicFramePr>
                    <a:graphicFrameLocks noChangeAspect="1"/>
                  </wp:cNvGraphicFramePr>
                  <a:graphic>
                    <a:graphicData uri="http://schemas.openxmlformats.org/drawingml/2006/picture">
                      <pic:pic>
                        <pic:nvPicPr>
                          <pic:cNvPr id="54" name="image38.png"/>
                          <pic:cNvPicPr/>
                        </pic:nvPicPr>
                        <pic:blipFill>
                          <a:blip r:embed="rId83" cstate="print"/>
                          <a:stretch>
                            <a:fillRect/>
                          </a:stretch>
                        </pic:blipFill>
                        <pic:spPr>
                          <a:xfrm>
                            <a:off x="0" y="0"/>
                            <a:ext cx="39930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left="205" w:right="0"/>
              <w:jc w:val="left"/>
              <w:rPr>
                <w:rFonts w:ascii="Times New Roman" w:hAnsi="Times New Roman" w:cs="Times New Roman" w:eastAsia="Times New Roman" w:hint="default"/>
                <w:sz w:val="18"/>
                <w:szCs w:val="18"/>
              </w:rPr>
            </w:pPr>
            <w:r>
              <w:rPr>
                <w:rFonts w:ascii="Times New Roman"/>
                <w:sz w:val="18"/>
              </w:rPr>
              <w:t>100%</w:t>
            </w:r>
          </w:p>
        </w:tc>
        <w:tc>
          <w:tcPr>
            <w:tcW w:w="125" w:type="dxa"/>
            <w:tcBorders>
              <w:top w:val="single" w:sz="6" w:space="0" w:color="000000"/>
              <w:left w:val="nil" w:sz="6" w:space="0" w:color="auto"/>
              <w:bottom w:val="nil" w:sz="6" w:space="0" w:color="auto"/>
              <w:right w:val="nil" w:sz="6" w:space="0" w:color="auto"/>
            </w:tcBorders>
          </w:tcPr>
          <w:p>
            <w:pPr/>
          </w:p>
        </w:tc>
        <w:tc>
          <w:tcPr>
            <w:tcW w:w="1150"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21136" cy="9144"/>
                  <wp:effectExtent l="0" t="0" r="0" b="0"/>
                  <wp:docPr id="55" name="image39.png" descr=""/>
                  <wp:cNvGraphicFramePr>
                    <a:graphicFrameLocks noChangeAspect="1"/>
                  </wp:cNvGraphicFramePr>
                  <a:graphic>
                    <a:graphicData uri="http://schemas.openxmlformats.org/drawingml/2006/picture">
                      <pic:pic>
                        <pic:nvPicPr>
                          <pic:cNvPr id="56" name="image39.png"/>
                          <pic:cNvPicPr/>
                        </pic:nvPicPr>
                        <pic:blipFill>
                          <a:blip r:embed="rId84" cstate="print"/>
                          <a:stretch>
                            <a:fillRect/>
                          </a:stretch>
                        </pic:blipFill>
                        <pic:spPr>
                          <a:xfrm>
                            <a:off x="0" y="0"/>
                            <a:ext cx="72113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left="45" w:right="0"/>
              <w:jc w:val="left"/>
              <w:rPr>
                <w:rFonts w:ascii="Times New Roman" w:hAnsi="Times New Roman" w:cs="Times New Roman" w:eastAsia="Times New Roman" w:hint="default"/>
                <w:sz w:val="18"/>
                <w:szCs w:val="18"/>
              </w:rPr>
            </w:pPr>
            <w:r>
              <w:rPr>
                <w:rFonts w:ascii="Times New Roman"/>
                <w:sz w:val="18"/>
              </w:rPr>
              <w:t>393,346.81</w:t>
            </w:r>
          </w:p>
        </w:tc>
        <w:tc>
          <w:tcPr>
            <w:tcW w:w="127" w:type="dxa"/>
            <w:tcBorders>
              <w:top w:val="single" w:sz="6" w:space="0" w:color="000000"/>
              <w:left w:val="nil" w:sz="6" w:space="0" w:color="auto"/>
              <w:bottom w:val="nil" w:sz="6" w:space="0" w:color="auto"/>
              <w:right w:val="nil" w:sz="6" w:space="0" w:color="auto"/>
            </w:tcBorders>
          </w:tcPr>
          <w:p>
            <w:pPr/>
          </w:p>
        </w:tc>
        <w:tc>
          <w:tcPr>
            <w:tcW w:w="725"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51123" cy="9144"/>
                  <wp:effectExtent l="0" t="0" r="0" b="0"/>
                  <wp:docPr id="57" name="image40.png" descr=""/>
                  <wp:cNvGraphicFramePr>
                    <a:graphicFrameLocks noChangeAspect="1"/>
                  </wp:cNvGraphicFramePr>
                  <a:graphic>
                    <a:graphicData uri="http://schemas.openxmlformats.org/drawingml/2006/picture">
                      <pic:pic>
                        <pic:nvPicPr>
                          <pic:cNvPr id="58" name="image40.png"/>
                          <pic:cNvPicPr/>
                        </pic:nvPicPr>
                        <pic:blipFill>
                          <a:blip r:embed="rId85" cstate="print"/>
                          <a:stretch>
                            <a:fillRect/>
                          </a:stretch>
                        </pic:blipFill>
                        <pic:spPr>
                          <a:xfrm>
                            <a:off x="0" y="0"/>
                            <a:ext cx="45112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left="43" w:right="0"/>
              <w:jc w:val="left"/>
              <w:rPr>
                <w:rFonts w:ascii="Times New Roman" w:hAnsi="Times New Roman" w:cs="Times New Roman" w:eastAsia="Times New Roman" w:hint="default"/>
                <w:sz w:val="18"/>
                <w:szCs w:val="18"/>
              </w:rPr>
            </w:pPr>
            <w:r>
              <w:rPr>
                <w:rFonts w:ascii="Times New Roman"/>
                <w:sz w:val="18"/>
              </w:rPr>
              <w:t>9.29%</w:t>
            </w:r>
          </w:p>
        </w:tc>
        <w:tc>
          <w:tcPr>
            <w:tcW w:w="127" w:type="dxa"/>
            <w:tcBorders>
              <w:top w:val="single" w:sz="6" w:space="0" w:color="000000"/>
              <w:left w:val="nil" w:sz="6" w:space="0" w:color="auto"/>
              <w:bottom w:val="nil" w:sz="6" w:space="0" w:color="auto"/>
              <w:right w:val="nil" w:sz="6" w:space="0" w:color="auto"/>
            </w:tcBorders>
          </w:tcPr>
          <w:p>
            <w:pPr/>
          </w:p>
        </w:tc>
        <w:tc>
          <w:tcPr>
            <w:tcW w:w="1194" w:type="dxa"/>
            <w:tcBorders>
              <w:top w:val="single" w:sz="6" w:space="0" w:color="000000"/>
              <w:left w:val="nil" w:sz="6" w:space="0" w:color="auto"/>
              <w:bottom w:val="single" w:sz="17" w:space="0" w:color="000000"/>
              <w:right w:val="nil" w:sz="6" w:space="0" w:color="auto"/>
            </w:tcBorders>
          </w:tcPr>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1,278,310.74</w:t>
            </w:r>
          </w:p>
        </w:tc>
        <w:tc>
          <w:tcPr>
            <w:tcW w:w="803"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17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685" cy="9144"/>
                  <wp:effectExtent l="0" t="0" r="0" b="0"/>
                  <wp:docPr id="59" name="image41.png" descr=""/>
                  <wp:cNvGraphicFramePr>
                    <a:graphicFrameLocks noChangeAspect="1"/>
                  </wp:cNvGraphicFramePr>
                  <a:graphic>
                    <a:graphicData uri="http://schemas.openxmlformats.org/drawingml/2006/picture">
                      <pic:pic>
                        <pic:nvPicPr>
                          <pic:cNvPr id="60" name="image41.png"/>
                          <pic:cNvPicPr/>
                        </pic:nvPicPr>
                        <pic:blipFill>
                          <a:blip r:embed="rId86" cstate="print"/>
                          <a:stretch>
                            <a:fillRect/>
                          </a:stretch>
                        </pic:blipFill>
                        <pic:spPr>
                          <a:xfrm>
                            <a:off x="0" y="0"/>
                            <a:ext cx="3996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left="205" w:right="0"/>
              <w:jc w:val="left"/>
              <w:rPr>
                <w:rFonts w:ascii="Times New Roman" w:hAnsi="Times New Roman" w:cs="Times New Roman" w:eastAsia="Times New Roman" w:hint="default"/>
                <w:sz w:val="18"/>
                <w:szCs w:val="18"/>
              </w:rPr>
            </w:pPr>
            <w:r>
              <w:rPr>
                <w:rFonts w:ascii="Times New Roman"/>
                <w:sz w:val="18"/>
              </w:rPr>
              <w:t>100%</w:t>
            </w:r>
          </w:p>
        </w:tc>
        <w:tc>
          <w:tcPr>
            <w:tcW w:w="130" w:type="dxa"/>
            <w:tcBorders>
              <w:top w:val="single" w:sz="6" w:space="0" w:color="000000"/>
              <w:left w:val="nil" w:sz="6" w:space="0" w:color="auto"/>
              <w:bottom w:val="nil" w:sz="6" w:space="0" w:color="auto"/>
              <w:right w:val="nil" w:sz="6" w:space="0" w:color="auto"/>
            </w:tcBorders>
          </w:tcPr>
          <w:p>
            <w:pPr/>
          </w:p>
        </w:tc>
        <w:tc>
          <w:tcPr>
            <w:tcW w:w="1008" w:type="dxa"/>
            <w:tcBorders>
              <w:top w:val="single" w:sz="6" w:space="0" w:color="000000"/>
              <w:left w:val="nil" w:sz="6" w:space="0" w:color="auto"/>
              <w:bottom w:val="single" w:sz="17" w:space="0" w:color="000000"/>
              <w:right w:val="nil" w:sz="6" w:space="0" w:color="auto"/>
            </w:tcBorders>
          </w:tcPr>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252,398.09</w:t>
            </w:r>
          </w:p>
        </w:tc>
        <w:tc>
          <w:tcPr>
            <w:tcW w:w="828" w:type="dxa"/>
            <w:tcBorders>
              <w:top w:val="nil" w:sz="6" w:space="0" w:color="auto"/>
              <w:left w:val="nil" w:sz="6" w:space="0" w:color="auto"/>
              <w:bottom w:val="single" w:sz="17" w:space="0" w:color="000000"/>
              <w:right w:val="nil" w:sz="6" w:space="0" w:color="auto"/>
            </w:tcBorders>
          </w:tcPr>
          <w:p>
            <w:pPr>
              <w:pStyle w:val="TableParagraph"/>
              <w:spacing w:line="20" w:lineRule="exact"/>
              <w:ind w:left="13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37406" cy="9144"/>
                  <wp:effectExtent l="0" t="0" r="0" b="0"/>
                  <wp:docPr id="61" name="image42.png" descr=""/>
                  <wp:cNvGraphicFramePr>
                    <a:graphicFrameLocks noChangeAspect="1"/>
                  </wp:cNvGraphicFramePr>
                  <a:graphic>
                    <a:graphicData uri="http://schemas.openxmlformats.org/drawingml/2006/picture">
                      <pic:pic>
                        <pic:nvPicPr>
                          <pic:cNvPr id="62" name="image42.png"/>
                          <pic:cNvPicPr/>
                        </pic:nvPicPr>
                        <pic:blipFill>
                          <a:blip r:embed="rId87" cstate="print"/>
                          <a:stretch>
                            <a:fillRect/>
                          </a:stretch>
                        </pic:blipFill>
                        <pic:spPr>
                          <a:xfrm>
                            <a:off x="0" y="0"/>
                            <a:ext cx="43740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19.74%</w:t>
            </w:r>
          </w:p>
        </w:tc>
      </w:tr>
    </w:tbl>
    <w:p>
      <w:pPr>
        <w:spacing w:line="240" w:lineRule="auto" w:before="2"/>
        <w:rPr>
          <w:rFonts w:ascii="宋体" w:hAnsi="宋体" w:cs="宋体" w:eastAsia="宋体" w:hint="default"/>
          <w:b/>
          <w:bCs/>
          <w:sz w:val="16"/>
          <w:szCs w:val="16"/>
        </w:rPr>
      </w:pPr>
    </w:p>
    <w:p>
      <w:pPr>
        <w:spacing w:before="44"/>
        <w:ind w:left="1142" w:right="1257" w:firstLine="0"/>
        <w:jc w:val="left"/>
        <w:rPr>
          <w:rFonts w:ascii="宋体" w:hAnsi="宋体" w:cs="宋体" w:eastAsia="宋体" w:hint="default"/>
          <w:sz w:val="18"/>
          <w:szCs w:val="18"/>
        </w:rPr>
      </w:pPr>
      <w:r>
        <w:rPr/>
        <w:pict>
          <v:shape style="position:absolute;margin-left:148.699997pt;margin-top:-32.068253pt;width:63.752656pt;height:.72pt;mso-position-horizontal-relative:page;mso-position-vertical-relative:paragraph;z-index:-676432" type="#_x0000_t75" stroked="false">
            <v:imagedata r:id="rId88" o:title=""/>
          </v:shape>
        </w:pict>
      </w:r>
      <w:r>
        <w:rPr/>
        <w:pict>
          <v:shape style="position:absolute;margin-left:361.390015pt;margin-top:-32.068253pt;width:63.722645pt;height:.72pt;mso-position-horizontal-relative:page;mso-position-vertical-relative:paragraph;z-index:-676408" type="#_x0000_t75" stroked="false">
            <v:imagedata r:id="rId89" o:title=""/>
          </v:shape>
        </w:pict>
      </w:r>
      <w:r>
        <w:rPr/>
        <w:pict>
          <v:shape style="position:absolute;margin-left:467.73999pt;margin-top:-32.068253pt;width:51.002165pt;height:.72pt;mso-position-horizontal-relative:page;mso-position-vertical-relative:paragraph;z-index:-676384" type="#_x0000_t75" stroked="false">
            <v:imagedata r:id="rId90" o:title=""/>
          </v:shape>
        </w:pic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．其他应收款按账龄结构列示如下：</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37" w:type="dxa"/>
        <w:tblLayout w:type="fixed"/>
        <w:tblCellMar>
          <w:top w:w="0" w:type="dxa"/>
          <w:left w:w="0" w:type="dxa"/>
          <w:bottom w:w="0" w:type="dxa"/>
          <w:right w:w="0" w:type="dxa"/>
        </w:tblCellMar>
        <w:tblLook w:val="01E0"/>
      </w:tblPr>
      <w:tblGrid>
        <w:gridCol w:w="1824"/>
        <w:gridCol w:w="1344"/>
        <w:gridCol w:w="106"/>
        <w:gridCol w:w="1051"/>
        <w:gridCol w:w="103"/>
        <w:gridCol w:w="1220"/>
        <w:gridCol w:w="1409"/>
        <w:gridCol w:w="106"/>
        <w:gridCol w:w="1008"/>
        <w:gridCol w:w="106"/>
        <w:gridCol w:w="1207"/>
      </w:tblGrid>
      <w:tr>
        <w:trPr>
          <w:trHeight w:val="282" w:hRule="exact"/>
        </w:trPr>
        <w:tc>
          <w:tcPr>
            <w:tcW w:w="182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220"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008"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6"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1" w:right="0"/>
              <w:jc w:val="left"/>
              <w:rPr>
                <w:rFonts w:ascii="Times New Roman" w:hAnsi="Times New Roman" w:cs="Times New Roman" w:eastAsia="Times New Roman" w:hint="default"/>
                <w:sz w:val="18"/>
                <w:szCs w:val="18"/>
              </w:rPr>
            </w:pPr>
            <w:r>
              <w:rPr>
                <w:rFonts w:ascii="Times New Roman"/>
                <w:sz w:val="18"/>
              </w:rPr>
              <w:t>3,593,816.68</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84.84%</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1" w:right="0"/>
              <w:jc w:val="left"/>
              <w:rPr>
                <w:rFonts w:ascii="Times New Roman" w:hAnsi="Times New Roman" w:cs="Times New Roman" w:eastAsia="Times New Roman" w:hint="default"/>
                <w:sz w:val="18"/>
                <w:szCs w:val="18"/>
              </w:rPr>
            </w:pPr>
            <w:r>
              <w:rPr>
                <w:rFonts w:ascii="Times New Roman"/>
                <w:sz w:val="18"/>
              </w:rPr>
              <w:t>179,690.83</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Times New Roman" w:hAnsi="Times New Roman" w:cs="Times New Roman" w:eastAsia="Times New Roman" w:hint="default"/>
                <w:sz w:val="18"/>
                <w:szCs w:val="18"/>
              </w:rPr>
            </w:pPr>
            <w:r>
              <w:rPr>
                <w:rFonts w:ascii="Times New Roman"/>
                <w:sz w:val="18"/>
              </w:rPr>
              <w:t>641,760.38</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50.20%</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32,088.02</w:t>
            </w:r>
          </w:p>
        </w:tc>
      </w:tr>
      <w:tr>
        <w:trPr>
          <w:trHeight w:val="36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1" w:right="0"/>
              <w:jc w:val="left"/>
              <w:rPr>
                <w:rFonts w:ascii="Times New Roman" w:hAnsi="Times New Roman" w:cs="Times New Roman" w:eastAsia="Times New Roman" w:hint="default"/>
                <w:sz w:val="18"/>
                <w:szCs w:val="18"/>
              </w:rPr>
            </w:pPr>
            <w:r>
              <w:rPr>
                <w:rFonts w:ascii="Times New Roman"/>
                <w:sz w:val="18"/>
              </w:rPr>
              <w:t>358,404.00</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8.46%</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1" w:right="0"/>
              <w:jc w:val="left"/>
              <w:rPr>
                <w:rFonts w:ascii="Times New Roman" w:hAnsi="Times New Roman" w:cs="Times New Roman" w:eastAsia="Times New Roman" w:hint="default"/>
                <w:sz w:val="18"/>
                <w:szCs w:val="18"/>
              </w:rPr>
            </w:pPr>
            <w:r>
              <w:rPr>
                <w:rFonts w:ascii="Times New Roman"/>
                <w:sz w:val="18"/>
              </w:rPr>
              <w:t>71,680.80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7" w:right="0"/>
              <w:jc w:val="left"/>
              <w:rPr>
                <w:rFonts w:ascii="Times New Roman" w:hAnsi="Times New Roman" w:cs="Times New Roman" w:eastAsia="Times New Roman" w:hint="default"/>
                <w:sz w:val="18"/>
                <w:szCs w:val="18"/>
              </w:rPr>
            </w:pPr>
            <w:r>
              <w:rPr>
                <w:rFonts w:ascii="Times New Roman"/>
                <w:sz w:val="18"/>
              </w:rPr>
              <w:t>326,550.36</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25.55%</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65,310.07</w:t>
            </w:r>
          </w:p>
        </w:tc>
      </w:tr>
      <w:tr>
        <w:trPr>
          <w:trHeight w:val="377"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Times New Roman" w:hAnsi="Times New Roman" w:cs="Times New Roman" w:eastAsia="Times New Roman" w:hint="default"/>
                <w:sz w:val="18"/>
                <w:szCs w:val="18"/>
              </w:rPr>
            </w:pPr>
            <w:r>
              <w:rPr>
                <w:rFonts w:ascii="Times New Roman"/>
                <w:sz w:val="18"/>
              </w:rPr>
              <w:t>283,950.36</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6.70%</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Times New Roman" w:hAnsi="Times New Roman" w:cs="Times New Roman" w:eastAsia="Times New Roman" w:hint="default"/>
                <w:sz w:val="18"/>
                <w:szCs w:val="18"/>
              </w:rPr>
            </w:pPr>
            <w:r>
              <w:rPr>
                <w:rFonts w:ascii="Times New Roman"/>
                <w:sz w:val="18"/>
              </w:rPr>
              <w:t>141,975.18</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Times New Roman" w:hAnsi="Times New Roman" w:cs="Times New Roman" w:eastAsia="Times New Roman" w:hint="default"/>
                <w:sz w:val="18"/>
                <w:szCs w:val="18"/>
              </w:rPr>
            </w:pPr>
            <w:r>
              <w:rPr>
                <w:rFonts w:ascii="Times New Roman"/>
                <w:sz w:val="18"/>
              </w:rPr>
              <w:t>310,000.00</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24.25%</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155,000.00</w:t>
            </w:r>
          </w:p>
        </w:tc>
      </w:tr>
      <w:tr>
        <w:trPr>
          <w:trHeight w:val="39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3856" cy="9144"/>
                  <wp:effectExtent l="0" t="0" r="0" b="0"/>
                  <wp:docPr id="63" name="image46.png" descr=""/>
                  <wp:cNvGraphicFramePr>
                    <a:graphicFrameLocks noChangeAspect="1"/>
                  </wp:cNvGraphicFramePr>
                  <a:graphic>
                    <a:graphicData uri="http://schemas.openxmlformats.org/drawingml/2006/picture">
                      <pic:pic>
                        <pic:nvPicPr>
                          <pic:cNvPr id="64" name="image46.png"/>
                          <pic:cNvPicPr/>
                        </pic:nvPicPr>
                        <pic:blipFill>
                          <a:blip r:embed="rId91" cstate="print"/>
                          <a:stretch>
                            <a:fillRect/>
                          </a:stretch>
                        </pic:blipFill>
                        <pic:spPr>
                          <a:xfrm>
                            <a:off x="0" y="0"/>
                            <a:ext cx="85385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31" w:right="0"/>
              <w:jc w:val="left"/>
              <w:rPr>
                <w:rFonts w:ascii="Times New Roman" w:hAnsi="Times New Roman" w:cs="Times New Roman" w:eastAsia="Times New Roman" w:hint="default"/>
                <w:sz w:val="18"/>
                <w:szCs w:val="18"/>
              </w:rPr>
            </w:pPr>
            <w:r>
              <w:rPr>
                <w:rFonts w:ascii="Times New Roman"/>
                <w:sz w:val="18"/>
              </w:rPr>
              <w:t>4,236,171.04</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7539" cy="9144"/>
                  <wp:effectExtent l="0" t="0" r="0" b="0"/>
                  <wp:docPr id="65" name="image47.png" descr=""/>
                  <wp:cNvGraphicFramePr>
                    <a:graphicFrameLocks noChangeAspect="1"/>
                  </wp:cNvGraphicFramePr>
                  <a:graphic>
                    <a:graphicData uri="http://schemas.openxmlformats.org/drawingml/2006/picture">
                      <pic:pic>
                        <pic:nvPicPr>
                          <pic:cNvPr id="66" name="image47.png"/>
                          <pic:cNvPicPr/>
                        </pic:nvPicPr>
                        <pic:blipFill>
                          <a:blip r:embed="rId92" cstate="print"/>
                          <a:stretch>
                            <a:fillRect/>
                          </a:stretch>
                        </pic:blipFill>
                        <pic:spPr>
                          <a:xfrm>
                            <a:off x="0" y="0"/>
                            <a:ext cx="66753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74478" cy="9144"/>
                  <wp:effectExtent l="0" t="0" r="0" b="0"/>
                  <wp:docPr id="67" name="image48.png" descr=""/>
                  <wp:cNvGraphicFramePr>
                    <a:graphicFrameLocks noChangeAspect="1"/>
                  </wp:cNvGraphicFramePr>
                  <a:graphic>
                    <a:graphicData uri="http://schemas.openxmlformats.org/drawingml/2006/picture">
                      <pic:pic>
                        <pic:nvPicPr>
                          <pic:cNvPr id="68" name="image48.png"/>
                          <pic:cNvPicPr/>
                        </pic:nvPicPr>
                        <pic:blipFill>
                          <a:blip r:embed="rId93" cstate="print"/>
                          <a:stretch>
                            <a:fillRect/>
                          </a:stretch>
                        </pic:blipFill>
                        <pic:spPr>
                          <a:xfrm>
                            <a:off x="0" y="0"/>
                            <a:ext cx="77447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31" w:right="0"/>
              <w:jc w:val="left"/>
              <w:rPr>
                <w:rFonts w:ascii="Times New Roman" w:hAnsi="Times New Roman" w:cs="Times New Roman" w:eastAsia="Times New Roman" w:hint="default"/>
                <w:sz w:val="18"/>
                <w:szCs w:val="18"/>
              </w:rPr>
            </w:pPr>
            <w:r>
              <w:rPr>
                <w:rFonts w:ascii="Times New Roman"/>
                <w:sz w:val="18"/>
              </w:rPr>
              <w:t>393,346.81</w:t>
            </w:r>
          </w:p>
        </w:tc>
        <w:tc>
          <w:tcPr>
            <w:tcW w:w="1409"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4712" cy="9144"/>
                  <wp:effectExtent l="0" t="0" r="0" b="0"/>
                  <wp:docPr id="69" name="image49.png" descr=""/>
                  <wp:cNvGraphicFramePr>
                    <a:graphicFrameLocks noChangeAspect="1"/>
                  </wp:cNvGraphicFramePr>
                  <a:graphic>
                    <a:graphicData uri="http://schemas.openxmlformats.org/drawingml/2006/picture">
                      <pic:pic>
                        <pic:nvPicPr>
                          <pic:cNvPr id="70" name="image49.png"/>
                          <pic:cNvPicPr/>
                        </pic:nvPicPr>
                        <pic:blipFill>
                          <a:blip r:embed="rId94" cstate="print"/>
                          <a:stretch>
                            <a:fillRect/>
                          </a:stretch>
                        </pic:blipFill>
                        <pic:spPr>
                          <a:xfrm>
                            <a:off x="0" y="0"/>
                            <a:ext cx="84471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107" w:right="0"/>
              <w:jc w:val="left"/>
              <w:rPr>
                <w:rFonts w:ascii="Times New Roman" w:hAnsi="Times New Roman" w:cs="Times New Roman" w:eastAsia="Times New Roman" w:hint="default"/>
                <w:sz w:val="18"/>
                <w:szCs w:val="18"/>
              </w:rPr>
            </w:pPr>
            <w:r>
              <w:rPr>
                <w:rFonts w:ascii="Times New Roman"/>
                <w:sz w:val="18"/>
              </w:rPr>
              <w:t>1,278,310.74</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106" cy="9144"/>
                  <wp:effectExtent l="0" t="0" r="0" b="0"/>
                  <wp:docPr id="71" name="image50.png" descr=""/>
                  <wp:cNvGraphicFramePr>
                    <a:graphicFrameLocks noChangeAspect="1"/>
                  </wp:cNvGraphicFramePr>
                  <a:graphic>
                    <a:graphicData uri="http://schemas.openxmlformats.org/drawingml/2006/picture">
                      <pic:pic>
                        <pic:nvPicPr>
                          <pic:cNvPr id="72" name="image50.png"/>
                          <pic:cNvPicPr/>
                        </pic:nvPicPr>
                        <pic:blipFill>
                          <a:blip r:embed="rId95" cstate="print"/>
                          <a:stretch>
                            <a:fillRect/>
                          </a:stretch>
                        </pic:blipFill>
                        <pic:spPr>
                          <a:xfrm>
                            <a:off x="0" y="0"/>
                            <a:ext cx="64010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66603" cy="9144"/>
                  <wp:effectExtent l="0" t="0" r="0" b="0"/>
                  <wp:docPr id="73" name="image51.png" descr=""/>
                  <wp:cNvGraphicFramePr>
                    <a:graphicFrameLocks noChangeAspect="1"/>
                  </wp:cNvGraphicFramePr>
                  <a:graphic>
                    <a:graphicData uri="http://schemas.openxmlformats.org/drawingml/2006/picture">
                      <pic:pic>
                        <pic:nvPicPr>
                          <pic:cNvPr id="74" name="image51.png"/>
                          <pic:cNvPicPr/>
                        </pic:nvPicPr>
                        <pic:blipFill>
                          <a:blip r:embed="rId96" cstate="print"/>
                          <a:stretch>
                            <a:fillRect/>
                          </a:stretch>
                        </pic:blipFill>
                        <pic:spPr>
                          <a:xfrm>
                            <a:off x="0" y="0"/>
                            <a:ext cx="76660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252,398.09</w:t>
            </w:r>
          </w:p>
        </w:tc>
      </w:tr>
    </w:tbl>
    <w:p>
      <w:pPr>
        <w:spacing w:line="240" w:lineRule="auto" w:before="2"/>
        <w:rPr>
          <w:rFonts w:ascii="宋体" w:hAnsi="宋体" w:cs="宋体" w:eastAsia="宋体" w:hint="default"/>
          <w:b/>
          <w:bCs/>
          <w:sz w:val="16"/>
          <w:szCs w:val="16"/>
        </w:rPr>
      </w:pPr>
    </w:p>
    <w:p>
      <w:pPr>
        <w:spacing w:before="44"/>
        <w:ind w:left="1142" w:right="12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 </w:t>
      </w:r>
      <w:r>
        <w:rPr>
          <w:rFonts w:ascii="宋体" w:hAnsi="宋体" w:cs="宋体" w:eastAsia="宋体" w:hint="default"/>
          <w:b/>
          <w:bCs/>
          <w:sz w:val="18"/>
          <w:szCs w:val="18"/>
        </w:rPr>
        <w:t>其他应收款期末数中无持本公司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52"/>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）表决权的股东单位欠款。</w:t>
      </w:r>
      <w:r>
        <w:rPr>
          <w:rFonts w:ascii="宋体" w:hAnsi="宋体" w:cs="宋体" w:eastAsia="宋体" w:hint="default"/>
          <w:sz w:val="18"/>
          <w:szCs w:val="18"/>
        </w:rPr>
      </w:r>
    </w:p>
    <w:p>
      <w:pPr>
        <w:spacing w:line="230" w:lineRule="exact" w:before="53"/>
        <w:ind w:left="1142" w:right="12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．其他应收款期末数比期初数增加 </w:t>
      </w:r>
      <w:r>
        <w:rPr>
          <w:rFonts w:ascii="Times New Roman" w:hAnsi="Times New Roman" w:cs="Times New Roman" w:eastAsia="Times New Roman" w:hint="default"/>
          <w:b/>
          <w:bCs/>
          <w:sz w:val="18"/>
          <w:szCs w:val="18"/>
        </w:rPr>
        <w:t>2,957,860.30 </w:t>
      </w:r>
      <w:r>
        <w:rPr>
          <w:rFonts w:ascii="宋体" w:hAnsi="宋体" w:cs="宋体" w:eastAsia="宋体" w:hint="default"/>
          <w:b/>
          <w:bCs/>
          <w:sz w:val="18"/>
          <w:szCs w:val="18"/>
        </w:rPr>
        <w:t>元，增幅为</w:t>
      </w:r>
      <w:r>
        <w:rPr>
          <w:rFonts w:ascii="宋体" w:hAnsi="宋体" w:cs="宋体" w:eastAsia="宋体" w:hint="default"/>
          <w:b/>
          <w:bCs/>
          <w:spacing w:val="-61"/>
          <w:sz w:val="18"/>
          <w:szCs w:val="18"/>
        </w:rPr>
        <w:t> </w:t>
      </w:r>
      <w:r>
        <w:rPr>
          <w:rFonts w:ascii="Times New Roman" w:hAnsi="Times New Roman" w:cs="Times New Roman" w:eastAsia="Times New Roman" w:hint="default"/>
          <w:b/>
          <w:bCs/>
          <w:sz w:val="18"/>
          <w:szCs w:val="18"/>
        </w:rPr>
        <w:t>231.39%</w:t>
      </w:r>
      <w:r>
        <w:rPr>
          <w:rFonts w:ascii="宋体" w:hAnsi="宋体" w:cs="宋体" w:eastAsia="宋体" w:hint="default"/>
          <w:b/>
          <w:bCs/>
          <w:sz w:val="18"/>
          <w:szCs w:val="18"/>
        </w:rPr>
        <w:t>，增加的主要原因为：本期出于业务开</w:t>
      </w:r>
      <w:r>
        <w:rPr>
          <w:rFonts w:ascii="宋体" w:hAnsi="宋体" w:cs="宋体" w:eastAsia="宋体" w:hint="default"/>
          <w:b/>
          <w:bCs/>
          <w:w w:val="99"/>
          <w:sz w:val="18"/>
          <w:szCs w:val="18"/>
        </w:rPr>
        <w:t> </w:t>
      </w:r>
      <w:r>
        <w:rPr>
          <w:rFonts w:ascii="宋体" w:hAnsi="宋体" w:cs="宋体" w:eastAsia="宋体" w:hint="default"/>
          <w:b/>
          <w:bCs/>
          <w:sz w:val="18"/>
          <w:szCs w:val="18"/>
        </w:rPr>
        <w:t>展需要，销售人员备用金增加了</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2,000,000.00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before="17"/>
        <w:ind w:left="1142" w:right="12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．其他应收款期末数中欠款金额前五名：</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142" w:type="dxa"/>
        <w:tblLayout w:type="fixed"/>
        <w:tblCellMar>
          <w:top w:w="0" w:type="dxa"/>
          <w:left w:w="0" w:type="dxa"/>
          <w:bottom w:w="0" w:type="dxa"/>
          <w:right w:w="0" w:type="dxa"/>
        </w:tblCellMar>
        <w:tblLook w:val="01E0"/>
      </w:tblPr>
      <w:tblGrid>
        <w:gridCol w:w="2674"/>
        <w:gridCol w:w="154"/>
        <w:gridCol w:w="1654"/>
        <w:gridCol w:w="122"/>
        <w:gridCol w:w="1472"/>
        <w:gridCol w:w="1892"/>
        <w:gridCol w:w="132"/>
        <w:gridCol w:w="1392"/>
      </w:tblGrid>
      <w:tr>
        <w:trPr>
          <w:trHeight w:val="529" w:hRule="exact"/>
        </w:trPr>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38"/>
              <w:ind w:left="33"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60"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深圳高新区开发建设公司</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140,105.70</w:t>
            </w: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3" w:right="0"/>
              <w:jc w:val="left"/>
              <w:rPr>
                <w:rFonts w:ascii="Times New Roman" w:hAnsi="Times New Roman" w:cs="Times New Roman" w:eastAsia="Times New Roman" w:hint="default"/>
                <w:sz w:val="18"/>
                <w:szCs w:val="18"/>
              </w:rPr>
            </w:pPr>
            <w:r>
              <w:rPr>
                <w:rFonts w:ascii="Times New Roman"/>
                <w:sz w:val="18"/>
              </w:rPr>
              <w:t>3.31%</w:t>
            </w:r>
          </w:p>
        </w:tc>
      </w:tr>
      <w:tr>
        <w:trPr>
          <w:trHeight w:val="57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32" w:lineRule="exact" w:before="44"/>
              <w:ind w:left="26" w:right="27"/>
              <w:jc w:val="left"/>
              <w:rPr>
                <w:rFonts w:ascii="宋体" w:hAnsi="宋体" w:cs="宋体" w:eastAsia="宋体" w:hint="default"/>
                <w:sz w:val="18"/>
                <w:szCs w:val="18"/>
              </w:rPr>
            </w:pPr>
            <w:r>
              <w:rPr>
                <w:rFonts w:ascii="宋体" w:hAnsi="宋体" w:cs="宋体" w:eastAsia="宋体" w:hint="default"/>
                <w:spacing w:val="6"/>
                <w:sz w:val="18"/>
                <w:szCs w:val="18"/>
              </w:rPr>
              <w:t>中国建设银行股份有限公司广东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省分行</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110,000.00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2.60%</w:t>
            </w:r>
          </w:p>
        </w:tc>
      </w:tr>
      <w:tr>
        <w:trPr>
          <w:trHeight w:val="362"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佛山市顺德区精进能源有限公司</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2" w:right="0"/>
              <w:jc w:val="left"/>
              <w:rPr>
                <w:rFonts w:ascii="Times New Roman" w:hAnsi="Times New Roman" w:cs="Times New Roman" w:eastAsia="Times New Roman" w:hint="default"/>
                <w:sz w:val="18"/>
                <w:szCs w:val="18"/>
              </w:rPr>
            </w:pPr>
            <w:r>
              <w:rPr>
                <w:rFonts w:ascii="Times New Roman"/>
                <w:sz w:val="18"/>
              </w:rPr>
              <w:t>85,000.00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3" w:right="0"/>
              <w:jc w:val="left"/>
              <w:rPr>
                <w:rFonts w:ascii="Times New Roman" w:hAnsi="Times New Roman" w:cs="Times New Roman" w:eastAsia="Times New Roman" w:hint="default"/>
                <w:sz w:val="18"/>
                <w:szCs w:val="18"/>
              </w:rPr>
            </w:pPr>
            <w:r>
              <w:rPr>
                <w:rFonts w:ascii="Times New Roman"/>
                <w:sz w:val="18"/>
              </w:rPr>
              <w:t>2.01%</w:t>
            </w:r>
          </w:p>
        </w:tc>
      </w:tr>
      <w:tr>
        <w:trPr>
          <w:trHeight w:val="369"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吉林省信托责任有限公司</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2" w:right="0"/>
              <w:jc w:val="left"/>
              <w:rPr>
                <w:rFonts w:ascii="Times New Roman" w:hAnsi="Times New Roman" w:cs="Times New Roman" w:eastAsia="Times New Roman" w:hint="default"/>
                <w:sz w:val="18"/>
                <w:szCs w:val="18"/>
              </w:rPr>
            </w:pPr>
            <w:r>
              <w:rPr>
                <w:rFonts w:ascii="Times New Roman"/>
                <w:sz w:val="18"/>
              </w:rPr>
              <w:t>1,000,000.00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0"/>
              <w:jc w:val="left"/>
              <w:rPr>
                <w:rFonts w:ascii="Times New Roman" w:hAnsi="Times New Roman" w:cs="Times New Roman" w:eastAsia="Times New Roman" w:hint="default"/>
                <w:sz w:val="18"/>
                <w:szCs w:val="18"/>
              </w:rPr>
            </w:pPr>
            <w:r>
              <w:rPr>
                <w:rFonts w:ascii="Times New Roman"/>
                <w:sz w:val="18"/>
              </w:rPr>
              <w:t>23.60%</w:t>
            </w:r>
          </w:p>
        </w:tc>
      </w:tr>
      <w:tr>
        <w:trPr>
          <w:trHeight w:val="373"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6" w:right="0"/>
              <w:jc w:val="left"/>
              <w:rPr>
                <w:rFonts w:ascii="宋体" w:hAnsi="宋体" w:cs="宋体" w:eastAsia="宋体" w:hint="default"/>
                <w:sz w:val="18"/>
                <w:szCs w:val="18"/>
              </w:rPr>
            </w:pPr>
            <w:r>
              <w:rPr>
                <w:rFonts w:ascii="宋体" w:hAnsi="宋体" w:cs="宋体" w:eastAsia="宋体" w:hint="default"/>
                <w:sz w:val="18"/>
                <w:szCs w:val="18"/>
              </w:rPr>
              <w:t>姚伟</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32" w:right="0"/>
              <w:jc w:val="left"/>
              <w:rPr>
                <w:rFonts w:ascii="Times New Roman" w:hAnsi="Times New Roman" w:cs="Times New Roman" w:eastAsia="Times New Roman" w:hint="default"/>
                <w:sz w:val="18"/>
                <w:szCs w:val="18"/>
              </w:rPr>
            </w:pPr>
            <w:r>
              <w:rPr>
                <w:rFonts w:ascii="Times New Roman"/>
                <w:sz w:val="18"/>
              </w:rPr>
              <w:t>1,000,000.00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33" w:right="0"/>
              <w:jc w:val="left"/>
              <w:rPr>
                <w:rFonts w:ascii="Times New Roman" w:hAnsi="Times New Roman" w:cs="Times New Roman" w:eastAsia="Times New Roman" w:hint="default"/>
                <w:sz w:val="18"/>
                <w:szCs w:val="18"/>
              </w:rPr>
            </w:pPr>
            <w:r>
              <w:rPr>
                <w:rFonts w:ascii="Times New Roman"/>
                <w:sz w:val="18"/>
              </w:rPr>
              <w:t>23.60%</w:t>
            </w:r>
          </w:p>
        </w:tc>
      </w:tr>
      <w:tr>
        <w:trPr>
          <w:trHeight w:val="389"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2,335,105.70</w:t>
            </w:r>
          </w:p>
        </w:tc>
        <w:tc>
          <w:tcPr>
            <w:tcW w:w="189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33" w:right="0"/>
              <w:jc w:val="left"/>
              <w:rPr>
                <w:rFonts w:ascii="Times New Roman" w:hAnsi="Times New Roman" w:cs="Times New Roman" w:eastAsia="Times New Roman" w:hint="default"/>
                <w:sz w:val="18"/>
                <w:szCs w:val="18"/>
              </w:rPr>
            </w:pPr>
            <w:r>
              <w:rPr>
                <w:rFonts w:ascii="Times New Roman"/>
                <w:sz w:val="18"/>
              </w:rPr>
              <w:t>55.12%</w:t>
            </w:r>
          </w:p>
        </w:tc>
      </w:tr>
    </w:tbl>
    <w:p>
      <w:pPr>
        <w:spacing w:line="240" w:lineRule="auto" w:before="2"/>
        <w:rPr>
          <w:rFonts w:ascii="宋体" w:hAnsi="宋体" w:cs="宋体" w:eastAsia="宋体" w:hint="default"/>
          <w:b/>
          <w:bCs/>
          <w:sz w:val="16"/>
          <w:szCs w:val="16"/>
        </w:rPr>
      </w:pPr>
    </w:p>
    <w:p>
      <w:pPr>
        <w:spacing w:before="44"/>
        <w:ind w:left="1142" w:right="1257" w:firstLine="0"/>
        <w:jc w:val="left"/>
        <w:rPr>
          <w:rFonts w:ascii="宋体" w:hAnsi="宋体" w:cs="宋体" w:eastAsia="宋体" w:hint="default"/>
          <w:sz w:val="18"/>
          <w:szCs w:val="18"/>
        </w:rPr>
      </w:pPr>
      <w:r>
        <w:rPr>
          <w:rFonts w:ascii="宋体" w:hAnsi="宋体" w:cs="宋体" w:eastAsia="宋体" w:hint="default"/>
          <w:b/>
          <w:bCs/>
          <w:sz w:val="18"/>
          <w:szCs w:val="18"/>
        </w:rPr>
        <w:t>（七）存货及存货跌价准备</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1110" w:type="dxa"/>
        <w:tblLayout w:type="fixed"/>
        <w:tblCellMar>
          <w:top w:w="0" w:type="dxa"/>
          <w:left w:w="0" w:type="dxa"/>
          <w:bottom w:w="0" w:type="dxa"/>
          <w:right w:w="0" w:type="dxa"/>
        </w:tblCellMar>
        <w:tblLook w:val="01E0"/>
      </w:tblPr>
      <w:tblGrid>
        <w:gridCol w:w="1502"/>
        <w:gridCol w:w="103"/>
        <w:gridCol w:w="1409"/>
        <w:gridCol w:w="1042"/>
        <w:gridCol w:w="106"/>
        <w:gridCol w:w="1436"/>
        <w:gridCol w:w="1484"/>
        <w:gridCol w:w="1217"/>
        <w:gridCol w:w="1505"/>
      </w:tblGrid>
      <w:tr>
        <w:trPr>
          <w:trHeight w:val="296" w:hRule="exact"/>
        </w:trPr>
        <w:tc>
          <w:tcPr>
            <w:tcW w:w="150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42"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7" w:type="dxa"/>
            <w:tcBorders>
              <w:top w:val="nil" w:sz="6" w:space="0" w:color="auto"/>
              <w:left w:val="nil" w:sz="6" w:space="0" w:color="auto"/>
              <w:bottom w:val="single" w:sz="4" w:space="0" w:color="000000"/>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04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06" w:type="dxa"/>
            <w:tcBorders>
              <w:top w:val="single" w:sz="4" w:space="0" w:color="000000"/>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15,439,367.59</w:t>
            </w: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15,439,367.59</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8,982,325.97</w:t>
            </w: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8,982,325.97</w:t>
            </w:r>
          </w:p>
        </w:tc>
      </w:tr>
      <w:tr>
        <w:trPr>
          <w:trHeight w:val="398"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 w:right="0"/>
              <w:jc w:val="left"/>
              <w:rPr>
                <w:rFonts w:ascii="Times New Roman" w:hAnsi="Times New Roman" w:cs="Times New Roman" w:eastAsia="Times New Roman" w:hint="default"/>
                <w:sz w:val="18"/>
                <w:szCs w:val="18"/>
              </w:rPr>
            </w:pPr>
            <w:r>
              <w:rPr>
                <w:rFonts w:ascii="Times New Roman"/>
                <w:sz w:val="18"/>
              </w:rPr>
              <w:t>7,349,838.24</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7,349,838.24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Times New Roman" w:hAnsi="Times New Roman" w:cs="Times New Roman" w:eastAsia="Times New Roman" w:hint="default"/>
                <w:sz w:val="18"/>
                <w:szCs w:val="18"/>
              </w:rPr>
            </w:pPr>
            <w:r>
              <w:rPr>
                <w:rFonts w:ascii="Times New Roman"/>
                <w:sz w:val="18"/>
              </w:rPr>
              <w:t>10,432,696.26</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0" w:right="0"/>
              <w:jc w:val="left"/>
              <w:rPr>
                <w:rFonts w:ascii="Times New Roman" w:hAnsi="Times New Roman" w:cs="Times New Roman" w:eastAsia="Times New Roman" w:hint="default"/>
                <w:sz w:val="18"/>
                <w:szCs w:val="18"/>
              </w:rPr>
            </w:pPr>
            <w:r>
              <w:rPr>
                <w:rFonts w:ascii="Times New Roman"/>
                <w:sz w:val="18"/>
              </w:rPr>
              <w:t>10,432,696.26</w:t>
            </w:r>
          </w:p>
        </w:tc>
      </w:tr>
      <w:tr>
        <w:trPr>
          <w:trHeight w:val="396"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 w:right="0"/>
              <w:jc w:val="left"/>
              <w:rPr>
                <w:rFonts w:ascii="Times New Roman" w:hAnsi="Times New Roman" w:cs="Times New Roman" w:eastAsia="Times New Roman" w:hint="default"/>
                <w:sz w:val="18"/>
                <w:szCs w:val="18"/>
              </w:rPr>
            </w:pPr>
            <w:r>
              <w:rPr>
                <w:rFonts w:ascii="Times New Roman"/>
                <w:sz w:val="18"/>
              </w:rPr>
              <w:t>14,515,096.66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14,515,096.66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Times New Roman" w:hAnsi="Times New Roman" w:cs="Times New Roman" w:eastAsia="Times New Roman" w:hint="default"/>
                <w:sz w:val="18"/>
                <w:szCs w:val="18"/>
              </w:rPr>
            </w:pPr>
            <w:r>
              <w:rPr>
                <w:rFonts w:ascii="Times New Roman"/>
                <w:sz w:val="18"/>
              </w:rPr>
              <w:t>10,647,783.20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0" w:right="0"/>
              <w:jc w:val="left"/>
              <w:rPr>
                <w:rFonts w:ascii="Times New Roman" w:hAnsi="Times New Roman" w:cs="Times New Roman" w:eastAsia="Times New Roman" w:hint="default"/>
                <w:sz w:val="18"/>
                <w:szCs w:val="18"/>
              </w:rPr>
            </w:pPr>
            <w:r>
              <w:rPr>
                <w:rFonts w:ascii="Times New Roman"/>
                <w:sz w:val="18"/>
              </w:rPr>
              <w:t>10,647,783.20</w:t>
            </w:r>
          </w:p>
        </w:tc>
      </w:tr>
      <w:tr>
        <w:trPr>
          <w:trHeight w:val="402"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 w:right="0"/>
              <w:jc w:val="left"/>
              <w:rPr>
                <w:rFonts w:ascii="Times New Roman" w:hAnsi="Times New Roman" w:cs="Times New Roman" w:eastAsia="Times New Roman" w:hint="default"/>
                <w:sz w:val="18"/>
                <w:szCs w:val="18"/>
              </w:rPr>
            </w:pPr>
            <w:r>
              <w:rPr>
                <w:rFonts w:ascii="Times New Roman"/>
                <w:sz w:val="18"/>
              </w:rPr>
              <w:t>24,987,182.76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24,987,182.76</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07" w:right="0"/>
              <w:jc w:val="left"/>
              <w:rPr>
                <w:rFonts w:ascii="Times New Roman" w:hAnsi="Times New Roman" w:cs="Times New Roman" w:eastAsia="Times New Roman" w:hint="default"/>
                <w:sz w:val="18"/>
                <w:szCs w:val="18"/>
              </w:rPr>
            </w:pPr>
            <w:r>
              <w:rPr>
                <w:rFonts w:ascii="Times New Roman"/>
                <w:sz w:val="18"/>
              </w:rPr>
              <w:t>7,947,353.52</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08"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10" w:right="0"/>
              <w:jc w:val="left"/>
              <w:rPr>
                <w:rFonts w:ascii="Times New Roman" w:hAnsi="Times New Roman" w:cs="Times New Roman" w:eastAsia="Times New Roman" w:hint="default"/>
                <w:sz w:val="18"/>
                <w:szCs w:val="18"/>
              </w:rPr>
            </w:pPr>
            <w:r>
              <w:rPr>
                <w:rFonts w:ascii="Times New Roman"/>
                <w:sz w:val="18"/>
              </w:rPr>
              <w:t>7,947,353.52</w:t>
            </w:r>
          </w:p>
        </w:tc>
      </w:tr>
      <w:tr>
        <w:trPr>
          <w:trHeight w:val="432"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4931" cy="9143"/>
                  <wp:effectExtent l="0" t="0" r="0" b="0"/>
                  <wp:docPr id="75" name="image52.png" descr=""/>
                  <wp:cNvGraphicFramePr>
                    <a:graphicFrameLocks noChangeAspect="1"/>
                  </wp:cNvGraphicFramePr>
                  <a:graphic>
                    <a:graphicData uri="http://schemas.openxmlformats.org/drawingml/2006/picture">
                      <pic:pic>
                        <pic:nvPicPr>
                          <pic:cNvPr id="76" name="image52.png"/>
                          <pic:cNvPicPr/>
                        </pic:nvPicPr>
                        <pic:blipFill>
                          <a:blip r:embed="rId97" cstate="print"/>
                          <a:stretch>
                            <a:fillRect/>
                          </a:stretch>
                        </pic:blipFill>
                        <pic:spPr>
                          <a:xfrm>
                            <a:off x="0" y="0"/>
                            <a:ext cx="894931"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1" w:right="0"/>
              <w:jc w:val="left"/>
              <w:rPr>
                <w:rFonts w:ascii="Times New Roman" w:hAnsi="Times New Roman" w:cs="Times New Roman" w:eastAsia="Times New Roman" w:hint="default"/>
                <w:sz w:val="18"/>
                <w:szCs w:val="18"/>
              </w:rPr>
            </w:pPr>
            <w:r>
              <w:rPr>
                <w:rFonts w:ascii="Times New Roman"/>
                <w:sz w:val="18"/>
              </w:rPr>
              <w:t>62,291,485.25</w:t>
            </w:r>
          </w:p>
        </w:tc>
        <w:tc>
          <w:tcPr>
            <w:tcW w:w="1042"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11098" cy="9143"/>
                  <wp:effectExtent l="0" t="0" r="0" b="0"/>
                  <wp:docPr id="77" name="image53.png" descr=""/>
                  <wp:cNvGraphicFramePr>
                    <a:graphicFrameLocks noChangeAspect="1"/>
                  </wp:cNvGraphicFramePr>
                  <a:graphic>
                    <a:graphicData uri="http://schemas.openxmlformats.org/drawingml/2006/picture">
                      <pic:pic>
                        <pic:nvPicPr>
                          <pic:cNvPr id="78" name="image53.png"/>
                          <pic:cNvPicPr/>
                        </pic:nvPicPr>
                        <pic:blipFill>
                          <a:blip r:embed="rId98" cstate="print"/>
                          <a:stretch>
                            <a:fillRect/>
                          </a:stretch>
                        </pic:blipFill>
                        <pic:spPr>
                          <a:xfrm>
                            <a:off x="0" y="0"/>
                            <a:ext cx="61109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10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11568" cy="9143"/>
                  <wp:effectExtent l="0" t="0" r="0" b="0"/>
                  <wp:docPr id="79" name="image54.png" descr=""/>
                  <wp:cNvGraphicFramePr>
                    <a:graphicFrameLocks noChangeAspect="1"/>
                  </wp:cNvGraphicFramePr>
                  <a:graphic>
                    <a:graphicData uri="http://schemas.openxmlformats.org/drawingml/2006/picture">
                      <pic:pic>
                        <pic:nvPicPr>
                          <pic:cNvPr id="80" name="image54.png"/>
                          <pic:cNvPicPr/>
                        </pic:nvPicPr>
                        <pic:blipFill>
                          <a:blip r:embed="rId99" cstate="print"/>
                          <a:stretch>
                            <a:fillRect/>
                          </a:stretch>
                        </pic:blipFill>
                        <pic:spPr>
                          <a:xfrm>
                            <a:off x="0" y="0"/>
                            <a:ext cx="91156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62,291,485.25</w:t>
            </w:r>
          </w:p>
        </w:tc>
        <w:tc>
          <w:tcPr>
            <w:tcW w:w="1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38,010,158.95</w:t>
            </w:r>
          </w:p>
        </w:tc>
        <w:tc>
          <w:tcPr>
            <w:tcW w:w="1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08"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38,010,158.95</w:t>
            </w:r>
          </w:p>
        </w:tc>
      </w:tr>
    </w:tbl>
    <w:p>
      <w:pPr>
        <w:spacing w:line="240" w:lineRule="auto" w:before="2"/>
        <w:rPr>
          <w:rFonts w:ascii="宋体" w:hAnsi="宋体" w:cs="宋体" w:eastAsia="宋体" w:hint="default"/>
          <w:b/>
          <w:bCs/>
          <w:sz w:val="16"/>
          <w:szCs w:val="16"/>
        </w:rPr>
      </w:pPr>
    </w:p>
    <w:p>
      <w:pPr>
        <w:spacing w:line="232" w:lineRule="exact" w:before="69"/>
        <w:ind w:left="1142" w:right="12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．原材料及在产品期末数比期初数增加</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20,907,142.70</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元，增幅为</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112.43%</w:t>
      </w:r>
      <w:r>
        <w:rPr>
          <w:rFonts w:ascii="宋体" w:hAnsi="宋体" w:cs="宋体" w:eastAsia="宋体" w:hint="default"/>
          <w:b/>
          <w:bCs/>
          <w:sz w:val="18"/>
          <w:szCs w:val="18"/>
        </w:rPr>
        <w:t>，主要原因为本期销售规模扩大，</w:t>
      </w:r>
      <w:r>
        <w:rPr>
          <w:rFonts w:ascii="宋体" w:hAnsi="宋体" w:cs="宋体" w:eastAsia="宋体" w:hint="default"/>
          <w:b/>
          <w:bCs/>
          <w:w w:val="99"/>
          <w:sz w:val="18"/>
          <w:szCs w:val="18"/>
        </w:rPr>
        <w:t> </w:t>
      </w:r>
      <w:r>
        <w:rPr>
          <w:rFonts w:ascii="宋体" w:hAnsi="宋体" w:cs="宋体" w:eastAsia="宋体" w:hint="default"/>
          <w:b/>
          <w:bCs/>
          <w:sz w:val="18"/>
          <w:szCs w:val="18"/>
        </w:rPr>
        <w:t>为保证供货及生产需要而增加了原材料储备。</w:t>
      </w:r>
      <w:r>
        <w:rPr>
          <w:rFonts w:ascii="宋体" w:hAnsi="宋体" w:cs="宋体" w:eastAsia="宋体" w:hint="default"/>
          <w:sz w:val="18"/>
          <w:szCs w:val="18"/>
        </w:rPr>
      </w:r>
    </w:p>
    <w:p>
      <w:pPr>
        <w:spacing w:line="232" w:lineRule="exact" w:before="41"/>
        <w:ind w:left="1142" w:right="125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．库存商品及发出商品期末数较期初数增加</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3,374,183.60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元，增幅为</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17.38%</w:t>
      </w:r>
      <w:r>
        <w:rPr>
          <w:rFonts w:ascii="宋体" w:hAnsi="宋体" w:cs="宋体" w:eastAsia="宋体" w:hint="default"/>
          <w:b/>
          <w:bCs/>
          <w:sz w:val="18"/>
          <w:szCs w:val="18"/>
        </w:rPr>
        <w:t>，主要原因为本期销售量较上期</w:t>
      </w:r>
      <w:r>
        <w:rPr>
          <w:rFonts w:ascii="宋体" w:hAnsi="宋体" w:cs="宋体" w:eastAsia="宋体" w:hint="default"/>
          <w:b/>
          <w:bCs/>
          <w:w w:val="99"/>
          <w:sz w:val="18"/>
          <w:szCs w:val="18"/>
        </w:rPr>
        <w:t> </w:t>
      </w:r>
      <w:r>
        <w:rPr>
          <w:rFonts w:ascii="宋体" w:hAnsi="宋体" w:cs="宋体" w:eastAsia="宋体" w:hint="default"/>
          <w:b/>
          <w:bCs/>
          <w:sz w:val="18"/>
          <w:szCs w:val="18"/>
        </w:rPr>
        <w:t>有较大增长，期末尚有部分合同未完全执行完毕。</w:t>
      </w:r>
      <w:r>
        <w:rPr>
          <w:rFonts w:ascii="宋体" w:hAnsi="宋体" w:cs="宋体" w:eastAsia="宋体" w:hint="default"/>
          <w:sz w:val="18"/>
          <w:szCs w:val="18"/>
        </w:rPr>
      </w:r>
    </w:p>
    <w:p>
      <w:pPr>
        <w:spacing w:before="17"/>
        <w:ind w:left="1142" w:right="12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0"/>
          <w:sz w:val="18"/>
          <w:szCs w:val="18"/>
        </w:rPr>
        <w:t> </w:t>
      </w:r>
      <w:r>
        <w:rPr>
          <w:rFonts w:ascii="宋体" w:hAnsi="宋体" w:cs="宋体" w:eastAsia="宋体" w:hint="default"/>
          <w:b/>
          <w:bCs/>
          <w:sz w:val="18"/>
          <w:szCs w:val="18"/>
        </w:rPr>
        <w:t>本公司认为期末存货不存在可变现净值低于账面成本的情形，故未计提存货跌价准备。</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before="0"/>
        <w:ind w:left="1142" w:right="1257" w:firstLine="0"/>
        <w:jc w:val="left"/>
        <w:rPr>
          <w:rFonts w:ascii="宋体" w:hAnsi="宋体" w:cs="宋体" w:eastAsia="宋体" w:hint="default"/>
          <w:sz w:val="18"/>
          <w:szCs w:val="18"/>
        </w:rPr>
      </w:pPr>
      <w:r>
        <w:rPr>
          <w:rFonts w:ascii="宋体" w:hAnsi="宋体" w:cs="宋体" w:eastAsia="宋体" w:hint="default"/>
          <w:b/>
          <w:bCs/>
          <w:sz w:val="18"/>
          <w:szCs w:val="18"/>
        </w:rPr>
        <w:t>（八）长期股权投资</w:t>
      </w:r>
      <w:r>
        <w:rPr>
          <w:rFonts w:ascii="宋体" w:hAnsi="宋体" w:cs="宋体" w:eastAsia="宋体" w:hint="default"/>
          <w:sz w:val="18"/>
          <w:szCs w:val="18"/>
        </w:rPr>
      </w:r>
    </w:p>
    <w:p>
      <w:pPr>
        <w:spacing w:before="35"/>
        <w:ind w:left="1142" w:right="12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．长期股权投资明细情况</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6" w:top="1060" w:bottom="1420" w:left="560" w:right="320"/>
        </w:sectPr>
      </w:pPr>
    </w:p>
    <w:p>
      <w:pPr>
        <w:spacing w:line="240" w:lineRule="auto" w:before="11"/>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1052"/>
        <w:gridCol w:w="766"/>
        <w:gridCol w:w="1018"/>
        <w:gridCol w:w="106"/>
        <w:gridCol w:w="1001"/>
        <w:gridCol w:w="103"/>
        <w:gridCol w:w="919"/>
        <w:gridCol w:w="103"/>
        <w:gridCol w:w="1085"/>
        <w:gridCol w:w="106"/>
        <w:gridCol w:w="720"/>
        <w:gridCol w:w="86"/>
        <w:gridCol w:w="749"/>
        <w:gridCol w:w="77"/>
        <w:gridCol w:w="975"/>
        <w:gridCol w:w="108"/>
        <w:gridCol w:w="590"/>
        <w:gridCol w:w="442"/>
        <w:gridCol w:w="785"/>
      </w:tblGrid>
      <w:tr>
        <w:trPr>
          <w:trHeight w:val="1522" w:hRule="exact"/>
        </w:trPr>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6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32" w:lineRule="exact"/>
              <w:ind w:left="38" w:right="69"/>
              <w:jc w:val="left"/>
              <w:rPr>
                <w:rFonts w:ascii="宋体" w:hAnsi="宋体" w:cs="宋体" w:eastAsia="宋体" w:hint="default"/>
                <w:sz w:val="18"/>
                <w:szCs w:val="18"/>
              </w:rPr>
            </w:pPr>
            <w:r>
              <w:rPr>
                <w:rFonts w:ascii="宋体" w:hAnsi="宋体" w:cs="宋体" w:eastAsia="宋体" w:hint="default"/>
                <w:spacing w:val="25"/>
                <w:sz w:val="18"/>
                <w:szCs w:val="18"/>
              </w:rPr>
              <w:t>核算方</w:t>
            </w:r>
            <w:r>
              <w:rPr>
                <w:rFonts w:ascii="宋体" w:hAnsi="宋体" w:cs="宋体" w:eastAsia="宋体" w:hint="default"/>
                <w:spacing w:val="-52"/>
                <w:sz w:val="18"/>
                <w:szCs w:val="18"/>
              </w:rPr>
              <w:t> </w:t>
            </w:r>
            <w:r>
              <w:rPr>
                <w:rFonts w:ascii="宋体" w:hAnsi="宋体" w:cs="宋体" w:eastAsia="宋体" w:hint="default"/>
                <w:sz w:val="18"/>
                <w:szCs w:val="18"/>
              </w:rPr>
              <w:t>法</w:t>
            </w:r>
          </w:p>
        </w:tc>
        <w:tc>
          <w:tcPr>
            <w:tcW w:w="101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6" w:type="dxa"/>
            <w:tcBorders>
              <w:top w:val="single" w:sz="6" w:space="0" w:color="000000"/>
              <w:left w:val="nil" w:sz="6" w:space="0" w:color="auto"/>
              <w:bottom w:val="nil" w:sz="6" w:space="0" w:color="auto"/>
              <w:right w:val="nil" w:sz="6" w:space="0" w:color="auto"/>
            </w:tcBorders>
          </w:tcPr>
          <w:p>
            <w:pPr/>
          </w:p>
        </w:tc>
        <w:tc>
          <w:tcPr>
            <w:tcW w:w="100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 w:type="dxa"/>
            <w:tcBorders>
              <w:top w:val="single" w:sz="6" w:space="0" w:color="000000"/>
              <w:left w:val="nil" w:sz="6" w:space="0" w:color="auto"/>
              <w:bottom w:val="nil" w:sz="6" w:space="0" w:color="auto"/>
              <w:right w:val="nil" w:sz="6" w:space="0" w:color="auto"/>
            </w:tcBorders>
          </w:tcPr>
          <w:p>
            <w:pPr/>
          </w:p>
        </w:tc>
        <w:tc>
          <w:tcPr>
            <w:tcW w:w="919"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34"/>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03" w:type="dxa"/>
            <w:tcBorders>
              <w:top w:val="single" w:sz="6" w:space="0" w:color="000000"/>
              <w:left w:val="nil" w:sz="6" w:space="0" w:color="auto"/>
              <w:bottom w:val="nil" w:sz="6" w:space="0" w:color="auto"/>
              <w:right w:val="nil" w:sz="6" w:space="0" w:color="auto"/>
            </w:tcBorders>
          </w:tcPr>
          <w:p>
            <w:pPr/>
          </w:p>
        </w:tc>
        <w:tc>
          <w:tcPr>
            <w:tcW w:w="108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 w:type="dxa"/>
            <w:tcBorders>
              <w:top w:val="single" w:sz="6" w:space="0" w:color="000000"/>
              <w:left w:val="nil" w:sz="6" w:space="0" w:color="auto"/>
              <w:bottom w:val="nil" w:sz="6" w:space="0" w:color="auto"/>
              <w:right w:val="nil" w:sz="6" w:space="0" w:color="auto"/>
            </w:tcBorders>
          </w:tcPr>
          <w:p>
            <w:pPr/>
          </w:p>
        </w:tc>
        <w:tc>
          <w:tcPr>
            <w:tcW w:w="72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54"/>
              <w:ind w:left="28" w:right="0"/>
              <w:jc w:val="both"/>
              <w:rPr>
                <w:rFonts w:ascii="宋体" w:hAnsi="宋体" w:cs="宋体" w:eastAsia="宋体" w:hint="default"/>
                <w:sz w:val="18"/>
                <w:szCs w:val="18"/>
              </w:rPr>
            </w:pPr>
            <w:r>
              <w:rPr>
                <w:rFonts w:ascii="宋体" w:hAnsi="宋体" w:cs="宋体" w:eastAsia="宋体" w:hint="default"/>
                <w:spacing w:val="33"/>
                <w:sz w:val="18"/>
                <w:szCs w:val="18"/>
              </w:rPr>
              <w:t>在被投</w:t>
            </w:r>
            <w:r>
              <w:rPr>
                <w:rFonts w:ascii="宋体" w:hAnsi="宋体" w:cs="宋体" w:eastAsia="宋体" w:hint="default"/>
                <w:spacing w:val="-40"/>
                <w:sz w:val="18"/>
                <w:szCs w:val="18"/>
              </w:rPr>
              <w:t> </w:t>
            </w:r>
            <w:r>
              <w:rPr>
                <w:rFonts w:ascii="宋体" w:hAnsi="宋体" w:cs="宋体" w:eastAsia="宋体" w:hint="default"/>
                <w:spacing w:val="33"/>
                <w:sz w:val="18"/>
                <w:szCs w:val="18"/>
              </w:rPr>
              <w:t>资单位</w:t>
            </w:r>
            <w:r>
              <w:rPr>
                <w:rFonts w:ascii="宋体" w:hAnsi="宋体" w:cs="宋体" w:eastAsia="宋体" w:hint="default"/>
                <w:spacing w:val="-40"/>
                <w:sz w:val="18"/>
                <w:szCs w:val="18"/>
              </w:rPr>
              <w:t> </w:t>
            </w:r>
            <w:r>
              <w:rPr>
                <w:rFonts w:ascii="宋体" w:hAnsi="宋体" w:cs="宋体" w:eastAsia="宋体" w:hint="default"/>
                <w:spacing w:val="33"/>
                <w:sz w:val="18"/>
                <w:szCs w:val="18"/>
              </w:rPr>
              <w:t>持股比</w:t>
            </w:r>
            <w:r>
              <w:rPr>
                <w:rFonts w:ascii="宋体" w:hAnsi="宋体" w:cs="宋体" w:eastAsia="宋体" w:hint="default"/>
                <w:spacing w:val="-40"/>
                <w:sz w:val="18"/>
                <w:szCs w:val="18"/>
              </w:rPr>
              <w:t> </w:t>
            </w:r>
            <w:r>
              <w:rPr>
                <w:rFonts w:ascii="宋体" w:hAnsi="宋体" w:cs="宋体" w:eastAsia="宋体" w:hint="default"/>
                <w:sz w:val="18"/>
                <w:szCs w:val="18"/>
              </w:rPr>
              <w:t>例</w:t>
            </w:r>
          </w:p>
        </w:tc>
        <w:tc>
          <w:tcPr>
            <w:tcW w:w="86" w:type="dxa"/>
            <w:tcBorders>
              <w:top w:val="single" w:sz="6" w:space="0" w:color="000000"/>
              <w:left w:val="nil" w:sz="6" w:space="0" w:color="auto"/>
              <w:bottom w:val="nil" w:sz="6" w:space="0" w:color="auto"/>
              <w:right w:val="nil" w:sz="6" w:space="0" w:color="auto"/>
            </w:tcBorders>
          </w:tcPr>
          <w:p>
            <w:pPr/>
          </w:p>
        </w:tc>
        <w:tc>
          <w:tcPr>
            <w:tcW w:w="749"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54"/>
              <w:ind w:left="28" w:right="0"/>
              <w:jc w:val="both"/>
              <w:rPr>
                <w:rFonts w:ascii="宋体" w:hAnsi="宋体" w:cs="宋体" w:eastAsia="宋体" w:hint="default"/>
                <w:sz w:val="18"/>
                <w:szCs w:val="18"/>
              </w:rPr>
            </w:pPr>
            <w:r>
              <w:rPr>
                <w:rFonts w:ascii="宋体" w:hAnsi="宋体" w:cs="宋体" w:eastAsia="宋体" w:hint="default"/>
                <w:spacing w:val="40"/>
                <w:sz w:val="18"/>
                <w:szCs w:val="18"/>
              </w:rPr>
              <w:t>在被投</w:t>
            </w:r>
            <w:r>
              <w:rPr>
                <w:rFonts w:ascii="宋体" w:hAnsi="宋体" w:cs="宋体" w:eastAsia="宋体" w:hint="default"/>
                <w:spacing w:val="-30"/>
                <w:sz w:val="18"/>
                <w:szCs w:val="18"/>
              </w:rPr>
              <w:t> </w:t>
            </w:r>
            <w:r>
              <w:rPr>
                <w:rFonts w:ascii="宋体" w:hAnsi="宋体" w:cs="宋体" w:eastAsia="宋体" w:hint="default"/>
                <w:spacing w:val="40"/>
                <w:sz w:val="18"/>
                <w:szCs w:val="18"/>
              </w:rPr>
              <w:t>资单位</w:t>
            </w:r>
            <w:r>
              <w:rPr>
                <w:rFonts w:ascii="宋体" w:hAnsi="宋体" w:cs="宋体" w:eastAsia="宋体" w:hint="default"/>
                <w:spacing w:val="-30"/>
                <w:sz w:val="18"/>
                <w:szCs w:val="18"/>
              </w:rPr>
              <w:t> </w:t>
            </w:r>
            <w:r>
              <w:rPr>
                <w:rFonts w:ascii="宋体" w:hAnsi="宋体" w:cs="宋体" w:eastAsia="宋体" w:hint="default"/>
                <w:spacing w:val="40"/>
                <w:sz w:val="18"/>
                <w:szCs w:val="18"/>
              </w:rPr>
              <w:t>表决权</w:t>
            </w:r>
            <w:r>
              <w:rPr>
                <w:rFonts w:ascii="宋体" w:hAnsi="宋体" w:cs="宋体" w:eastAsia="宋体" w:hint="default"/>
                <w:spacing w:val="-30"/>
                <w:sz w:val="18"/>
                <w:szCs w:val="18"/>
              </w:rPr>
              <w:t> </w:t>
            </w:r>
            <w:r>
              <w:rPr>
                <w:rFonts w:ascii="宋体" w:hAnsi="宋体" w:cs="宋体" w:eastAsia="宋体" w:hint="default"/>
                <w:sz w:val="18"/>
                <w:szCs w:val="18"/>
              </w:rPr>
              <w:t>比例</w:t>
            </w:r>
          </w:p>
        </w:tc>
        <w:tc>
          <w:tcPr>
            <w:tcW w:w="77" w:type="dxa"/>
            <w:tcBorders>
              <w:top w:val="single" w:sz="6" w:space="0" w:color="000000"/>
              <w:left w:val="nil" w:sz="6" w:space="0" w:color="auto"/>
              <w:bottom w:val="nil" w:sz="6" w:space="0" w:color="auto"/>
              <w:right w:val="nil" w:sz="6" w:space="0" w:color="auto"/>
            </w:tcBorders>
          </w:tcPr>
          <w:p>
            <w:pPr/>
          </w:p>
        </w:tc>
        <w:tc>
          <w:tcPr>
            <w:tcW w:w="975"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37" w:lineRule="auto"/>
              <w:ind w:left="28" w:right="32"/>
              <w:jc w:val="both"/>
              <w:rPr>
                <w:rFonts w:ascii="宋体" w:hAnsi="宋体" w:cs="宋体" w:eastAsia="宋体" w:hint="default"/>
                <w:sz w:val="18"/>
                <w:szCs w:val="18"/>
              </w:rPr>
            </w:pPr>
            <w:r>
              <w:rPr>
                <w:rFonts w:ascii="宋体" w:hAnsi="宋体" w:cs="宋体" w:eastAsia="宋体" w:hint="default"/>
                <w:sz w:val="18"/>
                <w:szCs w:val="18"/>
              </w:rPr>
              <w:t>在被投资单</w:t>
            </w:r>
            <w:r>
              <w:rPr>
                <w:rFonts w:ascii="宋体" w:hAnsi="宋体" w:cs="宋体" w:eastAsia="宋体" w:hint="default"/>
                <w:spacing w:val="-81"/>
                <w:sz w:val="18"/>
                <w:szCs w:val="18"/>
              </w:rPr>
              <w:t> </w:t>
            </w:r>
            <w:r>
              <w:rPr>
                <w:rFonts w:ascii="宋体" w:hAnsi="宋体" w:cs="宋体" w:eastAsia="宋体" w:hint="default"/>
                <w:sz w:val="18"/>
                <w:szCs w:val="18"/>
              </w:rPr>
              <w:t>位持股比例</w:t>
            </w:r>
            <w:r>
              <w:rPr>
                <w:rFonts w:ascii="宋体" w:hAnsi="宋体" w:cs="宋体" w:eastAsia="宋体" w:hint="default"/>
                <w:spacing w:val="-81"/>
                <w:sz w:val="18"/>
                <w:szCs w:val="18"/>
              </w:rPr>
              <w:t> </w:t>
            </w:r>
            <w:r>
              <w:rPr>
                <w:rFonts w:ascii="宋体" w:hAnsi="宋体" w:cs="宋体" w:eastAsia="宋体" w:hint="default"/>
                <w:sz w:val="18"/>
                <w:szCs w:val="18"/>
              </w:rPr>
              <w:t>与表决权比</w:t>
            </w:r>
            <w:r>
              <w:rPr>
                <w:rFonts w:ascii="宋体" w:hAnsi="宋体" w:cs="宋体" w:eastAsia="宋体" w:hint="default"/>
                <w:spacing w:val="-81"/>
                <w:sz w:val="18"/>
                <w:szCs w:val="18"/>
              </w:rPr>
              <w:t> </w:t>
            </w:r>
            <w:r>
              <w:rPr>
                <w:rFonts w:ascii="宋体" w:hAnsi="宋体" w:cs="宋体" w:eastAsia="宋体" w:hint="default"/>
                <w:sz w:val="18"/>
                <w:szCs w:val="18"/>
              </w:rPr>
              <w:t>例不一致的</w:t>
            </w:r>
            <w:r>
              <w:rPr>
                <w:rFonts w:ascii="宋体" w:hAnsi="宋体" w:cs="宋体" w:eastAsia="宋体" w:hint="default"/>
                <w:spacing w:val="-81"/>
                <w:sz w:val="18"/>
                <w:szCs w:val="18"/>
              </w:rPr>
              <w:t> </w:t>
            </w:r>
            <w:r>
              <w:rPr>
                <w:rFonts w:ascii="宋体" w:hAnsi="宋体" w:cs="宋体" w:eastAsia="宋体" w:hint="default"/>
                <w:sz w:val="18"/>
                <w:szCs w:val="18"/>
              </w:rPr>
              <w:t>说明</w:t>
            </w:r>
          </w:p>
        </w:tc>
        <w:tc>
          <w:tcPr>
            <w:tcW w:w="108" w:type="dxa"/>
            <w:tcBorders>
              <w:top w:val="single" w:sz="6" w:space="0" w:color="000000"/>
              <w:left w:val="nil" w:sz="6" w:space="0" w:color="auto"/>
              <w:bottom w:val="nil" w:sz="6" w:space="0" w:color="auto"/>
              <w:right w:val="nil" w:sz="6" w:space="0" w:color="auto"/>
            </w:tcBorders>
          </w:tcPr>
          <w:p>
            <w:pPr/>
          </w:p>
        </w:tc>
        <w:tc>
          <w:tcPr>
            <w:tcW w:w="59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32" w:lineRule="exact"/>
              <w:ind w:left="28" w:right="55"/>
              <w:jc w:val="left"/>
              <w:rPr>
                <w:rFonts w:ascii="宋体" w:hAnsi="宋体" w:cs="宋体" w:eastAsia="宋体" w:hint="default"/>
                <w:sz w:val="18"/>
                <w:szCs w:val="18"/>
              </w:rPr>
            </w:pPr>
            <w:r>
              <w:rPr>
                <w:rFonts w:ascii="宋体" w:hAnsi="宋体" w:cs="宋体" w:eastAsia="宋体" w:hint="default"/>
                <w:spacing w:val="36"/>
                <w:sz w:val="18"/>
                <w:szCs w:val="18"/>
              </w:rPr>
              <w:t>减值</w:t>
            </w:r>
            <w:r>
              <w:rPr>
                <w:rFonts w:ascii="宋体" w:hAnsi="宋体" w:cs="宋体" w:eastAsia="宋体" w:hint="default"/>
                <w:spacing w:val="-18"/>
                <w:sz w:val="18"/>
                <w:szCs w:val="18"/>
              </w:rPr>
              <w:t> </w:t>
            </w:r>
            <w:r>
              <w:rPr>
                <w:rFonts w:ascii="宋体" w:hAnsi="宋体" w:cs="宋体" w:eastAsia="宋体" w:hint="default"/>
                <w:sz w:val="18"/>
                <w:szCs w:val="18"/>
              </w:rPr>
              <w:t>准备</w:t>
            </w:r>
          </w:p>
        </w:tc>
        <w:tc>
          <w:tcPr>
            <w:tcW w:w="44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54"/>
              <w:ind w:left="28" w:right="7"/>
              <w:jc w:val="both"/>
              <w:rPr>
                <w:rFonts w:ascii="宋体" w:hAnsi="宋体" w:cs="宋体" w:eastAsia="宋体" w:hint="default"/>
                <w:sz w:val="18"/>
                <w:szCs w:val="18"/>
              </w:rPr>
            </w:pPr>
            <w:r>
              <w:rPr>
                <w:rFonts w:ascii="宋体" w:hAnsi="宋体" w:cs="宋体" w:eastAsia="宋体" w:hint="default"/>
                <w:spacing w:val="10"/>
                <w:sz w:val="18"/>
                <w:szCs w:val="18"/>
              </w:rPr>
              <w:t>本期</w:t>
            </w:r>
            <w:r>
              <w:rPr>
                <w:rFonts w:ascii="宋体" w:hAnsi="宋体" w:cs="宋体" w:eastAsia="宋体" w:hint="default"/>
                <w:spacing w:val="-69"/>
                <w:sz w:val="18"/>
                <w:szCs w:val="18"/>
              </w:rPr>
              <w:t> </w:t>
            </w:r>
            <w:r>
              <w:rPr>
                <w:rFonts w:ascii="宋体" w:hAnsi="宋体" w:cs="宋体" w:eastAsia="宋体" w:hint="default"/>
                <w:spacing w:val="10"/>
                <w:sz w:val="18"/>
                <w:szCs w:val="18"/>
              </w:rPr>
              <w:t>计提</w:t>
            </w:r>
            <w:r>
              <w:rPr>
                <w:rFonts w:ascii="宋体" w:hAnsi="宋体" w:cs="宋体" w:eastAsia="宋体" w:hint="default"/>
                <w:spacing w:val="-69"/>
                <w:sz w:val="18"/>
                <w:szCs w:val="18"/>
              </w:rPr>
              <w:t> </w:t>
            </w:r>
            <w:r>
              <w:rPr>
                <w:rFonts w:ascii="宋体" w:hAnsi="宋体" w:cs="宋体" w:eastAsia="宋体" w:hint="default"/>
                <w:spacing w:val="10"/>
                <w:sz w:val="18"/>
                <w:szCs w:val="18"/>
              </w:rPr>
              <w:t>减值</w:t>
            </w:r>
            <w:r>
              <w:rPr>
                <w:rFonts w:ascii="宋体" w:hAnsi="宋体" w:cs="宋体" w:eastAsia="宋体" w:hint="default"/>
                <w:spacing w:val="-69"/>
                <w:sz w:val="18"/>
                <w:szCs w:val="18"/>
              </w:rPr>
              <w:t> </w:t>
            </w:r>
            <w:r>
              <w:rPr>
                <w:rFonts w:ascii="宋体" w:hAnsi="宋体" w:cs="宋体" w:eastAsia="宋体" w:hint="default"/>
                <w:sz w:val="18"/>
                <w:szCs w:val="18"/>
              </w:rPr>
              <w:t>准备</w:t>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pacing w:val="28"/>
                <w:sz w:val="18"/>
                <w:szCs w:val="18"/>
              </w:rPr>
              <w:t>本期现</w:t>
            </w:r>
            <w:r>
              <w:rPr>
                <w:rFonts w:ascii="宋体" w:hAnsi="宋体" w:cs="宋体" w:eastAsia="宋体" w:hint="default"/>
                <w:spacing w:val="-47"/>
                <w:sz w:val="18"/>
                <w:szCs w:val="18"/>
              </w:rPr>
              <w:t> </w:t>
            </w:r>
            <w:r>
              <w:rPr>
                <w:rFonts w:ascii="宋体" w:hAnsi="宋体" w:cs="宋体" w:eastAsia="宋体" w:hint="default"/>
                <w:sz w:val="18"/>
                <w:szCs w:val="18"/>
              </w:rPr>
              <w:t>金红利</w:t>
            </w:r>
          </w:p>
        </w:tc>
      </w:tr>
      <w:tr>
        <w:trPr>
          <w:trHeight w:val="790" w:hRule="exact"/>
        </w:trPr>
        <w:tc>
          <w:tcPr>
            <w:tcW w:w="1052" w:type="dxa"/>
            <w:tcBorders>
              <w:top w:val="single" w:sz="4" w:space="0" w:color="000000"/>
              <w:left w:val="nil" w:sz="6" w:space="0" w:color="auto"/>
              <w:bottom w:val="nil" w:sz="6" w:space="0" w:color="auto"/>
              <w:right w:val="nil" w:sz="6" w:space="0" w:color="auto"/>
            </w:tcBorders>
          </w:tcPr>
          <w:p>
            <w:pPr>
              <w:pStyle w:val="TableParagraph"/>
              <w:spacing w:line="237" w:lineRule="auto" w:before="10"/>
              <w:ind w:left="31" w:right="94"/>
              <w:jc w:val="both"/>
              <w:rPr>
                <w:rFonts w:ascii="宋体" w:hAnsi="宋体" w:cs="宋体" w:eastAsia="宋体" w:hint="default"/>
                <w:sz w:val="18"/>
                <w:szCs w:val="18"/>
              </w:rPr>
            </w:pPr>
            <w:r>
              <w:rPr>
                <w:rFonts w:ascii="宋体" w:hAnsi="宋体" w:cs="宋体" w:eastAsia="宋体" w:hint="default"/>
                <w:spacing w:val="4"/>
                <w:sz w:val="18"/>
                <w:szCs w:val="18"/>
              </w:rPr>
              <w:t>肇庆市好易 联网络有限 </w:t>
            </w:r>
            <w:r>
              <w:rPr>
                <w:rFonts w:ascii="宋体" w:hAnsi="宋体" w:cs="宋体" w:eastAsia="宋体" w:hint="default"/>
                <w:sz w:val="18"/>
                <w:szCs w:val="18"/>
              </w:rPr>
              <w:t>公司</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01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1,250,624.65</w:t>
            </w:r>
          </w:p>
        </w:tc>
        <w:tc>
          <w:tcPr>
            <w:tcW w:w="106"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2,067,879.2</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5</w:t>
            </w:r>
          </w:p>
        </w:tc>
        <w:tc>
          <w:tcPr>
            <w:tcW w:w="103" w:type="dxa"/>
            <w:tcBorders>
              <w:top w:val="nil" w:sz="6" w:space="0" w:color="auto"/>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590,335.95</w:t>
            </w:r>
          </w:p>
        </w:tc>
        <w:tc>
          <w:tcPr>
            <w:tcW w:w="103"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2,658,215.20</w:t>
            </w:r>
          </w:p>
        </w:tc>
        <w:tc>
          <w:tcPr>
            <w:tcW w:w="106"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w:t>
            </w:r>
          </w:p>
        </w:tc>
        <w:tc>
          <w:tcPr>
            <w:tcW w:w="86"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w:t>
            </w:r>
          </w:p>
        </w:tc>
        <w:tc>
          <w:tcPr>
            <w:tcW w:w="77" w:type="dxa"/>
            <w:tcBorders>
              <w:top w:val="nil" w:sz="6" w:space="0" w:color="auto"/>
              <w:left w:val="nil" w:sz="6" w:space="0" w:color="auto"/>
              <w:bottom w:val="nil" w:sz="6" w:space="0" w:color="auto"/>
              <w:right w:val="nil" w:sz="6" w:space="0" w:color="auto"/>
            </w:tcBorders>
          </w:tcPr>
          <w:p>
            <w:pPr/>
          </w:p>
        </w:tc>
        <w:tc>
          <w:tcPr>
            <w:tcW w:w="97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59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44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w:t>
            </w:r>
          </w:p>
        </w:tc>
      </w:tr>
      <w:tr>
        <w:trPr>
          <w:trHeight w:val="516" w:hRule="exact"/>
        </w:trPr>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nil" w:sz="6" w:space="0" w:color="auto"/>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28" w:right="0"/>
              <w:jc w:val="left"/>
              <w:rPr>
                <w:rFonts w:ascii="Times New Roman" w:hAnsi="Times New Roman" w:cs="Times New Roman" w:eastAsia="Times New Roman" w:hint="default"/>
                <w:sz w:val="18"/>
                <w:szCs w:val="18"/>
              </w:rPr>
            </w:pPr>
            <w:r>
              <w:rPr>
                <w:rFonts w:ascii="Times New Roman"/>
                <w:sz w:val="18"/>
              </w:rPr>
              <w:t>1,250,624.65</w:t>
            </w:r>
          </w:p>
        </w:tc>
        <w:tc>
          <w:tcPr>
            <w:tcW w:w="106"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12" w:space="0" w:color="000000"/>
              <w:right w:val="nil" w:sz="6" w:space="0" w:color="auto"/>
            </w:tcBorders>
          </w:tcPr>
          <w:p>
            <w:pPr>
              <w:pStyle w:val="TableParagraph"/>
              <w:spacing w:line="205" w:lineRule="exact" w:before="36"/>
              <w:ind w:left="28" w:right="0"/>
              <w:jc w:val="left"/>
              <w:rPr>
                <w:rFonts w:ascii="Times New Roman" w:hAnsi="Times New Roman" w:cs="Times New Roman" w:eastAsia="Times New Roman" w:hint="default"/>
                <w:sz w:val="18"/>
                <w:szCs w:val="18"/>
              </w:rPr>
            </w:pPr>
            <w:r>
              <w:rPr>
                <w:rFonts w:ascii="Times New Roman"/>
                <w:sz w:val="18"/>
              </w:rPr>
              <w:t>2,067,879.2</w:t>
            </w:r>
          </w:p>
          <w:p>
            <w:pPr>
              <w:pStyle w:val="TableParagraph"/>
              <w:spacing w:line="205" w:lineRule="exact"/>
              <w:ind w:left="28" w:right="0"/>
              <w:jc w:val="left"/>
              <w:rPr>
                <w:rFonts w:ascii="Times New Roman" w:hAnsi="Times New Roman" w:cs="Times New Roman" w:eastAsia="Times New Roman" w:hint="default"/>
                <w:sz w:val="18"/>
                <w:szCs w:val="18"/>
              </w:rPr>
            </w:pPr>
            <w:r>
              <w:rPr>
                <w:rFonts w:ascii="Times New Roman"/>
                <w:sz w:val="18"/>
              </w:rPr>
              <w:t>5</w:t>
            </w:r>
          </w:p>
        </w:tc>
        <w:tc>
          <w:tcPr>
            <w:tcW w:w="103" w:type="dxa"/>
            <w:tcBorders>
              <w:top w:val="nil" w:sz="6" w:space="0" w:color="auto"/>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right="43"/>
              <w:jc w:val="center"/>
              <w:rPr>
                <w:rFonts w:ascii="Times New Roman" w:hAnsi="Times New Roman" w:cs="Times New Roman" w:eastAsia="Times New Roman" w:hint="default"/>
                <w:sz w:val="18"/>
                <w:szCs w:val="18"/>
              </w:rPr>
            </w:pPr>
            <w:r>
              <w:rPr>
                <w:rFonts w:ascii="Times New Roman"/>
                <w:sz w:val="18"/>
              </w:rPr>
              <w:t>590,335.95</w:t>
            </w:r>
          </w:p>
        </w:tc>
        <w:tc>
          <w:tcPr>
            <w:tcW w:w="103"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31" w:right="0"/>
              <w:jc w:val="left"/>
              <w:rPr>
                <w:rFonts w:ascii="Times New Roman" w:hAnsi="Times New Roman" w:cs="Times New Roman" w:eastAsia="Times New Roman" w:hint="default"/>
                <w:sz w:val="18"/>
                <w:szCs w:val="18"/>
              </w:rPr>
            </w:pPr>
            <w:r>
              <w:rPr>
                <w:rFonts w:ascii="Times New Roman"/>
                <w:sz w:val="18"/>
              </w:rPr>
              <w:t>2,658,215.20</w:t>
            </w:r>
          </w:p>
        </w:tc>
        <w:tc>
          <w:tcPr>
            <w:tcW w:w="106"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28" w:right="0"/>
              <w:jc w:val="left"/>
              <w:rPr>
                <w:rFonts w:ascii="Times New Roman" w:hAnsi="Times New Roman" w:cs="Times New Roman" w:eastAsia="Times New Roman" w:hint="default"/>
                <w:sz w:val="18"/>
                <w:szCs w:val="18"/>
              </w:rPr>
            </w:pPr>
            <w:r>
              <w:rPr>
                <w:rFonts w:ascii="Times New Roman"/>
                <w:sz w:val="18"/>
              </w:rPr>
              <w:t>49%</w:t>
            </w:r>
          </w:p>
        </w:tc>
        <w:tc>
          <w:tcPr>
            <w:tcW w:w="86"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28" w:right="0"/>
              <w:jc w:val="left"/>
              <w:rPr>
                <w:rFonts w:ascii="Times New Roman" w:hAnsi="Times New Roman" w:cs="Times New Roman" w:eastAsia="Times New Roman" w:hint="default"/>
                <w:sz w:val="18"/>
                <w:szCs w:val="18"/>
              </w:rPr>
            </w:pPr>
            <w:r>
              <w:rPr>
                <w:rFonts w:ascii="Times New Roman"/>
                <w:sz w:val="18"/>
              </w:rPr>
              <w:t>49%</w:t>
            </w:r>
          </w:p>
        </w:tc>
        <w:tc>
          <w:tcPr>
            <w:tcW w:w="77" w:type="dxa"/>
            <w:tcBorders>
              <w:top w:val="nil" w:sz="6" w:space="0" w:color="auto"/>
              <w:left w:val="nil" w:sz="6" w:space="0" w:color="auto"/>
              <w:bottom w:val="nil" w:sz="6" w:space="0" w:color="auto"/>
              <w:right w:val="nil" w:sz="6" w:space="0" w:color="auto"/>
            </w:tcBorders>
          </w:tcPr>
          <w:p>
            <w:pPr/>
          </w:p>
        </w:tc>
        <w:tc>
          <w:tcPr>
            <w:tcW w:w="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28" w:right="0"/>
              <w:jc w:val="left"/>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5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28" w:right="0"/>
              <w:jc w:val="left"/>
              <w:rPr>
                <w:rFonts w:ascii="Times New Roman" w:hAnsi="Times New Roman" w:cs="Times New Roman" w:eastAsia="Times New Roman" w:hint="default"/>
                <w:sz w:val="18"/>
                <w:szCs w:val="18"/>
              </w:rPr>
            </w:pPr>
            <w:r>
              <w:rPr>
                <w:rFonts w:ascii="Times New Roman"/>
                <w:sz w:val="18"/>
              </w:rPr>
              <w:t>---</w:t>
            </w:r>
          </w:p>
        </w:tc>
        <w:tc>
          <w:tcPr>
            <w:tcW w:w="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28"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left="115" w:right="0"/>
              <w:jc w:val="left"/>
              <w:rPr>
                <w:rFonts w:ascii="Times New Roman" w:hAnsi="Times New Roman" w:cs="Times New Roman" w:eastAsia="Times New Roman" w:hint="default"/>
                <w:sz w:val="18"/>
                <w:szCs w:val="18"/>
              </w:rPr>
            </w:pPr>
            <w:r>
              <w:rPr>
                <w:rFonts w:ascii="Times New Roman"/>
                <w:sz w:val="18"/>
              </w:rPr>
              <w:t>---</w:t>
            </w:r>
          </w:p>
        </w:tc>
      </w:tr>
    </w:tbl>
    <w:p>
      <w:pPr>
        <w:spacing w:before="8"/>
        <w:ind w:left="118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联营企业相关情况</w:t>
      </w:r>
      <w:r>
        <w:rPr>
          <w:rFonts w:ascii="宋体" w:hAnsi="宋体" w:cs="宋体" w:eastAsia="宋体" w:hint="default"/>
          <w:sz w:val="18"/>
          <w:szCs w:val="18"/>
        </w:rPr>
      </w:r>
    </w:p>
    <w:p>
      <w:pPr>
        <w:spacing w:line="240" w:lineRule="auto" w:before="12"/>
        <w:rPr>
          <w:rFonts w:ascii="宋体" w:hAnsi="宋体" w:cs="宋体" w:eastAsia="宋体" w:hint="default"/>
          <w:b/>
          <w:bCs/>
          <w:sz w:val="27"/>
          <w:szCs w:val="27"/>
        </w:rPr>
      </w:pPr>
    </w:p>
    <w:tbl>
      <w:tblPr>
        <w:tblW w:w="0" w:type="auto"/>
        <w:jc w:val="left"/>
        <w:tblInd w:w="1182" w:type="dxa"/>
        <w:tblLayout w:type="fixed"/>
        <w:tblCellMar>
          <w:top w:w="0" w:type="dxa"/>
          <w:left w:w="0" w:type="dxa"/>
          <w:bottom w:w="0" w:type="dxa"/>
          <w:right w:w="0" w:type="dxa"/>
        </w:tblCellMar>
        <w:tblLook w:val="01E0"/>
      </w:tblPr>
      <w:tblGrid>
        <w:gridCol w:w="1416"/>
        <w:gridCol w:w="836"/>
        <w:gridCol w:w="946"/>
        <w:gridCol w:w="103"/>
        <w:gridCol w:w="1246"/>
        <w:gridCol w:w="106"/>
        <w:gridCol w:w="629"/>
        <w:gridCol w:w="106"/>
        <w:gridCol w:w="629"/>
        <w:gridCol w:w="106"/>
        <w:gridCol w:w="1251"/>
        <w:gridCol w:w="106"/>
        <w:gridCol w:w="1154"/>
        <w:gridCol w:w="106"/>
        <w:gridCol w:w="1155"/>
      </w:tblGrid>
      <w:tr>
        <w:trPr>
          <w:trHeight w:val="530" w:hRule="exact"/>
        </w:trPr>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13"/>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single" w:sz="4" w:space="0" w:color="000000"/>
              <w:right w:val="nil" w:sz="6" w:space="0" w:color="auto"/>
            </w:tcBorders>
          </w:tcPr>
          <w:p>
            <w:pPr>
              <w:pStyle w:val="TableParagraph"/>
              <w:spacing w:line="201" w:lineRule="exact"/>
              <w:ind w:left="28" w:right="0"/>
              <w:jc w:val="left"/>
              <w:rPr>
                <w:rFonts w:ascii="宋体" w:hAnsi="宋体" w:cs="宋体" w:eastAsia="宋体" w:hint="default"/>
                <w:sz w:val="18"/>
                <w:szCs w:val="18"/>
              </w:rPr>
            </w:pPr>
            <w:r>
              <w:rPr>
                <w:rFonts w:ascii="宋体" w:hAnsi="宋体" w:cs="宋体" w:eastAsia="宋体" w:hint="default"/>
                <w:spacing w:val="14"/>
                <w:sz w:val="18"/>
                <w:szCs w:val="18"/>
              </w:rPr>
              <w:t>表决权</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01"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本期营业收入</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81" w:hRule="exact"/>
        </w:trPr>
        <w:tc>
          <w:tcPr>
            <w:tcW w:w="1416"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28" w:right="28"/>
              <w:jc w:val="left"/>
              <w:rPr>
                <w:rFonts w:ascii="宋体" w:hAnsi="宋体" w:cs="宋体" w:eastAsia="宋体" w:hint="default"/>
                <w:sz w:val="18"/>
                <w:szCs w:val="18"/>
              </w:rPr>
            </w:pPr>
            <w:r>
              <w:rPr>
                <w:rFonts w:ascii="宋体" w:hAnsi="宋体" w:cs="宋体" w:eastAsia="宋体" w:hint="default"/>
                <w:spacing w:val="13"/>
                <w:sz w:val="18"/>
                <w:szCs w:val="18"/>
              </w:rPr>
              <w:t>肇庆市好易联网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络有限公司</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肇庆市</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网络支付</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3,000,000.00</w:t>
            </w:r>
          </w:p>
        </w:tc>
        <w:tc>
          <w:tcPr>
            <w:tcW w:w="106" w:type="dxa"/>
            <w:tcBorders>
              <w:top w:val="nil" w:sz="6" w:space="0" w:color="auto"/>
              <w:left w:val="nil" w:sz="6" w:space="0" w:color="auto"/>
              <w:bottom w:val="nil" w:sz="6" w:space="0" w:color="auto"/>
              <w:right w:val="nil" w:sz="6" w:space="0" w:color="auto"/>
            </w:tcBorders>
          </w:tcPr>
          <w:p>
            <w:pP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w:t>
            </w:r>
          </w:p>
        </w:tc>
        <w:tc>
          <w:tcPr>
            <w:tcW w:w="106" w:type="dxa"/>
            <w:tcBorders>
              <w:top w:val="nil" w:sz="6" w:space="0" w:color="auto"/>
              <w:left w:val="nil" w:sz="6" w:space="0" w:color="auto"/>
              <w:bottom w:val="nil" w:sz="6" w:space="0" w:color="auto"/>
              <w:right w:val="nil" w:sz="6" w:space="0" w:color="auto"/>
            </w:tcBorders>
          </w:tcPr>
          <w:p>
            <w:pP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w:t>
            </w:r>
          </w:p>
        </w:tc>
        <w:tc>
          <w:tcPr>
            <w:tcW w:w="106" w:type="dxa"/>
            <w:tcBorders>
              <w:top w:val="nil" w:sz="6" w:space="0" w:color="auto"/>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10,766,080.56</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7,559,890.67</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1,204,767.25</w:t>
            </w:r>
          </w:p>
        </w:tc>
      </w:tr>
    </w:tbl>
    <w:p>
      <w:pPr>
        <w:spacing w:line="240" w:lineRule="auto" w:before="4"/>
        <w:rPr>
          <w:rFonts w:ascii="宋体" w:hAnsi="宋体" w:cs="宋体" w:eastAsia="宋体" w:hint="default"/>
          <w:b/>
          <w:bCs/>
          <w:sz w:val="21"/>
          <w:szCs w:val="21"/>
        </w:rPr>
      </w:pPr>
    </w:p>
    <w:p>
      <w:pPr>
        <w:spacing w:before="44"/>
        <w:ind w:left="1182" w:right="0" w:firstLine="0"/>
        <w:jc w:val="left"/>
        <w:rPr>
          <w:rFonts w:ascii="宋体" w:hAnsi="宋体" w:cs="宋体" w:eastAsia="宋体" w:hint="default"/>
          <w:sz w:val="18"/>
          <w:szCs w:val="18"/>
        </w:rPr>
      </w:pPr>
      <w:r>
        <w:rPr>
          <w:rFonts w:ascii="宋体" w:hAnsi="宋体" w:cs="宋体" w:eastAsia="宋体" w:hint="default"/>
          <w:b/>
          <w:bCs/>
          <w:sz w:val="18"/>
          <w:szCs w:val="18"/>
        </w:rPr>
        <w:t>（九）固定资产及累计折旧</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118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固定资产情况：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1182" w:type="dxa"/>
        <w:tblLayout w:type="fixed"/>
        <w:tblCellMar>
          <w:top w:w="0" w:type="dxa"/>
          <w:left w:w="0" w:type="dxa"/>
          <w:bottom w:w="0" w:type="dxa"/>
          <w:right w:w="0" w:type="dxa"/>
        </w:tblCellMar>
        <w:tblLook w:val="01E0"/>
      </w:tblPr>
      <w:tblGrid>
        <w:gridCol w:w="1680"/>
        <w:gridCol w:w="197"/>
        <w:gridCol w:w="1589"/>
        <w:gridCol w:w="202"/>
        <w:gridCol w:w="1688"/>
        <w:gridCol w:w="204"/>
        <w:gridCol w:w="1510"/>
        <w:gridCol w:w="204"/>
        <w:gridCol w:w="1582"/>
      </w:tblGrid>
      <w:tr>
        <w:trPr>
          <w:trHeight w:val="296"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8" w:right="0"/>
              <w:jc w:val="left"/>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566,417.10</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 w:right="0"/>
              <w:jc w:val="left"/>
              <w:rPr>
                <w:rFonts w:ascii="Times New Roman" w:hAnsi="Times New Roman" w:cs="Times New Roman" w:eastAsia="Times New Roman" w:hint="default"/>
                <w:sz w:val="18"/>
                <w:szCs w:val="18"/>
              </w:rPr>
            </w:pPr>
            <w:r>
              <w:rPr>
                <w:rFonts w:ascii="Times New Roman"/>
                <w:sz w:val="18"/>
              </w:rPr>
              <w:t>20,687.61</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587,104.71</w:t>
            </w:r>
          </w:p>
        </w:tc>
      </w:tr>
      <w:tr>
        <w:trPr>
          <w:trHeight w:val="397"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2,588,001.00</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left"/>
              <w:rPr>
                <w:rFonts w:ascii="Times New Roman" w:hAnsi="Times New Roman" w:cs="Times New Roman" w:eastAsia="Times New Roman" w:hint="default"/>
                <w:sz w:val="18"/>
                <w:szCs w:val="18"/>
              </w:rPr>
            </w:pPr>
            <w:r>
              <w:rPr>
                <w:rFonts w:ascii="Times New Roman"/>
                <w:sz w:val="18"/>
              </w:rPr>
              <w:t>1,184,122.00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75,400.00</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3,696,723.00</w:t>
            </w:r>
          </w:p>
        </w:tc>
      </w:tr>
      <w:tr>
        <w:trPr>
          <w:trHeight w:val="398"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8,532,103.17</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8" w:right="0"/>
              <w:jc w:val="left"/>
              <w:rPr>
                <w:rFonts w:ascii="Times New Roman" w:hAnsi="Times New Roman" w:cs="Times New Roman" w:eastAsia="Times New Roman" w:hint="default"/>
                <w:sz w:val="18"/>
                <w:szCs w:val="18"/>
              </w:rPr>
            </w:pPr>
            <w:r>
              <w:rPr>
                <w:rFonts w:ascii="Times New Roman"/>
                <w:sz w:val="18"/>
              </w:rPr>
              <w:t>3,248,927.52</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11,781,030.69</w:t>
            </w:r>
          </w:p>
        </w:tc>
      </w:tr>
      <w:tr>
        <w:trPr>
          <w:trHeight w:val="403"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6" w:right="0"/>
              <w:jc w:val="left"/>
              <w:rPr>
                <w:rFonts w:ascii="Times New Roman" w:hAnsi="Times New Roman" w:cs="Times New Roman" w:eastAsia="Times New Roman" w:hint="default"/>
                <w:sz w:val="18"/>
                <w:szCs w:val="18"/>
              </w:rPr>
            </w:pPr>
            <w:r>
              <w:rPr>
                <w:rFonts w:ascii="Times New Roman"/>
                <w:sz w:val="18"/>
              </w:rPr>
              <w:t>2,125,717.34</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8" w:right="0"/>
              <w:jc w:val="left"/>
              <w:rPr>
                <w:rFonts w:ascii="Times New Roman" w:hAnsi="Times New Roman" w:cs="Times New Roman" w:eastAsia="Times New Roman" w:hint="default"/>
                <w:sz w:val="18"/>
                <w:szCs w:val="18"/>
              </w:rPr>
            </w:pPr>
            <w:r>
              <w:rPr>
                <w:rFonts w:ascii="Times New Roman"/>
                <w:sz w:val="18"/>
              </w:rPr>
              <w:t>1,311,831.81</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6" w:right="0"/>
              <w:jc w:val="left"/>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6" w:right="0"/>
              <w:jc w:val="left"/>
              <w:rPr>
                <w:rFonts w:ascii="Times New Roman" w:hAnsi="Times New Roman" w:cs="Times New Roman" w:eastAsia="Times New Roman" w:hint="default"/>
                <w:sz w:val="18"/>
                <w:szCs w:val="18"/>
              </w:rPr>
            </w:pPr>
            <w:r>
              <w:rPr>
                <w:rFonts w:ascii="Times New Roman"/>
                <w:sz w:val="18"/>
              </w:rPr>
              <w:t>3,437,549.15</w:t>
            </w:r>
          </w:p>
        </w:tc>
      </w:tr>
      <w:tr>
        <w:trPr>
          <w:trHeight w:val="427"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4696" cy="9144"/>
                  <wp:effectExtent l="0" t="0" r="0" b="0"/>
                  <wp:docPr id="81" name="image55.png" descr=""/>
                  <wp:cNvGraphicFramePr>
                    <a:graphicFrameLocks noChangeAspect="1"/>
                  </wp:cNvGraphicFramePr>
                  <a:graphic>
                    <a:graphicData uri="http://schemas.openxmlformats.org/drawingml/2006/picture">
                      <pic:pic>
                        <pic:nvPicPr>
                          <pic:cNvPr id="82" name="image55.png"/>
                          <pic:cNvPicPr/>
                        </pic:nvPicPr>
                        <pic:blipFill>
                          <a:blip r:embed="rId100" cstate="print"/>
                          <a:stretch>
                            <a:fillRect/>
                          </a:stretch>
                        </pic:blipFill>
                        <pic:spPr>
                          <a:xfrm>
                            <a:off x="0" y="0"/>
                            <a:ext cx="100469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6" w:right="0"/>
              <w:jc w:val="left"/>
              <w:rPr>
                <w:rFonts w:ascii="Times New Roman" w:hAnsi="Times New Roman" w:cs="Times New Roman" w:eastAsia="Times New Roman" w:hint="default"/>
                <w:sz w:val="18"/>
                <w:szCs w:val="18"/>
              </w:rPr>
            </w:pPr>
            <w:r>
              <w:rPr>
                <w:rFonts w:ascii="Times New Roman"/>
                <w:sz w:val="18"/>
              </w:rPr>
              <w:t>13,812,238.61</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54" cy="9144"/>
                  <wp:effectExtent l="0" t="0" r="0" b="0"/>
                  <wp:docPr id="83" name="image56.png" descr=""/>
                  <wp:cNvGraphicFramePr>
                    <a:graphicFrameLocks noChangeAspect="1"/>
                  </wp:cNvGraphicFramePr>
                  <a:graphic>
                    <a:graphicData uri="http://schemas.openxmlformats.org/drawingml/2006/picture">
                      <pic:pic>
                        <pic:nvPicPr>
                          <pic:cNvPr id="84" name="image56.png"/>
                          <pic:cNvPicPr/>
                        </pic:nvPicPr>
                        <pic:blipFill>
                          <a:blip r:embed="rId101" cstate="print"/>
                          <a:stretch>
                            <a:fillRect/>
                          </a:stretch>
                        </pic:blipFill>
                        <pic:spPr>
                          <a:xfrm>
                            <a:off x="0" y="0"/>
                            <a:ext cx="106705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8" w:right="0"/>
              <w:jc w:val="left"/>
              <w:rPr>
                <w:rFonts w:ascii="Times New Roman" w:hAnsi="Times New Roman" w:cs="Times New Roman" w:eastAsia="Times New Roman" w:hint="default"/>
                <w:sz w:val="18"/>
                <w:szCs w:val="18"/>
              </w:rPr>
            </w:pPr>
            <w:r>
              <w:rPr>
                <w:rFonts w:ascii="Times New Roman"/>
                <w:sz w:val="18"/>
              </w:rPr>
              <w:t>5,765,568.94</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4404" cy="9144"/>
                  <wp:effectExtent l="0" t="0" r="0" b="0"/>
                  <wp:docPr id="85" name="image57.png" descr=""/>
                  <wp:cNvGraphicFramePr>
                    <a:graphicFrameLocks noChangeAspect="1"/>
                  </wp:cNvGraphicFramePr>
                  <a:graphic>
                    <a:graphicData uri="http://schemas.openxmlformats.org/drawingml/2006/picture">
                      <pic:pic>
                        <pic:nvPicPr>
                          <pic:cNvPr id="86" name="image57.png"/>
                          <pic:cNvPicPr/>
                        </pic:nvPicPr>
                        <pic:blipFill>
                          <a:blip r:embed="rId102" cstate="print"/>
                          <a:stretch>
                            <a:fillRect/>
                          </a:stretch>
                        </pic:blipFill>
                        <pic:spPr>
                          <a:xfrm>
                            <a:off x="0" y="0"/>
                            <a:ext cx="95440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6" w:right="0"/>
              <w:jc w:val="left"/>
              <w:rPr>
                <w:rFonts w:ascii="Times New Roman" w:hAnsi="Times New Roman" w:cs="Times New Roman" w:eastAsia="Times New Roman" w:hint="default"/>
                <w:sz w:val="18"/>
                <w:szCs w:val="18"/>
              </w:rPr>
            </w:pPr>
            <w:r>
              <w:rPr>
                <w:rFonts w:ascii="Times New Roman"/>
                <w:sz w:val="18"/>
              </w:rPr>
              <w:t>75,400.00</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44" cy="9144"/>
                  <wp:effectExtent l="0" t="0" r="0" b="0"/>
                  <wp:docPr id="87" name="image58.png" descr=""/>
                  <wp:cNvGraphicFramePr>
                    <a:graphicFrameLocks noChangeAspect="1"/>
                  </wp:cNvGraphicFramePr>
                  <a:graphic>
                    <a:graphicData uri="http://schemas.openxmlformats.org/drawingml/2006/picture">
                      <pic:pic>
                        <pic:nvPicPr>
                          <pic:cNvPr id="88" name="image58.png"/>
                          <pic:cNvPicPr/>
                        </pic:nvPicPr>
                        <pic:blipFill>
                          <a:blip r:embed="rId103" cstate="print"/>
                          <a:stretch>
                            <a:fillRect/>
                          </a:stretch>
                        </pic:blipFill>
                        <pic:spPr>
                          <a:xfrm>
                            <a:off x="0" y="0"/>
                            <a:ext cx="99974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6" w:right="0"/>
              <w:jc w:val="left"/>
              <w:rPr>
                <w:rFonts w:ascii="Times New Roman" w:hAnsi="Times New Roman" w:cs="Times New Roman" w:eastAsia="Times New Roman" w:hint="default"/>
                <w:sz w:val="18"/>
                <w:szCs w:val="18"/>
              </w:rPr>
            </w:pPr>
            <w:r>
              <w:rPr>
                <w:rFonts w:ascii="Times New Roman"/>
                <w:sz w:val="18"/>
              </w:rPr>
              <w:t>19,502,407.55</w:t>
            </w:r>
          </w:p>
        </w:tc>
      </w:tr>
    </w:tbl>
    <w:p>
      <w:pPr>
        <w:spacing w:line="240" w:lineRule="auto" w:before="13"/>
        <w:rPr>
          <w:rFonts w:ascii="宋体" w:hAnsi="宋体" w:cs="宋体" w:eastAsia="宋体" w:hint="default"/>
          <w:b/>
          <w:bCs/>
          <w:sz w:val="29"/>
          <w:szCs w:val="29"/>
        </w:rPr>
      </w:pPr>
    </w:p>
    <w:tbl>
      <w:tblPr>
        <w:tblW w:w="0" w:type="auto"/>
        <w:jc w:val="left"/>
        <w:tblInd w:w="1150" w:type="dxa"/>
        <w:tblLayout w:type="fixed"/>
        <w:tblCellMar>
          <w:top w:w="0" w:type="dxa"/>
          <w:left w:w="0" w:type="dxa"/>
          <w:bottom w:w="0" w:type="dxa"/>
          <w:right w:w="0" w:type="dxa"/>
        </w:tblCellMar>
        <w:tblLook w:val="01E0"/>
      </w:tblPr>
      <w:tblGrid>
        <w:gridCol w:w="1711"/>
        <w:gridCol w:w="204"/>
        <w:gridCol w:w="1582"/>
        <w:gridCol w:w="209"/>
        <w:gridCol w:w="1680"/>
        <w:gridCol w:w="211"/>
        <w:gridCol w:w="1517"/>
        <w:gridCol w:w="190"/>
        <w:gridCol w:w="1560"/>
      </w:tblGrid>
      <w:tr>
        <w:trPr>
          <w:trHeight w:val="296" w:hRule="exact"/>
        </w:trPr>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5" w:right="0"/>
              <w:jc w:val="lef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1" w:right="0"/>
              <w:jc w:val="left"/>
              <w:rPr>
                <w:rFonts w:ascii="Times New Roman" w:hAnsi="Times New Roman" w:cs="Times New Roman" w:eastAsia="Times New Roman" w:hint="default"/>
                <w:sz w:val="18"/>
                <w:szCs w:val="18"/>
              </w:rPr>
            </w:pPr>
            <w:r>
              <w:rPr>
                <w:rFonts w:ascii="Times New Roman"/>
                <w:sz w:val="18"/>
              </w:rPr>
              <w:t>---</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8" w:right="0"/>
              <w:jc w:val="left"/>
              <w:rPr>
                <w:rFonts w:ascii="Times New Roman" w:hAnsi="Times New Roman" w:cs="Times New Roman" w:eastAsia="Times New Roman" w:hint="default"/>
                <w:sz w:val="18"/>
                <w:szCs w:val="18"/>
              </w:rPr>
            </w:pPr>
            <w:r>
              <w:rPr>
                <w:rFonts w:ascii="Times New Roman"/>
                <w:sz w:val="18"/>
              </w:rPr>
              <w:t>---</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99"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Times New Roman" w:hAnsi="Times New Roman" w:cs="Times New Roman" w:eastAsia="Times New Roman" w:hint="default"/>
                <w:sz w:val="18"/>
                <w:szCs w:val="18"/>
              </w:rPr>
            </w:pPr>
            <w:r>
              <w:rPr>
                <w:rFonts w:ascii="Times New Roman"/>
                <w:sz w:val="18"/>
              </w:rPr>
              <w:t>246,027.02</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 w:right="0"/>
              <w:jc w:val="left"/>
              <w:rPr>
                <w:rFonts w:ascii="Times New Roman" w:hAnsi="Times New Roman" w:cs="Times New Roman" w:eastAsia="Times New Roman" w:hint="default"/>
                <w:sz w:val="18"/>
                <w:szCs w:val="18"/>
              </w:rPr>
            </w:pPr>
            <w:r>
              <w:rPr>
                <w:rFonts w:ascii="Times New Roman"/>
                <w:sz w:val="18"/>
              </w:rPr>
              <w:t>109,735.57</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355,762.59</w:t>
            </w:r>
          </w:p>
        </w:tc>
      </w:tr>
      <w:tr>
        <w:trPr>
          <w:trHeight w:val="396"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Times New Roman" w:hAnsi="Times New Roman" w:cs="Times New Roman" w:eastAsia="Times New Roman" w:hint="default"/>
                <w:sz w:val="18"/>
                <w:szCs w:val="18"/>
              </w:rPr>
            </w:pPr>
            <w:r>
              <w:rPr>
                <w:rFonts w:ascii="Times New Roman"/>
                <w:sz w:val="18"/>
              </w:rPr>
              <w:t>1,069,247.51</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 w:right="0"/>
              <w:jc w:val="left"/>
              <w:rPr>
                <w:rFonts w:ascii="Times New Roman" w:hAnsi="Times New Roman" w:cs="Times New Roman" w:eastAsia="Times New Roman" w:hint="default"/>
                <w:sz w:val="18"/>
                <w:szCs w:val="18"/>
              </w:rPr>
            </w:pPr>
            <w:r>
              <w:rPr>
                <w:rFonts w:ascii="Times New Roman"/>
                <w:sz w:val="18"/>
              </w:rPr>
              <w:t>565,331.26</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60,885.33</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1,573,693.44</w:t>
            </w:r>
          </w:p>
        </w:tc>
      </w:tr>
      <w:tr>
        <w:trPr>
          <w:trHeight w:val="400"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Times New Roman" w:hAnsi="Times New Roman" w:cs="Times New Roman" w:eastAsia="Times New Roman" w:hint="default"/>
                <w:sz w:val="18"/>
                <w:szCs w:val="18"/>
              </w:rPr>
            </w:pPr>
            <w:r>
              <w:rPr>
                <w:rFonts w:ascii="Times New Roman"/>
                <w:sz w:val="18"/>
              </w:rPr>
              <w:t>5,427,444.28</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 w:right="0"/>
              <w:jc w:val="left"/>
              <w:rPr>
                <w:rFonts w:ascii="Times New Roman" w:hAnsi="Times New Roman" w:cs="Times New Roman" w:eastAsia="Times New Roman" w:hint="default"/>
                <w:sz w:val="18"/>
                <w:szCs w:val="18"/>
              </w:rPr>
            </w:pPr>
            <w:r>
              <w:rPr>
                <w:rFonts w:ascii="Times New Roman"/>
                <w:sz w:val="18"/>
              </w:rPr>
              <w:t>1,963,103.42</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7,390,547.70</w:t>
            </w:r>
          </w:p>
        </w:tc>
      </w:tr>
      <w:tr>
        <w:trPr>
          <w:trHeight w:val="402"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Times New Roman" w:hAnsi="Times New Roman" w:cs="Times New Roman" w:eastAsia="Times New Roman" w:hint="default"/>
                <w:sz w:val="18"/>
                <w:szCs w:val="18"/>
              </w:rPr>
            </w:pPr>
            <w:r>
              <w:rPr>
                <w:rFonts w:ascii="Times New Roman"/>
                <w:sz w:val="18"/>
              </w:rPr>
              <w:t>465,307.36</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1" w:right="0"/>
              <w:jc w:val="left"/>
              <w:rPr>
                <w:rFonts w:ascii="Times New Roman" w:hAnsi="Times New Roman" w:cs="Times New Roman" w:eastAsia="Times New Roman" w:hint="default"/>
                <w:sz w:val="18"/>
                <w:szCs w:val="18"/>
              </w:rPr>
            </w:pPr>
            <w:r>
              <w:rPr>
                <w:rFonts w:ascii="Times New Roman"/>
                <w:sz w:val="18"/>
              </w:rPr>
              <w:t>494,878.21</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 w:right="0"/>
              <w:jc w:val="left"/>
              <w:rPr>
                <w:rFonts w:ascii="Times New Roman" w:hAnsi="Times New Roman" w:cs="Times New Roman" w:eastAsia="Times New Roman" w:hint="default"/>
                <w:sz w:val="18"/>
                <w:szCs w:val="18"/>
              </w:rPr>
            </w:pPr>
            <w:r>
              <w:rPr>
                <w:rFonts w:ascii="Times New Roman"/>
                <w:sz w:val="18"/>
              </w:rPr>
              <w:t>---</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6" w:right="0"/>
              <w:jc w:val="left"/>
              <w:rPr>
                <w:rFonts w:ascii="Times New Roman" w:hAnsi="Times New Roman" w:cs="Times New Roman" w:eastAsia="Times New Roman" w:hint="default"/>
                <w:sz w:val="18"/>
                <w:szCs w:val="18"/>
              </w:rPr>
            </w:pPr>
            <w:r>
              <w:rPr>
                <w:rFonts w:ascii="Times New Roman"/>
                <w:sz w:val="18"/>
              </w:rPr>
              <w:t>960,185.57</w:t>
            </w:r>
          </w:p>
        </w:tc>
      </w:tr>
      <w:tr>
        <w:trPr>
          <w:trHeight w:val="419"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6" cy="9143"/>
                  <wp:effectExtent l="0" t="0" r="0" b="0"/>
                  <wp:docPr id="89" name="image59.png" descr=""/>
                  <wp:cNvGraphicFramePr>
                    <a:graphicFrameLocks noChangeAspect="1"/>
                  </wp:cNvGraphicFramePr>
                  <a:graphic>
                    <a:graphicData uri="http://schemas.openxmlformats.org/drawingml/2006/picture">
                      <pic:pic>
                        <pic:nvPicPr>
                          <pic:cNvPr id="90" name="image59.png"/>
                          <pic:cNvPicPr/>
                        </pic:nvPicPr>
                        <pic:blipFill>
                          <a:blip r:embed="rId104" cstate="print"/>
                          <a:stretch>
                            <a:fillRect/>
                          </a:stretch>
                        </pic:blipFill>
                        <pic:spPr>
                          <a:xfrm>
                            <a:off x="0" y="0"/>
                            <a:ext cx="1000166"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5" w:right="0"/>
              <w:jc w:val="left"/>
              <w:rPr>
                <w:rFonts w:ascii="Times New Roman" w:hAnsi="Times New Roman" w:cs="Times New Roman" w:eastAsia="Times New Roman" w:hint="default"/>
                <w:sz w:val="18"/>
                <w:szCs w:val="18"/>
              </w:rPr>
            </w:pPr>
            <w:r>
              <w:rPr>
                <w:rFonts w:ascii="Times New Roman"/>
                <w:sz w:val="18"/>
              </w:rPr>
              <w:t>7,208,026.17</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98" cy="9143"/>
                  <wp:effectExtent l="0" t="0" r="0" b="0"/>
                  <wp:docPr id="91" name="image17.png" descr=""/>
                  <wp:cNvGraphicFramePr>
                    <a:graphicFrameLocks noChangeAspect="1"/>
                  </wp:cNvGraphicFramePr>
                  <a:graphic>
                    <a:graphicData uri="http://schemas.openxmlformats.org/drawingml/2006/picture">
                      <pic:pic>
                        <pic:nvPicPr>
                          <pic:cNvPr id="92" name="image17.png"/>
                          <pic:cNvPicPr/>
                        </pic:nvPicPr>
                        <pic:blipFill>
                          <a:blip r:embed="rId62" cstate="print"/>
                          <a:stretch>
                            <a:fillRect/>
                          </a:stretch>
                        </pic:blipFill>
                        <pic:spPr>
                          <a:xfrm>
                            <a:off x="0" y="0"/>
                            <a:ext cx="106709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1" w:right="0"/>
              <w:jc w:val="left"/>
              <w:rPr>
                <w:rFonts w:ascii="Times New Roman" w:hAnsi="Times New Roman" w:cs="Times New Roman" w:eastAsia="Times New Roman" w:hint="default"/>
                <w:sz w:val="18"/>
                <w:szCs w:val="18"/>
              </w:rPr>
            </w:pPr>
            <w:r>
              <w:rPr>
                <w:rFonts w:ascii="Times New Roman"/>
                <w:sz w:val="18"/>
              </w:rPr>
              <w:t>3,133,048.46</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63589" cy="9143"/>
                  <wp:effectExtent l="0" t="0" r="0" b="0"/>
                  <wp:docPr id="93" name="image60.png" descr=""/>
                  <wp:cNvGraphicFramePr>
                    <a:graphicFrameLocks noChangeAspect="1"/>
                  </wp:cNvGraphicFramePr>
                  <a:graphic>
                    <a:graphicData uri="http://schemas.openxmlformats.org/drawingml/2006/picture">
                      <pic:pic>
                        <pic:nvPicPr>
                          <pic:cNvPr id="94" name="image60.png"/>
                          <pic:cNvPicPr/>
                        </pic:nvPicPr>
                        <pic:blipFill>
                          <a:blip r:embed="rId105" cstate="print"/>
                          <a:stretch>
                            <a:fillRect/>
                          </a:stretch>
                        </pic:blipFill>
                        <pic:spPr>
                          <a:xfrm>
                            <a:off x="0" y="0"/>
                            <a:ext cx="96358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60,885.33</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86069" cy="9143"/>
                  <wp:effectExtent l="0" t="0" r="0" b="0"/>
                  <wp:docPr id="95" name="image61.png" descr=""/>
                  <wp:cNvGraphicFramePr>
                    <a:graphicFrameLocks noChangeAspect="1"/>
                  </wp:cNvGraphicFramePr>
                  <a:graphic>
                    <a:graphicData uri="http://schemas.openxmlformats.org/drawingml/2006/picture">
                      <pic:pic>
                        <pic:nvPicPr>
                          <pic:cNvPr id="96" name="image61.png"/>
                          <pic:cNvPicPr/>
                        </pic:nvPicPr>
                        <pic:blipFill>
                          <a:blip r:embed="rId106" cstate="print"/>
                          <a:stretch>
                            <a:fillRect/>
                          </a:stretch>
                        </pic:blipFill>
                        <pic:spPr>
                          <a:xfrm>
                            <a:off x="0" y="0"/>
                            <a:ext cx="98606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36" w:right="0"/>
              <w:jc w:val="left"/>
              <w:rPr>
                <w:rFonts w:ascii="Times New Roman" w:hAnsi="Times New Roman" w:cs="Times New Roman" w:eastAsia="Times New Roman" w:hint="default"/>
                <w:sz w:val="18"/>
                <w:szCs w:val="18"/>
              </w:rPr>
            </w:pPr>
            <w:r>
              <w:rPr>
                <w:rFonts w:ascii="Times New Roman"/>
                <w:sz w:val="18"/>
              </w:rPr>
              <w:t>10,280,189.30</w:t>
            </w:r>
          </w:p>
        </w:tc>
      </w:tr>
      <w:tr>
        <w:trPr>
          <w:trHeight w:val="427"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w:t>
            </w: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437"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single" w:sz="17" w:space="0" w:color="000000"/>
              <w:right w:val="nil" w:sz="6" w:space="0" w:color="auto"/>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6,604,212.44</w:t>
            </w:r>
          </w:p>
        </w:tc>
        <w:tc>
          <w:tcPr>
            <w:tcW w:w="209"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517" w:type="dxa"/>
            <w:tcBorders>
              <w:top w:val="single" w:sz="12" w:space="0" w:color="000000"/>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560" w:type="dxa"/>
            <w:tcBorders>
              <w:top w:val="single" w:sz="12" w:space="0" w:color="000000"/>
              <w:left w:val="nil" w:sz="6" w:space="0" w:color="auto"/>
              <w:bottom w:val="single" w:sz="17" w:space="0" w:color="000000"/>
              <w:right w:val="nil" w:sz="6" w:space="0" w:color="auto"/>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9,222,218.25</w:t>
            </w:r>
          </w:p>
        </w:tc>
      </w:tr>
    </w:tbl>
    <w:p>
      <w:pPr>
        <w:spacing w:line="240" w:lineRule="auto" w:before="12"/>
        <w:rPr>
          <w:rFonts w:ascii="宋体" w:hAnsi="宋体" w:cs="宋体" w:eastAsia="宋体" w:hint="default"/>
          <w:b/>
          <w:bCs/>
          <w:sz w:val="15"/>
          <w:szCs w:val="15"/>
        </w:rPr>
      </w:pPr>
    </w:p>
    <w:p>
      <w:pPr>
        <w:spacing w:before="44"/>
        <w:ind w:left="118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本期增加的出租</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POS</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机为存货转入。</w:t>
      </w:r>
      <w:r>
        <w:rPr>
          <w:rFonts w:ascii="宋体" w:hAnsi="宋体" w:cs="宋体" w:eastAsia="宋体" w:hint="default"/>
          <w:sz w:val="18"/>
          <w:szCs w:val="18"/>
        </w:rPr>
      </w:r>
    </w:p>
    <w:p>
      <w:pPr>
        <w:spacing w:before="25"/>
        <w:ind w:left="118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本公司认为期末固定资产不存在可回收金额低于账面价值的情况，故未计提固定资产减值准备。</w:t>
      </w:r>
      <w:r>
        <w:rPr>
          <w:rFonts w:ascii="宋体" w:hAnsi="宋体" w:cs="宋体" w:eastAsia="宋体" w:hint="default"/>
          <w:sz w:val="18"/>
          <w:szCs w:val="18"/>
        </w:rPr>
      </w:r>
    </w:p>
    <w:p>
      <w:pPr>
        <w:spacing w:before="24"/>
        <w:ind w:left="118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本公司期末固定资产不存在抵押情况。</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6" w:top="1060" w:bottom="1420" w:left="520" w:right="200"/>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before="0"/>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（十）无形资产</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37" w:type="dxa"/>
        <w:tblLayout w:type="fixed"/>
        <w:tblCellMar>
          <w:top w:w="0" w:type="dxa"/>
          <w:left w:w="0" w:type="dxa"/>
          <w:bottom w:w="0" w:type="dxa"/>
          <w:right w:w="0" w:type="dxa"/>
        </w:tblCellMar>
        <w:tblLook w:val="01E0"/>
      </w:tblPr>
      <w:tblGrid>
        <w:gridCol w:w="2316"/>
        <w:gridCol w:w="223"/>
        <w:gridCol w:w="1596"/>
        <w:gridCol w:w="182"/>
        <w:gridCol w:w="1510"/>
        <w:gridCol w:w="197"/>
        <w:gridCol w:w="1385"/>
        <w:gridCol w:w="197"/>
        <w:gridCol w:w="1567"/>
      </w:tblGrid>
      <w:tr>
        <w:trPr>
          <w:trHeight w:val="267" w:hRule="exact"/>
        </w:trPr>
        <w:tc>
          <w:tcPr>
            <w:tcW w:w="231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12,811,900.00</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404,893.16</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13,216,793.16</w:t>
            </w:r>
          </w:p>
        </w:tc>
      </w:tr>
      <w:tr>
        <w:trPr>
          <w:trHeight w:val="347"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12,811,900.00</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12,811,900.00</w:t>
            </w:r>
          </w:p>
        </w:tc>
      </w:tr>
      <w:tr>
        <w:trPr>
          <w:trHeight w:val="34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404,893.16</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404,893.16</w:t>
            </w:r>
          </w:p>
        </w:tc>
      </w:tr>
      <w:tr>
        <w:trPr>
          <w:trHeight w:val="35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二、累计摊销额</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106,765.85</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316,972.02</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423,737.87</w:t>
            </w:r>
          </w:p>
        </w:tc>
      </w:tr>
      <w:tr>
        <w:trPr>
          <w:trHeight w:val="348"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106,765.85</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256,238.04</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363,003.89</w:t>
            </w:r>
          </w:p>
        </w:tc>
      </w:tr>
      <w:tr>
        <w:trPr>
          <w:trHeight w:val="343"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60,733.98</w:t>
            </w: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w:t>
            </w: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60,733.98</w:t>
            </w:r>
          </w:p>
        </w:tc>
      </w:tr>
      <w:tr>
        <w:trPr>
          <w:trHeight w:val="35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12,705,134.15</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12,793,055.29</w:t>
            </w:r>
          </w:p>
        </w:tc>
      </w:tr>
      <w:tr>
        <w:trPr>
          <w:trHeight w:val="34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12,705,134.15</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12,448,896.11</w:t>
            </w:r>
          </w:p>
        </w:tc>
      </w:tr>
      <w:tr>
        <w:trPr>
          <w:trHeight w:val="26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w:t>
            </w:r>
          </w:p>
        </w:tc>
        <w:tc>
          <w:tcPr>
            <w:tcW w:w="18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344,159.18</w:t>
            </w:r>
          </w:p>
        </w:tc>
      </w:tr>
    </w:tbl>
    <w:p>
      <w:pPr>
        <w:spacing w:line="240" w:lineRule="auto" w:before="11"/>
        <w:rPr>
          <w:rFonts w:ascii="宋体" w:hAnsi="宋体" w:cs="宋体" w:eastAsia="宋体" w:hint="default"/>
          <w:b/>
          <w:bCs/>
          <w:sz w:val="21"/>
          <w:szCs w:val="21"/>
        </w:rPr>
      </w:pPr>
    </w:p>
    <w:p>
      <w:pPr>
        <w:spacing w:line="232" w:lineRule="exact" w:before="69"/>
        <w:ind w:left="142" w:right="725"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．本公司之子公司南京新国都为兴办南京市产研基地建设项目，在竞拍取得南京市国土资源局位于南京市栖</w:t>
      </w:r>
      <w:r>
        <w:rPr>
          <w:rFonts w:ascii="宋体" w:hAnsi="宋体" w:cs="宋体" w:eastAsia="宋体" w:hint="default"/>
          <w:b/>
          <w:bCs/>
          <w:spacing w:val="-67"/>
          <w:sz w:val="18"/>
          <w:szCs w:val="18"/>
        </w:rPr>
        <w:t> </w:t>
      </w:r>
      <w:r>
        <w:rPr>
          <w:rFonts w:ascii="宋体" w:hAnsi="宋体" w:cs="宋体" w:eastAsia="宋体" w:hint="default"/>
          <w:b/>
          <w:bCs/>
          <w:spacing w:val="-67"/>
          <w:sz w:val="18"/>
          <w:szCs w:val="18"/>
        </w:rPr>
      </w:r>
      <w:r>
        <w:rPr>
          <w:rFonts w:ascii="宋体" w:hAnsi="宋体" w:cs="宋体" w:eastAsia="宋体" w:hint="default"/>
          <w:b/>
          <w:bCs/>
          <w:spacing w:val="2"/>
          <w:sz w:val="18"/>
          <w:szCs w:val="18"/>
        </w:rPr>
        <w:t>霞区马群科技园 </w:t>
      </w:r>
      <w:r>
        <w:rPr>
          <w:rFonts w:ascii="Times New Roman" w:hAnsi="Times New Roman" w:cs="Times New Roman" w:eastAsia="Times New Roman" w:hint="default"/>
          <w:b/>
          <w:bCs/>
          <w:sz w:val="18"/>
          <w:szCs w:val="18"/>
        </w:rPr>
        <w:t>B </w:t>
      </w:r>
      <w:r>
        <w:rPr>
          <w:rFonts w:ascii="宋体" w:hAnsi="宋体" w:cs="宋体" w:eastAsia="宋体" w:hint="default"/>
          <w:b/>
          <w:bCs/>
          <w:sz w:val="18"/>
          <w:szCs w:val="18"/>
        </w:rPr>
        <w:t>地块后于 </w:t>
      </w: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 </w:t>
      </w:r>
      <w:r>
        <w:rPr>
          <w:rFonts w:ascii="Times New Roman" w:hAnsi="Times New Roman" w:cs="Times New Roman" w:eastAsia="Times New Roman" w:hint="default"/>
          <w:b/>
          <w:bCs/>
          <w:sz w:val="18"/>
          <w:szCs w:val="18"/>
        </w:rPr>
        <w:t>8 </w:t>
      </w:r>
      <w:r>
        <w:rPr>
          <w:rFonts w:ascii="宋体" w:hAnsi="宋体" w:cs="宋体" w:eastAsia="宋体" w:hint="default"/>
          <w:b/>
          <w:bCs/>
          <w:sz w:val="18"/>
          <w:szCs w:val="18"/>
        </w:rPr>
        <w:t>月 </w:t>
      </w:r>
      <w:r>
        <w:rPr>
          <w:rFonts w:ascii="Times New Roman" w:hAnsi="Times New Roman" w:cs="Times New Roman" w:eastAsia="Times New Roman" w:hint="default"/>
          <w:b/>
          <w:bCs/>
          <w:sz w:val="18"/>
          <w:szCs w:val="18"/>
        </w:rPr>
        <w:t>20</w:t>
      </w:r>
      <w:r>
        <w:rPr>
          <w:rFonts w:ascii="Times New Roman" w:hAnsi="Times New Roman" w:cs="Times New Roman" w:eastAsia="Times New Roman" w:hint="default"/>
          <w:b/>
          <w:bCs/>
          <w:spacing w:val="6"/>
          <w:sz w:val="18"/>
          <w:szCs w:val="18"/>
        </w:rPr>
        <w:t> </w:t>
      </w:r>
      <w:r>
        <w:rPr>
          <w:rFonts w:ascii="宋体" w:hAnsi="宋体" w:cs="宋体" w:eastAsia="宋体" w:hint="default"/>
          <w:b/>
          <w:bCs/>
          <w:spacing w:val="2"/>
          <w:sz w:val="18"/>
          <w:szCs w:val="18"/>
        </w:rPr>
        <w:t>日南京新国都公司与南京市国土资源管理局签订了编号为：</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321012009CR0098 </w:t>
      </w:r>
      <w:r>
        <w:rPr>
          <w:rFonts w:ascii="宋体" w:hAnsi="宋体" w:cs="宋体" w:eastAsia="宋体" w:hint="default"/>
          <w:b/>
          <w:bCs/>
          <w:sz w:val="18"/>
          <w:szCs w:val="18"/>
        </w:rPr>
        <w:t>的国有建设用地使用权出让合同，受让位于栖霞区马群科技园 </w:t>
      </w:r>
      <w:r>
        <w:rPr>
          <w:rFonts w:ascii="Times New Roman" w:hAnsi="Times New Roman" w:cs="Times New Roman" w:eastAsia="Times New Roman" w:hint="default"/>
          <w:b/>
          <w:bCs/>
          <w:sz w:val="18"/>
          <w:szCs w:val="18"/>
        </w:rPr>
        <w:t>B</w:t>
      </w:r>
      <w:r>
        <w:rPr>
          <w:rFonts w:ascii="Times New Roman" w:hAnsi="Times New Roman" w:cs="Times New Roman" w:eastAsia="Times New Roman" w:hint="default"/>
          <w:b/>
          <w:bCs/>
          <w:spacing w:val="11"/>
          <w:sz w:val="18"/>
          <w:szCs w:val="18"/>
        </w:rPr>
        <w:t> </w:t>
      </w:r>
      <w:r>
        <w:rPr>
          <w:rFonts w:ascii="宋体" w:hAnsi="宋体" w:cs="宋体" w:eastAsia="宋体" w:hint="default"/>
          <w:b/>
          <w:bCs/>
          <w:sz w:val="18"/>
          <w:szCs w:val="18"/>
        </w:rPr>
        <w:t>地块的使用权，地块编号</w:t>
      </w:r>
      <w:r>
        <w:rPr>
          <w:rFonts w:ascii="宋体" w:hAnsi="宋体" w:cs="宋体" w:eastAsia="宋体" w:hint="default"/>
          <w:b/>
          <w:bCs/>
          <w:w w:val="99"/>
          <w:sz w:val="18"/>
          <w:szCs w:val="18"/>
        </w:rPr>
        <w:t> </w:t>
      </w:r>
      <w:r>
        <w:rPr>
          <w:rFonts w:ascii="宋体" w:hAnsi="宋体" w:cs="宋体" w:eastAsia="宋体" w:hint="default"/>
          <w:b/>
          <w:bCs/>
          <w:sz w:val="18"/>
          <w:szCs w:val="18"/>
        </w:rPr>
        <w:t>为</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NO.</w:t>
      </w:r>
      <w:r>
        <w:rPr>
          <w:rFonts w:ascii="宋体" w:hAnsi="宋体" w:cs="宋体" w:eastAsia="宋体" w:hint="default"/>
          <w:b/>
          <w:bCs/>
          <w:sz w:val="18"/>
          <w:szCs w:val="18"/>
        </w:rPr>
        <w:t>宁</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2009GY30</w:t>
      </w:r>
      <w:r>
        <w:rPr>
          <w:rFonts w:ascii="宋体" w:hAnsi="宋体" w:cs="宋体" w:eastAsia="宋体" w:hint="default"/>
          <w:b/>
          <w:bCs/>
          <w:sz w:val="18"/>
          <w:szCs w:val="18"/>
        </w:rPr>
        <w:t>，规划用地总面积为</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38,275.50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平方米，土地出让面积</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22,983.20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平方米，土地出让年限为</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50</w:t>
      </w:r>
      <w:r>
        <w:rPr>
          <w:rFonts w:ascii="Times New Roman" w:hAnsi="Times New Roman" w:cs="Times New Roman" w:eastAsia="Times New Roman" w:hint="default"/>
          <w:b/>
          <w:bCs/>
          <w:spacing w:val="-1"/>
          <w:sz w:val="18"/>
          <w:szCs w:val="18"/>
        </w:rPr>
        <w:t> </w:t>
      </w:r>
      <w:r>
        <w:rPr>
          <w:rFonts w:ascii="宋体" w:hAnsi="宋体" w:cs="宋体" w:eastAsia="宋体" w:hint="default"/>
          <w:b/>
          <w:bCs/>
          <w:w w:val="99"/>
          <w:sz w:val="18"/>
          <w:szCs w:val="18"/>
        </w:rPr>
        <w:t>年，于</w:t>
      </w:r>
      <w:r>
        <w:rPr>
          <w:rFonts w:ascii="宋体" w:hAnsi="宋体" w:cs="宋体" w:eastAsia="宋体" w:hint="default"/>
          <w:b/>
          <w:bCs/>
          <w:spacing w:val="-44"/>
          <w:w w:val="99"/>
          <w:sz w:val="18"/>
          <w:szCs w:val="18"/>
        </w:rPr>
        <w:t> </w:t>
      </w:r>
      <w:r>
        <w:rPr>
          <w:rFonts w:ascii="Times New Roman" w:hAnsi="Times New Roman" w:cs="Times New Roman" w:eastAsia="Times New Roman" w:hint="default"/>
          <w:b/>
          <w:bCs/>
          <w:spacing w:val="-1"/>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45"/>
          <w:w w:val="99"/>
          <w:sz w:val="18"/>
          <w:szCs w:val="18"/>
        </w:rPr>
        <w:t> </w:t>
      </w:r>
      <w:r>
        <w:rPr>
          <w:rFonts w:ascii="Times New Roman" w:hAnsi="Times New Roman" w:cs="Times New Roman" w:eastAsia="Times New Roman" w:hint="default"/>
          <w:b/>
          <w:bCs/>
          <w:spacing w:val="-1"/>
          <w:sz w:val="18"/>
          <w:szCs w:val="18"/>
        </w:rPr>
        <w:t>10 </w:t>
      </w:r>
      <w:r>
        <w:rPr>
          <w:rFonts w:ascii="宋体" w:hAnsi="宋体" w:cs="宋体" w:eastAsia="宋体" w:hint="default"/>
          <w:b/>
          <w:bCs/>
          <w:w w:val="99"/>
          <w:sz w:val="18"/>
          <w:szCs w:val="18"/>
        </w:rPr>
        <w:t>月</w:t>
      </w:r>
      <w:r>
        <w:rPr>
          <w:rFonts w:ascii="宋体" w:hAnsi="宋体" w:cs="宋体" w:eastAsia="宋体" w:hint="default"/>
          <w:b/>
          <w:bCs/>
          <w:spacing w:val="-42"/>
          <w:w w:val="99"/>
          <w:sz w:val="18"/>
          <w:szCs w:val="18"/>
        </w:rPr>
        <w:t> </w:t>
      </w:r>
      <w:r>
        <w:rPr>
          <w:rFonts w:ascii="Times New Roman" w:hAnsi="Times New Roman" w:cs="Times New Roman" w:eastAsia="Times New Roman" w:hint="default"/>
          <w:b/>
          <w:bCs/>
          <w:spacing w:val="-1"/>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pacing w:val="-5"/>
          <w:w w:val="99"/>
          <w:sz w:val="18"/>
          <w:szCs w:val="18"/>
        </w:rPr>
        <w:t>日取得该地块的《国有土地使用证》。</w:t>
      </w:r>
      <w:r>
        <w:rPr>
          <w:rFonts w:ascii="宋体" w:hAnsi="宋体" w:cs="宋体" w:eastAsia="宋体" w:hint="default"/>
          <w:spacing w:val="-5"/>
          <w:sz w:val="18"/>
          <w:szCs w:val="18"/>
        </w:rPr>
      </w:r>
    </w:p>
    <w:p>
      <w:pPr>
        <w:spacing w:before="17"/>
        <w:ind w:left="14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．本公司认为期末无形资产不存在可回收金额低于账面价值的情况，故未计提无形资产减值准备。</w:t>
      </w:r>
      <w:r>
        <w:rPr>
          <w:rFonts w:ascii="宋体" w:hAnsi="宋体" w:cs="宋体" w:eastAsia="宋体" w:hint="default"/>
          <w:sz w:val="18"/>
          <w:szCs w:val="18"/>
        </w:rPr>
      </w:r>
    </w:p>
    <w:p>
      <w:pPr>
        <w:spacing w:before="24"/>
        <w:ind w:left="14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．本公司期末无形资产不存在抵押情况。</w:t>
      </w:r>
      <w:r>
        <w:rPr>
          <w:rFonts w:ascii="宋体" w:hAnsi="宋体" w:cs="宋体" w:eastAsia="宋体" w:hint="default"/>
          <w:sz w:val="18"/>
          <w:szCs w:val="18"/>
        </w:rPr>
      </w:r>
    </w:p>
    <w:p>
      <w:pPr>
        <w:spacing w:line="240" w:lineRule="auto" w:before="8"/>
        <w:rPr>
          <w:rFonts w:ascii="宋体" w:hAnsi="宋体" w:cs="宋体" w:eastAsia="宋体" w:hint="default"/>
          <w:b/>
          <w:bCs/>
          <w:sz w:val="20"/>
          <w:szCs w:val="20"/>
        </w:rPr>
      </w:pPr>
    </w:p>
    <w:p>
      <w:pPr>
        <w:spacing w:before="0"/>
        <w:ind w:left="142" w:right="0" w:firstLine="0"/>
        <w:jc w:val="both"/>
        <w:rPr>
          <w:rFonts w:ascii="宋体" w:hAnsi="宋体" w:cs="宋体" w:eastAsia="宋体" w:hint="default"/>
          <w:sz w:val="18"/>
          <w:szCs w:val="18"/>
        </w:rPr>
      </w:pPr>
      <w:r>
        <w:rPr>
          <w:rFonts w:ascii="宋体" w:hAnsi="宋体" w:cs="宋体" w:eastAsia="宋体" w:hint="default"/>
          <w:b/>
          <w:bCs/>
          <w:sz w:val="18"/>
          <w:szCs w:val="18"/>
        </w:rPr>
        <w:t>（十一）长期待摊费用</w:t>
      </w:r>
      <w:r>
        <w:rPr>
          <w:rFonts w:ascii="宋体" w:hAnsi="宋体" w:cs="宋体" w:eastAsia="宋体" w:hint="default"/>
          <w:sz w:val="18"/>
          <w:szCs w:val="18"/>
        </w:rPr>
      </w:r>
    </w:p>
    <w:p>
      <w:pPr>
        <w:spacing w:line="240" w:lineRule="auto" w:before="5"/>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1205"/>
        <w:gridCol w:w="1344"/>
        <w:gridCol w:w="1359"/>
        <w:gridCol w:w="1263"/>
        <w:gridCol w:w="1339"/>
        <w:gridCol w:w="1316"/>
        <w:gridCol w:w="1359"/>
      </w:tblGrid>
      <w:tr>
        <w:trPr>
          <w:trHeight w:val="258" w:hRule="exact"/>
        </w:trPr>
        <w:tc>
          <w:tcPr>
            <w:tcW w:w="120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180" w:lineRule="exact"/>
              <w:ind w:left="112" w:right="0"/>
              <w:jc w:val="left"/>
              <w:rPr>
                <w:rFonts w:ascii="宋体" w:hAnsi="宋体" w:cs="宋体" w:eastAsia="宋体" w:hint="default"/>
                <w:sz w:val="18"/>
                <w:szCs w:val="18"/>
              </w:rPr>
            </w:pPr>
            <w:r>
              <w:rPr>
                <w:rFonts w:ascii="宋体" w:hAnsi="宋体" w:cs="宋体" w:eastAsia="宋体" w:hint="default"/>
                <w:sz w:val="18"/>
                <w:szCs w:val="18"/>
              </w:rPr>
              <w:t>累计摊销额</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Times New Roman" w:hAnsi="Times New Roman" w:cs="Times New Roman" w:eastAsia="Times New Roman" w:hint="default"/>
                <w:sz w:val="18"/>
                <w:szCs w:val="18"/>
              </w:rPr>
            </w:pPr>
            <w:r>
              <w:rPr>
                <w:rFonts w:ascii="Times New Roman"/>
                <w:sz w:val="18"/>
              </w:rPr>
              <w:t>2,144,324.95</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8" w:right="0"/>
              <w:jc w:val="left"/>
              <w:rPr>
                <w:rFonts w:ascii="Times New Roman" w:hAnsi="Times New Roman" w:cs="Times New Roman" w:eastAsia="Times New Roman" w:hint="default"/>
                <w:sz w:val="18"/>
                <w:szCs w:val="18"/>
              </w:rPr>
            </w:pPr>
            <w:r>
              <w:rPr>
                <w:rFonts w:ascii="Times New Roman"/>
                <w:sz w:val="18"/>
              </w:rPr>
              <w:t>512,702.80</w:t>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Times New Roman" w:hAnsi="Times New Roman" w:cs="Times New Roman" w:eastAsia="Times New Roman" w:hint="default"/>
                <w:sz w:val="18"/>
                <w:szCs w:val="18"/>
              </w:rPr>
            </w:pPr>
            <w:r>
              <w:rPr>
                <w:rFonts w:ascii="Times New Roman"/>
                <w:sz w:val="18"/>
              </w:rPr>
              <w:t>1,182,294.00</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Times New Roman" w:hAnsi="Times New Roman" w:cs="Times New Roman" w:eastAsia="Times New Roman" w:hint="default"/>
                <w:sz w:val="18"/>
                <w:szCs w:val="18"/>
              </w:rPr>
            </w:pPr>
            <w:r>
              <w:rPr>
                <w:rFonts w:ascii="Times New Roman"/>
                <w:sz w:val="18"/>
              </w:rPr>
              <w:t>385,857.78</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12" w:right="0"/>
              <w:jc w:val="left"/>
              <w:rPr>
                <w:rFonts w:ascii="Times New Roman" w:hAnsi="Times New Roman" w:cs="Times New Roman" w:eastAsia="Times New Roman" w:hint="default"/>
                <w:sz w:val="18"/>
                <w:szCs w:val="18"/>
              </w:rPr>
            </w:pPr>
            <w:r>
              <w:rPr>
                <w:rFonts w:ascii="Times New Roman"/>
                <w:sz w:val="18"/>
              </w:rPr>
              <w:t>835,185.93</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10" w:right="0"/>
              <w:jc w:val="left"/>
              <w:rPr>
                <w:rFonts w:ascii="Times New Roman" w:hAnsi="Times New Roman" w:cs="Times New Roman" w:eastAsia="Times New Roman" w:hint="default"/>
                <w:sz w:val="18"/>
                <w:szCs w:val="18"/>
              </w:rPr>
            </w:pPr>
            <w:r>
              <w:rPr>
                <w:rFonts w:ascii="Times New Roman"/>
                <w:sz w:val="18"/>
              </w:rPr>
              <w:t>1,309,139.02</w:t>
            </w:r>
          </w:p>
        </w:tc>
      </w:tr>
      <w:tr>
        <w:trPr>
          <w:trHeight w:val="319"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136,752.14</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Times New Roman"/>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136,752.14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136,752.14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136,752.14</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21"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7" w:right="0"/>
              <w:jc w:val="left"/>
              <w:rPr>
                <w:rFonts w:ascii="Times New Roman" w:hAnsi="Times New Roman" w:cs="Times New Roman" w:eastAsia="Times New Roman" w:hint="default"/>
                <w:sz w:val="18"/>
                <w:szCs w:val="18"/>
              </w:rPr>
            </w:pPr>
            <w:r>
              <w:rPr>
                <w:rFonts w:ascii="Times New Roman"/>
                <w:sz w:val="18"/>
              </w:rPr>
              <w:t>1,000,000.00</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8" w:right="0"/>
              <w:jc w:val="left"/>
              <w:rPr>
                <w:rFonts w:ascii="Times New Roman" w:hAnsi="Times New Roman" w:cs="Times New Roman" w:eastAsia="Times New Roman" w:hint="default"/>
                <w:sz w:val="18"/>
                <w:szCs w:val="18"/>
              </w:rPr>
            </w:pPr>
            <w:r>
              <w:rPr>
                <w:rFonts w:ascii="Times New Roman"/>
                <w:sz w:val="18"/>
              </w:rPr>
              <w:t>750,000.01</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7"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7" w:right="0"/>
              <w:jc w:val="left"/>
              <w:rPr>
                <w:rFonts w:ascii="Times New Roman" w:hAnsi="Times New Roman" w:cs="Times New Roman" w:eastAsia="Times New Roman" w:hint="default"/>
                <w:sz w:val="18"/>
                <w:szCs w:val="18"/>
              </w:rPr>
            </w:pPr>
            <w:r>
              <w:rPr>
                <w:rFonts w:ascii="Times New Roman"/>
                <w:sz w:val="18"/>
              </w:rPr>
              <w:t>750,000.01</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12" w:right="0"/>
              <w:jc w:val="left"/>
              <w:rPr>
                <w:rFonts w:ascii="Times New Roman" w:hAnsi="Times New Roman" w:cs="Times New Roman" w:eastAsia="Times New Roman" w:hint="default"/>
                <w:sz w:val="18"/>
                <w:szCs w:val="18"/>
              </w:rPr>
            </w:pPr>
            <w:r>
              <w:rPr>
                <w:rFonts w:ascii="Times New Roman"/>
                <w:sz w:val="18"/>
              </w:rPr>
              <w:t>1,000,000.00</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3,281,077.09</w:t>
            </w: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Times New Roman"/>
                <w:sz w:val="18"/>
              </w:rPr>
              <w:t>1,262,702.81</w:t>
            </w:r>
          </w:p>
        </w:tc>
        <w:tc>
          <w:tcPr>
            <w:tcW w:w="1263"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1,319,046.14</w:t>
            </w: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1,272,609.93</w:t>
            </w:r>
          </w:p>
        </w:tc>
        <w:tc>
          <w:tcPr>
            <w:tcW w:w="13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1,971,938.07</w:t>
            </w: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1,309,139.02</w:t>
            </w:r>
          </w:p>
        </w:tc>
      </w:tr>
    </w:tbl>
    <w:p>
      <w:pPr>
        <w:spacing w:line="240" w:lineRule="auto" w:before="12"/>
        <w:rPr>
          <w:rFonts w:ascii="宋体" w:hAnsi="宋体" w:cs="宋体" w:eastAsia="宋体" w:hint="default"/>
          <w:b/>
          <w:bCs/>
          <w:sz w:val="15"/>
          <w:szCs w:val="15"/>
        </w:rPr>
      </w:pPr>
    </w:p>
    <w:p>
      <w:pPr>
        <w:spacing w:before="44"/>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（十二）递延所得税资产</w:t>
      </w:r>
      <w:r>
        <w:rPr>
          <w:rFonts w:ascii="宋体" w:hAnsi="宋体" w:cs="宋体" w:eastAsia="宋体" w:hint="default"/>
          <w:sz w:val="18"/>
          <w:szCs w:val="18"/>
        </w:rPr>
      </w:r>
    </w:p>
    <w:p>
      <w:pPr>
        <w:spacing w:line="240" w:lineRule="auto" w:before="5"/>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115"/>
        <w:gridCol w:w="1396"/>
        <w:gridCol w:w="2159"/>
        <w:gridCol w:w="1528"/>
        <w:gridCol w:w="2029"/>
      </w:tblGrid>
      <w:tr>
        <w:trPr>
          <w:trHeight w:val="255" w:hRule="exact"/>
        </w:trPr>
        <w:tc>
          <w:tcPr>
            <w:tcW w:w="211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28"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25" w:hRule="exact"/>
        </w:trPr>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2" w:right="0"/>
              <w:jc w:val="left"/>
              <w:rPr>
                <w:rFonts w:ascii="Times New Roman" w:hAnsi="Times New Roman" w:cs="Times New Roman" w:eastAsia="Times New Roman" w:hint="default"/>
                <w:sz w:val="18"/>
                <w:szCs w:val="18"/>
              </w:rPr>
            </w:pPr>
            <w:r>
              <w:rPr>
                <w:rFonts w:ascii="Times New Roman"/>
                <w:sz w:val="18"/>
              </w:rPr>
              <w:t>623,908.45</w:t>
            </w:r>
          </w:p>
        </w:tc>
        <w:tc>
          <w:tcPr>
            <w:tcW w:w="1528" w:type="dxa"/>
            <w:tcBorders>
              <w:top w:val="nil" w:sz="6" w:space="0" w:color="auto"/>
              <w:left w:val="nil" w:sz="6" w:space="0" w:color="auto"/>
              <w:bottom w:val="nil" w:sz="6" w:space="0" w:color="auto"/>
              <w:right w:val="nil" w:sz="6" w:space="0" w:color="auto"/>
            </w:tcBorders>
          </w:tcPr>
          <w:p>
            <w:pPr/>
          </w:p>
        </w:tc>
        <w:tc>
          <w:tcPr>
            <w:tcW w:w="202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sz w:val="18"/>
              </w:rPr>
              <w:t>110,000.00</w:t>
            </w:r>
          </w:p>
        </w:tc>
      </w:tr>
      <w:tr>
        <w:trPr>
          <w:trHeight w:val="324"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2" w:right="0"/>
              <w:jc w:val="left"/>
              <w:rPr>
                <w:rFonts w:ascii="Times New Roman" w:hAnsi="Times New Roman" w:cs="Times New Roman" w:eastAsia="Times New Roman" w:hint="default"/>
                <w:sz w:val="18"/>
                <w:szCs w:val="18"/>
              </w:rPr>
            </w:pPr>
            <w:r>
              <w:rPr>
                <w:rFonts w:ascii="Times New Roman"/>
                <w:sz w:val="18"/>
              </w:rPr>
              <w:t>568,750.00</w:t>
            </w:r>
          </w:p>
        </w:tc>
        <w:tc>
          <w:tcPr>
            <w:tcW w:w="1528"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sz w:val="18"/>
              </w:rPr>
              <w:t>220,159.27</w:t>
            </w:r>
          </w:p>
        </w:tc>
      </w:tr>
      <w:tr>
        <w:trPr>
          <w:trHeight w:val="34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left="32" w:right="0"/>
              <w:jc w:val="left"/>
              <w:rPr>
                <w:rFonts w:ascii="Times New Roman" w:hAnsi="Times New Roman" w:cs="Times New Roman" w:eastAsia="Times New Roman" w:hint="default"/>
                <w:sz w:val="18"/>
                <w:szCs w:val="18"/>
              </w:rPr>
            </w:pPr>
            <w:r>
              <w:rPr>
                <w:rFonts w:ascii="Times New Roman"/>
                <w:sz w:val="18"/>
              </w:rPr>
              <w:t>1,192,658.45</w:t>
            </w:r>
          </w:p>
        </w:tc>
        <w:tc>
          <w:tcPr>
            <w:tcW w:w="1528" w:type="dxa"/>
            <w:tcBorders>
              <w:top w:val="nil" w:sz="6" w:space="0" w:color="auto"/>
              <w:left w:val="nil" w:sz="6" w:space="0" w:color="auto"/>
              <w:bottom w:val="nil" w:sz="6" w:space="0" w:color="auto"/>
              <w:right w:val="nil" w:sz="6" w:space="0" w:color="auto"/>
            </w:tcBorders>
          </w:tcPr>
          <w:p>
            <w:pPr/>
          </w:p>
        </w:tc>
        <w:tc>
          <w:tcPr>
            <w:tcW w:w="2029"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left="34" w:right="0"/>
              <w:jc w:val="left"/>
              <w:rPr>
                <w:rFonts w:ascii="Times New Roman" w:hAnsi="Times New Roman" w:cs="Times New Roman" w:eastAsia="Times New Roman" w:hint="default"/>
                <w:sz w:val="18"/>
                <w:szCs w:val="18"/>
              </w:rPr>
            </w:pPr>
            <w:r>
              <w:rPr>
                <w:rFonts w:ascii="Times New Roman"/>
                <w:sz w:val="18"/>
              </w:rPr>
              <w:t>330,159.27</w:t>
            </w:r>
          </w:p>
        </w:tc>
      </w:tr>
    </w:tbl>
    <w:p>
      <w:pPr>
        <w:spacing w:before="8"/>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（十三）资产减值准备</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1543"/>
        <w:gridCol w:w="1556"/>
        <w:gridCol w:w="1469"/>
        <w:gridCol w:w="1538"/>
        <w:gridCol w:w="1402"/>
        <w:gridCol w:w="1750"/>
      </w:tblGrid>
      <w:tr>
        <w:trPr>
          <w:trHeight w:val="267" w:hRule="exact"/>
        </w:trPr>
        <w:tc>
          <w:tcPr>
            <w:tcW w:w="1543"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02" w:type="dxa"/>
            <w:tcBorders>
              <w:top w:val="nil" w:sz="6" w:space="0" w:color="auto"/>
              <w:left w:val="nil" w:sz="6" w:space="0" w:color="auto"/>
              <w:bottom w:val="single" w:sz="4" w:space="0" w:color="000000"/>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543" w:type="dxa"/>
            <w:tcBorders>
              <w:top w:val="single" w:sz="4" w:space="0" w:color="000000"/>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50" w:type="dxa"/>
            <w:tcBorders>
              <w:top w:val="single" w:sz="4" w:space="0" w:color="000000"/>
              <w:left w:val="nil" w:sz="6" w:space="0" w:color="auto"/>
              <w:bottom w:val="nil" w:sz="6" w:space="0" w:color="auto"/>
              <w:right w:val="nil" w:sz="6" w:space="0" w:color="auto"/>
            </w:tcBorders>
          </w:tcPr>
          <w:p>
            <w:pPr/>
          </w:p>
        </w:tc>
      </w:tr>
      <w:tr>
        <w:trPr>
          <w:trHeight w:val="350"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10" w:right="0"/>
              <w:jc w:val="left"/>
              <w:rPr>
                <w:rFonts w:ascii="Times New Roman" w:hAnsi="Times New Roman" w:cs="Times New Roman" w:eastAsia="Times New Roman" w:hint="default"/>
                <w:sz w:val="18"/>
                <w:szCs w:val="18"/>
              </w:rPr>
            </w:pPr>
            <w:r>
              <w:rPr>
                <w:rFonts w:ascii="Times New Roman"/>
                <w:sz w:val="18"/>
              </w:rPr>
              <w:t>2,007,716.27</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08" w:right="0"/>
              <w:jc w:val="left"/>
              <w:rPr>
                <w:rFonts w:ascii="Times New Roman" w:hAnsi="Times New Roman" w:cs="Times New Roman" w:eastAsia="Times New Roman" w:hint="default"/>
                <w:sz w:val="18"/>
                <w:szCs w:val="18"/>
              </w:rPr>
            </w:pPr>
            <w:r>
              <w:rPr>
                <w:rFonts w:ascii="Times New Roman"/>
                <w:sz w:val="18"/>
              </w:rPr>
              <w:t>2,355,962.93</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2,410.00</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08" w:right="0"/>
              <w:jc w:val="left"/>
              <w:rPr>
                <w:rFonts w:ascii="Times New Roman" w:hAnsi="Times New Roman" w:cs="Times New Roman" w:eastAsia="Times New Roman" w:hint="default"/>
                <w:sz w:val="18"/>
                <w:szCs w:val="18"/>
              </w:rPr>
            </w:pPr>
            <w:r>
              <w:rPr>
                <w:rFonts w:ascii="Times New Roman"/>
                <w:sz w:val="18"/>
              </w:rPr>
              <w:t>4,361,269.20</w:t>
            </w:r>
          </w:p>
        </w:tc>
      </w:tr>
      <w:tr>
        <w:trPr>
          <w:trHeight w:val="367"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2,007,716.27</w:t>
            </w:r>
          </w:p>
        </w:tc>
        <w:tc>
          <w:tcPr>
            <w:tcW w:w="146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2,355,962.93</w:t>
            </w:r>
          </w:p>
        </w:tc>
        <w:tc>
          <w:tcPr>
            <w:tcW w:w="153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2,410.00</w:t>
            </w:r>
          </w:p>
        </w:tc>
        <w:tc>
          <w:tcPr>
            <w:tcW w:w="175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4,361,269.20</w:t>
            </w:r>
          </w:p>
        </w:tc>
      </w:tr>
    </w:tbl>
    <w:p>
      <w:pPr>
        <w:spacing w:line="240" w:lineRule="auto" w:before="2"/>
        <w:rPr>
          <w:rFonts w:ascii="宋体" w:hAnsi="宋体" w:cs="宋体" w:eastAsia="宋体" w:hint="default"/>
          <w:b/>
          <w:bCs/>
          <w:sz w:val="16"/>
          <w:szCs w:val="16"/>
        </w:rPr>
      </w:pPr>
    </w:p>
    <w:p>
      <w:pPr>
        <w:spacing w:before="44"/>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（十四）应付票据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170"/>
        <w:gridCol w:w="1541"/>
        <w:gridCol w:w="2225"/>
        <w:gridCol w:w="1232"/>
        <w:gridCol w:w="2059"/>
      </w:tblGrid>
      <w:tr>
        <w:trPr>
          <w:trHeight w:val="270" w:hRule="exact"/>
        </w:trPr>
        <w:tc>
          <w:tcPr>
            <w:tcW w:w="217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541"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32"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268" w:hRule="exact"/>
        </w:trPr>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541"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10,241,372.07</w:t>
            </w:r>
          </w:p>
        </w:tc>
        <w:tc>
          <w:tcPr>
            <w:tcW w:w="1232"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1" w:right="0"/>
              <w:jc w:val="left"/>
              <w:rPr>
                <w:rFonts w:ascii="Times New Roman" w:hAnsi="Times New Roman" w:cs="Times New Roman" w:eastAsia="Times New Roman" w:hint="default"/>
                <w:sz w:val="18"/>
                <w:szCs w:val="18"/>
              </w:rPr>
            </w:pPr>
            <w:r>
              <w:rPr>
                <w:rFonts w:ascii="Times New Roman"/>
                <w:sz w:val="18"/>
              </w:rPr>
              <w:t>4,511,502.74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86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3740"/>
        <w:gridCol w:w="2225"/>
        <w:gridCol w:w="1225"/>
        <w:gridCol w:w="1485"/>
        <w:gridCol w:w="581"/>
      </w:tblGrid>
      <w:tr>
        <w:trPr>
          <w:trHeight w:val="367" w:hRule="exact"/>
        </w:trPr>
        <w:tc>
          <w:tcPr>
            <w:tcW w:w="3740"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25" w:type="dxa"/>
            <w:tcBorders>
              <w:top w:val="single" w:sz="6" w:space="0" w:color="000000"/>
              <w:left w:val="nil" w:sz="6" w:space="0" w:color="auto"/>
              <w:bottom w:val="single" w:sz="4" w:space="0" w:color="000000"/>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2,651,678.95</w:t>
            </w:r>
          </w:p>
        </w:tc>
        <w:tc>
          <w:tcPr>
            <w:tcW w:w="1225" w:type="dxa"/>
            <w:tcBorders>
              <w:top w:val="single" w:sz="6" w:space="0" w:color="000000"/>
              <w:left w:val="nil" w:sz="6" w:space="0" w:color="auto"/>
              <w:bottom w:val="nil" w:sz="6" w:space="0" w:color="auto"/>
              <w:right w:val="nil" w:sz="6" w:space="0" w:color="auto"/>
            </w:tcBorders>
          </w:tcPr>
          <w:p>
            <w:pPr/>
          </w:p>
        </w:tc>
        <w:tc>
          <w:tcPr>
            <w:tcW w:w="1485" w:type="dxa"/>
            <w:tcBorders>
              <w:top w:val="single" w:sz="6" w:space="0" w:color="000000"/>
              <w:left w:val="nil" w:sz="6" w:space="0" w:color="auto"/>
              <w:bottom w:val="single" w:sz="4" w:space="0" w:color="000000"/>
              <w:right w:val="nil" w:sz="6" w:space="0" w:color="auto"/>
            </w:tcBorders>
          </w:tcPr>
          <w:p>
            <w:pPr>
              <w:pStyle w:val="TableParagraph"/>
              <w:spacing w:line="240" w:lineRule="auto" w:before="76"/>
              <w:ind w:left="38" w:right="0"/>
              <w:jc w:val="left"/>
              <w:rPr>
                <w:rFonts w:ascii="Times New Roman" w:hAnsi="Times New Roman" w:cs="Times New Roman" w:eastAsia="Times New Roman" w:hint="default"/>
                <w:sz w:val="18"/>
                <w:szCs w:val="18"/>
              </w:rPr>
            </w:pPr>
            <w:r>
              <w:rPr>
                <w:rFonts w:ascii="Times New Roman"/>
                <w:sz w:val="18"/>
              </w:rPr>
              <w:t>---</w:t>
            </w:r>
          </w:p>
        </w:tc>
        <w:tc>
          <w:tcPr>
            <w:tcW w:w="581" w:type="dxa"/>
            <w:tcBorders>
              <w:top w:val="nil" w:sz="6" w:space="0" w:color="auto"/>
              <w:left w:val="nil" w:sz="6" w:space="0" w:color="auto"/>
              <w:bottom w:val="single" w:sz="4" w:space="0" w:color="000000"/>
              <w:right w:val="nil" w:sz="6" w:space="0" w:color="auto"/>
            </w:tcBorders>
          </w:tcPr>
          <w:p>
            <w:pPr/>
          </w:p>
        </w:tc>
      </w:tr>
      <w:tr>
        <w:trPr>
          <w:trHeight w:val="360" w:hRule="exact"/>
        </w:trPr>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12,893,051.02</w:t>
            </w:r>
          </w:p>
        </w:tc>
        <w:tc>
          <w:tcPr>
            <w:tcW w:w="1225" w:type="dxa"/>
            <w:tcBorders>
              <w:top w:val="nil" w:sz="6" w:space="0" w:color="auto"/>
              <w:left w:val="nil" w:sz="6" w:space="0" w:color="auto"/>
              <w:bottom w:val="nil" w:sz="6" w:space="0" w:color="auto"/>
              <w:right w:val="nil" w:sz="6" w:space="0" w:color="auto"/>
            </w:tcBorders>
          </w:tcPr>
          <w:p>
            <w:pP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4,511,502.74</w:t>
            </w:r>
          </w:p>
        </w:tc>
        <w:tc>
          <w:tcPr>
            <w:tcW w:w="581" w:type="dxa"/>
            <w:tcBorders>
              <w:top w:val="single" w:sz="4" w:space="0" w:color="000000"/>
              <w:left w:val="nil" w:sz="6" w:space="0" w:color="auto"/>
              <w:bottom w:val="single" w:sz="12" w:space="0" w:color="000000"/>
              <w:right w:val="nil" w:sz="6" w:space="0" w:color="auto"/>
            </w:tcBorders>
          </w:tcPr>
          <w:p>
            <w:pPr/>
          </w:p>
        </w:tc>
      </w:tr>
    </w:tbl>
    <w:p>
      <w:pPr>
        <w:spacing w:line="240" w:lineRule="auto" w:before="2"/>
        <w:rPr>
          <w:rFonts w:ascii="宋体" w:hAnsi="宋体" w:cs="宋体" w:eastAsia="宋体" w:hint="default"/>
          <w:b/>
          <w:bCs/>
          <w:sz w:val="16"/>
          <w:szCs w:val="16"/>
        </w:rPr>
      </w:pPr>
    </w:p>
    <w:p>
      <w:pPr>
        <w:spacing w:before="44"/>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．应付票据期末数中无欠持本公司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）表决权股份的股东票据金额。</w:t>
      </w:r>
      <w:r>
        <w:rPr>
          <w:rFonts w:ascii="宋体" w:hAnsi="宋体" w:cs="宋体" w:eastAsia="宋体" w:hint="default"/>
          <w:sz w:val="18"/>
          <w:szCs w:val="18"/>
        </w:rPr>
      </w:r>
    </w:p>
    <w:p>
      <w:pPr>
        <w:spacing w:before="24"/>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．应付票据期末数全部为</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个月内到期的票据。</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before="0"/>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（十五）应付账款</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153"/>
        <w:gridCol w:w="1670"/>
        <w:gridCol w:w="1762"/>
        <w:gridCol w:w="161"/>
        <w:gridCol w:w="1678"/>
        <w:gridCol w:w="1803"/>
      </w:tblGrid>
      <w:tr>
        <w:trPr>
          <w:trHeight w:val="267" w:hRule="exact"/>
        </w:trPr>
        <w:tc>
          <w:tcPr>
            <w:tcW w:w="2153"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62" w:type="dxa"/>
            <w:tcBorders>
              <w:top w:val="nil" w:sz="6" w:space="0" w:color="auto"/>
              <w:left w:val="nil" w:sz="6" w:space="0" w:color="auto"/>
              <w:bottom w:val="single" w:sz="4" w:space="0" w:color="000000"/>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3"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7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6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53" w:hRule="exact"/>
        </w:trPr>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27,784,653.19</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12" w:right="0"/>
              <w:jc w:val="left"/>
              <w:rPr>
                <w:rFonts w:ascii="Times New Roman" w:hAnsi="Times New Roman" w:cs="Times New Roman" w:eastAsia="Times New Roman" w:hint="default"/>
                <w:sz w:val="18"/>
                <w:szCs w:val="18"/>
              </w:rPr>
            </w:pPr>
            <w:r>
              <w:rPr>
                <w:rFonts w:ascii="Times New Roman"/>
                <w:sz w:val="18"/>
              </w:rPr>
              <w:t>100%</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8,680,265.28</w:t>
            </w: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12" w:right="0"/>
              <w:jc w:val="left"/>
              <w:rPr>
                <w:rFonts w:ascii="Times New Roman" w:hAnsi="Times New Roman" w:cs="Times New Roman" w:eastAsia="Times New Roman" w:hint="default"/>
                <w:sz w:val="18"/>
                <w:szCs w:val="18"/>
              </w:rPr>
            </w:pPr>
            <w:r>
              <w:rPr>
                <w:rFonts w:ascii="Times New Roman"/>
                <w:sz w:val="18"/>
              </w:rPr>
              <w:t>100%</w:t>
            </w:r>
          </w:p>
        </w:tc>
      </w:tr>
      <w:tr>
        <w:trPr>
          <w:trHeight w:val="372"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0748" cy="9144"/>
                  <wp:effectExtent l="0" t="0" r="0" b="0"/>
                  <wp:docPr id="97" name="image62.png" descr=""/>
                  <wp:cNvGraphicFramePr>
                    <a:graphicFrameLocks noChangeAspect="1"/>
                  </wp:cNvGraphicFramePr>
                  <a:graphic>
                    <a:graphicData uri="http://schemas.openxmlformats.org/drawingml/2006/picture">
                      <pic:pic>
                        <pic:nvPicPr>
                          <pic:cNvPr id="98" name="image62.png"/>
                          <pic:cNvPicPr/>
                        </pic:nvPicPr>
                        <pic:blipFill>
                          <a:blip r:embed="rId107" cstate="print"/>
                          <a:stretch>
                            <a:fillRect/>
                          </a:stretch>
                        </pic:blipFill>
                        <pic:spPr>
                          <a:xfrm>
                            <a:off x="0" y="0"/>
                            <a:ext cx="106074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sz w:val="18"/>
              </w:rPr>
              <w:t>27,784,653.19</w:t>
            </w:r>
          </w:p>
        </w:tc>
        <w:tc>
          <w:tcPr>
            <w:tcW w:w="1762"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5574" cy="9144"/>
                  <wp:effectExtent l="0" t="0" r="0" b="0"/>
                  <wp:docPr id="99" name="image63.png" descr=""/>
                  <wp:cNvGraphicFramePr>
                    <a:graphicFrameLocks noChangeAspect="1"/>
                  </wp:cNvGraphicFramePr>
                  <a:graphic>
                    <a:graphicData uri="http://schemas.openxmlformats.org/drawingml/2006/picture">
                      <pic:pic>
                        <pic:nvPicPr>
                          <pic:cNvPr id="100" name="image63.png"/>
                          <pic:cNvPicPr/>
                        </pic:nvPicPr>
                        <pic:blipFill>
                          <a:blip r:embed="rId108" cstate="print"/>
                          <a:stretch>
                            <a:fillRect/>
                          </a:stretch>
                        </pic:blipFill>
                        <pic:spPr>
                          <a:xfrm>
                            <a:off x="0" y="0"/>
                            <a:ext cx="106557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12" w:right="0"/>
              <w:jc w:val="left"/>
              <w:rPr>
                <w:rFonts w:ascii="Times New Roman" w:hAnsi="Times New Roman" w:cs="Times New Roman" w:eastAsia="Times New Roman" w:hint="default"/>
                <w:sz w:val="18"/>
                <w:szCs w:val="18"/>
              </w:rPr>
            </w:pPr>
            <w:r>
              <w:rPr>
                <w:rFonts w:ascii="Times New Roman"/>
                <w:sz w:val="18"/>
              </w:rPr>
              <w:t>100%</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1129" cy="9144"/>
                  <wp:effectExtent l="0" t="0" r="0" b="0"/>
                  <wp:docPr id="101" name="image64.png" descr=""/>
                  <wp:cNvGraphicFramePr>
                    <a:graphicFrameLocks noChangeAspect="1"/>
                  </wp:cNvGraphicFramePr>
                  <a:graphic>
                    <a:graphicData uri="http://schemas.openxmlformats.org/drawingml/2006/picture">
                      <pic:pic>
                        <pic:nvPicPr>
                          <pic:cNvPr id="102" name="image64.png"/>
                          <pic:cNvPicPr/>
                        </pic:nvPicPr>
                        <pic:blipFill>
                          <a:blip r:embed="rId109" cstate="print"/>
                          <a:stretch>
                            <a:fillRect/>
                          </a:stretch>
                        </pic:blipFill>
                        <pic:spPr>
                          <a:xfrm>
                            <a:off x="0" y="0"/>
                            <a:ext cx="10611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36" w:right="0"/>
              <w:jc w:val="left"/>
              <w:rPr>
                <w:rFonts w:ascii="Times New Roman" w:hAnsi="Times New Roman" w:cs="Times New Roman" w:eastAsia="Times New Roman" w:hint="default"/>
                <w:sz w:val="18"/>
                <w:szCs w:val="18"/>
              </w:rPr>
            </w:pPr>
            <w:r>
              <w:rPr>
                <w:rFonts w:ascii="Times New Roman"/>
                <w:sz w:val="18"/>
              </w:rPr>
              <w:t>8,680,265.28</w:t>
            </w:r>
          </w:p>
        </w:tc>
        <w:tc>
          <w:tcPr>
            <w:tcW w:w="1803"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91229" cy="9144"/>
                  <wp:effectExtent l="0" t="0" r="0" b="0"/>
                  <wp:docPr id="103" name="image65.png" descr=""/>
                  <wp:cNvGraphicFramePr>
                    <a:graphicFrameLocks noChangeAspect="1"/>
                  </wp:cNvGraphicFramePr>
                  <a:graphic>
                    <a:graphicData uri="http://schemas.openxmlformats.org/drawingml/2006/picture">
                      <pic:pic>
                        <pic:nvPicPr>
                          <pic:cNvPr id="104" name="image65.png"/>
                          <pic:cNvPicPr/>
                        </pic:nvPicPr>
                        <pic:blipFill>
                          <a:blip r:embed="rId110" cstate="print"/>
                          <a:stretch>
                            <a:fillRect/>
                          </a:stretch>
                        </pic:blipFill>
                        <pic:spPr>
                          <a:xfrm>
                            <a:off x="0" y="0"/>
                            <a:ext cx="10912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12"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2"/>
        <w:rPr>
          <w:rFonts w:ascii="宋体" w:hAnsi="宋体" w:cs="宋体" w:eastAsia="宋体" w:hint="default"/>
          <w:b/>
          <w:bCs/>
          <w:sz w:val="15"/>
          <w:szCs w:val="15"/>
        </w:rPr>
      </w:pPr>
    </w:p>
    <w:p>
      <w:pPr>
        <w:spacing w:before="44"/>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期末数中无欠持本公司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）表决权股份的股东单位款项。</w:t>
      </w:r>
      <w:r>
        <w:rPr>
          <w:rFonts w:ascii="宋体" w:hAnsi="宋体" w:cs="宋体" w:eastAsia="宋体" w:hint="default"/>
          <w:sz w:val="18"/>
          <w:szCs w:val="18"/>
        </w:rPr>
      </w:r>
    </w:p>
    <w:p>
      <w:pPr>
        <w:spacing w:before="24"/>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期末数中无欠关联方款项。</w:t>
      </w:r>
      <w:r>
        <w:rPr>
          <w:rFonts w:ascii="宋体" w:hAnsi="宋体" w:cs="宋体" w:eastAsia="宋体" w:hint="default"/>
          <w:sz w:val="18"/>
          <w:szCs w:val="18"/>
        </w:rPr>
      </w:r>
    </w:p>
    <w:p>
      <w:pPr>
        <w:spacing w:line="230" w:lineRule="exact" w:before="53"/>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 </w:t>
      </w:r>
      <w:r>
        <w:rPr>
          <w:rFonts w:ascii="宋体" w:hAnsi="宋体" w:cs="宋体" w:eastAsia="宋体" w:hint="default"/>
          <w:b/>
          <w:bCs/>
          <w:sz w:val="18"/>
          <w:szCs w:val="18"/>
        </w:rPr>
        <w:t>应付账款期末数比期初数增加 </w:t>
      </w:r>
      <w:r>
        <w:rPr>
          <w:rFonts w:ascii="Times New Roman" w:hAnsi="Times New Roman" w:cs="Times New Roman" w:eastAsia="Times New Roman" w:hint="default"/>
          <w:b/>
          <w:bCs/>
          <w:sz w:val="18"/>
          <w:szCs w:val="18"/>
        </w:rPr>
        <w:t>19,104,387.91 </w:t>
      </w:r>
      <w:r>
        <w:rPr>
          <w:rFonts w:ascii="宋体" w:hAnsi="宋体" w:cs="宋体" w:eastAsia="宋体" w:hint="default"/>
          <w:b/>
          <w:bCs/>
          <w:spacing w:val="-10"/>
          <w:sz w:val="18"/>
          <w:szCs w:val="18"/>
        </w:rPr>
        <w:t>元，增幅为</w:t>
      </w:r>
      <w:r>
        <w:rPr>
          <w:rFonts w:ascii="宋体" w:hAnsi="宋体" w:cs="宋体" w:eastAsia="宋体" w:hint="default"/>
          <w:b/>
          <w:bCs/>
          <w:spacing w:val="-50"/>
          <w:sz w:val="18"/>
          <w:szCs w:val="18"/>
        </w:rPr>
        <w:t> </w:t>
      </w:r>
      <w:r>
        <w:rPr>
          <w:rFonts w:ascii="Times New Roman" w:hAnsi="Times New Roman" w:cs="Times New Roman" w:eastAsia="Times New Roman" w:hint="default"/>
          <w:b/>
          <w:bCs/>
          <w:spacing w:val="-7"/>
          <w:sz w:val="18"/>
          <w:szCs w:val="18"/>
        </w:rPr>
        <w:t>220.09%</w:t>
      </w:r>
      <w:r>
        <w:rPr>
          <w:rFonts w:ascii="宋体" w:hAnsi="宋体" w:cs="宋体" w:eastAsia="宋体" w:hint="default"/>
          <w:b/>
          <w:bCs/>
          <w:spacing w:val="-7"/>
          <w:sz w:val="18"/>
          <w:szCs w:val="18"/>
        </w:rPr>
        <w:t>，增加的主要原因为：如附注五、注释（七）</w:t>
      </w:r>
      <w:r>
        <w:rPr>
          <w:rFonts w:ascii="宋体" w:hAnsi="宋体" w:cs="宋体" w:eastAsia="宋体" w:hint="default"/>
          <w:b/>
          <w:bCs/>
          <w:w w:val="99"/>
          <w:sz w:val="18"/>
          <w:szCs w:val="18"/>
        </w:rPr>
        <w:t> </w:t>
      </w:r>
      <w:r>
        <w:rPr>
          <w:rFonts w:ascii="宋体" w:hAnsi="宋体" w:cs="宋体" w:eastAsia="宋体" w:hint="default"/>
          <w:b/>
          <w:bCs/>
          <w:sz w:val="18"/>
          <w:szCs w:val="18"/>
        </w:rPr>
        <w:t>所述，本期销售规模扩大，为保证供货而增加了原材料采购。</w:t>
      </w:r>
      <w:r>
        <w:rPr>
          <w:rFonts w:ascii="宋体" w:hAnsi="宋体" w:cs="宋体" w:eastAsia="宋体" w:hint="default"/>
          <w:sz w:val="18"/>
          <w:szCs w:val="18"/>
        </w:rPr>
      </w:r>
    </w:p>
    <w:p>
      <w:pPr>
        <w:spacing w:line="240" w:lineRule="auto" w:before="3"/>
        <w:rPr>
          <w:rFonts w:ascii="宋体" w:hAnsi="宋体" w:cs="宋体" w:eastAsia="宋体" w:hint="default"/>
          <w:b/>
          <w:bCs/>
          <w:sz w:val="20"/>
          <w:szCs w:val="20"/>
        </w:rPr>
      </w:pPr>
    </w:p>
    <w:p>
      <w:pPr>
        <w:spacing w:before="0"/>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（十六）预收款项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1639"/>
        <w:gridCol w:w="264"/>
        <w:gridCol w:w="1724"/>
        <w:gridCol w:w="298"/>
        <w:gridCol w:w="1685"/>
        <w:gridCol w:w="259"/>
        <w:gridCol w:w="1520"/>
        <w:gridCol w:w="315"/>
        <w:gridCol w:w="1481"/>
      </w:tblGrid>
      <w:tr>
        <w:trPr>
          <w:trHeight w:val="282" w:hRule="exact"/>
        </w:trPr>
        <w:tc>
          <w:tcPr>
            <w:tcW w:w="1639"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98" w:type="dxa"/>
            <w:tcBorders>
              <w:top w:val="nil" w:sz="6" w:space="0" w:color="auto"/>
              <w:left w:val="nil" w:sz="6" w:space="0" w:color="auto"/>
              <w:bottom w:val="single" w:sz="4" w:space="0" w:color="000000"/>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15" w:type="dxa"/>
            <w:tcBorders>
              <w:top w:val="nil" w:sz="6" w:space="0" w:color="auto"/>
              <w:left w:val="nil" w:sz="6" w:space="0" w:color="auto"/>
              <w:bottom w:val="single" w:sz="4" w:space="0" w:color="000000"/>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4"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98" w:type="dxa"/>
            <w:tcBorders>
              <w:top w:val="single" w:sz="4" w:space="0" w:color="000000"/>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15" w:type="dxa"/>
            <w:tcBorders>
              <w:top w:val="single" w:sz="4" w:space="0" w:color="000000"/>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74" w:hRule="exact"/>
        </w:trPr>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4"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1" w:right="0"/>
              <w:jc w:val="left"/>
              <w:rPr>
                <w:rFonts w:ascii="Times New Roman" w:hAnsi="Times New Roman" w:cs="Times New Roman" w:eastAsia="Times New Roman" w:hint="default"/>
                <w:sz w:val="18"/>
                <w:szCs w:val="18"/>
              </w:rPr>
            </w:pPr>
            <w:r>
              <w:rPr>
                <w:rFonts w:ascii="Times New Roman"/>
                <w:sz w:val="18"/>
              </w:rPr>
              <w:t>7,789,882.82</w:t>
            </w:r>
          </w:p>
        </w:tc>
        <w:tc>
          <w:tcPr>
            <w:tcW w:w="298"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18"/>
                <w:szCs w:val="18"/>
              </w:rPr>
            </w:pPr>
            <w:r>
              <w:rPr>
                <w:rFonts w:ascii="Times New Roman"/>
                <w:sz w:val="18"/>
              </w:rPr>
              <w:t>99.92%</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2,462,046.33</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100%</w:t>
            </w:r>
          </w:p>
        </w:tc>
      </w:tr>
      <w:tr>
        <w:trPr>
          <w:trHeight w:val="373"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一年以上二年以内</w:t>
            </w:r>
          </w:p>
        </w:tc>
        <w:tc>
          <w:tcPr>
            <w:tcW w:w="26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1" w:right="0"/>
              <w:jc w:val="left"/>
              <w:rPr>
                <w:rFonts w:ascii="Times New Roman" w:hAnsi="Times New Roman" w:cs="Times New Roman" w:eastAsia="Times New Roman" w:hint="default"/>
                <w:sz w:val="18"/>
                <w:szCs w:val="18"/>
              </w:rPr>
            </w:pPr>
            <w:r>
              <w:rPr>
                <w:rFonts w:ascii="Times New Roman"/>
                <w:sz w:val="18"/>
              </w:rPr>
              <w:t>6,589.73</w:t>
            </w:r>
          </w:p>
        </w:tc>
        <w:tc>
          <w:tcPr>
            <w:tcW w:w="29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5" w:right="0"/>
              <w:jc w:val="left"/>
              <w:rPr>
                <w:rFonts w:ascii="Times New Roman" w:hAnsi="Times New Roman" w:cs="Times New Roman" w:eastAsia="Times New Roman" w:hint="default"/>
                <w:sz w:val="18"/>
                <w:szCs w:val="18"/>
              </w:rPr>
            </w:pPr>
            <w:r>
              <w:rPr>
                <w:rFonts w:ascii="Times New Roman"/>
                <w:sz w:val="18"/>
              </w:rPr>
              <w:t>0.08%</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1" w:right="0"/>
              <w:jc w:val="left"/>
              <w:rPr>
                <w:rFonts w:ascii="Times New Roman" w:hAnsi="Times New Roman" w:cs="Times New Roman" w:eastAsia="Times New Roman" w:hint="default"/>
                <w:sz w:val="18"/>
                <w:szCs w:val="18"/>
              </w:rPr>
            </w:pPr>
            <w:r>
              <w:rPr>
                <w:rFonts w:ascii="Times New Roman"/>
                <w:sz w:val="18"/>
              </w:rPr>
              <w:t>7,796,472.55</w:t>
            </w:r>
          </w:p>
        </w:tc>
        <w:tc>
          <w:tcPr>
            <w:tcW w:w="298"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100%</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6" w:right="0"/>
              <w:jc w:val="left"/>
              <w:rPr>
                <w:rFonts w:ascii="Times New Roman" w:hAnsi="Times New Roman" w:cs="Times New Roman" w:eastAsia="Times New Roman" w:hint="default"/>
                <w:sz w:val="18"/>
                <w:szCs w:val="18"/>
              </w:rPr>
            </w:pPr>
            <w:r>
              <w:rPr>
                <w:rFonts w:ascii="Times New Roman"/>
                <w:sz w:val="18"/>
              </w:rPr>
              <w:t>2,462,046.33</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6" w:right="0"/>
              <w:jc w:val="left"/>
              <w:rPr>
                <w:rFonts w:ascii="Times New Roman" w:hAnsi="Times New Roman" w:cs="Times New Roman" w:eastAsia="Times New Roman" w:hint="default"/>
                <w:sz w:val="18"/>
                <w:szCs w:val="18"/>
              </w:rPr>
            </w:pPr>
            <w:r>
              <w:rPr>
                <w:rFonts w:ascii="Times New Roman"/>
                <w:sz w:val="18"/>
              </w:rPr>
              <w:t>100%</w:t>
            </w:r>
          </w:p>
        </w:tc>
      </w:tr>
    </w:tbl>
    <w:p>
      <w:pPr>
        <w:spacing w:before="8"/>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．期末数中无预收持本公司</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）表决权股份的股东单位款项。</w:t>
      </w:r>
      <w:r>
        <w:rPr>
          <w:rFonts w:ascii="宋体" w:hAnsi="宋体" w:cs="宋体" w:eastAsia="宋体" w:hint="default"/>
          <w:sz w:val="18"/>
          <w:szCs w:val="18"/>
        </w:rPr>
      </w:r>
    </w:p>
    <w:p>
      <w:pPr>
        <w:spacing w:before="22"/>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．期末数中无预收关联方款项。</w:t>
      </w:r>
      <w:r>
        <w:rPr>
          <w:rFonts w:ascii="宋体" w:hAnsi="宋体" w:cs="宋体" w:eastAsia="宋体" w:hint="default"/>
          <w:sz w:val="18"/>
          <w:szCs w:val="18"/>
        </w:rPr>
      </w:r>
    </w:p>
    <w:p>
      <w:pPr>
        <w:spacing w:line="232" w:lineRule="exact" w:before="51"/>
        <w:ind w:left="142" w:right="6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．预收款项期末数比期初数增加 </w:t>
      </w:r>
      <w:r>
        <w:rPr>
          <w:rFonts w:ascii="Times New Roman" w:hAnsi="Times New Roman" w:cs="Times New Roman" w:eastAsia="Times New Roman" w:hint="default"/>
          <w:b/>
          <w:bCs/>
          <w:sz w:val="18"/>
          <w:szCs w:val="18"/>
        </w:rPr>
        <w:t>5,334,426.22 </w:t>
      </w:r>
      <w:r>
        <w:rPr>
          <w:rFonts w:ascii="宋体" w:hAnsi="宋体" w:cs="宋体" w:eastAsia="宋体" w:hint="default"/>
          <w:b/>
          <w:bCs/>
          <w:sz w:val="18"/>
          <w:szCs w:val="18"/>
        </w:rPr>
        <w:t>元，增幅为</w:t>
      </w:r>
      <w:r>
        <w:rPr>
          <w:rFonts w:ascii="宋体" w:hAnsi="宋体" w:cs="宋体" w:eastAsia="宋体" w:hint="default"/>
          <w:b/>
          <w:bCs/>
          <w:spacing w:val="-61"/>
          <w:sz w:val="18"/>
          <w:szCs w:val="18"/>
        </w:rPr>
        <w:t> </w:t>
      </w:r>
      <w:r>
        <w:rPr>
          <w:rFonts w:ascii="Times New Roman" w:hAnsi="Times New Roman" w:cs="Times New Roman" w:eastAsia="Times New Roman" w:hint="default"/>
          <w:b/>
          <w:bCs/>
          <w:sz w:val="18"/>
          <w:szCs w:val="18"/>
        </w:rPr>
        <w:t>216.67%</w:t>
      </w:r>
      <w:r>
        <w:rPr>
          <w:rFonts w:ascii="宋体" w:hAnsi="宋体" w:cs="宋体" w:eastAsia="宋体" w:hint="default"/>
          <w:b/>
          <w:bCs/>
          <w:sz w:val="18"/>
          <w:szCs w:val="18"/>
        </w:rPr>
        <w:t>，增加的主要原因为：本期新增预收艾体</w:t>
      </w:r>
      <w:r>
        <w:rPr>
          <w:rFonts w:ascii="宋体" w:hAnsi="宋体" w:cs="宋体" w:eastAsia="宋体" w:hint="default"/>
          <w:b/>
          <w:bCs/>
          <w:w w:val="99"/>
          <w:sz w:val="18"/>
          <w:szCs w:val="18"/>
        </w:rPr>
        <w:t> </w:t>
      </w:r>
      <w:r>
        <w:rPr>
          <w:rFonts w:ascii="宋体" w:hAnsi="宋体" w:cs="宋体" w:eastAsia="宋体" w:hint="default"/>
          <w:b/>
          <w:bCs/>
          <w:sz w:val="18"/>
          <w:szCs w:val="18"/>
        </w:rPr>
        <w:t>威尔电子技术（北京）有限公司和招商银行股份有限公司信用卡中心</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5,280,000.00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元的货款。</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before="0"/>
        <w:ind w:left="142" w:right="630" w:firstLine="0"/>
        <w:jc w:val="left"/>
        <w:rPr>
          <w:rFonts w:ascii="宋体" w:hAnsi="宋体" w:cs="宋体" w:eastAsia="宋体" w:hint="default"/>
          <w:sz w:val="18"/>
          <w:szCs w:val="18"/>
        </w:rPr>
      </w:pPr>
      <w:r>
        <w:rPr>
          <w:rFonts w:ascii="宋体" w:hAnsi="宋体" w:cs="宋体" w:eastAsia="宋体" w:hint="default"/>
          <w:b/>
          <w:bCs/>
          <w:sz w:val="18"/>
          <w:szCs w:val="18"/>
        </w:rPr>
        <w:t>（十七）应付职工薪酬</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648"/>
        <w:gridCol w:w="1764"/>
        <w:gridCol w:w="1680"/>
        <w:gridCol w:w="1575"/>
        <w:gridCol w:w="1531"/>
      </w:tblGrid>
      <w:tr>
        <w:trPr>
          <w:trHeight w:val="267" w:hRule="exact"/>
        </w:trPr>
        <w:tc>
          <w:tcPr>
            <w:tcW w:w="264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5" w:hRule="exact"/>
        </w:trPr>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3,673,061.61</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24,734,148.22</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23,339,893.97</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5,067,315.86</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1,019,860.21</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1,019,860.21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946,394.10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946,394.10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171,442.70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171,442.70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689,162.00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689,162.00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Times New Roman" w:hAnsi="Times New Roman" w:cs="Times New Roman" w:eastAsia="Times New Roman" w:hint="default"/>
                <w:sz w:val="18"/>
                <w:szCs w:val="18"/>
              </w:rPr>
            </w:pPr>
            <w:r>
              <w:rPr>
                <w:rFonts w:ascii="Times New Roman"/>
                <w:sz w:val="18"/>
              </w:rPr>
              <w:t>45,928.00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45,928.00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11,898.78</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11,898.78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27,962.62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27,962.62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Times New Roman" w:hAnsi="Times New Roman" w:cs="Times New Roman" w:eastAsia="Times New Roman" w:hint="default"/>
                <w:sz w:val="18"/>
                <w:szCs w:val="18"/>
              </w:rPr>
            </w:pPr>
            <w:r>
              <w:rPr>
                <w:rFonts w:ascii="Times New Roman"/>
                <w:sz w:val="18"/>
              </w:rPr>
              <w:t>97,145.00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97,145.00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244,142.03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244,142.03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r>
      <w:tr>
        <w:trPr>
          <w:trHeight w:val="264"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86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756"/>
        <w:gridCol w:w="1685"/>
        <w:gridCol w:w="1680"/>
        <w:gridCol w:w="1575"/>
        <w:gridCol w:w="1054"/>
        <w:gridCol w:w="477"/>
      </w:tblGrid>
      <w:tr>
        <w:trPr>
          <w:trHeight w:val="364" w:hRule="exact"/>
        </w:trPr>
        <w:tc>
          <w:tcPr>
            <w:tcW w:w="2756"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685"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500.00</w:t>
            </w:r>
          </w:p>
        </w:tc>
        <w:tc>
          <w:tcPr>
            <w:tcW w:w="1680"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08" w:right="0"/>
              <w:jc w:val="left"/>
              <w:rPr>
                <w:rFonts w:ascii="Times New Roman" w:hAnsi="Times New Roman" w:cs="Times New Roman" w:eastAsia="Times New Roman" w:hint="default"/>
                <w:sz w:val="18"/>
                <w:szCs w:val="18"/>
              </w:rPr>
            </w:pPr>
            <w:r>
              <w:rPr>
                <w:rFonts w:ascii="Times New Roman"/>
                <w:sz w:val="18"/>
              </w:rPr>
              <w:t>37,840.32</w:t>
            </w:r>
          </w:p>
        </w:tc>
        <w:tc>
          <w:tcPr>
            <w:tcW w:w="1575"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38,340.32</w:t>
            </w:r>
          </w:p>
        </w:tc>
        <w:tc>
          <w:tcPr>
            <w:tcW w:w="1054"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Times New Roman" w:hAnsi="Times New Roman" w:cs="Times New Roman" w:eastAsia="Times New Roman" w:hint="default"/>
                <w:sz w:val="18"/>
                <w:szCs w:val="18"/>
              </w:rPr>
            </w:pPr>
            <w:r>
              <w:rPr>
                <w:rFonts w:ascii="Times New Roman"/>
                <w:sz w:val="18"/>
              </w:rPr>
              <w:t>---</w:t>
            </w:r>
          </w:p>
        </w:tc>
        <w:tc>
          <w:tcPr>
            <w:tcW w:w="477" w:type="dxa"/>
            <w:tcBorders>
              <w:top w:val="nil" w:sz="6" w:space="0" w:color="auto"/>
              <w:left w:val="nil" w:sz="6" w:space="0" w:color="auto"/>
              <w:bottom w:val="nil" w:sz="6" w:space="0" w:color="auto"/>
              <w:right w:val="nil" w:sz="6" w:space="0" w:color="auto"/>
            </w:tcBorders>
          </w:tcPr>
          <w:p>
            <w:pPr/>
          </w:p>
        </w:tc>
      </w:tr>
      <w:tr>
        <w:trPr>
          <w:trHeight w:val="339"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Times New Roman" w:hAnsi="Times New Roman" w:cs="Times New Roman" w:eastAsia="Times New Roman" w:hint="default"/>
                <w:sz w:val="18"/>
                <w:szCs w:val="18"/>
              </w:rPr>
            </w:pPr>
            <w:r>
              <w:rPr>
                <w:rFonts w:ascii="Times New Roman"/>
                <w:sz w:val="18"/>
              </w:rPr>
              <w:t>---</w:t>
            </w:r>
          </w:p>
        </w:tc>
        <w:tc>
          <w:tcPr>
            <w:tcW w:w="477" w:type="dxa"/>
            <w:tcBorders>
              <w:top w:val="nil" w:sz="6" w:space="0" w:color="auto"/>
              <w:left w:val="nil" w:sz="6" w:space="0" w:color="auto"/>
              <w:bottom w:val="nil" w:sz="6" w:space="0" w:color="auto"/>
              <w:right w:val="nil" w:sz="6" w:space="0" w:color="auto"/>
            </w:tcBorders>
          </w:tcPr>
          <w:p>
            <w:pPr/>
          </w:p>
        </w:tc>
      </w:tr>
      <w:tr>
        <w:trPr>
          <w:trHeight w:val="344"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7" w:right="0"/>
              <w:jc w:val="left"/>
              <w:rPr>
                <w:rFonts w:ascii="Times New Roman" w:hAnsi="Times New Roman" w:cs="Times New Roman" w:eastAsia="Times New Roman" w:hint="default"/>
                <w:sz w:val="18"/>
                <w:szCs w:val="18"/>
              </w:rPr>
            </w:pPr>
            <w:r>
              <w:rPr>
                <w:rFonts w:ascii="Times New Roman"/>
                <w:sz w:val="18"/>
              </w:rPr>
              <w:t>---</w:t>
            </w:r>
          </w:p>
        </w:tc>
        <w:tc>
          <w:tcPr>
            <w:tcW w:w="477" w:type="dxa"/>
            <w:tcBorders>
              <w:top w:val="nil" w:sz="6" w:space="0" w:color="auto"/>
              <w:left w:val="nil" w:sz="6" w:space="0" w:color="auto"/>
              <w:bottom w:val="single" w:sz="4" w:space="0" w:color="000000"/>
              <w:right w:val="nil" w:sz="6" w:space="0" w:color="auto"/>
            </w:tcBorders>
          </w:tcPr>
          <w:p>
            <w:pPr/>
          </w:p>
        </w:tc>
      </w:tr>
      <w:tr>
        <w:trPr>
          <w:trHeight w:val="370"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3,673,561.61</w:t>
            </w:r>
          </w:p>
        </w:tc>
        <w:tc>
          <w:tcPr>
            <w:tcW w:w="1680"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8"/>
                <w:szCs w:val="18"/>
              </w:rPr>
            </w:pPr>
            <w:r>
              <w:rPr>
                <w:rFonts w:ascii="Times New Roman"/>
                <w:sz w:val="18"/>
              </w:rPr>
              <w:t>27,079,529.88</w:t>
            </w:r>
          </w:p>
        </w:tc>
        <w:tc>
          <w:tcPr>
            <w:tcW w:w="1575"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25,685,775.63</w:t>
            </w:r>
          </w:p>
        </w:tc>
        <w:tc>
          <w:tcPr>
            <w:tcW w:w="1054"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5,067,315.86</w:t>
            </w:r>
          </w:p>
        </w:tc>
        <w:tc>
          <w:tcPr>
            <w:tcW w:w="477" w:type="dxa"/>
            <w:tcBorders>
              <w:top w:val="single" w:sz="4" w:space="0" w:color="000000"/>
              <w:left w:val="nil" w:sz="6" w:space="0" w:color="auto"/>
              <w:bottom w:val="single" w:sz="17" w:space="0" w:color="000000"/>
              <w:right w:val="nil" w:sz="6" w:space="0" w:color="auto"/>
            </w:tcBorders>
          </w:tcPr>
          <w:p>
            <w:pPr/>
          </w:p>
        </w:tc>
      </w:tr>
    </w:tbl>
    <w:p>
      <w:pPr>
        <w:spacing w:line="240" w:lineRule="auto" w:before="2"/>
        <w:rPr>
          <w:rFonts w:ascii="宋体" w:hAnsi="宋体" w:cs="宋体" w:eastAsia="宋体" w:hint="default"/>
          <w:b/>
          <w:bCs/>
          <w:sz w:val="16"/>
          <w:szCs w:val="16"/>
        </w:rPr>
      </w:pPr>
    </w:p>
    <w:p>
      <w:pPr>
        <w:spacing w:before="44"/>
        <w:ind w:left="142" w:right="696" w:firstLine="0"/>
        <w:jc w:val="left"/>
        <w:rPr>
          <w:rFonts w:ascii="宋体" w:hAnsi="宋体" w:cs="宋体" w:eastAsia="宋体" w:hint="default"/>
          <w:sz w:val="18"/>
          <w:szCs w:val="18"/>
        </w:rPr>
      </w:pPr>
      <w:r>
        <w:rPr>
          <w:rFonts w:ascii="宋体" w:hAnsi="宋体" w:cs="宋体" w:eastAsia="宋体" w:hint="default"/>
          <w:b/>
          <w:bCs/>
          <w:sz w:val="18"/>
          <w:szCs w:val="18"/>
        </w:rPr>
        <w:t>（十八）应交税费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004"/>
        <w:gridCol w:w="1689"/>
        <w:gridCol w:w="1936"/>
        <w:gridCol w:w="1589"/>
        <w:gridCol w:w="2002"/>
      </w:tblGrid>
      <w:tr>
        <w:trPr>
          <w:trHeight w:val="267"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414,309.35</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604,949.85</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left"/>
              <w:rPr>
                <w:rFonts w:ascii="Times New Roman" w:hAnsi="Times New Roman" w:cs="Times New Roman" w:eastAsia="Times New Roman" w:hint="default"/>
                <w:sz w:val="18"/>
                <w:szCs w:val="18"/>
              </w:rPr>
            </w:pPr>
            <w:r>
              <w:rPr>
                <w:rFonts w:ascii="Times New Roman"/>
                <w:sz w:val="18"/>
              </w:rPr>
              <w:t>32,532.25</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67,875.14</w:t>
            </w:r>
          </w:p>
        </w:tc>
      </w:tr>
      <w:tr>
        <w:trPr>
          <w:trHeight w:val="341"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 w:right="0"/>
              <w:jc w:val="left"/>
              <w:rPr>
                <w:rFonts w:ascii="Times New Roman" w:hAnsi="Times New Roman" w:cs="Times New Roman" w:eastAsia="Times New Roman" w:hint="default"/>
                <w:sz w:val="18"/>
                <w:szCs w:val="18"/>
              </w:rPr>
            </w:pPr>
            <w:r>
              <w:rPr>
                <w:rFonts w:ascii="Times New Roman"/>
                <w:sz w:val="18"/>
              </w:rPr>
              <w:t>326,657.04</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25,486.68</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left"/>
              <w:rPr>
                <w:rFonts w:ascii="Times New Roman" w:hAnsi="Times New Roman" w:cs="Times New Roman" w:eastAsia="Times New Roman" w:hint="default"/>
                <w:sz w:val="18"/>
                <w:szCs w:val="18"/>
              </w:rPr>
            </w:pPr>
            <w:r>
              <w:rPr>
                <w:rFonts w:ascii="Times New Roman"/>
                <w:sz w:val="18"/>
              </w:rPr>
              <w:t>139,995.87</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76,460.07</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left"/>
              <w:rPr>
                <w:rFonts w:ascii="Times New Roman" w:hAnsi="Times New Roman" w:cs="Times New Roman" w:eastAsia="Times New Roman" w:hint="default"/>
                <w:sz w:val="18"/>
                <w:szCs w:val="18"/>
              </w:rPr>
            </w:pPr>
            <w:r>
              <w:rPr>
                <w:rFonts w:ascii="Times New Roman"/>
                <w:sz w:val="18"/>
              </w:rPr>
              <w:t>1,066,887.89</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314,545.69</w:t>
            </w:r>
          </w:p>
        </w:tc>
      </w:tr>
      <w:tr>
        <w:trPr>
          <w:trHeight w:val="341"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 w:right="0"/>
              <w:jc w:val="left"/>
              <w:rPr>
                <w:rFonts w:ascii="Times New Roman" w:hAnsi="Times New Roman" w:cs="Times New Roman" w:eastAsia="Times New Roman" w:hint="default"/>
                <w:sz w:val="18"/>
                <w:szCs w:val="18"/>
              </w:rPr>
            </w:pPr>
            <w:r>
              <w:rPr>
                <w:rFonts w:ascii="Times New Roman"/>
                <w:sz w:val="18"/>
              </w:rPr>
              <w:t>940.36</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885.90</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9,056.83</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640.23</w:t>
            </w:r>
          </w:p>
        </w:tc>
      </w:tr>
      <w:tr>
        <w:trPr>
          <w:trHeight w:val="345"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2" w:right="0"/>
              <w:jc w:val="left"/>
              <w:rPr>
                <w:rFonts w:ascii="Times New Roman" w:hAnsi="Times New Roman" w:cs="Times New Roman" w:eastAsia="Times New Roman" w:hint="default"/>
                <w:sz w:val="18"/>
                <w:szCs w:val="18"/>
              </w:rPr>
            </w:pPr>
            <w:r>
              <w:rPr>
                <w:rFonts w:ascii="Times New Roman"/>
                <w:sz w:val="18"/>
              </w:rPr>
              <w:t>53,904.00</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8,856.90</w:t>
            </w:r>
          </w:p>
        </w:tc>
      </w:tr>
      <w:tr>
        <w:trPr>
          <w:trHeight w:val="367"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2,044,283.59</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1,099,700.46</w:t>
            </w:r>
          </w:p>
        </w:tc>
      </w:tr>
    </w:tbl>
    <w:p>
      <w:pPr>
        <w:spacing w:line="232" w:lineRule="exact" w:before="32"/>
        <w:ind w:left="142" w:right="69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．应交税费期末数比期初数增加</w:t>
      </w:r>
      <w:r>
        <w:rPr>
          <w:rFonts w:ascii="宋体" w:hAnsi="宋体" w:cs="宋体" w:eastAsia="宋体" w:hint="default"/>
          <w:b/>
          <w:bCs/>
          <w:spacing w:val="-58"/>
          <w:sz w:val="18"/>
          <w:szCs w:val="18"/>
        </w:rPr>
        <w:t> </w:t>
      </w:r>
      <w:r>
        <w:rPr>
          <w:rFonts w:ascii="Times New Roman" w:hAnsi="Times New Roman" w:cs="Times New Roman" w:eastAsia="Times New Roman" w:hint="default"/>
          <w:b/>
          <w:bCs/>
          <w:sz w:val="18"/>
          <w:szCs w:val="18"/>
        </w:rPr>
        <w:t>944,583.13</w:t>
      </w:r>
      <w:r>
        <w:rPr>
          <w:rFonts w:ascii="Times New Roman" w:hAnsi="Times New Roman" w:cs="Times New Roman" w:eastAsia="Times New Roman" w:hint="default"/>
          <w:b/>
          <w:bCs/>
          <w:spacing w:val="-13"/>
          <w:sz w:val="18"/>
          <w:szCs w:val="18"/>
        </w:rPr>
        <w:t> </w:t>
      </w:r>
      <w:r>
        <w:rPr>
          <w:rFonts w:ascii="宋体" w:hAnsi="宋体" w:cs="宋体" w:eastAsia="宋体" w:hint="default"/>
          <w:b/>
          <w:bCs/>
          <w:spacing w:val="-4"/>
          <w:sz w:val="18"/>
          <w:szCs w:val="18"/>
        </w:rPr>
        <w:t>元，增幅为</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85.89%</w:t>
      </w:r>
      <w:r>
        <w:rPr>
          <w:rFonts w:ascii="宋体" w:hAnsi="宋体" w:cs="宋体" w:eastAsia="宋体" w:hint="default"/>
          <w:b/>
          <w:bCs/>
          <w:sz w:val="18"/>
          <w:szCs w:val="18"/>
        </w:rPr>
        <w:t>，增加的主要原因为本期净利润增加导致企业</w:t>
      </w:r>
      <w:r>
        <w:rPr>
          <w:rFonts w:ascii="宋体" w:hAnsi="宋体" w:cs="宋体" w:eastAsia="宋体" w:hint="default"/>
          <w:b/>
          <w:bCs/>
          <w:w w:val="99"/>
          <w:sz w:val="18"/>
          <w:szCs w:val="18"/>
        </w:rPr>
        <w:t> </w:t>
      </w:r>
      <w:r>
        <w:rPr>
          <w:rFonts w:ascii="宋体" w:hAnsi="宋体" w:cs="宋体" w:eastAsia="宋体" w:hint="default"/>
          <w:b/>
          <w:bCs/>
          <w:sz w:val="18"/>
          <w:szCs w:val="18"/>
        </w:rPr>
        <w:t>所得税增加</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752,342.20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2"/>
        <w:rPr>
          <w:rFonts w:ascii="宋体" w:hAnsi="宋体" w:cs="宋体" w:eastAsia="宋体" w:hint="default"/>
          <w:b/>
          <w:bCs/>
          <w:sz w:val="20"/>
          <w:szCs w:val="20"/>
        </w:rPr>
      </w:pPr>
    </w:p>
    <w:p>
      <w:pPr>
        <w:spacing w:before="0"/>
        <w:ind w:left="142" w:right="696" w:firstLine="0"/>
        <w:jc w:val="left"/>
        <w:rPr>
          <w:rFonts w:ascii="宋体" w:hAnsi="宋体" w:cs="宋体" w:eastAsia="宋体" w:hint="default"/>
          <w:sz w:val="18"/>
          <w:szCs w:val="18"/>
        </w:rPr>
      </w:pPr>
      <w:r>
        <w:rPr>
          <w:rFonts w:ascii="宋体" w:hAnsi="宋体" w:cs="宋体" w:eastAsia="宋体" w:hint="default"/>
          <w:b/>
          <w:bCs/>
          <w:sz w:val="18"/>
          <w:szCs w:val="18"/>
        </w:rPr>
        <w:t>（十九）其他应付款</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1891"/>
        <w:gridCol w:w="315"/>
        <w:gridCol w:w="1680"/>
        <w:gridCol w:w="106"/>
        <w:gridCol w:w="1505"/>
        <w:gridCol w:w="271"/>
        <w:gridCol w:w="1584"/>
        <w:gridCol w:w="103"/>
        <w:gridCol w:w="1486"/>
      </w:tblGrid>
      <w:tr>
        <w:trPr>
          <w:trHeight w:val="284" w:hRule="exact"/>
        </w:trPr>
        <w:tc>
          <w:tcPr>
            <w:tcW w:w="1891" w:type="dxa"/>
            <w:tcBorders>
              <w:top w:val="nil" w:sz="6" w:space="0" w:color="auto"/>
              <w:left w:val="nil" w:sz="6" w:space="0" w:color="auto"/>
              <w:bottom w:val="nil" w:sz="6" w:space="0" w:color="auto"/>
              <w:right w:val="nil" w:sz="6" w:space="0" w:color="auto"/>
            </w:tcBorders>
          </w:tcPr>
          <w:p>
            <w:pP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3" w:type="dxa"/>
            <w:tcBorders>
              <w:top w:val="single" w:sz="4" w:space="0" w:color="000000"/>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73"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1,792,221.46</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88.34%</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8" w:right="0"/>
              <w:jc w:val="left"/>
              <w:rPr>
                <w:rFonts w:ascii="Times New Roman" w:hAnsi="Times New Roman" w:cs="Times New Roman" w:eastAsia="Times New Roman" w:hint="default"/>
                <w:sz w:val="18"/>
                <w:szCs w:val="18"/>
              </w:rPr>
            </w:pPr>
            <w:r>
              <w:rPr>
                <w:rFonts w:ascii="Times New Roman"/>
                <w:sz w:val="18"/>
              </w:rPr>
              <w:t>1,425,562.86</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1" w:right="0"/>
              <w:jc w:val="left"/>
              <w:rPr>
                <w:rFonts w:ascii="Times New Roman" w:hAnsi="Times New Roman" w:cs="Times New Roman" w:eastAsia="Times New Roman" w:hint="default"/>
                <w:sz w:val="18"/>
                <w:szCs w:val="18"/>
              </w:rPr>
            </w:pPr>
            <w:r>
              <w:rPr>
                <w:rFonts w:ascii="Times New Roman"/>
                <w:sz w:val="18"/>
              </w:rPr>
              <w:t>94.53%</w:t>
            </w:r>
          </w:p>
        </w:tc>
      </w:tr>
      <w:tr>
        <w:trPr>
          <w:trHeight w:val="37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18"/>
                <w:szCs w:val="18"/>
              </w:rPr>
            </w:pPr>
            <w:r>
              <w:rPr>
                <w:rFonts w:ascii="Times New Roman"/>
                <w:sz w:val="18"/>
              </w:rPr>
              <w:t>206,431.35</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18"/>
                <w:szCs w:val="18"/>
              </w:rPr>
            </w:pPr>
            <w:r>
              <w:rPr>
                <w:rFonts w:ascii="Times New Roman"/>
                <w:sz w:val="18"/>
              </w:rPr>
              <w:t>10.17%</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53,787.50</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Times New Roman" w:hAnsi="Times New Roman" w:cs="Times New Roman" w:eastAsia="Times New Roman" w:hint="default"/>
                <w:sz w:val="18"/>
                <w:szCs w:val="18"/>
              </w:rPr>
            </w:pPr>
            <w:r>
              <w:rPr>
                <w:rFonts w:ascii="Times New Roman"/>
                <w:sz w:val="18"/>
              </w:rPr>
              <w:t>3.57%</w:t>
            </w:r>
          </w:p>
        </w:tc>
      </w:tr>
      <w:tr>
        <w:trPr>
          <w:trHeight w:val="368"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1,688.00</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0.08%</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8" w:right="0"/>
              <w:jc w:val="left"/>
              <w:rPr>
                <w:rFonts w:ascii="Times New Roman" w:hAnsi="Times New Roman" w:cs="Times New Roman" w:eastAsia="Times New Roman" w:hint="default"/>
                <w:sz w:val="18"/>
                <w:szCs w:val="18"/>
              </w:rPr>
            </w:pPr>
            <w:r>
              <w:rPr>
                <w:rFonts w:ascii="Times New Roman"/>
                <w:sz w:val="18"/>
              </w:rPr>
              <w:t>28,666.00</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1" w:right="0"/>
              <w:jc w:val="left"/>
              <w:rPr>
                <w:rFonts w:ascii="Times New Roman" w:hAnsi="Times New Roman" w:cs="Times New Roman" w:eastAsia="Times New Roman" w:hint="default"/>
                <w:sz w:val="18"/>
                <w:szCs w:val="18"/>
              </w:rPr>
            </w:pPr>
            <w:r>
              <w:rPr>
                <w:rFonts w:ascii="Times New Roman"/>
                <w:sz w:val="18"/>
              </w:rPr>
              <w:t>1.90%</w:t>
            </w:r>
          </w:p>
        </w:tc>
      </w:tr>
      <w:tr>
        <w:trPr>
          <w:trHeight w:val="37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28,666.00</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1.41%</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17" w:space="0" w:color="000000"/>
              <w:right w:val="nil" w:sz="6" w:space="0" w:color="auto"/>
            </w:tcBorders>
          </w:tcPr>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6755" cy="9144"/>
                  <wp:effectExtent l="0" t="0" r="0" b="0"/>
                  <wp:docPr id="105" name="image66.png" descr=""/>
                  <wp:cNvGraphicFramePr>
                    <a:graphicFrameLocks noChangeAspect="1"/>
                  </wp:cNvGraphicFramePr>
                  <a:graphic>
                    <a:graphicData uri="http://schemas.openxmlformats.org/drawingml/2006/picture">
                      <pic:pic>
                        <pic:nvPicPr>
                          <pic:cNvPr id="106" name="image66.png"/>
                          <pic:cNvPicPr/>
                        </pic:nvPicPr>
                        <pic:blipFill>
                          <a:blip r:embed="rId112" cstate="print"/>
                          <a:stretch>
                            <a:fillRect/>
                          </a:stretch>
                        </pic:blipFill>
                        <pic:spPr>
                          <a:xfrm>
                            <a:off x="0" y="0"/>
                            <a:ext cx="106675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2,029,006.81</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5762" cy="9144"/>
                  <wp:effectExtent l="0" t="0" r="0" b="0"/>
                  <wp:docPr id="107" name="image67.png" descr=""/>
                  <wp:cNvGraphicFramePr>
                    <a:graphicFrameLocks noChangeAspect="1"/>
                  </wp:cNvGraphicFramePr>
                  <a:graphic>
                    <a:graphicData uri="http://schemas.openxmlformats.org/drawingml/2006/picture">
                      <pic:pic>
                        <pic:nvPicPr>
                          <pic:cNvPr id="108" name="image67.png"/>
                          <pic:cNvPicPr/>
                        </pic:nvPicPr>
                        <pic:blipFill>
                          <a:blip r:embed="rId113" cstate="print"/>
                          <a:stretch>
                            <a:fillRect/>
                          </a:stretch>
                        </pic:blipFill>
                        <pic:spPr>
                          <a:xfrm>
                            <a:off x="0" y="0"/>
                            <a:ext cx="95576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100%</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1607" cy="9144"/>
                  <wp:effectExtent l="0" t="0" r="0" b="0"/>
                  <wp:docPr id="109" name="image68.png" descr=""/>
                  <wp:cNvGraphicFramePr>
                    <a:graphicFrameLocks noChangeAspect="1"/>
                  </wp:cNvGraphicFramePr>
                  <a:graphic>
                    <a:graphicData uri="http://schemas.openxmlformats.org/drawingml/2006/picture">
                      <pic:pic>
                        <pic:nvPicPr>
                          <pic:cNvPr id="110" name="image68.png"/>
                          <pic:cNvPicPr/>
                        </pic:nvPicPr>
                        <pic:blipFill>
                          <a:blip r:embed="rId114" cstate="print"/>
                          <a:stretch>
                            <a:fillRect/>
                          </a:stretch>
                        </pic:blipFill>
                        <pic:spPr>
                          <a:xfrm>
                            <a:off x="0" y="0"/>
                            <a:ext cx="10016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38" w:right="0"/>
              <w:jc w:val="left"/>
              <w:rPr>
                <w:rFonts w:ascii="Times New Roman" w:hAnsi="Times New Roman" w:cs="Times New Roman" w:eastAsia="Times New Roman" w:hint="default"/>
                <w:sz w:val="18"/>
                <w:szCs w:val="18"/>
              </w:rPr>
            </w:pPr>
            <w:r>
              <w:rPr>
                <w:rFonts w:ascii="Times New Roman"/>
                <w:sz w:val="18"/>
              </w:rPr>
              <w:t>1,508,016.36</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43317" cy="9144"/>
                  <wp:effectExtent l="0" t="0" r="0" b="0"/>
                  <wp:docPr id="111" name="image69.png" descr=""/>
                  <wp:cNvGraphicFramePr>
                    <a:graphicFrameLocks noChangeAspect="1"/>
                  </wp:cNvGraphicFramePr>
                  <a:graphic>
                    <a:graphicData uri="http://schemas.openxmlformats.org/drawingml/2006/picture">
                      <pic:pic>
                        <pic:nvPicPr>
                          <pic:cNvPr id="112" name="image69.png"/>
                          <pic:cNvPicPr/>
                        </pic:nvPicPr>
                        <pic:blipFill>
                          <a:blip r:embed="rId115" cstate="print"/>
                          <a:stretch>
                            <a:fillRect/>
                          </a:stretch>
                        </pic:blipFill>
                        <pic:spPr>
                          <a:xfrm>
                            <a:off x="0" y="0"/>
                            <a:ext cx="94331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left="31"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16"/>
          <w:szCs w:val="16"/>
        </w:rPr>
      </w:pPr>
    </w:p>
    <w:p>
      <w:pPr>
        <w:spacing w:before="44"/>
        <w:ind w:left="142" w:right="69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．期末数中无欠持本公司</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）表决权股份的股东单位款项。</w:t>
      </w:r>
      <w:r>
        <w:rPr>
          <w:rFonts w:ascii="宋体" w:hAnsi="宋体" w:cs="宋体" w:eastAsia="宋体" w:hint="default"/>
          <w:sz w:val="18"/>
          <w:szCs w:val="18"/>
        </w:rPr>
      </w:r>
    </w:p>
    <w:p>
      <w:pPr>
        <w:spacing w:line="230" w:lineRule="exact" w:before="53"/>
        <w:ind w:left="142" w:right="69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．其他应付款期末数比期初数增加</w:t>
      </w:r>
      <w:r>
        <w:rPr>
          <w:rFonts w:ascii="宋体" w:hAnsi="宋体" w:cs="宋体" w:eastAsia="宋体" w:hint="default"/>
          <w:b/>
          <w:bCs/>
          <w:spacing w:val="-57"/>
          <w:sz w:val="18"/>
          <w:szCs w:val="18"/>
        </w:rPr>
        <w:t> </w:t>
      </w:r>
      <w:r>
        <w:rPr>
          <w:rFonts w:ascii="Times New Roman" w:hAnsi="Times New Roman" w:cs="Times New Roman" w:eastAsia="Times New Roman" w:hint="default"/>
          <w:b/>
          <w:bCs/>
          <w:sz w:val="18"/>
          <w:szCs w:val="18"/>
        </w:rPr>
        <w:t>520,990.45</w:t>
      </w:r>
      <w:r>
        <w:rPr>
          <w:rFonts w:ascii="Times New Roman" w:hAnsi="Times New Roman" w:cs="Times New Roman" w:eastAsia="Times New Roman" w:hint="default"/>
          <w:b/>
          <w:bCs/>
          <w:spacing w:val="-15"/>
          <w:sz w:val="18"/>
          <w:szCs w:val="18"/>
        </w:rPr>
        <w:t> </w:t>
      </w:r>
      <w:r>
        <w:rPr>
          <w:rFonts w:ascii="宋体" w:hAnsi="宋体" w:cs="宋体" w:eastAsia="宋体" w:hint="default"/>
          <w:b/>
          <w:bCs/>
          <w:spacing w:val="-3"/>
          <w:sz w:val="18"/>
          <w:szCs w:val="18"/>
        </w:rPr>
        <w:t>元，增幅为</w:t>
      </w:r>
      <w:r>
        <w:rPr>
          <w:rFonts w:ascii="宋体" w:hAnsi="宋体" w:cs="宋体" w:eastAsia="宋体" w:hint="default"/>
          <w:b/>
          <w:bCs/>
          <w:spacing w:val="-59"/>
          <w:sz w:val="18"/>
          <w:szCs w:val="18"/>
        </w:rPr>
        <w:t> </w:t>
      </w:r>
      <w:r>
        <w:rPr>
          <w:rFonts w:ascii="Times New Roman" w:hAnsi="Times New Roman" w:cs="Times New Roman" w:eastAsia="Times New Roman" w:hint="default"/>
          <w:b/>
          <w:bCs/>
          <w:sz w:val="18"/>
          <w:szCs w:val="18"/>
        </w:rPr>
        <w:t>34.55%</w:t>
      </w:r>
      <w:r>
        <w:rPr>
          <w:rFonts w:ascii="宋体" w:hAnsi="宋体" w:cs="宋体" w:eastAsia="宋体" w:hint="default"/>
          <w:b/>
          <w:bCs/>
          <w:sz w:val="18"/>
          <w:szCs w:val="18"/>
        </w:rPr>
        <w:t>，增加的主要原因为：期末余额中应付而未</w:t>
      </w:r>
      <w:r>
        <w:rPr>
          <w:rFonts w:ascii="宋体" w:hAnsi="宋体" w:cs="宋体" w:eastAsia="宋体" w:hint="default"/>
          <w:b/>
          <w:bCs/>
          <w:w w:val="99"/>
          <w:sz w:val="18"/>
          <w:szCs w:val="18"/>
        </w:rPr>
        <w:t> </w:t>
      </w:r>
      <w:r>
        <w:rPr>
          <w:rFonts w:ascii="宋体" w:hAnsi="宋体" w:cs="宋体" w:eastAsia="宋体" w:hint="default"/>
          <w:b/>
          <w:bCs/>
          <w:sz w:val="18"/>
          <w:szCs w:val="18"/>
        </w:rPr>
        <w:t>付的中介顾问费用增加</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730,363.60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b/>
          <w:bCs/>
          <w:sz w:val="20"/>
          <w:szCs w:val="20"/>
        </w:rPr>
      </w:pPr>
    </w:p>
    <w:p>
      <w:pPr>
        <w:spacing w:before="0"/>
        <w:ind w:left="142" w:right="696" w:firstLine="0"/>
        <w:jc w:val="left"/>
        <w:rPr>
          <w:rFonts w:ascii="宋体" w:hAnsi="宋体" w:cs="宋体" w:eastAsia="宋体" w:hint="default"/>
          <w:sz w:val="18"/>
          <w:szCs w:val="18"/>
        </w:rPr>
      </w:pPr>
      <w:r>
        <w:rPr>
          <w:rFonts w:ascii="宋体" w:hAnsi="宋体" w:cs="宋体" w:eastAsia="宋体" w:hint="default"/>
          <w:b/>
          <w:bCs/>
          <w:sz w:val="18"/>
          <w:szCs w:val="18"/>
        </w:rPr>
        <w:t>（二十）其他非流动负债</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2549"/>
        <w:gridCol w:w="1119"/>
        <w:gridCol w:w="1940"/>
        <w:gridCol w:w="1321"/>
        <w:gridCol w:w="2013"/>
      </w:tblGrid>
      <w:tr>
        <w:trPr>
          <w:trHeight w:val="284" w:hRule="exact"/>
        </w:trPr>
        <w:tc>
          <w:tcPr>
            <w:tcW w:w="2549"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1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1"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119"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8" w:right="0"/>
              <w:jc w:val="left"/>
              <w:rPr>
                <w:rFonts w:ascii="Times New Roman" w:hAnsi="Times New Roman" w:cs="Times New Roman" w:eastAsia="Times New Roman" w:hint="default"/>
                <w:sz w:val="18"/>
                <w:szCs w:val="18"/>
              </w:rPr>
            </w:pPr>
            <w:r>
              <w:rPr>
                <w:rFonts w:ascii="Times New Roman"/>
                <w:sz w:val="18"/>
              </w:rPr>
              <w:t>3,850,000.00</w:t>
            </w:r>
          </w:p>
        </w:tc>
        <w:tc>
          <w:tcPr>
            <w:tcW w:w="1321" w:type="dxa"/>
            <w:tcBorders>
              <w:top w:val="nil" w:sz="6" w:space="0" w:color="auto"/>
              <w:left w:val="nil" w:sz="6" w:space="0" w:color="auto"/>
              <w:bottom w:val="nil" w:sz="6" w:space="0" w:color="auto"/>
              <w:right w:val="nil" w:sz="6" w:space="0" w:color="auto"/>
            </w:tcBorders>
          </w:tcPr>
          <w:p>
            <w:pPr/>
          </w:p>
        </w:tc>
        <w:tc>
          <w:tcPr>
            <w:tcW w:w="201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1,000,000.00</w:t>
            </w:r>
          </w:p>
        </w:tc>
      </w:tr>
      <w:tr>
        <w:trPr>
          <w:trHeight w:val="396"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9"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left="38" w:right="0"/>
              <w:jc w:val="left"/>
              <w:rPr>
                <w:rFonts w:ascii="Times New Roman" w:hAnsi="Times New Roman" w:cs="Times New Roman" w:eastAsia="Times New Roman" w:hint="default"/>
                <w:sz w:val="18"/>
                <w:szCs w:val="18"/>
              </w:rPr>
            </w:pPr>
            <w:r>
              <w:rPr>
                <w:rFonts w:ascii="Times New Roman"/>
                <w:sz w:val="18"/>
              </w:rPr>
              <w:t>3,850,000.00</w:t>
            </w:r>
          </w:p>
        </w:tc>
        <w:tc>
          <w:tcPr>
            <w:tcW w:w="1321" w:type="dxa"/>
            <w:tcBorders>
              <w:top w:val="nil" w:sz="6" w:space="0" w:color="auto"/>
              <w:left w:val="nil" w:sz="6" w:space="0" w:color="auto"/>
              <w:bottom w:val="nil" w:sz="6" w:space="0" w:color="auto"/>
              <w:right w:val="nil" w:sz="6" w:space="0" w:color="auto"/>
            </w:tcBorders>
          </w:tcPr>
          <w:p>
            <w:pPr/>
          </w:p>
        </w:tc>
        <w:tc>
          <w:tcPr>
            <w:tcW w:w="2013"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left="32" w:right="0"/>
              <w:jc w:val="lef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4"/>
        <w:rPr>
          <w:rFonts w:ascii="宋体" w:hAnsi="宋体" w:cs="宋体" w:eastAsia="宋体" w:hint="default"/>
          <w:b/>
          <w:bCs/>
          <w:sz w:val="16"/>
          <w:szCs w:val="16"/>
        </w:rPr>
      </w:pPr>
    </w:p>
    <w:p>
      <w:pPr>
        <w:spacing w:line="240" w:lineRule="exact" w:before="44"/>
        <w:ind w:left="14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．根据工信部财</w:t>
      </w:r>
      <w:r>
        <w:rPr>
          <w:rFonts w:ascii="Times New Roman" w:hAnsi="Times New Roman" w:cs="Times New Roman" w:eastAsia="Times New Roman" w:hint="default"/>
          <w:b/>
          <w:bCs/>
          <w:sz w:val="18"/>
          <w:szCs w:val="18"/>
        </w:rPr>
        <w:t>[2009]480 </w:t>
      </w:r>
      <w:r>
        <w:rPr>
          <w:rFonts w:ascii="宋体" w:hAnsi="宋体" w:cs="宋体" w:eastAsia="宋体" w:hint="default"/>
          <w:b/>
          <w:bCs/>
          <w:sz w:val="18"/>
          <w:szCs w:val="18"/>
        </w:rPr>
        <w:t>号文件相关规定，本公司获得电子信息产业发展基金工业和信息化部发展资金</w:t>
      </w:r>
      <w:r>
        <w:rPr>
          <w:rFonts w:ascii="宋体" w:hAnsi="宋体" w:cs="宋体" w:eastAsia="宋体" w:hint="default"/>
          <w:b/>
          <w:bCs/>
          <w:spacing w:val="-41"/>
          <w:sz w:val="18"/>
          <w:szCs w:val="18"/>
        </w:rPr>
        <w:t> </w:t>
      </w:r>
      <w:r>
        <w:rPr>
          <w:rFonts w:ascii="Times New Roman" w:hAnsi="Times New Roman" w:cs="Times New Roman" w:eastAsia="Times New Roman" w:hint="default"/>
          <w:b/>
          <w:bCs/>
          <w:sz w:val="18"/>
          <w:szCs w:val="18"/>
        </w:rPr>
        <w:t>100</w:t>
      </w:r>
      <w:r>
        <w:rPr>
          <w:rFonts w:ascii="Times New Roman" w:hAnsi="Times New Roman" w:cs="Times New Roman" w:eastAsia="Times New Roman" w:hint="default"/>
          <w:sz w:val="18"/>
          <w:szCs w:val="18"/>
        </w:rPr>
      </w:r>
    </w:p>
    <w:p>
      <w:pPr>
        <w:spacing w:line="226" w:lineRule="exact" w:before="0"/>
        <w:ind w:left="142" w:right="0" w:firstLine="0"/>
        <w:jc w:val="both"/>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p>
      <w:pPr>
        <w:spacing w:line="232" w:lineRule="exact" w:before="65"/>
        <w:ind w:left="142" w:right="703" w:firstLine="0"/>
        <w:jc w:val="both"/>
        <w:rPr>
          <w:rFonts w:ascii="宋体" w:hAnsi="宋体" w:cs="宋体" w:eastAsia="宋体" w:hint="default"/>
          <w:sz w:val="18"/>
          <w:szCs w:val="18"/>
        </w:rPr>
      </w:pPr>
      <w:r>
        <w:rPr>
          <w:rFonts w:ascii="Times New Roman" w:hAnsi="Times New Roman" w:cs="Times New Roman" w:eastAsia="Times New Roman" w:hint="default"/>
          <w:b/>
          <w:bCs/>
          <w:spacing w:val="-3"/>
          <w:w w:val="99"/>
          <w:sz w:val="18"/>
          <w:szCs w:val="18"/>
        </w:rPr>
        <w:t>2</w:t>
      </w:r>
      <w:r>
        <w:rPr>
          <w:rFonts w:ascii="宋体" w:hAnsi="宋体" w:cs="宋体" w:eastAsia="宋体" w:hint="default"/>
          <w:b/>
          <w:bCs/>
          <w:spacing w:val="-3"/>
          <w:w w:val="99"/>
          <w:sz w:val="18"/>
          <w:szCs w:val="18"/>
        </w:rPr>
        <w:t>．根据《深圳市科技研发资金管理暂行办法》、《深圳市科技计划项目管理暂行办法》等文件规定，为完成深</w:t>
      </w:r>
      <w:r>
        <w:rPr>
          <w:rFonts w:ascii="宋体" w:hAnsi="宋体" w:cs="宋体" w:eastAsia="宋体" w:hint="default"/>
          <w:b/>
          <w:bCs/>
          <w:spacing w:val="-62"/>
          <w:w w:val="99"/>
          <w:sz w:val="18"/>
          <w:szCs w:val="18"/>
        </w:rPr>
        <w:t> </w:t>
      </w:r>
      <w:r>
        <w:rPr>
          <w:rFonts w:ascii="宋体" w:hAnsi="宋体" w:cs="宋体" w:eastAsia="宋体" w:hint="default"/>
          <w:b/>
          <w:bCs/>
          <w:spacing w:val="-62"/>
          <w:w w:val="99"/>
          <w:sz w:val="18"/>
          <w:szCs w:val="18"/>
        </w:rPr>
      </w:r>
      <w:r>
        <w:rPr>
          <w:rFonts w:ascii="宋体" w:hAnsi="宋体" w:cs="宋体" w:eastAsia="宋体" w:hint="default"/>
          <w:b/>
          <w:bCs/>
          <w:sz w:val="18"/>
          <w:szCs w:val="18"/>
        </w:rPr>
        <w:t>科工贸信计财字</w:t>
      </w:r>
      <w:r>
        <w:rPr>
          <w:rFonts w:ascii="Times New Roman" w:hAnsi="Times New Roman" w:cs="Times New Roman" w:eastAsia="Times New Roman" w:hint="default"/>
          <w:b/>
          <w:bCs/>
          <w:sz w:val="18"/>
          <w:szCs w:val="18"/>
        </w:rPr>
        <w:t>[2009]84</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号文件下达的深圳市科技计划符合</w:t>
      </w:r>
      <w:r>
        <w:rPr>
          <w:rFonts w:ascii="宋体" w:hAnsi="宋体" w:cs="宋体" w:eastAsia="宋体" w:hint="default"/>
          <w:b/>
          <w:bCs/>
          <w:spacing w:val="-58"/>
          <w:sz w:val="18"/>
          <w:szCs w:val="18"/>
        </w:rPr>
        <w:t> </w:t>
      </w:r>
      <w:r>
        <w:rPr>
          <w:rFonts w:ascii="Times New Roman" w:hAnsi="Times New Roman" w:cs="Times New Roman" w:eastAsia="Times New Roman" w:hint="default"/>
          <w:b/>
          <w:bCs/>
          <w:sz w:val="18"/>
          <w:szCs w:val="18"/>
        </w:rPr>
        <w:t>PCI2.X</w:t>
      </w:r>
      <w:r>
        <w:rPr>
          <w:rFonts w:ascii="Times New Roman" w:hAnsi="Times New Roman" w:cs="Times New Roman" w:eastAsia="Times New Roman" w:hint="default"/>
          <w:b/>
          <w:bCs/>
          <w:spacing w:val="-16"/>
          <w:sz w:val="18"/>
          <w:szCs w:val="18"/>
        </w:rPr>
        <w:t> </w:t>
      </w:r>
      <w:r>
        <w:rPr>
          <w:rFonts w:ascii="宋体" w:hAnsi="宋体" w:cs="宋体" w:eastAsia="宋体" w:hint="default"/>
          <w:b/>
          <w:bCs/>
          <w:sz w:val="18"/>
          <w:szCs w:val="18"/>
        </w:rPr>
        <w:t>的金融</w:t>
      </w:r>
      <w:r>
        <w:rPr>
          <w:rFonts w:ascii="宋体" w:hAnsi="宋体" w:cs="宋体" w:eastAsia="宋体" w:hint="default"/>
          <w:b/>
          <w:bCs/>
          <w:spacing w:val="-57"/>
          <w:sz w:val="18"/>
          <w:szCs w:val="18"/>
        </w:rPr>
        <w:t> </w:t>
      </w:r>
      <w:r>
        <w:rPr>
          <w:rFonts w:ascii="Times New Roman" w:hAnsi="Times New Roman" w:cs="Times New Roman" w:eastAsia="Times New Roman" w:hint="default"/>
          <w:b/>
          <w:bCs/>
          <w:sz w:val="18"/>
          <w:szCs w:val="18"/>
        </w:rPr>
        <w:t>POS</w:t>
      </w:r>
      <w:r>
        <w:rPr>
          <w:rFonts w:ascii="Times New Roman" w:hAnsi="Times New Roman" w:cs="Times New Roman" w:eastAsia="Times New Roman" w:hint="default"/>
          <w:b/>
          <w:bCs/>
          <w:spacing w:val="-16"/>
          <w:sz w:val="18"/>
          <w:szCs w:val="18"/>
        </w:rPr>
        <w:t> </w:t>
      </w:r>
      <w:r>
        <w:rPr>
          <w:rFonts w:ascii="宋体" w:hAnsi="宋体" w:cs="宋体" w:eastAsia="宋体" w:hint="default"/>
          <w:b/>
          <w:bCs/>
          <w:sz w:val="18"/>
          <w:szCs w:val="18"/>
        </w:rPr>
        <w:t>技术方案国际科技合作研发项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月，本公司收到项目资助资金</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p>
      <w:pPr>
        <w:spacing w:after="0" w:line="232" w:lineRule="exact"/>
        <w:jc w:val="both"/>
        <w:rPr>
          <w:rFonts w:ascii="宋体" w:hAnsi="宋体" w:cs="宋体" w:eastAsia="宋体" w:hint="default"/>
          <w:sz w:val="18"/>
          <w:szCs w:val="18"/>
        </w:rPr>
        <w:sectPr>
          <w:footerReference w:type="default" r:id="rId111"/>
          <w:pgSz w:w="11910" w:h="16840"/>
          <w:pgMar w:footer="1226" w:header="877" w:top="1060" w:bottom="1420" w:left="1560" w:right="880"/>
          <w:pgNumType w:start="120"/>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19" w:lineRule="exact" w:before="0"/>
        <w:ind w:left="142" w:right="7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．根据深发改</w:t>
      </w:r>
      <w:r>
        <w:rPr>
          <w:rFonts w:ascii="Times New Roman" w:hAnsi="Times New Roman" w:cs="Times New Roman" w:eastAsia="Times New Roman" w:hint="default"/>
          <w:b/>
          <w:bCs/>
          <w:sz w:val="18"/>
          <w:szCs w:val="18"/>
        </w:rPr>
        <w:t>[2010]1324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号文件，本公司于</w:t>
      </w:r>
      <w:r>
        <w:rPr>
          <w:rFonts w:ascii="宋体" w:hAnsi="宋体" w:cs="宋体" w:eastAsia="宋体" w:hint="default"/>
          <w:b/>
          <w:bCs/>
          <w:spacing w:val="-35"/>
          <w:sz w:val="18"/>
          <w:szCs w:val="18"/>
        </w:rPr>
        <w:t> </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年</w:t>
      </w:r>
      <w:r>
        <w:rPr>
          <w:rFonts w:ascii="宋体" w:hAnsi="宋体" w:cs="宋体" w:eastAsia="宋体" w:hint="default"/>
          <w:b/>
          <w:bCs/>
          <w:spacing w:val="-3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月收到财政委员会下发的面向物联网的第三方交易祝</w:t>
      </w:r>
      <w:r>
        <w:rPr>
          <w:rFonts w:ascii="宋体" w:hAnsi="宋体" w:cs="宋体" w:eastAsia="宋体" w:hint="default"/>
          <w:sz w:val="18"/>
          <w:szCs w:val="18"/>
        </w:rPr>
      </w:r>
    </w:p>
    <w:p>
      <w:pPr>
        <w:spacing w:line="241" w:lineRule="exact" w:before="0"/>
        <w:ind w:left="142" w:right="717" w:firstLine="0"/>
        <w:jc w:val="left"/>
        <w:rPr>
          <w:rFonts w:ascii="宋体" w:hAnsi="宋体" w:cs="宋体" w:eastAsia="宋体" w:hint="default"/>
          <w:sz w:val="18"/>
          <w:szCs w:val="18"/>
        </w:rPr>
      </w:pPr>
      <w:r>
        <w:rPr>
          <w:rFonts w:ascii="宋体" w:hAnsi="宋体" w:cs="宋体" w:eastAsia="宋体" w:hint="default"/>
          <w:b/>
          <w:bCs/>
          <w:sz w:val="18"/>
          <w:szCs w:val="18"/>
        </w:rPr>
        <w:t>福平台及设备项目资助资金</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150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p>
      <w:pPr>
        <w:spacing w:line="230" w:lineRule="exact" w:before="53"/>
        <w:ind w:left="142" w:right="764" w:firstLine="0"/>
        <w:jc w:val="left"/>
        <w:rPr>
          <w:rFonts w:ascii="宋体" w:hAnsi="宋体" w:cs="宋体" w:eastAsia="宋体" w:hint="default"/>
          <w:sz w:val="18"/>
          <w:szCs w:val="18"/>
        </w:rPr>
      </w:pPr>
      <w:r>
        <w:rPr>
          <w:rFonts w:ascii="Times New Roman" w:hAnsi="Times New Roman" w:cs="Times New Roman" w:eastAsia="Times New Roman" w:hint="default"/>
          <w:b/>
          <w:bCs/>
          <w:spacing w:val="-1"/>
          <w:w w:val="99"/>
          <w:sz w:val="18"/>
          <w:szCs w:val="18"/>
        </w:rPr>
        <w:t>4.</w:t>
      </w:r>
      <w:r>
        <w:rPr>
          <w:rFonts w:ascii="宋体" w:hAnsi="宋体" w:cs="宋体" w:eastAsia="宋体" w:hint="default"/>
          <w:b/>
          <w:bCs/>
          <w:spacing w:val="-1"/>
          <w:w w:val="99"/>
          <w:sz w:val="18"/>
          <w:szCs w:val="18"/>
        </w:rPr>
        <w:t>根据国科发计</w:t>
      </w:r>
      <w:r>
        <w:rPr>
          <w:rFonts w:ascii="Times New Roman" w:hAnsi="Times New Roman" w:cs="Times New Roman" w:eastAsia="Times New Roman" w:hint="default"/>
          <w:b/>
          <w:bCs/>
          <w:spacing w:val="-1"/>
          <w:w w:val="99"/>
          <w:sz w:val="18"/>
          <w:szCs w:val="18"/>
        </w:rPr>
        <w:t>[2010]543</w:t>
      </w:r>
      <w:r>
        <w:rPr>
          <w:rFonts w:ascii="Times New Roman" w:hAnsi="Times New Roman" w:cs="Times New Roman" w:eastAsia="Times New Roman" w:hint="default"/>
          <w:b/>
          <w:bCs/>
          <w:spacing w:val="20"/>
          <w:w w:val="99"/>
          <w:sz w:val="18"/>
          <w:szCs w:val="18"/>
        </w:rPr>
        <w:t> </w:t>
      </w:r>
      <w:r>
        <w:rPr>
          <w:rFonts w:ascii="宋体" w:hAnsi="宋体" w:cs="宋体" w:eastAsia="宋体" w:hint="default"/>
          <w:b/>
          <w:bCs/>
          <w:spacing w:val="-2"/>
          <w:w w:val="99"/>
          <w:sz w:val="18"/>
          <w:szCs w:val="18"/>
        </w:rPr>
        <w:t>号文件，本公司之子公司深圳新国都软件技术有限公司取得深圳市财政局下发的银行</w:t>
      </w:r>
      <w:r>
        <w:rPr>
          <w:rFonts w:ascii="宋体" w:hAnsi="宋体" w:cs="宋体" w:eastAsia="宋体" w:hint="default"/>
          <w:b/>
          <w:bCs/>
          <w:spacing w:val="-85"/>
          <w:w w:val="99"/>
          <w:sz w:val="18"/>
          <w:szCs w:val="18"/>
        </w:rPr>
        <w:t> </w:t>
      </w:r>
      <w:r>
        <w:rPr>
          <w:rFonts w:ascii="宋体" w:hAnsi="宋体" w:cs="宋体" w:eastAsia="宋体" w:hint="default"/>
          <w:b/>
          <w:bCs/>
          <w:spacing w:val="-85"/>
          <w:w w:val="99"/>
          <w:sz w:val="18"/>
          <w:szCs w:val="18"/>
        </w:rPr>
      </w:r>
      <w:r>
        <w:rPr>
          <w:rFonts w:ascii="宋体" w:hAnsi="宋体" w:cs="宋体" w:eastAsia="宋体" w:hint="default"/>
          <w:b/>
          <w:bCs/>
          <w:sz w:val="18"/>
          <w:szCs w:val="18"/>
        </w:rPr>
        <w:t>卡身份认证管理安全系统项目资助资金</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p>
      <w:pPr>
        <w:spacing w:before="17"/>
        <w:ind w:left="142" w:right="717" w:firstLine="0"/>
        <w:jc w:val="left"/>
        <w:rPr>
          <w:rFonts w:ascii="宋体" w:hAnsi="宋体" w:cs="宋体" w:eastAsia="宋体" w:hint="default"/>
          <w:sz w:val="18"/>
          <w:szCs w:val="18"/>
        </w:rPr>
      </w:pPr>
      <w:r>
        <w:rPr>
          <w:rFonts w:ascii="宋体" w:hAnsi="宋体" w:cs="宋体" w:eastAsia="宋体" w:hint="default"/>
          <w:b/>
          <w:bCs/>
          <w:sz w:val="18"/>
          <w:szCs w:val="18"/>
        </w:rPr>
        <w:t>（二十一）股本</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674"/>
        <w:gridCol w:w="1623"/>
        <w:gridCol w:w="1640"/>
        <w:gridCol w:w="106"/>
        <w:gridCol w:w="1520"/>
        <w:gridCol w:w="103"/>
        <w:gridCol w:w="1596"/>
      </w:tblGrid>
      <w:tr>
        <w:trPr>
          <w:trHeight w:val="267" w:hRule="exact"/>
        </w:trPr>
        <w:tc>
          <w:tcPr>
            <w:tcW w:w="267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623" w:type="dxa"/>
            <w:tcBorders>
              <w:top w:val="single" w:sz="4" w:space="0" w:color="000000"/>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国家持股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国有法人持股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2,200,000.00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2,200,000.00</w:t>
            </w:r>
          </w:p>
        </w:tc>
      </w:tr>
      <w:tr>
        <w:trPr>
          <w:trHeight w:val="341"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其他内资持股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45,300,000.00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 w:right="0"/>
              <w:jc w:val="left"/>
              <w:rPr>
                <w:rFonts w:ascii="Times New Roman" w:hAnsi="Times New Roman" w:cs="Times New Roman" w:eastAsia="Times New Roman" w:hint="default"/>
                <w:sz w:val="18"/>
                <w:szCs w:val="18"/>
              </w:rPr>
            </w:pPr>
            <w:r>
              <w:rPr>
                <w:rFonts w:ascii="Times New Roman"/>
                <w:sz w:val="18"/>
              </w:rPr>
              <w:t>45,300,000.00</w:t>
            </w:r>
          </w:p>
        </w:tc>
      </w:tr>
      <w:tr>
        <w:trPr>
          <w:trHeight w:val="33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3"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344"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45,300,000.00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left"/>
              <w:rPr>
                <w:rFonts w:ascii="Times New Roman" w:hAnsi="Times New Roman" w:cs="Times New Roman" w:eastAsia="Times New Roman" w:hint="default"/>
                <w:sz w:val="18"/>
                <w:szCs w:val="18"/>
              </w:rPr>
            </w:pPr>
            <w:r>
              <w:rPr>
                <w:rFonts w:ascii="Times New Roman"/>
                <w:sz w:val="18"/>
              </w:rPr>
              <w:t>45,300,000.00</w:t>
            </w:r>
          </w:p>
        </w:tc>
      </w:tr>
      <w:tr>
        <w:trPr>
          <w:trHeight w:val="341"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外资持股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3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3"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34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38"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网下配售股份</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3,200,000.00</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3" name="image70.png" descr=""/>
                  <wp:cNvGraphicFramePr>
                    <a:graphicFrameLocks noChangeAspect="1"/>
                  </wp:cNvGraphicFramePr>
                  <a:graphic>
                    <a:graphicData uri="http://schemas.openxmlformats.org/drawingml/2006/picture">
                      <pic:pic>
                        <pic:nvPicPr>
                          <pic:cNvPr id="114" name="image70.png"/>
                          <pic:cNvPicPr/>
                        </pic:nvPicPr>
                        <pic:blipFill>
                          <a:blip r:embed="rId116"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5" name="image71.png" descr=""/>
                  <wp:cNvGraphicFramePr>
                    <a:graphicFrameLocks noChangeAspect="1"/>
                  </wp:cNvGraphicFramePr>
                  <a:graphic>
                    <a:graphicData uri="http://schemas.openxmlformats.org/drawingml/2006/picture">
                      <pic:pic>
                        <pic:nvPicPr>
                          <pic:cNvPr id="116" name="image71.png"/>
                          <pic:cNvPicPr/>
                        </pic:nvPicPr>
                        <pic:blipFill>
                          <a:blip r:embed="rId117"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1" w:right="0"/>
              <w:jc w:val="left"/>
              <w:rPr>
                <w:rFonts w:ascii="Times New Roman" w:hAnsi="Times New Roman" w:cs="Times New Roman" w:eastAsia="Times New Roman" w:hint="default"/>
                <w:sz w:val="18"/>
                <w:szCs w:val="18"/>
              </w:rPr>
            </w:pPr>
            <w:r>
              <w:rPr>
                <w:rFonts w:ascii="Times New Roman"/>
                <w:sz w:val="18"/>
              </w:rPr>
              <w:t>3,200,000.00</w:t>
            </w:r>
          </w:p>
        </w:tc>
      </w:tr>
      <w:tr>
        <w:trPr>
          <w:trHeight w:val="348"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62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47,500,000.00</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3,200,000.00</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59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7" name="image72.png" descr=""/>
                  <wp:cNvGraphicFramePr>
                    <a:graphicFrameLocks noChangeAspect="1"/>
                  </wp:cNvGraphicFramePr>
                  <a:graphic>
                    <a:graphicData uri="http://schemas.openxmlformats.org/drawingml/2006/picture">
                      <pic:pic>
                        <pic:nvPicPr>
                          <pic:cNvPr id="118" name="image72.png"/>
                          <pic:cNvPicPr/>
                        </pic:nvPicPr>
                        <pic:blipFill>
                          <a:blip r:embed="rId118"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left="31" w:right="0"/>
              <w:jc w:val="left"/>
              <w:rPr>
                <w:rFonts w:ascii="Times New Roman" w:hAnsi="Times New Roman" w:cs="Times New Roman" w:eastAsia="Times New Roman" w:hint="default"/>
                <w:sz w:val="18"/>
                <w:szCs w:val="18"/>
              </w:rPr>
            </w:pPr>
            <w:r>
              <w:rPr>
                <w:rFonts w:ascii="Times New Roman"/>
                <w:sz w:val="18"/>
              </w:rPr>
              <w:t>50,700,000.00</w:t>
            </w:r>
          </w:p>
        </w:tc>
      </w:tr>
      <w:tr>
        <w:trPr>
          <w:trHeight w:val="348"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623" w:type="dxa"/>
            <w:tcBorders>
              <w:top w:val="single" w:sz="4" w:space="0" w:color="000000"/>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人民币普通股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12,800,000.00</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1" w:right="0"/>
              <w:jc w:val="left"/>
              <w:rPr>
                <w:rFonts w:ascii="Times New Roman" w:hAnsi="Times New Roman" w:cs="Times New Roman" w:eastAsia="Times New Roman" w:hint="default"/>
                <w:sz w:val="18"/>
                <w:szCs w:val="18"/>
              </w:rPr>
            </w:pPr>
            <w:r>
              <w:rPr>
                <w:rFonts w:ascii="Times New Roman"/>
                <w:sz w:val="18"/>
              </w:rPr>
              <w:t>12,800,000.00</w:t>
            </w:r>
          </w:p>
        </w:tc>
      </w:tr>
      <w:tr>
        <w:trPr>
          <w:trHeight w:val="3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境内上市的外资股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境外上市的外资股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9" name="image72.png" descr=""/>
                  <wp:cNvGraphicFramePr>
                    <a:graphicFrameLocks noChangeAspect="1"/>
                  </wp:cNvGraphicFramePr>
                  <a:graphic>
                    <a:graphicData uri="http://schemas.openxmlformats.org/drawingml/2006/picture">
                      <pic:pic>
                        <pic:nvPicPr>
                          <pic:cNvPr id="120" name="image72.png"/>
                          <pic:cNvPicPr/>
                        </pic:nvPicPr>
                        <pic:blipFill>
                          <a:blip r:embed="rId118"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21" name="image73.png" descr=""/>
                  <wp:cNvGraphicFramePr>
                    <a:graphicFrameLocks noChangeAspect="1"/>
                  </wp:cNvGraphicFramePr>
                  <a:graphic>
                    <a:graphicData uri="http://schemas.openxmlformats.org/drawingml/2006/picture">
                      <pic:pic>
                        <pic:nvPicPr>
                          <pic:cNvPr id="122" name="image73.png"/>
                          <pic:cNvPicPr/>
                        </pic:nvPicPr>
                        <pic:blipFill>
                          <a:blip r:embed="rId119"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3"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78407" cy="9144"/>
                  <wp:effectExtent l="0" t="0" r="0" b="0"/>
                  <wp:docPr id="123" name="image74.png" descr=""/>
                  <wp:cNvGraphicFramePr>
                    <a:graphicFrameLocks noChangeAspect="1"/>
                  </wp:cNvGraphicFramePr>
                  <a:graphic>
                    <a:graphicData uri="http://schemas.openxmlformats.org/drawingml/2006/picture">
                      <pic:pic>
                        <pic:nvPicPr>
                          <pic:cNvPr id="124" name="image74.png"/>
                          <pic:cNvPicPr/>
                        </pic:nvPicPr>
                        <pic:blipFill>
                          <a:blip r:embed="rId120" cstate="print"/>
                          <a:stretch>
                            <a:fillRect/>
                          </a:stretch>
                        </pic:blipFill>
                        <pic:spPr>
                          <a:xfrm>
                            <a:off x="0" y="0"/>
                            <a:ext cx="9784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10" w:right="0"/>
              <w:jc w:val="left"/>
              <w:rPr>
                <w:rFonts w:ascii="Times New Roman" w:hAnsi="Times New Roman" w:cs="Times New Roman" w:eastAsia="Times New Roman" w:hint="default"/>
                <w:sz w:val="18"/>
                <w:szCs w:val="18"/>
              </w:rPr>
            </w:pPr>
            <w:r>
              <w:rPr>
                <w:rFonts w:ascii="Times New Roman"/>
                <w:sz w:val="18"/>
              </w:rPr>
              <w:t>47,500,000.00</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10" w:right="0"/>
              <w:jc w:val="left"/>
              <w:rPr>
                <w:rFonts w:ascii="Times New Roman" w:hAnsi="Times New Roman" w:cs="Times New Roman" w:eastAsia="Times New Roman" w:hint="default"/>
                <w:sz w:val="18"/>
                <w:szCs w:val="18"/>
              </w:rPr>
            </w:pPr>
            <w:r>
              <w:rPr>
                <w:rFonts w:ascii="Times New Roman"/>
                <w:sz w:val="18"/>
              </w:rPr>
              <w:t>16,000,000.00</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59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25" name="image75.png" descr=""/>
                  <wp:cNvGraphicFramePr>
                    <a:graphicFrameLocks noChangeAspect="1"/>
                  </wp:cNvGraphicFramePr>
                  <a:graphic>
                    <a:graphicData uri="http://schemas.openxmlformats.org/drawingml/2006/picture">
                      <pic:pic>
                        <pic:nvPicPr>
                          <pic:cNvPr id="126" name="image75.png"/>
                          <pic:cNvPicPr/>
                        </pic:nvPicPr>
                        <pic:blipFill>
                          <a:blip r:embed="rId121"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31" w:right="0"/>
              <w:jc w:val="left"/>
              <w:rPr>
                <w:rFonts w:ascii="Times New Roman" w:hAnsi="Times New Roman" w:cs="Times New Roman" w:eastAsia="Times New Roman" w:hint="default"/>
                <w:sz w:val="18"/>
                <w:szCs w:val="18"/>
              </w:rPr>
            </w:pPr>
            <w:r>
              <w:rPr>
                <w:rFonts w:ascii="Times New Roman"/>
                <w:sz w:val="18"/>
              </w:rPr>
              <w:t>63,500,000.00</w:t>
            </w:r>
          </w:p>
        </w:tc>
      </w:tr>
    </w:tbl>
    <w:p>
      <w:pPr>
        <w:spacing w:line="240" w:lineRule="auto" w:before="12"/>
        <w:rPr>
          <w:rFonts w:ascii="宋体" w:hAnsi="宋体" w:cs="宋体" w:eastAsia="宋体" w:hint="default"/>
          <w:b/>
          <w:bCs/>
          <w:sz w:val="15"/>
          <w:szCs w:val="15"/>
        </w:rPr>
      </w:pPr>
    </w:p>
    <w:p>
      <w:pPr>
        <w:spacing w:before="44"/>
        <w:ind w:left="142" w:right="717" w:firstLine="0"/>
        <w:jc w:val="left"/>
        <w:rPr>
          <w:rFonts w:ascii="宋体" w:hAnsi="宋体" w:cs="宋体" w:eastAsia="宋体" w:hint="default"/>
          <w:sz w:val="18"/>
          <w:szCs w:val="18"/>
        </w:rPr>
      </w:pPr>
      <w:r>
        <w:rPr/>
        <w:pict>
          <v:group style="position:absolute;margin-left:386.470001pt;margin-top:-12.488284pt;width:76.75pt;height:.1pt;mso-position-horizontal-relative:page;mso-position-vertical-relative:paragraph;z-index:-676312" coordorigin="7729,-250" coordsize="1535,2">
            <v:shape style="position:absolute;left:7729;top:-250;width:1535;height:2" coordorigin="7729,-250" coordsize="1535,0" path="m7729,-250l9263,-250e" filled="false" stroked="true" strokeweight=".48001pt" strokecolor="#000000">
              <v:path arrowok="t"/>
            </v:shape>
            <w10:wrap type="none"/>
          </v:group>
        </w:pict>
      </w:r>
      <w:r>
        <w:rPr/>
        <w:pict>
          <v:group style="position:absolute;margin-left:467.619995pt;margin-top:-12.488284pt;width:80.55pt;height:.1pt;mso-position-horizontal-relative:page;mso-position-vertical-relative:paragraph;z-index:-676288" coordorigin="9352,-250" coordsize="1611,2">
            <v:shape style="position:absolute;left:9352;top:-250;width:1611;height:2" coordorigin="9352,-250" coordsize="1611,0" path="m9352,-250l10963,-250e" filled="false" stroked="true" strokeweight=".48001pt" strokecolor="#000000">
              <v:path arrowok="t"/>
            </v:shape>
            <w10:wrap type="none"/>
          </v:group>
        </w:pic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本公司股本变动情况详见附注一、公司基本情况。</w:t>
      </w:r>
      <w:r>
        <w:rPr>
          <w:rFonts w:ascii="宋体" w:hAnsi="宋体" w:cs="宋体" w:eastAsia="宋体" w:hint="default"/>
          <w:sz w:val="18"/>
          <w:szCs w:val="18"/>
        </w:rPr>
      </w:r>
    </w:p>
    <w:p>
      <w:pPr>
        <w:spacing w:before="24"/>
        <w:ind w:left="142" w:right="7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上述股本业经立信大华会计师事务所</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立信大华验字</w:t>
      </w:r>
      <w:r>
        <w:rPr>
          <w:rFonts w:ascii="Times New Roman" w:hAnsi="Times New Roman" w:cs="Times New Roman" w:eastAsia="Times New Roman" w:hint="default"/>
          <w:b/>
          <w:bCs/>
          <w:sz w:val="18"/>
          <w:szCs w:val="18"/>
        </w:rPr>
        <w:t>[2010]124</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验资报告验证。</w:t>
      </w:r>
      <w:r>
        <w:rPr>
          <w:rFonts w:ascii="宋体" w:hAnsi="宋体" w:cs="宋体" w:eastAsia="宋体" w:hint="default"/>
          <w:sz w:val="18"/>
          <w:szCs w:val="18"/>
        </w:rPr>
      </w:r>
    </w:p>
    <w:p>
      <w:pPr>
        <w:spacing w:line="230" w:lineRule="exact" w:before="53"/>
        <w:ind w:left="142" w:right="7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根据《证券发行与承销管理办法》的相关规定，网下配售的股票自公司向社会公从投资公开发行的股票在深</w:t>
      </w:r>
      <w:r>
        <w:rPr>
          <w:rFonts w:ascii="宋体" w:hAnsi="宋体" w:cs="宋体" w:eastAsia="宋体" w:hint="default"/>
          <w:b/>
          <w:bCs/>
          <w:w w:val="99"/>
          <w:sz w:val="18"/>
          <w:szCs w:val="18"/>
        </w:rPr>
        <w:t> </w:t>
      </w:r>
      <w:r>
        <w:rPr>
          <w:rFonts w:ascii="宋体" w:hAnsi="宋体" w:cs="宋体" w:eastAsia="宋体" w:hint="default"/>
          <w:b/>
          <w:bCs/>
          <w:sz w:val="18"/>
          <w:szCs w:val="18"/>
        </w:rPr>
        <w:t>圳证券交易所上市交易之日起锁定三个月方可上市流通。本公司限售股份可上市流通日为</w:t>
      </w:r>
      <w:r>
        <w:rPr>
          <w:rFonts w:ascii="宋体" w:hAnsi="宋体" w:cs="宋体" w:eastAsia="宋体" w:hint="default"/>
          <w:b/>
          <w:bCs/>
          <w:spacing w:val="-43"/>
          <w:sz w:val="18"/>
          <w:szCs w:val="18"/>
        </w:rPr>
        <w:t> </w:t>
      </w:r>
      <w:r>
        <w:rPr>
          <w:rFonts w:ascii="Times New Roman" w:hAnsi="Times New Roman" w:cs="Times New Roman" w:eastAsia="Times New Roman" w:hint="default"/>
          <w:b/>
          <w:bCs/>
          <w:spacing w:val="-3"/>
          <w:sz w:val="18"/>
          <w:szCs w:val="18"/>
        </w:rPr>
        <w:t>2011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40" w:lineRule="auto" w:before="3"/>
        <w:rPr>
          <w:rFonts w:ascii="宋体" w:hAnsi="宋体" w:cs="宋体" w:eastAsia="宋体" w:hint="default"/>
          <w:b/>
          <w:bCs/>
          <w:sz w:val="20"/>
          <w:szCs w:val="20"/>
        </w:rPr>
      </w:pPr>
    </w:p>
    <w:p>
      <w:pPr>
        <w:spacing w:before="0"/>
        <w:ind w:left="142" w:right="717" w:firstLine="0"/>
        <w:jc w:val="left"/>
        <w:rPr>
          <w:rFonts w:ascii="宋体" w:hAnsi="宋体" w:cs="宋体" w:eastAsia="宋体" w:hint="default"/>
          <w:sz w:val="18"/>
          <w:szCs w:val="18"/>
        </w:rPr>
      </w:pPr>
      <w:r>
        <w:rPr>
          <w:rFonts w:ascii="宋体" w:hAnsi="宋体" w:cs="宋体" w:eastAsia="宋体" w:hint="default"/>
          <w:b/>
          <w:bCs/>
          <w:sz w:val="18"/>
          <w:szCs w:val="18"/>
        </w:rPr>
        <w:t>（二十二）资本公积</w:t>
      </w:r>
      <w:r>
        <w:rPr>
          <w:rFonts w:ascii="宋体" w:hAnsi="宋体" w:cs="宋体" w:eastAsia="宋体" w:hint="default"/>
          <w:sz w:val="18"/>
          <w:szCs w:val="18"/>
        </w:rPr>
      </w:r>
    </w:p>
    <w:p>
      <w:pPr>
        <w:spacing w:line="240" w:lineRule="auto" w:before="5"/>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1680"/>
        <w:gridCol w:w="106"/>
        <w:gridCol w:w="2024"/>
        <w:gridCol w:w="101"/>
        <w:gridCol w:w="1748"/>
        <w:gridCol w:w="1748"/>
        <w:gridCol w:w="106"/>
        <w:gridCol w:w="1738"/>
      </w:tblGrid>
      <w:tr>
        <w:trPr>
          <w:trHeight w:val="255"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1"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62,385,459.32</w:t>
            </w:r>
          </w:p>
        </w:tc>
        <w:tc>
          <w:tcPr>
            <w:tcW w:w="101" w:type="dxa"/>
            <w:tcBorders>
              <w:top w:val="nil" w:sz="6" w:space="0" w:color="auto"/>
              <w:left w:val="nil" w:sz="6" w:space="0" w:color="auto"/>
              <w:bottom w:val="nil" w:sz="6" w:space="0" w:color="auto"/>
              <w:right w:val="nil" w:sz="6" w:space="0" w:color="auto"/>
            </w:tcBorders>
          </w:tcPr>
          <w:p>
            <w:pP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630,334,934.33</w:t>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692,720,393.65</w:t>
            </w:r>
          </w:p>
        </w:tc>
      </w:tr>
      <w:tr>
        <w:trPr>
          <w:trHeight w:val="321"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7"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85059" cy="9143"/>
                  <wp:effectExtent l="0" t="0" r="0" b="0"/>
                  <wp:docPr id="127" name="image76.png" descr=""/>
                  <wp:cNvGraphicFramePr>
                    <a:graphicFrameLocks noChangeAspect="1"/>
                  </wp:cNvGraphicFramePr>
                  <a:graphic>
                    <a:graphicData uri="http://schemas.openxmlformats.org/drawingml/2006/picture">
                      <pic:pic>
                        <pic:nvPicPr>
                          <pic:cNvPr id="128" name="image76.png"/>
                          <pic:cNvPicPr/>
                        </pic:nvPicPr>
                        <pic:blipFill>
                          <a:blip r:embed="rId122" cstate="print"/>
                          <a:stretch>
                            <a:fillRect/>
                          </a:stretch>
                        </pic:blipFill>
                        <pic:spPr>
                          <a:xfrm>
                            <a:off x="0" y="0"/>
                            <a:ext cx="128505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4"/>
              <w:ind w:left="28" w:right="0"/>
              <w:jc w:val="left"/>
              <w:rPr>
                <w:rFonts w:ascii="Times New Roman" w:hAnsi="Times New Roman" w:cs="Times New Roman" w:eastAsia="Times New Roman" w:hint="default"/>
                <w:sz w:val="18"/>
                <w:szCs w:val="18"/>
              </w:rPr>
            </w:pPr>
            <w:r>
              <w:rPr>
                <w:rFonts w:ascii="Times New Roman"/>
                <w:sz w:val="18"/>
              </w:rPr>
              <w:t>62,385,459.32</w:t>
            </w:r>
          </w:p>
        </w:tc>
        <w:tc>
          <w:tcPr>
            <w:tcW w:w="101"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9679" cy="9143"/>
                  <wp:effectExtent l="0" t="0" r="0" b="0"/>
                  <wp:docPr id="129" name="image77.png" descr=""/>
                  <wp:cNvGraphicFramePr>
                    <a:graphicFrameLocks noChangeAspect="1"/>
                  </wp:cNvGraphicFramePr>
                  <a:graphic>
                    <a:graphicData uri="http://schemas.openxmlformats.org/drawingml/2006/picture">
                      <pic:pic>
                        <pic:nvPicPr>
                          <pic:cNvPr id="130" name="image77.png"/>
                          <pic:cNvPicPr/>
                        </pic:nvPicPr>
                        <pic:blipFill>
                          <a:blip r:embed="rId123" cstate="print"/>
                          <a:stretch>
                            <a:fillRect/>
                          </a:stretch>
                        </pic:blipFill>
                        <pic:spPr>
                          <a:xfrm>
                            <a:off x="0" y="0"/>
                            <a:ext cx="110967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4"/>
              <w:ind w:left="28" w:right="0"/>
              <w:jc w:val="left"/>
              <w:rPr>
                <w:rFonts w:ascii="Times New Roman" w:hAnsi="Times New Roman" w:cs="Times New Roman" w:eastAsia="Times New Roman" w:hint="default"/>
                <w:sz w:val="18"/>
                <w:szCs w:val="18"/>
              </w:rPr>
            </w:pPr>
            <w:r>
              <w:rPr>
                <w:rFonts w:ascii="Times New Roman"/>
                <w:sz w:val="18"/>
              </w:rPr>
              <w:t>630,334,934.33</w:t>
            </w:r>
          </w:p>
        </w:tc>
        <w:tc>
          <w:tcPr>
            <w:tcW w:w="1748"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107"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3329" cy="9143"/>
                  <wp:effectExtent l="0" t="0" r="0" b="0"/>
                  <wp:docPr id="131" name="image78.png" descr=""/>
                  <wp:cNvGraphicFramePr>
                    <a:graphicFrameLocks noChangeAspect="1"/>
                  </wp:cNvGraphicFramePr>
                  <a:graphic>
                    <a:graphicData uri="http://schemas.openxmlformats.org/drawingml/2006/picture">
                      <pic:pic>
                        <pic:nvPicPr>
                          <pic:cNvPr id="132" name="image78.png"/>
                          <pic:cNvPicPr/>
                        </pic:nvPicPr>
                        <pic:blipFill>
                          <a:blip r:embed="rId124" cstate="print"/>
                          <a:stretch>
                            <a:fillRect/>
                          </a:stretch>
                        </pic:blipFill>
                        <pic:spPr>
                          <a:xfrm>
                            <a:off x="0" y="0"/>
                            <a:ext cx="110332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4"/>
              <w:ind w:left="28" w:right="0"/>
              <w:jc w:val="left"/>
              <w:rPr>
                <w:rFonts w:ascii="Times New Roman" w:hAnsi="Times New Roman" w:cs="Times New Roman" w:eastAsia="Times New Roman" w:hint="default"/>
                <w:sz w:val="18"/>
                <w:szCs w:val="18"/>
              </w:rPr>
            </w:pPr>
            <w:r>
              <w:rPr>
                <w:rFonts w:ascii="Times New Roman"/>
                <w:sz w:val="18"/>
              </w:rPr>
              <w:t>692,720,393.65</w:t>
            </w:r>
          </w:p>
        </w:tc>
      </w:tr>
    </w:tbl>
    <w:p>
      <w:pPr>
        <w:spacing w:line="240" w:lineRule="auto" w:before="2"/>
        <w:rPr>
          <w:rFonts w:ascii="宋体" w:hAnsi="宋体" w:cs="宋体" w:eastAsia="宋体" w:hint="default"/>
          <w:b/>
          <w:bCs/>
          <w:sz w:val="16"/>
          <w:szCs w:val="16"/>
        </w:rPr>
      </w:pPr>
    </w:p>
    <w:p>
      <w:pPr>
        <w:spacing w:line="236" w:lineRule="exact" w:before="66"/>
        <w:ind w:left="142" w:right="75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经中国证券监督管理委员会证监发行字</w:t>
      </w:r>
      <w:r>
        <w:rPr>
          <w:rFonts w:ascii="Times New Roman" w:hAnsi="Times New Roman" w:cs="Times New Roman" w:eastAsia="Times New Roman" w:hint="default"/>
          <w:b/>
          <w:bCs/>
          <w:sz w:val="18"/>
          <w:szCs w:val="18"/>
        </w:rPr>
        <w:t>[2010]1292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号文核准，并经深圳证券交易所同意，本公司由主承销商</w:t>
      </w:r>
      <w:r>
        <w:rPr>
          <w:rFonts w:ascii="宋体" w:hAnsi="宋体" w:cs="宋体" w:eastAsia="宋体" w:hint="default"/>
          <w:b/>
          <w:bCs/>
          <w:w w:val="99"/>
          <w:sz w:val="18"/>
          <w:szCs w:val="18"/>
        </w:rPr>
        <w:t> 中信证券股份有限公司于</w:t>
      </w:r>
      <w:r>
        <w:rPr>
          <w:rFonts w:ascii="宋体" w:hAnsi="宋体" w:cs="宋体" w:eastAsia="宋体" w:hint="default"/>
          <w:b/>
          <w:bCs/>
          <w:spacing w:val="-40"/>
          <w:w w:val="99"/>
          <w:sz w:val="18"/>
          <w:szCs w:val="18"/>
        </w:rPr>
        <w:t> </w:t>
      </w:r>
      <w:r>
        <w:rPr>
          <w:rFonts w:ascii="Times New Roman" w:hAnsi="Times New Roman" w:cs="Times New Roman" w:eastAsia="Times New Roman" w:hint="default"/>
          <w:b/>
          <w:bCs/>
          <w:spacing w:val="-1"/>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41"/>
          <w:w w:val="99"/>
          <w:sz w:val="18"/>
          <w:szCs w:val="18"/>
        </w:rPr>
        <w:t> </w:t>
      </w:r>
      <w:r>
        <w:rPr>
          <w:rFonts w:ascii="Times New Roman" w:hAnsi="Times New Roman" w:cs="Times New Roman" w:eastAsia="Times New Roman" w:hint="default"/>
          <w:b/>
          <w:bCs/>
          <w:spacing w:val="-1"/>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w w:val="99"/>
          <w:sz w:val="18"/>
          <w:szCs w:val="18"/>
        </w:rPr>
        <w:t>月</w:t>
      </w:r>
      <w:r>
        <w:rPr>
          <w:rFonts w:ascii="宋体" w:hAnsi="宋体" w:cs="宋体" w:eastAsia="宋体" w:hint="default"/>
          <w:b/>
          <w:bCs/>
          <w:spacing w:val="-44"/>
          <w:w w:val="99"/>
          <w:sz w:val="18"/>
          <w:szCs w:val="18"/>
        </w:rPr>
        <w:t> </w:t>
      </w:r>
      <w:r>
        <w:rPr>
          <w:rFonts w:ascii="Times New Roman" w:hAnsi="Times New Roman" w:cs="Times New Roman" w:eastAsia="Times New Roman" w:hint="default"/>
          <w:b/>
          <w:bCs/>
          <w:sz w:val="18"/>
          <w:szCs w:val="18"/>
        </w:rPr>
        <w:t>8</w:t>
      </w:r>
      <w:r>
        <w:rPr>
          <w:rFonts w:ascii="Times New Roman" w:hAnsi="Times New Roman" w:cs="Times New Roman" w:eastAsia="Times New Roman" w:hint="default"/>
          <w:b/>
          <w:bCs/>
          <w:spacing w:val="3"/>
          <w:sz w:val="18"/>
          <w:szCs w:val="18"/>
        </w:rPr>
        <w:t> </w:t>
      </w:r>
      <w:r>
        <w:rPr>
          <w:rFonts w:ascii="宋体" w:hAnsi="宋体" w:cs="宋体" w:eastAsia="宋体" w:hint="default"/>
          <w:b/>
          <w:bCs/>
          <w:spacing w:val="-5"/>
          <w:w w:val="99"/>
          <w:sz w:val="18"/>
          <w:szCs w:val="18"/>
        </w:rPr>
        <w:t>日向社会公众公开发行普通股（</w:t>
      </w:r>
      <w:r>
        <w:rPr>
          <w:rFonts w:ascii="Times New Roman" w:hAnsi="Times New Roman" w:cs="Times New Roman" w:eastAsia="Times New Roman" w:hint="default"/>
          <w:b/>
          <w:bCs/>
          <w:spacing w:val="-5"/>
          <w:w w:val="99"/>
          <w:sz w:val="18"/>
          <w:szCs w:val="18"/>
        </w:rPr>
        <w:t>A</w:t>
      </w:r>
      <w:r>
        <w:rPr>
          <w:rFonts w:ascii="Times New Roman" w:hAnsi="Times New Roman" w:cs="Times New Roman" w:eastAsia="Times New Roman" w:hint="default"/>
          <w:b/>
          <w:bCs/>
          <w:spacing w:val="36"/>
          <w:w w:val="99"/>
          <w:sz w:val="18"/>
          <w:szCs w:val="18"/>
        </w:rPr>
        <w:t> </w:t>
      </w:r>
      <w:r>
        <w:rPr>
          <w:rFonts w:ascii="宋体" w:hAnsi="宋体" w:cs="宋体" w:eastAsia="宋体" w:hint="default"/>
          <w:b/>
          <w:bCs/>
          <w:spacing w:val="-18"/>
          <w:w w:val="99"/>
          <w:sz w:val="18"/>
          <w:szCs w:val="18"/>
        </w:rPr>
        <w:t>股）股票</w:t>
      </w:r>
      <w:r>
        <w:rPr>
          <w:rFonts w:ascii="宋体" w:hAnsi="宋体" w:cs="宋体" w:eastAsia="宋体" w:hint="default"/>
          <w:b/>
          <w:bCs/>
          <w:spacing w:val="-43"/>
          <w:w w:val="99"/>
          <w:sz w:val="18"/>
          <w:szCs w:val="18"/>
        </w:rPr>
        <w:t> </w:t>
      </w:r>
      <w:r>
        <w:rPr>
          <w:rFonts w:ascii="Times New Roman" w:hAnsi="Times New Roman" w:cs="Times New Roman" w:eastAsia="Times New Roman" w:hint="default"/>
          <w:b/>
          <w:bCs/>
          <w:sz w:val="18"/>
          <w:szCs w:val="18"/>
        </w:rPr>
        <w:t>1,600</w:t>
      </w:r>
      <w:r>
        <w:rPr>
          <w:rFonts w:ascii="Times New Roman" w:hAnsi="Times New Roman" w:cs="Times New Roman" w:eastAsia="Times New Roman" w:hint="default"/>
          <w:b/>
          <w:bCs/>
          <w:spacing w:val="2"/>
          <w:sz w:val="18"/>
          <w:szCs w:val="18"/>
        </w:rPr>
        <w:t> </w:t>
      </w:r>
      <w:r>
        <w:rPr>
          <w:rFonts w:ascii="宋体" w:hAnsi="宋体" w:cs="宋体" w:eastAsia="宋体" w:hint="default"/>
          <w:b/>
          <w:bCs/>
          <w:spacing w:val="-10"/>
          <w:w w:val="99"/>
          <w:sz w:val="18"/>
          <w:szCs w:val="18"/>
        </w:rPr>
        <w:t>万股，每股面值</w:t>
      </w:r>
      <w:r>
        <w:rPr>
          <w:rFonts w:ascii="宋体" w:hAnsi="宋体" w:cs="宋体" w:eastAsia="宋体" w:hint="default"/>
          <w:b/>
          <w:bCs/>
          <w:spacing w:val="-43"/>
          <w:w w:val="99"/>
          <w:sz w:val="18"/>
          <w:szCs w:val="18"/>
        </w:rPr>
        <w:t> </w:t>
      </w:r>
      <w:r>
        <w:rPr>
          <w:rFonts w:ascii="Times New Roman" w:hAnsi="Times New Roman" w:cs="Times New Roman" w:eastAsia="Times New Roman" w:hint="default"/>
          <w:b/>
          <w:bCs/>
          <w:sz w:val="18"/>
          <w:szCs w:val="18"/>
        </w:rPr>
        <w:t>1.00</w:t>
      </w:r>
      <w:r>
        <w:rPr>
          <w:rFonts w:ascii="Times New Roman" w:hAnsi="Times New Roman" w:cs="Times New Roman" w:eastAsia="Times New Roman" w:hint="default"/>
          <w:sz w:val="18"/>
          <w:szCs w:val="18"/>
        </w:rPr>
      </w:r>
    </w:p>
    <w:p>
      <w:pPr>
        <w:spacing w:line="215" w:lineRule="exact" w:before="0"/>
        <w:ind w:left="142" w:right="717" w:firstLine="0"/>
        <w:jc w:val="left"/>
        <w:rPr>
          <w:rFonts w:ascii="宋体" w:hAnsi="宋体" w:cs="宋体" w:eastAsia="宋体" w:hint="default"/>
          <w:sz w:val="18"/>
          <w:szCs w:val="18"/>
        </w:rPr>
      </w:pPr>
      <w:r>
        <w:rPr>
          <w:rFonts w:ascii="宋体" w:hAnsi="宋体" w:cs="宋体" w:eastAsia="宋体" w:hint="default"/>
          <w:b/>
          <w:bCs/>
          <w:sz w:val="18"/>
          <w:szCs w:val="18"/>
        </w:rPr>
        <w:t>元，每股发行价人民币</w:t>
      </w:r>
      <w:r>
        <w:rPr>
          <w:rFonts w:ascii="宋体" w:hAnsi="宋体" w:cs="宋体" w:eastAsia="宋体" w:hint="default"/>
          <w:b/>
          <w:bCs/>
          <w:spacing w:val="-41"/>
          <w:sz w:val="18"/>
          <w:szCs w:val="18"/>
        </w:rPr>
        <w:t> </w:t>
      </w:r>
      <w:r>
        <w:rPr>
          <w:rFonts w:ascii="Times New Roman" w:hAnsi="Times New Roman" w:cs="Times New Roman" w:eastAsia="Times New Roman" w:hint="default"/>
          <w:b/>
          <w:bCs/>
          <w:sz w:val="18"/>
          <w:szCs w:val="18"/>
        </w:rPr>
        <w:t>43.33</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元，共募集资金</w:t>
      </w:r>
      <w:r>
        <w:rPr>
          <w:rFonts w:ascii="宋体" w:hAnsi="宋体" w:cs="宋体" w:eastAsia="宋体" w:hint="default"/>
          <w:b/>
          <w:bCs/>
          <w:spacing w:val="-41"/>
          <w:sz w:val="18"/>
          <w:szCs w:val="18"/>
        </w:rPr>
        <w:t> </w:t>
      </w:r>
      <w:r>
        <w:rPr>
          <w:rFonts w:ascii="Times New Roman" w:hAnsi="Times New Roman" w:cs="Times New Roman" w:eastAsia="Times New Roman" w:hint="default"/>
          <w:b/>
          <w:bCs/>
          <w:sz w:val="18"/>
          <w:szCs w:val="18"/>
        </w:rPr>
        <w:t>69,328.00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万元，扣除发行费用</w:t>
      </w:r>
      <w:r>
        <w:rPr>
          <w:rFonts w:ascii="宋体" w:hAnsi="宋体" w:cs="宋体" w:eastAsia="宋体" w:hint="default"/>
          <w:b/>
          <w:bCs/>
          <w:spacing w:val="-41"/>
          <w:sz w:val="18"/>
          <w:szCs w:val="18"/>
        </w:rPr>
        <w:t> </w:t>
      </w:r>
      <w:r>
        <w:rPr>
          <w:rFonts w:ascii="Times New Roman" w:hAnsi="Times New Roman" w:cs="Times New Roman" w:eastAsia="Times New Roman" w:hint="default"/>
          <w:b/>
          <w:bCs/>
          <w:sz w:val="18"/>
          <w:szCs w:val="18"/>
        </w:rPr>
        <w:t>46,945,065.67</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元，募集资金净额</w:t>
      </w:r>
      <w:r>
        <w:rPr>
          <w:rFonts w:ascii="宋体" w:hAnsi="宋体" w:cs="宋体" w:eastAsia="宋体" w:hint="default"/>
          <w:sz w:val="18"/>
          <w:szCs w:val="18"/>
        </w:rPr>
      </w:r>
    </w:p>
    <w:p>
      <w:pPr>
        <w:spacing w:line="240" w:lineRule="exact" w:before="0"/>
        <w:ind w:left="142" w:right="7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646,334,934.33</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元，超过股本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1,600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万元部分</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630,334,934.33</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元计入资本公积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股本溢价。</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before="0"/>
        <w:ind w:left="142" w:right="717" w:firstLine="0"/>
        <w:jc w:val="left"/>
        <w:rPr>
          <w:rFonts w:ascii="宋体" w:hAnsi="宋体" w:cs="宋体" w:eastAsia="宋体" w:hint="default"/>
          <w:sz w:val="18"/>
          <w:szCs w:val="18"/>
        </w:rPr>
      </w:pPr>
      <w:r>
        <w:rPr>
          <w:rFonts w:ascii="宋体" w:hAnsi="宋体" w:cs="宋体" w:eastAsia="宋体" w:hint="default"/>
          <w:b/>
          <w:bCs/>
          <w:sz w:val="18"/>
          <w:szCs w:val="18"/>
        </w:rPr>
        <w:t>（二十三）盈余公积</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6" w:top="1060" w:bottom="1420" w:left="1560" w:right="82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1764"/>
        <w:gridCol w:w="106"/>
        <w:gridCol w:w="1575"/>
        <w:gridCol w:w="103"/>
        <w:gridCol w:w="1733"/>
        <w:gridCol w:w="1706"/>
        <w:gridCol w:w="106"/>
        <w:gridCol w:w="1581"/>
      </w:tblGrid>
      <w:tr>
        <w:trPr>
          <w:trHeight w:val="425" w:hRule="exact"/>
        </w:trPr>
        <w:tc>
          <w:tcPr>
            <w:tcW w:w="1764"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5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 w:type="dxa"/>
            <w:tcBorders>
              <w:top w:val="single" w:sz="6" w:space="0" w:color="000000"/>
              <w:left w:val="nil" w:sz="6" w:space="0" w:color="auto"/>
              <w:bottom w:val="nil" w:sz="6" w:space="0" w:color="auto"/>
              <w:right w:val="nil" w:sz="6" w:space="0" w:color="auto"/>
            </w:tcBorders>
          </w:tcPr>
          <w:p>
            <w:pPr/>
          </w:p>
        </w:tc>
        <w:tc>
          <w:tcPr>
            <w:tcW w:w="1575"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 w:type="dxa"/>
            <w:tcBorders>
              <w:top w:val="single" w:sz="6" w:space="0" w:color="000000"/>
              <w:left w:val="nil" w:sz="6" w:space="0" w:color="auto"/>
              <w:bottom w:val="nil" w:sz="6" w:space="0" w:color="auto"/>
              <w:right w:val="nil" w:sz="6" w:space="0" w:color="auto"/>
            </w:tcBorders>
          </w:tcPr>
          <w:p>
            <w:pPr/>
          </w:p>
        </w:tc>
        <w:tc>
          <w:tcPr>
            <w:tcW w:w="1733"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6"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 w:type="dxa"/>
            <w:tcBorders>
              <w:top w:val="single" w:sz="6" w:space="0" w:color="000000"/>
              <w:left w:val="nil" w:sz="6" w:space="0" w:color="auto"/>
              <w:bottom w:val="nil" w:sz="6" w:space="0" w:color="auto"/>
              <w:right w:val="nil" w:sz="6" w:space="0" w:color="auto"/>
            </w:tcBorders>
          </w:tcPr>
          <w:p>
            <w:pPr/>
          </w:p>
        </w:tc>
        <w:tc>
          <w:tcPr>
            <w:tcW w:w="1581" w:type="dxa"/>
            <w:tcBorders>
              <w:top w:val="single" w:sz="6" w:space="0" w:color="000000"/>
              <w:left w:val="nil" w:sz="6" w:space="0" w:color="auto"/>
              <w:bottom w:val="single" w:sz="4" w:space="0" w:color="000000"/>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4,376,663.12</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2,644,038.24</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7"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28" w:right="0"/>
              <w:jc w:val="left"/>
              <w:rPr>
                <w:rFonts w:ascii="Times New Roman" w:hAnsi="Times New Roman" w:cs="Times New Roman" w:eastAsia="Times New Roman" w:hint="default"/>
                <w:sz w:val="18"/>
                <w:szCs w:val="18"/>
              </w:rPr>
            </w:pPr>
            <w:r>
              <w:rPr>
                <w:rFonts w:ascii="Times New Roman"/>
                <w:sz w:val="18"/>
              </w:rPr>
              <w:t>7,020,701.36</w:t>
            </w:r>
          </w:p>
        </w:tc>
      </w:tr>
      <w:tr>
        <w:trPr>
          <w:trHeight w:val="402"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07"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17"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6" cy="9144"/>
                  <wp:effectExtent l="0" t="0" r="0" b="0"/>
                  <wp:docPr id="133" name="image79.png" descr=""/>
                  <wp:cNvGraphicFramePr>
                    <a:graphicFrameLocks noChangeAspect="1"/>
                  </wp:cNvGraphicFramePr>
                  <a:graphic>
                    <a:graphicData uri="http://schemas.openxmlformats.org/drawingml/2006/picture">
                      <pic:pic>
                        <pic:nvPicPr>
                          <pic:cNvPr id="134" name="image79.png"/>
                          <pic:cNvPicPr/>
                        </pic:nvPicPr>
                        <pic:blipFill>
                          <a:blip r:embed="rId126" cstate="print"/>
                          <a:stretch>
                            <a:fillRect/>
                          </a:stretch>
                        </pic:blipFill>
                        <pic:spPr>
                          <a:xfrm>
                            <a:off x="0" y="0"/>
                            <a:ext cx="100016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4,376,663.12</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0628" cy="9144"/>
                  <wp:effectExtent l="0" t="0" r="0" b="0"/>
                  <wp:docPr id="135" name="image80.png" descr=""/>
                  <wp:cNvGraphicFramePr>
                    <a:graphicFrameLocks noChangeAspect="1"/>
                  </wp:cNvGraphicFramePr>
                  <a:graphic>
                    <a:graphicData uri="http://schemas.openxmlformats.org/drawingml/2006/picture">
                      <pic:pic>
                        <pic:nvPicPr>
                          <pic:cNvPr id="136" name="image80.png"/>
                          <pic:cNvPicPr/>
                        </pic:nvPicPr>
                        <pic:blipFill>
                          <a:blip r:embed="rId127" cstate="print"/>
                          <a:stretch>
                            <a:fillRect/>
                          </a:stretch>
                        </pic:blipFill>
                        <pic:spPr>
                          <a:xfrm>
                            <a:off x="0" y="0"/>
                            <a:ext cx="110062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left="28" w:right="0"/>
              <w:jc w:val="left"/>
              <w:rPr>
                <w:rFonts w:ascii="Times New Roman" w:hAnsi="Times New Roman" w:cs="Times New Roman" w:eastAsia="Times New Roman" w:hint="default"/>
                <w:sz w:val="18"/>
                <w:szCs w:val="18"/>
              </w:rPr>
            </w:pPr>
            <w:r>
              <w:rPr>
                <w:rFonts w:ascii="Times New Roman"/>
                <w:sz w:val="18"/>
              </w:rPr>
              <w:t>2,644,038.24</w:t>
            </w: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7,020,701.36</w:t>
            </w:r>
          </w:p>
        </w:tc>
      </w:tr>
    </w:tbl>
    <w:p>
      <w:pPr>
        <w:spacing w:line="240" w:lineRule="auto" w:before="2"/>
        <w:rPr>
          <w:rFonts w:ascii="宋体" w:hAnsi="宋体" w:cs="宋体" w:eastAsia="宋体" w:hint="default"/>
          <w:b/>
          <w:bCs/>
          <w:sz w:val="16"/>
          <w:szCs w:val="16"/>
        </w:rPr>
      </w:pPr>
    </w:p>
    <w:p>
      <w:pPr>
        <w:spacing w:before="44"/>
        <w:ind w:left="142" w:right="305" w:firstLine="0"/>
        <w:jc w:val="left"/>
        <w:rPr>
          <w:rFonts w:ascii="宋体" w:hAnsi="宋体" w:cs="宋体" w:eastAsia="宋体" w:hint="default"/>
          <w:sz w:val="18"/>
          <w:szCs w:val="18"/>
        </w:rPr>
      </w:pPr>
      <w:r>
        <w:rPr/>
        <w:pict>
          <v:shape style="position:absolute;margin-left:438.339996pt;margin-top:-33.368252pt;width:79.803305pt;height:.72pt;mso-position-horizontal-relative:page;mso-position-vertical-relative:paragraph;z-index:6664" type="#_x0000_t75" stroked="false">
            <v:imagedata r:id="rId128" o:title=""/>
          </v:shape>
        </w:pict>
      </w:r>
      <w:r>
        <w:rPr>
          <w:rFonts w:ascii="宋体" w:hAnsi="宋体" w:cs="宋体" w:eastAsia="宋体" w:hint="default"/>
          <w:b/>
          <w:bCs/>
          <w:sz w:val="18"/>
          <w:szCs w:val="18"/>
        </w:rPr>
        <w:t>（二十四）未分配利润</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2636"/>
        <w:gridCol w:w="955"/>
        <w:gridCol w:w="2081"/>
        <w:gridCol w:w="900"/>
        <w:gridCol w:w="2103"/>
      </w:tblGrid>
      <w:tr>
        <w:trPr>
          <w:trHeight w:val="284" w:hRule="exact"/>
        </w:trPr>
        <w:tc>
          <w:tcPr>
            <w:tcW w:w="263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73" w:hRule="exact"/>
        </w:trPr>
        <w:tc>
          <w:tcPr>
            <w:tcW w:w="263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上年末未分配利润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53,513,503.59</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8" w:right="0"/>
              <w:jc w:val="left"/>
              <w:rPr>
                <w:rFonts w:ascii="Times New Roman" w:hAnsi="Times New Roman" w:cs="Times New Roman" w:eastAsia="Times New Roman" w:hint="default"/>
                <w:sz w:val="18"/>
                <w:szCs w:val="18"/>
              </w:rPr>
            </w:pPr>
            <w:r>
              <w:rPr>
                <w:rFonts w:ascii="Times New Roman"/>
                <w:sz w:val="18"/>
              </w:rPr>
              <w:t>20,483,745.55</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53,513,503.59</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20,483,745.55</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加：归属于母公司股东的净利润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57,894,445.26</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44,395,399.78</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减：提取法定盈余公积金</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2,644,038.24</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1,865,641.74</w:t>
            </w:r>
          </w:p>
        </w:tc>
      </w:tr>
      <w:tr>
        <w:trPr>
          <w:trHeight w:val="367"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减：未分配利润转增资本</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减：净资产折股</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73"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减：分配现金股利</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left"/>
              <w:rPr>
                <w:rFonts w:ascii="Times New Roman" w:hAnsi="Times New Roman" w:cs="Times New Roman" w:eastAsia="Times New Roman" w:hint="default"/>
                <w:sz w:val="18"/>
                <w:szCs w:val="18"/>
              </w:rPr>
            </w:pPr>
            <w:r>
              <w:rPr>
                <w:rFonts w:ascii="Times New Roman"/>
                <w:sz w:val="18"/>
              </w:rPr>
              <w:t>9,500,000.00</w:t>
            </w:r>
          </w:p>
        </w:tc>
      </w:tr>
      <w:tr>
        <w:trPr>
          <w:trHeight w:val="403"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left="36" w:right="0"/>
              <w:jc w:val="left"/>
              <w:rPr>
                <w:rFonts w:ascii="Times New Roman" w:hAnsi="Times New Roman" w:cs="Times New Roman" w:eastAsia="Times New Roman" w:hint="default"/>
                <w:sz w:val="18"/>
                <w:szCs w:val="18"/>
              </w:rPr>
            </w:pPr>
            <w:r>
              <w:rPr>
                <w:rFonts w:ascii="Times New Roman"/>
                <w:sz w:val="18"/>
              </w:rPr>
              <w:t>108,763,910.61</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30832" cy="9144"/>
                  <wp:effectExtent l="0" t="0" r="0" b="0"/>
                  <wp:docPr id="137" name="image82.png" descr=""/>
                  <wp:cNvGraphicFramePr>
                    <a:graphicFrameLocks noChangeAspect="1"/>
                  </wp:cNvGraphicFramePr>
                  <a:graphic>
                    <a:graphicData uri="http://schemas.openxmlformats.org/drawingml/2006/picture">
                      <pic:pic>
                        <pic:nvPicPr>
                          <pic:cNvPr id="138" name="image82.png"/>
                          <pic:cNvPicPr/>
                        </pic:nvPicPr>
                        <pic:blipFill>
                          <a:blip r:embed="rId129" cstate="print"/>
                          <a:stretch>
                            <a:fillRect/>
                          </a:stretch>
                        </pic:blipFill>
                        <pic:spPr>
                          <a:xfrm>
                            <a:off x="0" y="0"/>
                            <a:ext cx="13308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38" w:right="0"/>
              <w:jc w:val="left"/>
              <w:rPr>
                <w:rFonts w:ascii="Times New Roman" w:hAnsi="Times New Roman" w:cs="Times New Roman" w:eastAsia="Times New Roman" w:hint="default"/>
                <w:sz w:val="18"/>
                <w:szCs w:val="18"/>
              </w:rPr>
            </w:pPr>
            <w:r>
              <w:rPr>
                <w:rFonts w:ascii="Times New Roman"/>
                <w:sz w:val="18"/>
              </w:rPr>
              <w:t>53,513,503.59</w:t>
            </w:r>
          </w:p>
        </w:tc>
      </w:tr>
    </w:tbl>
    <w:p>
      <w:pPr>
        <w:spacing w:line="240" w:lineRule="auto" w:before="2"/>
        <w:rPr>
          <w:rFonts w:ascii="宋体" w:hAnsi="宋体" w:cs="宋体" w:eastAsia="宋体" w:hint="default"/>
          <w:b/>
          <w:bCs/>
          <w:sz w:val="16"/>
          <w:szCs w:val="16"/>
        </w:rPr>
      </w:pPr>
    </w:p>
    <w:p>
      <w:pPr>
        <w:spacing w:before="44"/>
        <w:ind w:left="142" w:right="305" w:firstLine="0"/>
        <w:jc w:val="left"/>
        <w:rPr>
          <w:rFonts w:ascii="宋体" w:hAnsi="宋体" w:cs="宋体" w:eastAsia="宋体" w:hint="default"/>
          <w:sz w:val="18"/>
          <w:szCs w:val="18"/>
        </w:rPr>
      </w:pPr>
      <w:r>
        <w:rPr>
          <w:rFonts w:ascii="宋体" w:hAnsi="宋体" w:cs="宋体" w:eastAsia="宋体" w:hint="default"/>
          <w:b/>
          <w:bCs/>
          <w:sz w:val="18"/>
          <w:szCs w:val="18"/>
        </w:rPr>
        <w:t>（二十五）营业收入及营业成本</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142" w:right="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016"/>
        <w:gridCol w:w="1198"/>
        <w:gridCol w:w="2050"/>
        <w:gridCol w:w="1322"/>
        <w:gridCol w:w="2093"/>
      </w:tblGrid>
      <w:tr>
        <w:trPr>
          <w:trHeight w:val="282" w:hRule="exact"/>
        </w:trPr>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2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75"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208,527,076.74</w:t>
            </w:r>
          </w:p>
        </w:tc>
        <w:tc>
          <w:tcPr>
            <w:tcW w:w="1322"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137,430,017.35</w:t>
            </w:r>
          </w:p>
        </w:tc>
      </w:tr>
      <w:tr>
        <w:trPr>
          <w:trHeight w:val="374"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2,304,744.02</w:t>
            </w:r>
          </w:p>
        </w:tc>
      </w:tr>
      <w:tr>
        <w:trPr>
          <w:trHeight w:val="389"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208,527,076.74</w:t>
            </w:r>
          </w:p>
        </w:tc>
        <w:tc>
          <w:tcPr>
            <w:tcW w:w="1322"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139,734,761.37</w:t>
            </w:r>
          </w:p>
        </w:tc>
      </w:tr>
    </w:tbl>
    <w:p>
      <w:pPr>
        <w:spacing w:line="240" w:lineRule="auto" w:before="2"/>
        <w:rPr>
          <w:rFonts w:ascii="宋体" w:hAnsi="宋体" w:cs="宋体" w:eastAsia="宋体" w:hint="default"/>
          <w:b/>
          <w:bCs/>
          <w:sz w:val="16"/>
          <w:szCs w:val="16"/>
        </w:rPr>
      </w:pPr>
    </w:p>
    <w:p>
      <w:pPr>
        <w:spacing w:before="44"/>
        <w:ind w:left="142" w:right="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1"/>
        <w:rPr>
          <w:rFonts w:ascii="宋体" w:hAnsi="宋体" w:cs="宋体" w:eastAsia="宋体" w:hint="default"/>
          <w:b/>
          <w:bCs/>
          <w:sz w:val="29"/>
          <w:szCs w:val="29"/>
        </w:rPr>
      </w:pPr>
    </w:p>
    <w:tbl>
      <w:tblPr>
        <w:tblW w:w="0" w:type="auto"/>
        <w:jc w:val="left"/>
        <w:tblInd w:w="156" w:type="dxa"/>
        <w:tblLayout w:type="fixed"/>
        <w:tblCellMar>
          <w:top w:w="0" w:type="dxa"/>
          <w:left w:w="0" w:type="dxa"/>
          <w:bottom w:w="0" w:type="dxa"/>
          <w:right w:w="0" w:type="dxa"/>
        </w:tblCellMar>
        <w:tblLook w:val="01E0"/>
      </w:tblPr>
      <w:tblGrid>
        <w:gridCol w:w="2002"/>
        <w:gridCol w:w="1213"/>
        <w:gridCol w:w="2024"/>
        <w:gridCol w:w="1334"/>
        <w:gridCol w:w="2093"/>
      </w:tblGrid>
      <w:tr>
        <w:trPr>
          <w:trHeight w:val="267" w:hRule="exact"/>
        </w:trPr>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3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13"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97,995,951.11</w:t>
            </w:r>
          </w:p>
        </w:tc>
        <w:tc>
          <w:tcPr>
            <w:tcW w:w="1334"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57,267,326.37</w:t>
            </w:r>
          </w:p>
        </w:tc>
      </w:tr>
      <w:tr>
        <w:trPr>
          <w:trHeight w:val="344"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13"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524,237.03</w:t>
            </w:r>
          </w:p>
        </w:tc>
      </w:tr>
      <w:tr>
        <w:trPr>
          <w:trHeight w:val="367"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97,995,951.11</w:t>
            </w:r>
          </w:p>
        </w:tc>
        <w:tc>
          <w:tcPr>
            <w:tcW w:w="1334"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57,791,563.40</w:t>
            </w:r>
          </w:p>
        </w:tc>
      </w:tr>
    </w:tbl>
    <w:p>
      <w:pPr>
        <w:spacing w:line="240" w:lineRule="auto" w:before="2"/>
        <w:rPr>
          <w:rFonts w:ascii="宋体" w:hAnsi="宋体" w:cs="宋体" w:eastAsia="宋体" w:hint="default"/>
          <w:b/>
          <w:bCs/>
          <w:sz w:val="16"/>
          <w:szCs w:val="16"/>
        </w:rPr>
      </w:pPr>
    </w:p>
    <w:p>
      <w:pPr>
        <w:spacing w:before="44"/>
        <w:ind w:left="142" w:right="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公司前五名客户的主营业务收入情况</w:t>
      </w:r>
      <w:r>
        <w:rPr>
          <w:rFonts w:ascii="宋体" w:hAnsi="宋体" w:cs="宋体" w:eastAsia="宋体" w:hint="default"/>
          <w:sz w:val="18"/>
          <w:szCs w:val="18"/>
        </w:rPr>
      </w:r>
    </w:p>
    <w:p>
      <w:pPr>
        <w:spacing w:line="240" w:lineRule="auto" w:before="4"/>
        <w:rPr>
          <w:rFonts w:ascii="宋体" w:hAnsi="宋体" w:cs="宋体" w:eastAsia="宋体" w:hint="default"/>
          <w:b/>
          <w:bCs/>
          <w:sz w:val="28"/>
          <w:szCs w:val="28"/>
        </w:rPr>
      </w:pPr>
    </w:p>
    <w:tbl>
      <w:tblPr>
        <w:tblW w:w="0" w:type="auto"/>
        <w:jc w:val="left"/>
        <w:tblInd w:w="142" w:type="dxa"/>
        <w:tblLayout w:type="fixed"/>
        <w:tblCellMar>
          <w:top w:w="0" w:type="dxa"/>
          <w:left w:w="0" w:type="dxa"/>
          <w:bottom w:w="0" w:type="dxa"/>
          <w:right w:w="0" w:type="dxa"/>
        </w:tblCellMar>
        <w:tblLook w:val="01E0"/>
      </w:tblPr>
      <w:tblGrid>
        <w:gridCol w:w="2314"/>
        <w:gridCol w:w="1047"/>
        <w:gridCol w:w="2045"/>
        <w:gridCol w:w="1356"/>
        <w:gridCol w:w="2045"/>
      </w:tblGrid>
      <w:tr>
        <w:trPr>
          <w:trHeight w:val="255" w:hRule="exact"/>
        </w:trPr>
        <w:tc>
          <w:tcPr>
            <w:tcW w:w="2314"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47"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24" w:hRule="exact"/>
        </w:trPr>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销售收入前五名合计金额</w:t>
            </w:r>
          </w:p>
        </w:tc>
        <w:tc>
          <w:tcPr>
            <w:tcW w:w="1047"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146,479,696.29</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105,962,244.80</w:t>
            </w:r>
          </w:p>
        </w:tc>
      </w:tr>
      <w:tr>
        <w:trPr>
          <w:trHeight w:val="251"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占销售收入比例</w:t>
            </w:r>
          </w:p>
        </w:tc>
        <w:tc>
          <w:tcPr>
            <w:tcW w:w="1047"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70.24%</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Times New Roman" w:hAnsi="Times New Roman" w:cs="Times New Roman" w:eastAsia="Times New Roman" w:hint="default"/>
                <w:sz w:val="18"/>
                <w:szCs w:val="18"/>
              </w:rPr>
            </w:pPr>
            <w:r>
              <w:rPr>
                <w:rFonts w:ascii="Times New Roman"/>
                <w:sz w:val="18"/>
              </w:rPr>
              <w:t>77.10%</w:t>
            </w:r>
          </w:p>
        </w:tc>
      </w:tr>
    </w:tbl>
    <w:p>
      <w:pPr>
        <w:spacing w:line="240" w:lineRule="auto" w:before="2"/>
        <w:rPr>
          <w:rFonts w:ascii="宋体" w:hAnsi="宋体" w:cs="宋体" w:eastAsia="宋体" w:hint="default"/>
          <w:b/>
          <w:bCs/>
          <w:sz w:val="21"/>
          <w:szCs w:val="21"/>
        </w:rPr>
      </w:pPr>
    </w:p>
    <w:p>
      <w:pPr>
        <w:spacing w:before="44"/>
        <w:ind w:left="142" w:right="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主营业务收入及成本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按业务分类</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125"/>
          <w:pgSz w:w="11910" w:h="16840"/>
          <w:pgMar w:footer="1226" w:header="877" w:top="1060" w:bottom="1420" w:left="1560" w:right="1280"/>
          <w:pgNumType w:start="122"/>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312"/>
        <w:gridCol w:w="1071"/>
        <w:gridCol w:w="2038"/>
        <w:gridCol w:w="1334"/>
        <w:gridCol w:w="2064"/>
      </w:tblGrid>
      <w:tr>
        <w:trPr>
          <w:trHeight w:val="615" w:hRule="exact"/>
        </w:trPr>
        <w:tc>
          <w:tcPr>
            <w:tcW w:w="2312"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1" w:type="dxa"/>
            <w:tcBorders>
              <w:top w:val="single" w:sz="6" w:space="0" w:color="000000"/>
              <w:left w:val="nil" w:sz="6" w:space="0" w:color="auto"/>
              <w:bottom w:val="nil" w:sz="6" w:space="0" w:color="auto"/>
              <w:right w:val="nil" w:sz="6" w:space="0" w:color="auto"/>
            </w:tcBorders>
          </w:tcPr>
          <w:p>
            <w:pPr/>
          </w:p>
        </w:tc>
        <w:tc>
          <w:tcPr>
            <w:tcW w:w="2038"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34" w:type="dxa"/>
            <w:tcBorders>
              <w:top w:val="single" w:sz="6" w:space="0" w:color="000000"/>
              <w:left w:val="nil" w:sz="6" w:space="0" w:color="auto"/>
              <w:bottom w:val="nil" w:sz="6" w:space="0" w:color="auto"/>
              <w:right w:val="nil" w:sz="6" w:space="0" w:color="auto"/>
            </w:tcBorders>
          </w:tcPr>
          <w:p>
            <w:pPr/>
          </w:p>
        </w:tc>
        <w:tc>
          <w:tcPr>
            <w:tcW w:w="2064"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
        </w:tc>
      </w:tr>
      <w:tr>
        <w:trPr>
          <w:trHeight w:val="34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机销售</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Times New Roman" w:hAnsi="Times New Roman" w:cs="Times New Roman" w:eastAsia="Times New Roman" w:hint="default"/>
                <w:sz w:val="18"/>
                <w:szCs w:val="18"/>
              </w:rPr>
            </w:pPr>
            <w:r>
              <w:rPr>
                <w:rFonts w:ascii="Times New Roman"/>
                <w:sz w:val="18"/>
              </w:rPr>
              <w:t>193,044,442.98</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8" w:right="0"/>
              <w:jc w:val="left"/>
              <w:rPr>
                <w:rFonts w:ascii="Times New Roman" w:hAnsi="Times New Roman" w:cs="Times New Roman" w:eastAsia="Times New Roman" w:hint="default"/>
                <w:sz w:val="18"/>
                <w:szCs w:val="18"/>
              </w:rPr>
            </w:pPr>
            <w:r>
              <w:rPr>
                <w:rFonts w:ascii="Times New Roman"/>
                <w:sz w:val="18"/>
              </w:rPr>
              <w:t>127,524,240.31</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9,645,670.63</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9,110,944.60</w:t>
            </w:r>
          </w:p>
        </w:tc>
      </w:tr>
      <w:tr>
        <w:trPr>
          <w:trHeight w:val="33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Times New Roman" w:hAnsi="Times New Roman" w:cs="Times New Roman" w:eastAsia="Times New Roman" w:hint="default"/>
                <w:sz w:val="18"/>
                <w:szCs w:val="18"/>
              </w:rPr>
            </w:pPr>
            <w:r>
              <w:rPr>
                <w:rFonts w:ascii="Times New Roman"/>
                <w:sz w:val="18"/>
              </w:rPr>
              <w:t>513,299.08</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479,145.26</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123,946.61</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314,487.18</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5,076,922.66</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122,794.78</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1,200.00</w:t>
            </w:r>
          </w:p>
        </w:tc>
      </w:tr>
      <w:tr>
        <w:trPr>
          <w:trHeight w:val="360"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208,527,076.74</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06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39" name="image83.png" descr=""/>
                  <wp:cNvGraphicFramePr>
                    <a:graphicFrameLocks noChangeAspect="1"/>
                  </wp:cNvGraphicFramePr>
                  <a:graphic>
                    <a:graphicData uri="http://schemas.openxmlformats.org/drawingml/2006/picture">
                      <pic:pic>
                        <pic:nvPicPr>
                          <pic:cNvPr id="140" name="image83.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Times New Roman"/>
                <w:sz w:val="18"/>
              </w:rPr>
              <w:t>137,430,017.35</w:t>
            </w:r>
          </w:p>
        </w:tc>
      </w:tr>
      <w:tr>
        <w:trPr>
          <w:trHeight w:val="35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single" w:sz="12" w:space="0" w:color="000000"/>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single" w:sz="12" w:space="0" w:color="000000"/>
              <w:left w:val="nil" w:sz="6" w:space="0" w:color="auto"/>
              <w:bottom w:val="nil" w:sz="6" w:space="0" w:color="auto"/>
              <w:right w:val="nil" w:sz="6" w:space="0" w:color="auto"/>
            </w:tcBorders>
          </w:tcPr>
          <w:p>
            <w:pPr/>
          </w:p>
        </w:tc>
      </w:tr>
      <w:tr>
        <w:trPr>
          <w:trHeight w:val="34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机销售</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Times New Roman" w:hAnsi="Times New Roman" w:cs="Times New Roman" w:eastAsia="Times New Roman" w:hint="default"/>
                <w:sz w:val="18"/>
                <w:szCs w:val="18"/>
              </w:rPr>
            </w:pPr>
            <w:r>
              <w:rPr>
                <w:rFonts w:ascii="Times New Roman"/>
                <w:sz w:val="18"/>
              </w:rPr>
              <w:t>93,944,953.38</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8" w:right="0"/>
              <w:jc w:val="left"/>
              <w:rPr>
                <w:rFonts w:ascii="Times New Roman" w:hAnsi="Times New Roman" w:cs="Times New Roman" w:eastAsia="Times New Roman" w:hint="default"/>
                <w:sz w:val="18"/>
                <w:szCs w:val="18"/>
              </w:rPr>
            </w:pPr>
            <w:r>
              <w:rPr>
                <w:rFonts w:ascii="Times New Roman"/>
                <w:sz w:val="18"/>
              </w:rPr>
              <w:t>55,169,056.45</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1,925,369.20</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1,897,049.51</w:t>
            </w:r>
          </w:p>
        </w:tc>
      </w:tr>
      <w:tr>
        <w:trPr>
          <w:trHeight w:val="33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Times New Roman" w:hAnsi="Times New Roman" w:cs="Times New Roman" w:eastAsia="Times New Roman" w:hint="default"/>
                <w:sz w:val="18"/>
                <w:szCs w:val="18"/>
              </w:rPr>
            </w:pPr>
            <w:r>
              <w:rPr>
                <w:rFonts w:ascii="Times New Roman"/>
                <w:sz w:val="18"/>
              </w:rPr>
              <w:t>209,545.61</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160,419.37</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40,801.04</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1,916,082.92</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97,995,951.11</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06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41" name="image83.png" descr=""/>
                  <wp:cNvGraphicFramePr>
                    <a:graphicFrameLocks noChangeAspect="1"/>
                  </wp:cNvGraphicFramePr>
                  <a:graphic>
                    <a:graphicData uri="http://schemas.openxmlformats.org/drawingml/2006/picture">
                      <pic:pic>
                        <pic:nvPicPr>
                          <pic:cNvPr id="142" name="image83.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Times New Roman"/>
                <w:sz w:val="18"/>
              </w:rPr>
              <w:t>57,267,326.37</w:t>
            </w:r>
          </w:p>
        </w:tc>
      </w:tr>
      <w:tr>
        <w:trPr>
          <w:trHeight w:val="35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single" w:sz="12" w:space="0" w:color="000000"/>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single" w:sz="12" w:space="0" w:color="000000"/>
              <w:left w:val="nil" w:sz="6" w:space="0" w:color="auto"/>
              <w:bottom w:val="nil" w:sz="6" w:space="0" w:color="auto"/>
              <w:right w:val="nil" w:sz="6" w:space="0" w:color="auto"/>
            </w:tcBorders>
          </w:tcPr>
          <w:p>
            <w:pPr/>
          </w:p>
        </w:tc>
      </w:tr>
      <w:tr>
        <w:trPr>
          <w:trHeight w:val="34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机销售</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Times New Roman" w:hAnsi="Times New Roman" w:cs="Times New Roman" w:eastAsia="Times New Roman" w:hint="default"/>
                <w:sz w:val="18"/>
                <w:szCs w:val="18"/>
              </w:rPr>
            </w:pPr>
            <w:r>
              <w:rPr>
                <w:rFonts w:ascii="Times New Roman"/>
                <w:sz w:val="18"/>
              </w:rPr>
              <w:t>99,099,489.6</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8" w:right="0"/>
              <w:jc w:val="left"/>
              <w:rPr>
                <w:rFonts w:ascii="Times New Roman" w:hAnsi="Times New Roman" w:cs="Times New Roman" w:eastAsia="Times New Roman" w:hint="default"/>
                <w:sz w:val="18"/>
                <w:szCs w:val="18"/>
              </w:rPr>
            </w:pPr>
            <w:r>
              <w:rPr>
                <w:rFonts w:ascii="Times New Roman"/>
                <w:sz w:val="18"/>
              </w:rPr>
              <w:t>72,355,183.86</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7,720,301.43</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7,213,895.09</w:t>
            </w:r>
          </w:p>
        </w:tc>
      </w:tr>
      <w:tr>
        <w:trPr>
          <w:trHeight w:val="33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Times New Roman" w:hAnsi="Times New Roman" w:cs="Times New Roman" w:eastAsia="Times New Roman" w:hint="default"/>
                <w:sz w:val="18"/>
                <w:szCs w:val="18"/>
              </w:rPr>
            </w:pPr>
            <w:r>
              <w:rPr>
                <w:rFonts w:ascii="Times New Roman"/>
                <w:sz w:val="18"/>
              </w:rPr>
              <w:t>303,753.47</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318,725.89</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123,946.61</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273,686.14</w:t>
            </w:r>
          </w:p>
        </w:tc>
      </w:tr>
      <w:tr>
        <w:trPr>
          <w:trHeight w:val="34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3,160,839.74</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122,794.78</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1,200.00</w:t>
            </w:r>
          </w:p>
        </w:tc>
      </w:tr>
      <w:tr>
        <w:trPr>
          <w:trHeight w:val="360"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1"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110,531,125.63</w:t>
            </w:r>
          </w:p>
        </w:tc>
        <w:tc>
          <w:tcPr>
            <w:tcW w:w="1334"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06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43" name="image83.png" descr=""/>
                  <wp:cNvGraphicFramePr>
                    <a:graphicFrameLocks noChangeAspect="1"/>
                  </wp:cNvGraphicFramePr>
                  <a:graphic>
                    <a:graphicData uri="http://schemas.openxmlformats.org/drawingml/2006/picture">
                      <pic:pic>
                        <pic:nvPicPr>
                          <pic:cNvPr id="144" name="image83.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Times New Roman"/>
                <w:sz w:val="18"/>
              </w:rPr>
              <w:t>80,162,690.98</w:t>
            </w:r>
          </w:p>
        </w:tc>
      </w:tr>
    </w:tbl>
    <w:p>
      <w:pPr>
        <w:spacing w:before="8"/>
        <w:ind w:left="142" w:right="1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主营业务收入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283"/>
        <w:gridCol w:w="1213"/>
        <w:gridCol w:w="2008"/>
        <w:gridCol w:w="1309"/>
        <w:gridCol w:w="1979"/>
      </w:tblGrid>
      <w:tr>
        <w:trPr>
          <w:trHeight w:val="267"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Times New Roman" w:hAnsi="Times New Roman" w:cs="Times New Roman" w:eastAsia="Times New Roman" w:hint="default"/>
                <w:sz w:val="18"/>
                <w:szCs w:val="18"/>
              </w:rPr>
            </w:pPr>
            <w:r>
              <w:rPr>
                <w:rFonts w:ascii="Times New Roman"/>
                <w:sz w:val="18"/>
              </w:rPr>
              <w:t>9,445,485.01</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Times New Roman" w:hAnsi="Times New Roman" w:cs="Times New Roman" w:eastAsia="Times New Roman" w:hint="default"/>
                <w:sz w:val="18"/>
                <w:szCs w:val="18"/>
              </w:rPr>
            </w:pPr>
            <w:r>
              <w:rPr>
                <w:rFonts w:ascii="Times New Roman"/>
                <w:sz w:val="18"/>
              </w:rPr>
              <w:t>4,653,494.02</w:t>
            </w:r>
          </w:p>
        </w:tc>
      </w:tr>
      <w:tr>
        <w:trPr>
          <w:trHeight w:val="339"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31,713,735.92</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10,515,725.67</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6,546,023.37</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4,228,281.86</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27,890,234.82</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16,112,311.41</w:t>
            </w:r>
          </w:p>
        </w:tc>
      </w:tr>
      <w:tr>
        <w:trPr>
          <w:trHeight w:val="33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43,100,019.13</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22,252,507.16</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82,440,902.64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68,026,481.12</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7,073,532.62</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7,078,544.31</w:t>
            </w:r>
          </w:p>
        </w:tc>
      </w:tr>
      <w:tr>
        <w:trPr>
          <w:trHeight w:val="34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317,143.23</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4,562,671.80</w:t>
            </w:r>
          </w:p>
        </w:tc>
      </w:tr>
      <w:tr>
        <w:trPr>
          <w:trHeight w:val="3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208,527,076.74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137,430,017.35</w:t>
            </w:r>
          </w:p>
        </w:tc>
      </w:tr>
    </w:tbl>
    <w:p>
      <w:pPr>
        <w:spacing w:line="240" w:lineRule="auto" w:before="2"/>
        <w:rPr>
          <w:rFonts w:ascii="宋体" w:hAnsi="宋体" w:cs="宋体" w:eastAsia="宋体" w:hint="default"/>
          <w:b/>
          <w:bCs/>
          <w:sz w:val="16"/>
          <w:szCs w:val="16"/>
        </w:rPr>
      </w:pPr>
    </w:p>
    <w:p>
      <w:pPr>
        <w:spacing w:before="44"/>
        <w:ind w:left="142" w:right="186" w:firstLine="0"/>
        <w:jc w:val="left"/>
        <w:rPr>
          <w:rFonts w:ascii="宋体" w:hAnsi="宋体" w:cs="宋体" w:eastAsia="宋体" w:hint="default"/>
          <w:sz w:val="18"/>
          <w:szCs w:val="18"/>
        </w:rPr>
      </w:pPr>
      <w:r>
        <w:rPr/>
        <w:pict>
          <v:group style="position:absolute;margin-left:423.910004pt;margin-top:45.951733pt;width:100.1pt;height:.1pt;mso-position-horizontal-relative:page;mso-position-vertical-relative:paragraph;z-index:-676240" coordorigin="8478,919" coordsize="2002,2">
            <v:shape style="position:absolute;left:8478;top:919;width:2002;height:2" coordorigin="8478,919" coordsize="2002,0" path="m8478,919l10480,919e" filled="false" stroked="true" strokeweight=".47998pt" strokecolor="#000000">
              <v:path arrowok="t"/>
            </v:shape>
            <w10:wrap type="none"/>
          </v:group>
        </w:pict>
      </w:r>
      <w:r>
        <w:rPr>
          <w:rFonts w:ascii="宋体" w:hAnsi="宋体" w:cs="宋体" w:eastAsia="宋体" w:hint="default"/>
          <w:b/>
          <w:bCs/>
          <w:sz w:val="18"/>
          <w:szCs w:val="18"/>
        </w:rPr>
        <w:t>（二十六）营业税金及附加</w:t>
      </w:r>
      <w:r>
        <w:rPr>
          <w:rFonts w:ascii="宋体" w:hAnsi="宋体" w:cs="宋体" w:eastAsia="宋体" w:hint="default"/>
          <w:sz w:val="18"/>
          <w:szCs w:val="18"/>
        </w:rPr>
      </w:r>
    </w:p>
    <w:p>
      <w:pPr>
        <w:spacing w:line="240" w:lineRule="auto" w:before="5"/>
        <w:rPr>
          <w:rFonts w:ascii="宋体" w:hAnsi="宋体" w:cs="宋体" w:eastAsia="宋体" w:hint="default"/>
          <w:b/>
          <w:bCs/>
          <w:sz w:val="29"/>
          <w:szCs w:val="29"/>
        </w:rPr>
      </w:pPr>
    </w:p>
    <w:tbl>
      <w:tblPr>
        <w:tblW w:w="0" w:type="auto"/>
        <w:jc w:val="left"/>
        <w:tblInd w:w="127" w:type="dxa"/>
        <w:tblLayout w:type="fixed"/>
        <w:tblCellMar>
          <w:top w:w="0" w:type="dxa"/>
          <w:left w:w="0" w:type="dxa"/>
          <w:bottom w:w="0" w:type="dxa"/>
          <w:right w:w="0" w:type="dxa"/>
        </w:tblCellMar>
        <w:tblLook w:val="01E0"/>
      </w:tblPr>
      <w:tblGrid>
        <w:gridCol w:w="2297"/>
        <w:gridCol w:w="1191"/>
        <w:gridCol w:w="2016"/>
        <w:gridCol w:w="1286"/>
        <w:gridCol w:w="783"/>
      </w:tblGrid>
      <w:tr>
        <w:trPr>
          <w:trHeight w:val="255" w:hRule="exact"/>
        </w:trPr>
        <w:tc>
          <w:tcPr>
            <w:tcW w:w="2297"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1191"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86"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180" w:lineRule="exact"/>
              <w:ind w:left="43" w:right="0"/>
              <w:jc w:val="left"/>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180" w:lineRule="exact"/>
        <w:jc w:val="left"/>
        <w:rPr>
          <w:rFonts w:ascii="宋体" w:hAnsi="宋体" w:cs="宋体" w:eastAsia="宋体" w:hint="default"/>
          <w:sz w:val="18"/>
          <w:szCs w:val="18"/>
        </w:rPr>
        <w:sectPr>
          <w:pgSz w:w="11910" w:h="16840"/>
          <w:pgMar w:header="877" w:footer="1226" w:top="1060" w:bottom="1420" w:left="1560" w:right="1300"/>
        </w:sectPr>
      </w:pPr>
    </w:p>
    <w:p>
      <w:pPr>
        <w:spacing w:line="240" w:lineRule="auto" w:before="0"/>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3517"/>
        <w:gridCol w:w="2002"/>
        <w:gridCol w:w="1294"/>
        <w:gridCol w:w="1863"/>
        <w:gridCol w:w="132"/>
      </w:tblGrid>
      <w:tr>
        <w:trPr>
          <w:trHeight w:val="351" w:hRule="exact"/>
        </w:trPr>
        <w:tc>
          <w:tcPr>
            <w:tcW w:w="3517"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2" w:type="dxa"/>
            <w:tcBorders>
              <w:top w:val="single" w:sz="15" w:space="0" w:color="000000"/>
              <w:left w:val="nil" w:sz="6" w:space="0" w:color="auto"/>
              <w:bottom w:val="nil" w:sz="6" w:space="0" w:color="auto"/>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484,423.30</w:t>
            </w:r>
          </w:p>
        </w:tc>
        <w:tc>
          <w:tcPr>
            <w:tcW w:w="1294" w:type="dxa"/>
            <w:tcBorders>
              <w:top w:val="single" w:sz="6" w:space="0" w:color="000000"/>
              <w:left w:val="nil" w:sz="6" w:space="0" w:color="auto"/>
              <w:bottom w:val="nil" w:sz="6" w:space="0" w:color="auto"/>
              <w:right w:val="nil" w:sz="6" w:space="0" w:color="auto"/>
            </w:tcBorders>
          </w:tcPr>
          <w:p>
            <w:pPr/>
          </w:p>
        </w:tc>
        <w:tc>
          <w:tcPr>
            <w:tcW w:w="1863"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left="36" w:right="0"/>
              <w:jc w:val="left"/>
              <w:rPr>
                <w:rFonts w:ascii="Times New Roman" w:hAnsi="Times New Roman" w:cs="Times New Roman" w:eastAsia="Times New Roman" w:hint="default"/>
                <w:sz w:val="18"/>
                <w:szCs w:val="18"/>
              </w:rPr>
            </w:pPr>
            <w:r>
              <w:rPr>
                <w:rFonts w:ascii="Times New Roman"/>
                <w:sz w:val="18"/>
              </w:rPr>
              <w:t>571,061.75</w:t>
            </w:r>
          </w:p>
        </w:tc>
        <w:tc>
          <w:tcPr>
            <w:tcW w:w="132" w:type="dxa"/>
            <w:tcBorders>
              <w:top w:val="nil" w:sz="6" w:space="0" w:color="auto"/>
              <w:left w:val="nil" w:sz="6" w:space="0" w:color="auto"/>
              <w:bottom w:val="nil" w:sz="6" w:space="0" w:color="auto"/>
              <w:right w:val="nil" w:sz="6" w:space="0" w:color="auto"/>
            </w:tcBorders>
          </w:tcPr>
          <w:p>
            <w:pPr/>
          </w:p>
        </w:tc>
      </w:tr>
      <w:tr>
        <w:trPr>
          <w:trHeight w:val="319"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485,895.67</w:t>
            </w:r>
          </w:p>
        </w:tc>
        <w:tc>
          <w:tcPr>
            <w:tcW w:w="129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6" w:right="0"/>
              <w:jc w:val="left"/>
              <w:rPr>
                <w:rFonts w:ascii="Times New Roman" w:hAnsi="Times New Roman" w:cs="Times New Roman" w:eastAsia="Times New Roman" w:hint="default"/>
                <w:sz w:val="18"/>
                <w:szCs w:val="18"/>
              </w:rPr>
            </w:pPr>
            <w:r>
              <w:rPr>
                <w:rFonts w:ascii="Times New Roman"/>
                <w:sz w:val="18"/>
              </w:rPr>
              <w:t>157,665.64</w:t>
            </w:r>
          </w:p>
        </w:tc>
        <w:tc>
          <w:tcPr>
            <w:tcW w:w="132" w:type="dxa"/>
            <w:tcBorders>
              <w:top w:val="nil" w:sz="6" w:space="0" w:color="auto"/>
              <w:left w:val="nil" w:sz="6" w:space="0" w:color="auto"/>
              <w:bottom w:val="nil" w:sz="6" w:space="0" w:color="auto"/>
              <w:right w:val="nil" w:sz="6" w:space="0" w:color="auto"/>
            </w:tcBorders>
          </w:tcPr>
          <w:p>
            <w:pPr/>
          </w:p>
        </w:tc>
      </w:tr>
      <w:tr>
        <w:trPr>
          <w:trHeight w:val="317"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617,609.83</w:t>
            </w:r>
          </w:p>
        </w:tc>
        <w:tc>
          <w:tcPr>
            <w:tcW w:w="129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472,996.92</w:t>
            </w:r>
          </w:p>
        </w:tc>
        <w:tc>
          <w:tcPr>
            <w:tcW w:w="132" w:type="dxa"/>
            <w:tcBorders>
              <w:top w:val="nil" w:sz="6" w:space="0" w:color="auto"/>
              <w:left w:val="nil" w:sz="6" w:space="0" w:color="auto"/>
              <w:bottom w:val="nil" w:sz="6" w:space="0" w:color="auto"/>
              <w:right w:val="nil" w:sz="6" w:space="0" w:color="auto"/>
            </w:tcBorders>
          </w:tcPr>
          <w:p>
            <w:pPr/>
          </w:p>
        </w:tc>
      </w:tr>
      <w:tr>
        <w:trPr>
          <w:trHeight w:val="324"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6.75</w:t>
            </w:r>
          </w:p>
        </w:tc>
        <w:tc>
          <w:tcPr>
            <w:tcW w:w="129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6" w:right="0"/>
              <w:jc w:val="left"/>
              <w:rPr>
                <w:rFonts w:ascii="Times New Roman" w:hAnsi="Times New Roman" w:cs="Times New Roman" w:eastAsia="Times New Roman" w:hint="default"/>
                <w:sz w:val="18"/>
                <w:szCs w:val="18"/>
              </w:rPr>
            </w:pPr>
            <w:r>
              <w:rPr>
                <w:rFonts w:ascii="Times New Roman"/>
                <w:sz w:val="18"/>
              </w:rPr>
              <w:t>---</w:t>
            </w:r>
          </w:p>
        </w:tc>
        <w:tc>
          <w:tcPr>
            <w:tcW w:w="132" w:type="dxa"/>
            <w:tcBorders>
              <w:top w:val="nil" w:sz="6" w:space="0" w:color="auto"/>
              <w:left w:val="nil" w:sz="6" w:space="0" w:color="auto"/>
              <w:bottom w:val="single" w:sz="4" w:space="0" w:color="000000"/>
              <w:right w:val="nil" w:sz="6" w:space="0" w:color="auto"/>
            </w:tcBorders>
          </w:tcPr>
          <w:p>
            <w:pPr/>
          </w:p>
        </w:tc>
      </w:tr>
      <w:tr>
        <w:trPr>
          <w:trHeight w:val="338"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28" w:right="0"/>
              <w:jc w:val="left"/>
              <w:rPr>
                <w:rFonts w:ascii="Times New Roman" w:hAnsi="Times New Roman" w:cs="Times New Roman" w:eastAsia="Times New Roman" w:hint="default"/>
                <w:sz w:val="18"/>
                <w:szCs w:val="18"/>
              </w:rPr>
            </w:pPr>
            <w:r>
              <w:rPr>
                <w:rFonts w:ascii="Times New Roman"/>
                <w:sz w:val="18"/>
              </w:rPr>
              <w:t>1,587,935.55</w:t>
            </w:r>
          </w:p>
        </w:tc>
        <w:tc>
          <w:tcPr>
            <w:tcW w:w="1294"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6" w:right="0"/>
              <w:jc w:val="left"/>
              <w:rPr>
                <w:rFonts w:ascii="Times New Roman" w:hAnsi="Times New Roman" w:cs="Times New Roman" w:eastAsia="Times New Roman" w:hint="default"/>
                <w:sz w:val="18"/>
                <w:szCs w:val="18"/>
              </w:rPr>
            </w:pPr>
            <w:r>
              <w:rPr>
                <w:rFonts w:ascii="Times New Roman"/>
                <w:sz w:val="18"/>
              </w:rPr>
              <w:t>1,201,724.31</w:t>
            </w:r>
          </w:p>
        </w:tc>
        <w:tc>
          <w:tcPr>
            <w:tcW w:w="132" w:type="dxa"/>
            <w:tcBorders>
              <w:top w:val="single" w:sz="4" w:space="0" w:color="000000"/>
              <w:left w:val="nil" w:sz="6" w:space="0" w:color="auto"/>
              <w:bottom w:val="single" w:sz="12" w:space="0" w:color="000000"/>
              <w:right w:val="nil" w:sz="6" w:space="0" w:color="auto"/>
            </w:tcBorders>
          </w:tcPr>
          <w:p>
            <w:pPr/>
          </w:p>
        </w:tc>
      </w:tr>
    </w:tbl>
    <w:p>
      <w:pPr>
        <w:spacing w:line="240" w:lineRule="auto" w:before="11"/>
        <w:rPr>
          <w:rFonts w:ascii="宋体" w:hAnsi="宋体" w:cs="宋体" w:eastAsia="宋体" w:hint="default"/>
          <w:b/>
          <w:bCs/>
          <w:sz w:val="15"/>
          <w:szCs w:val="15"/>
        </w:rPr>
      </w:pPr>
    </w:p>
    <w:p>
      <w:pPr>
        <w:spacing w:line="278" w:lineRule="auto" w:before="44"/>
        <w:ind w:left="142" w:right="5471" w:firstLine="0"/>
        <w:jc w:val="left"/>
        <w:rPr>
          <w:rFonts w:ascii="宋体" w:hAnsi="宋体" w:cs="宋体" w:eastAsia="宋体" w:hint="default"/>
          <w:sz w:val="18"/>
          <w:szCs w:val="18"/>
        </w:rPr>
      </w:pPr>
      <w:r>
        <w:rPr>
          <w:rFonts w:ascii="宋体" w:hAnsi="宋体" w:cs="宋体" w:eastAsia="宋体" w:hint="default"/>
          <w:b/>
          <w:bCs/>
          <w:sz w:val="18"/>
          <w:szCs w:val="18"/>
        </w:rPr>
        <w:t>（二十七）销售费用、管理费和、财务费用</w:t>
      </w:r>
      <w:r>
        <w:rPr>
          <w:rFonts w:ascii="宋体" w:hAnsi="宋体" w:cs="宋体" w:eastAsia="宋体" w:hint="default"/>
          <w:b/>
          <w:bCs/>
          <w:w w:val="99"/>
          <w:sz w:val="18"/>
          <w:szCs w:val="18"/>
        </w:rPr>
        <w:t> </w:t>
      </w:r>
      <w:r>
        <w:rPr>
          <w:rFonts w:ascii="宋体" w:hAnsi="宋体" w:cs="宋体" w:eastAsia="宋体" w:hint="default"/>
          <w:b/>
          <w:bCs/>
          <w:sz w:val="18"/>
          <w:szCs w:val="18"/>
        </w:rPr>
        <w:t>销售费用</w:t>
      </w:r>
      <w:r>
        <w:rPr>
          <w:rFonts w:ascii="宋体" w:hAnsi="宋体" w:cs="宋体" w:eastAsia="宋体" w:hint="default"/>
          <w:sz w:val="18"/>
          <w:szCs w:val="18"/>
        </w:rPr>
      </w:r>
    </w:p>
    <w:p>
      <w:pPr>
        <w:spacing w:line="240" w:lineRule="auto" w:before="1"/>
        <w:rPr>
          <w:rFonts w:ascii="宋体" w:hAnsi="宋体" w:cs="宋体" w:eastAsia="宋体" w:hint="default"/>
          <w:b/>
          <w:bCs/>
          <w:sz w:val="28"/>
          <w:szCs w:val="28"/>
        </w:rPr>
      </w:pPr>
    </w:p>
    <w:tbl>
      <w:tblPr>
        <w:tblW w:w="0" w:type="auto"/>
        <w:jc w:val="left"/>
        <w:tblInd w:w="142" w:type="dxa"/>
        <w:tblLayout w:type="fixed"/>
        <w:tblCellMar>
          <w:top w:w="0" w:type="dxa"/>
          <w:left w:w="0" w:type="dxa"/>
          <w:bottom w:w="0" w:type="dxa"/>
          <w:right w:w="0" w:type="dxa"/>
        </w:tblCellMar>
        <w:tblLook w:val="01E0"/>
      </w:tblPr>
      <w:tblGrid>
        <w:gridCol w:w="2283"/>
        <w:gridCol w:w="1213"/>
        <w:gridCol w:w="2008"/>
        <w:gridCol w:w="1309"/>
        <w:gridCol w:w="1979"/>
      </w:tblGrid>
      <w:tr>
        <w:trPr>
          <w:trHeight w:val="267"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6,814,025.36</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4,824,201.95</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3,154,573.85</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875,214.57</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4,255,048.08</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5,399,861.64</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2,476,368.05</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1,740,749.68</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3,886,427.64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2,065,439.53</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技术费维护费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6,424,839.10</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4,595,996.00</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1,462,072.79</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1,285,794.07</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1,298,146.47</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1,019,273.05</w:t>
            </w:r>
          </w:p>
        </w:tc>
      </w:tr>
      <w:tr>
        <w:trPr>
          <w:trHeight w:val="34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757,145.10</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82,428.16</w:t>
            </w:r>
          </w:p>
        </w:tc>
      </w:tr>
      <w:tr>
        <w:trPr>
          <w:trHeight w:val="3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30,528,646.44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21,888,958.65</w:t>
            </w:r>
          </w:p>
        </w:tc>
      </w:tr>
    </w:tbl>
    <w:p>
      <w:pPr>
        <w:spacing w:line="240" w:lineRule="auto" w:before="4"/>
        <w:rPr>
          <w:rFonts w:ascii="宋体" w:hAnsi="宋体" w:cs="宋体" w:eastAsia="宋体" w:hint="default"/>
          <w:b/>
          <w:bCs/>
          <w:sz w:val="16"/>
          <w:szCs w:val="16"/>
        </w:rPr>
      </w:pPr>
    </w:p>
    <w:p>
      <w:pPr>
        <w:spacing w:line="230" w:lineRule="exact" w:before="70"/>
        <w:ind w:left="142" w:right="2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本期销售费用较上期增加 </w:t>
      </w:r>
      <w:r>
        <w:rPr>
          <w:rFonts w:ascii="Times New Roman" w:hAnsi="Times New Roman" w:cs="Times New Roman" w:eastAsia="Times New Roman" w:hint="default"/>
          <w:sz w:val="18"/>
          <w:szCs w:val="18"/>
        </w:rPr>
        <w:t>8,639,687.79 </w:t>
      </w:r>
      <w:r>
        <w:rPr>
          <w:rFonts w:ascii="宋体" w:hAnsi="宋体" w:cs="宋体" w:eastAsia="宋体" w:hint="default"/>
          <w:sz w:val="18"/>
          <w:szCs w:val="18"/>
        </w:rPr>
        <w:t>元，增幅为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39.47%</w:t>
      </w:r>
      <w:r>
        <w:rPr>
          <w:rFonts w:ascii="宋体" w:hAnsi="宋体" w:cs="宋体" w:eastAsia="宋体" w:hint="default"/>
          <w:sz w:val="18"/>
          <w:szCs w:val="18"/>
        </w:rPr>
        <w:t>，增加的主要原因为本期销售收入增加导致技术维 护费、业务宣传费和工资、社保费用的增加。</w:t>
      </w:r>
    </w:p>
    <w:p>
      <w:pPr>
        <w:spacing w:line="240" w:lineRule="auto" w:before="3"/>
        <w:rPr>
          <w:rFonts w:ascii="宋体" w:hAnsi="宋体" w:cs="宋体" w:eastAsia="宋体" w:hint="default"/>
          <w:sz w:val="20"/>
          <w:szCs w:val="20"/>
        </w:rPr>
      </w:pPr>
    </w:p>
    <w:p>
      <w:pPr>
        <w:spacing w:before="0"/>
        <w:ind w:left="142" w:right="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．管理费用</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283"/>
        <w:gridCol w:w="1213"/>
        <w:gridCol w:w="2008"/>
        <w:gridCol w:w="1309"/>
        <w:gridCol w:w="1979"/>
      </w:tblGrid>
      <w:tr>
        <w:trPr>
          <w:trHeight w:val="270"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17,601,296.61</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14,255,435.93</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6,614,870.86</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4,586,748.77</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1,317,301.51</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699,964.86</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621,269.40</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269,719.82</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502,929.29</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512,079.57</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1,640,614.63</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881,826.75</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313,461.90</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sz w:val="18"/>
              </w:rPr>
              <w:t>1,200,177.50</w:t>
            </w:r>
          </w:p>
        </w:tc>
      </w:tr>
      <w:tr>
        <w:trPr>
          <w:trHeight w:val="34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2,684,852.35</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 w:right="0"/>
              <w:jc w:val="left"/>
              <w:rPr>
                <w:rFonts w:ascii="Times New Roman" w:hAnsi="Times New Roman" w:cs="Times New Roman" w:eastAsia="Times New Roman" w:hint="default"/>
                <w:sz w:val="18"/>
                <w:szCs w:val="18"/>
              </w:rPr>
            </w:pPr>
            <w:r>
              <w:rPr>
                <w:rFonts w:ascii="Times New Roman"/>
                <w:sz w:val="18"/>
              </w:rPr>
              <w:t>2,469,801.15</w:t>
            </w:r>
          </w:p>
        </w:tc>
      </w:tr>
      <w:tr>
        <w:trPr>
          <w:trHeight w:val="3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31,296,596.55</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sz w:val="18"/>
              </w:rPr>
              <w:t>24,875,754.35</w:t>
            </w:r>
          </w:p>
        </w:tc>
      </w:tr>
    </w:tbl>
    <w:p>
      <w:pPr>
        <w:spacing w:line="240" w:lineRule="auto" w:before="2"/>
        <w:rPr>
          <w:rFonts w:ascii="宋体" w:hAnsi="宋体" w:cs="宋体" w:eastAsia="宋体" w:hint="default"/>
          <w:b/>
          <w:bCs/>
          <w:sz w:val="16"/>
          <w:szCs w:val="16"/>
        </w:rPr>
      </w:pPr>
    </w:p>
    <w:p>
      <w:pPr>
        <w:spacing w:before="44"/>
        <w:ind w:left="1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本期管理费用较上期增加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6,420,842.20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元，增幅为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25.81%</w:t>
      </w:r>
      <w:r>
        <w:rPr>
          <w:rFonts w:ascii="宋体" w:hAnsi="宋体" w:cs="宋体" w:eastAsia="宋体" w:hint="default"/>
          <w:sz w:val="18"/>
          <w:szCs w:val="18"/>
        </w:rPr>
        <w:t>，增加的主要原因为研发费用和工资、社保的增加。</w:t>
      </w:r>
    </w:p>
    <w:p>
      <w:pPr>
        <w:spacing w:line="240" w:lineRule="auto" w:before="10"/>
        <w:rPr>
          <w:rFonts w:ascii="宋体" w:hAnsi="宋体" w:cs="宋体" w:eastAsia="宋体" w:hint="default"/>
          <w:sz w:val="20"/>
          <w:szCs w:val="20"/>
        </w:rPr>
      </w:pPr>
    </w:p>
    <w:p>
      <w:pPr>
        <w:spacing w:before="0"/>
        <w:ind w:left="142" w:right="30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．财务费用</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283"/>
        <w:gridCol w:w="1217"/>
        <w:gridCol w:w="2031"/>
        <w:gridCol w:w="1301"/>
        <w:gridCol w:w="1976"/>
      </w:tblGrid>
      <w:tr>
        <w:trPr>
          <w:trHeight w:val="267"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01"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17"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1" w:right="0"/>
              <w:jc w:val="left"/>
              <w:rPr>
                <w:rFonts w:ascii="Times New Roman" w:hAnsi="Times New Roman" w:cs="Times New Roman" w:eastAsia="Times New Roman" w:hint="default"/>
                <w:sz w:val="18"/>
                <w:szCs w:val="18"/>
              </w:rPr>
            </w:pPr>
            <w:r>
              <w:rPr>
                <w:rFonts w:ascii="Times New Roman"/>
                <w:sz w:val="18"/>
              </w:rPr>
              <w:t>---</w:t>
            </w:r>
          </w:p>
        </w:tc>
        <w:tc>
          <w:tcPr>
            <w:tcW w:w="1301" w:type="dxa"/>
            <w:tcBorders>
              <w:top w:val="nil" w:sz="6" w:space="0" w:color="auto"/>
              <w:left w:val="nil" w:sz="6" w:space="0" w:color="auto"/>
              <w:bottom w:val="nil" w:sz="6" w:space="0" w:color="auto"/>
              <w:right w:val="nil" w:sz="6" w:space="0" w:color="auto"/>
            </w:tcBorders>
          </w:tcPr>
          <w:p>
            <w:pPr/>
          </w:p>
        </w:tc>
        <w:tc>
          <w:tcPr>
            <w:tcW w:w="197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1" w:right="0"/>
              <w:jc w:val="left"/>
              <w:rPr>
                <w:rFonts w:ascii="Times New Roman" w:hAnsi="Times New Roman" w:cs="Times New Roman" w:eastAsia="Times New Roman" w:hint="default"/>
                <w:sz w:val="18"/>
                <w:szCs w:val="18"/>
              </w:rPr>
            </w:pPr>
            <w:r>
              <w:rPr>
                <w:rFonts w:ascii="Times New Roman"/>
                <w:sz w:val="18"/>
              </w:rPr>
              <w:t>104,265.27</w:t>
            </w:r>
          </w:p>
        </w:tc>
      </w:tr>
      <w:tr>
        <w:trPr>
          <w:trHeight w:val="26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121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3,214,027.12</w:t>
            </w:r>
          </w:p>
        </w:tc>
        <w:tc>
          <w:tcPr>
            <w:tcW w:w="1301"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545,786.17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128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3529"/>
        <w:gridCol w:w="2031"/>
        <w:gridCol w:w="1294"/>
        <w:gridCol w:w="1822"/>
        <w:gridCol w:w="161"/>
      </w:tblGrid>
      <w:tr>
        <w:trPr>
          <w:trHeight w:val="364" w:hRule="exact"/>
        </w:trPr>
        <w:tc>
          <w:tcPr>
            <w:tcW w:w="3529"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031"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31" w:right="0"/>
              <w:jc w:val="left"/>
              <w:rPr>
                <w:rFonts w:ascii="Times New Roman" w:hAnsi="Times New Roman" w:cs="Times New Roman" w:eastAsia="Times New Roman" w:hint="default"/>
                <w:sz w:val="18"/>
                <w:szCs w:val="18"/>
              </w:rPr>
            </w:pPr>
            <w:r>
              <w:rPr>
                <w:rFonts w:ascii="Times New Roman"/>
                <w:sz w:val="18"/>
              </w:rPr>
              <w:t>1,516.07</w:t>
            </w:r>
          </w:p>
        </w:tc>
        <w:tc>
          <w:tcPr>
            <w:tcW w:w="1294" w:type="dxa"/>
            <w:tcBorders>
              <w:top w:val="single" w:sz="6" w:space="0" w:color="000000"/>
              <w:left w:val="nil" w:sz="6" w:space="0" w:color="auto"/>
              <w:bottom w:val="nil" w:sz="6" w:space="0" w:color="auto"/>
              <w:right w:val="nil" w:sz="6" w:space="0" w:color="auto"/>
            </w:tcBorders>
          </w:tcPr>
          <w:p>
            <w:pPr/>
          </w:p>
        </w:tc>
        <w:tc>
          <w:tcPr>
            <w:tcW w:w="1822"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38" w:right="0"/>
              <w:jc w:val="left"/>
              <w:rPr>
                <w:rFonts w:ascii="Times New Roman" w:hAnsi="Times New Roman" w:cs="Times New Roman" w:eastAsia="Times New Roman" w:hint="default"/>
                <w:sz w:val="18"/>
                <w:szCs w:val="18"/>
              </w:rPr>
            </w:pPr>
            <w:r>
              <w:rPr>
                <w:rFonts w:ascii="Times New Roman"/>
                <w:sz w:val="18"/>
              </w:rPr>
              <w:t>---</w:t>
            </w:r>
          </w:p>
        </w:tc>
        <w:tc>
          <w:tcPr>
            <w:tcW w:w="161" w:type="dxa"/>
            <w:tcBorders>
              <w:top w:val="nil" w:sz="6" w:space="0" w:color="auto"/>
              <w:left w:val="nil" w:sz="6" w:space="0" w:color="auto"/>
              <w:bottom w:val="nil" w:sz="6" w:space="0" w:color="auto"/>
              <w:right w:val="nil" w:sz="6" w:space="0" w:color="auto"/>
            </w:tcBorders>
          </w:tcPr>
          <w:p>
            <w:pPr/>
          </w:p>
        </w:tc>
      </w:tr>
      <w:tr>
        <w:trPr>
          <w:trHeight w:val="344"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77,014.31</w:t>
            </w:r>
          </w:p>
        </w:tc>
        <w:tc>
          <w:tcPr>
            <w:tcW w:w="129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67,773.55</w:t>
            </w:r>
          </w:p>
        </w:tc>
        <w:tc>
          <w:tcPr>
            <w:tcW w:w="161" w:type="dxa"/>
            <w:tcBorders>
              <w:top w:val="nil" w:sz="6" w:space="0" w:color="auto"/>
              <w:left w:val="nil" w:sz="6" w:space="0" w:color="auto"/>
              <w:bottom w:val="single" w:sz="4" w:space="0" w:color="000000"/>
              <w:right w:val="nil" w:sz="6" w:space="0" w:color="auto"/>
            </w:tcBorders>
          </w:tcPr>
          <w:p>
            <w:pPr/>
          </w:p>
        </w:tc>
      </w:tr>
      <w:tr>
        <w:trPr>
          <w:trHeight w:val="360"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1" w:right="0"/>
              <w:jc w:val="left"/>
              <w:rPr>
                <w:rFonts w:ascii="Times New Roman" w:hAnsi="Times New Roman" w:cs="Times New Roman" w:eastAsia="Times New Roman" w:hint="default"/>
                <w:sz w:val="18"/>
                <w:szCs w:val="18"/>
              </w:rPr>
            </w:pPr>
            <w:r>
              <w:rPr>
                <w:rFonts w:ascii="Times New Roman"/>
                <w:sz w:val="18"/>
              </w:rPr>
              <w:t>(3,135,496.74)</w:t>
            </w:r>
          </w:p>
        </w:tc>
        <w:tc>
          <w:tcPr>
            <w:tcW w:w="1294"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(373,747.35)</w:t>
            </w:r>
          </w:p>
        </w:tc>
        <w:tc>
          <w:tcPr>
            <w:tcW w:w="161" w:type="dxa"/>
            <w:tcBorders>
              <w:top w:val="single" w:sz="4" w:space="0" w:color="000000"/>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b/>
          <w:bCs/>
          <w:sz w:val="16"/>
          <w:szCs w:val="16"/>
        </w:rPr>
      </w:pPr>
    </w:p>
    <w:p>
      <w:pPr>
        <w:spacing w:line="230" w:lineRule="exact" w:before="70"/>
        <w:ind w:left="142" w:right="5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本期财务费用较上期减少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2,761,749.39</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元，减幅为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738.93%</w:t>
      </w:r>
      <w:r>
        <w:rPr>
          <w:rFonts w:ascii="宋体" w:hAnsi="宋体" w:cs="宋体" w:eastAsia="宋体" w:hint="default"/>
          <w:sz w:val="18"/>
          <w:szCs w:val="18"/>
        </w:rPr>
        <w:t>，减少的主要原因为计提了本期募集资金的利息收 入。</w:t>
      </w:r>
    </w:p>
    <w:p>
      <w:pPr>
        <w:spacing w:line="240" w:lineRule="auto" w:before="3"/>
        <w:rPr>
          <w:rFonts w:ascii="宋体" w:hAnsi="宋体" w:cs="宋体" w:eastAsia="宋体" w:hint="default"/>
          <w:sz w:val="20"/>
          <w:szCs w:val="20"/>
        </w:rPr>
      </w:pPr>
    </w:p>
    <w:p>
      <w:pPr>
        <w:spacing w:before="0"/>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（二十八）资产减值损失</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254"/>
        <w:gridCol w:w="1227"/>
        <w:gridCol w:w="2024"/>
        <w:gridCol w:w="1294"/>
        <w:gridCol w:w="1980"/>
      </w:tblGrid>
      <w:tr>
        <w:trPr>
          <w:trHeight w:val="267"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2,355,962.93</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116,470.37</w:t>
            </w:r>
          </w:p>
        </w:tc>
      </w:tr>
      <w:tr>
        <w:trPr>
          <w:trHeight w:val="344"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2,355,962.93</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116,470.37</w:t>
            </w:r>
          </w:p>
        </w:tc>
      </w:tr>
    </w:tbl>
    <w:p>
      <w:pPr>
        <w:spacing w:line="240" w:lineRule="auto" w:before="2"/>
        <w:rPr>
          <w:rFonts w:ascii="宋体" w:hAnsi="宋体" w:cs="宋体" w:eastAsia="宋体" w:hint="default"/>
          <w:b/>
          <w:bCs/>
          <w:sz w:val="16"/>
          <w:szCs w:val="16"/>
        </w:rPr>
      </w:pPr>
    </w:p>
    <w:p>
      <w:pPr>
        <w:spacing w:before="44"/>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（二十九）投资收益</w:t>
      </w:r>
      <w:r>
        <w:rPr>
          <w:rFonts w:ascii="宋体" w:hAnsi="宋体" w:cs="宋体" w:eastAsia="宋体" w:hint="default"/>
          <w:sz w:val="18"/>
          <w:szCs w:val="18"/>
        </w:rPr>
      </w:r>
    </w:p>
    <w:p>
      <w:pPr>
        <w:spacing w:line="240" w:lineRule="auto" w:before="5"/>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156"/>
        <w:gridCol w:w="1325"/>
        <w:gridCol w:w="2093"/>
        <w:gridCol w:w="1115"/>
        <w:gridCol w:w="2090"/>
      </w:tblGrid>
      <w:tr>
        <w:trPr>
          <w:trHeight w:val="255" w:hRule="exact"/>
        </w:trPr>
        <w:tc>
          <w:tcPr>
            <w:tcW w:w="215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2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115"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19" w:hRule="exact"/>
        </w:trPr>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1325"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
        </w:tc>
      </w:tr>
      <w:tr>
        <w:trPr>
          <w:trHeight w:val="557"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28" w:right="15"/>
              <w:jc w:val="left"/>
              <w:rPr>
                <w:rFonts w:ascii="宋体" w:hAnsi="宋体" w:cs="宋体" w:eastAsia="宋体" w:hint="default"/>
                <w:sz w:val="18"/>
                <w:szCs w:val="18"/>
              </w:rPr>
            </w:pPr>
            <w:r>
              <w:rPr>
                <w:rFonts w:ascii="宋体" w:hAnsi="宋体" w:cs="宋体" w:eastAsia="宋体" w:hint="default"/>
                <w:spacing w:val="11"/>
                <w:sz w:val="18"/>
                <w:szCs w:val="18"/>
              </w:rPr>
              <w:t>期末调整的被投资公司所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有者权益净增减额</w:t>
            </w:r>
          </w:p>
        </w:tc>
        <w:tc>
          <w:tcPr>
            <w:tcW w:w="132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590,335.95</w:t>
            </w:r>
          </w:p>
        </w:tc>
        <w:tc>
          <w:tcPr>
            <w:tcW w:w="1115"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533,702.28</w:t>
            </w:r>
          </w:p>
        </w:tc>
      </w:tr>
      <w:tr>
        <w:trPr>
          <w:trHeight w:val="338"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6" w:right="0"/>
              <w:jc w:val="left"/>
              <w:rPr>
                <w:rFonts w:ascii="Times New Roman" w:hAnsi="Times New Roman" w:cs="Times New Roman" w:eastAsia="Times New Roman" w:hint="default"/>
                <w:sz w:val="18"/>
                <w:szCs w:val="18"/>
              </w:rPr>
            </w:pPr>
            <w:r>
              <w:rPr>
                <w:rFonts w:ascii="Times New Roman"/>
                <w:sz w:val="18"/>
              </w:rPr>
              <w:t>590,335.95</w:t>
            </w:r>
          </w:p>
        </w:tc>
        <w:tc>
          <w:tcPr>
            <w:tcW w:w="1115"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2" w:right="0"/>
              <w:jc w:val="left"/>
              <w:rPr>
                <w:rFonts w:ascii="Times New Roman" w:hAnsi="Times New Roman" w:cs="Times New Roman" w:eastAsia="Times New Roman" w:hint="default"/>
                <w:sz w:val="18"/>
                <w:szCs w:val="18"/>
              </w:rPr>
            </w:pPr>
            <w:r>
              <w:rPr>
                <w:rFonts w:ascii="Times New Roman"/>
                <w:sz w:val="18"/>
              </w:rPr>
              <w:t>533,702.28</w:t>
            </w:r>
          </w:p>
        </w:tc>
      </w:tr>
    </w:tbl>
    <w:p>
      <w:pPr>
        <w:spacing w:before="8"/>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（三十）营业外收入</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170"/>
        <w:gridCol w:w="519"/>
        <w:gridCol w:w="1706"/>
        <w:gridCol w:w="843"/>
        <w:gridCol w:w="1709"/>
        <w:gridCol w:w="560"/>
        <w:gridCol w:w="1579"/>
      </w:tblGrid>
      <w:tr>
        <w:trPr>
          <w:trHeight w:val="488" w:hRule="exact"/>
        </w:trPr>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179" w:lineRule="exact"/>
              <w:ind w:left="38" w:right="0"/>
              <w:jc w:val="left"/>
              <w:rPr>
                <w:rFonts w:ascii="宋体" w:hAnsi="宋体" w:cs="宋体" w:eastAsia="宋体" w:hint="default"/>
                <w:sz w:val="18"/>
                <w:szCs w:val="18"/>
              </w:rPr>
            </w:pPr>
            <w:r>
              <w:rPr>
                <w:rFonts w:ascii="宋体" w:hAnsi="宋体" w:cs="宋体" w:eastAsia="宋体" w:hint="default"/>
                <w:spacing w:val="8"/>
                <w:sz w:val="18"/>
                <w:szCs w:val="18"/>
              </w:rPr>
              <w:t>计入当期非经常性</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402" w:hRule="exact"/>
        </w:trPr>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8" w:right="0"/>
              <w:jc w:val="left"/>
              <w:rPr>
                <w:rFonts w:ascii="Times New Roman" w:hAnsi="Times New Roman" w:cs="Times New Roman" w:eastAsia="Times New Roman" w:hint="default"/>
                <w:sz w:val="18"/>
                <w:szCs w:val="18"/>
              </w:rPr>
            </w:pPr>
            <w:r>
              <w:rPr>
                <w:rFonts w:ascii="Times New Roman"/>
                <w:sz w:val="18"/>
              </w:rPr>
              <w:t>---</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left"/>
              <w:rPr>
                <w:rFonts w:ascii="Times New Roman" w:hAnsi="Times New Roman" w:cs="Times New Roman" w:eastAsia="Times New Roman" w:hint="default"/>
                <w:sz w:val="18"/>
                <w:szCs w:val="18"/>
              </w:rPr>
            </w:pPr>
            <w:r>
              <w:rPr>
                <w:rFonts w:ascii="Times New Roman"/>
                <w:sz w:val="18"/>
              </w:rPr>
              <w:t>---</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Times New Roman" w:hAnsi="Times New Roman" w:cs="Times New Roman" w:eastAsia="Times New Roman" w:hint="default"/>
                <w:sz w:val="18"/>
                <w:szCs w:val="18"/>
              </w:rPr>
            </w:pPr>
            <w:r>
              <w:rPr>
                <w:rFonts w:ascii="Times New Roman"/>
                <w:sz w:val="18"/>
              </w:rPr>
              <w:t>2,841,700.00</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 w:right="0"/>
              <w:jc w:val="left"/>
              <w:rPr>
                <w:rFonts w:ascii="Times New Roman" w:hAnsi="Times New Roman" w:cs="Times New Roman" w:eastAsia="Times New Roman" w:hint="default"/>
                <w:sz w:val="18"/>
                <w:szCs w:val="18"/>
              </w:rPr>
            </w:pPr>
            <w:r>
              <w:rPr>
                <w:rFonts w:ascii="Times New Roman"/>
                <w:sz w:val="18"/>
              </w:rPr>
              <w:t>3,096,678.15</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 w:right="0"/>
              <w:jc w:val="left"/>
              <w:rPr>
                <w:rFonts w:ascii="Times New Roman" w:hAnsi="Times New Roman" w:cs="Times New Roman" w:eastAsia="Times New Roman" w:hint="default"/>
                <w:sz w:val="18"/>
                <w:szCs w:val="18"/>
              </w:rPr>
            </w:pPr>
            <w:r>
              <w:rPr>
                <w:rFonts w:ascii="Times New Roman"/>
                <w:sz w:val="18"/>
              </w:rPr>
              <w:t>2,841,700.00</w:t>
            </w:r>
          </w:p>
        </w:tc>
      </w:tr>
      <w:tr>
        <w:trPr>
          <w:trHeight w:val="39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Times New Roman" w:hAnsi="Times New Roman" w:cs="Times New Roman" w:eastAsia="Times New Roman" w:hint="default"/>
                <w:sz w:val="18"/>
                <w:szCs w:val="18"/>
              </w:rPr>
            </w:pPr>
            <w:r>
              <w:rPr>
                <w:rFonts w:ascii="Times New Roman"/>
                <w:sz w:val="18"/>
              </w:rPr>
              <w:t>8,275,568.46</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left"/>
              <w:rPr>
                <w:rFonts w:ascii="Times New Roman" w:hAnsi="Times New Roman" w:cs="Times New Roman" w:eastAsia="Times New Roman" w:hint="default"/>
                <w:sz w:val="18"/>
                <w:szCs w:val="18"/>
              </w:rPr>
            </w:pPr>
            <w:r>
              <w:rPr>
                <w:rFonts w:ascii="Times New Roman"/>
                <w:sz w:val="18"/>
              </w:rPr>
              <w:t>8,729,571.44</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6" w:right="0"/>
              <w:jc w:val="left"/>
              <w:rPr>
                <w:rFonts w:ascii="Times New Roman" w:hAnsi="Times New Roman" w:cs="Times New Roman" w:eastAsia="Times New Roman" w:hint="default"/>
                <w:sz w:val="18"/>
                <w:szCs w:val="18"/>
              </w:rPr>
            </w:pPr>
            <w:r>
              <w:rPr>
                <w:rFonts w:ascii="Times New Roman"/>
                <w:sz w:val="18"/>
              </w:rPr>
              <w:t>36,226.46</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8" w:right="0"/>
              <w:jc w:val="left"/>
              <w:rPr>
                <w:rFonts w:ascii="Times New Roman" w:hAnsi="Times New Roman" w:cs="Times New Roman" w:eastAsia="Times New Roman" w:hint="default"/>
                <w:sz w:val="18"/>
                <w:szCs w:val="18"/>
              </w:rPr>
            </w:pPr>
            <w:r>
              <w:rPr>
                <w:rFonts w:ascii="Times New Roman"/>
                <w:sz w:val="18"/>
              </w:rPr>
              <w:t>1,456.02</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8" w:right="0"/>
              <w:jc w:val="left"/>
              <w:rPr>
                <w:rFonts w:ascii="Times New Roman" w:hAnsi="Times New Roman" w:cs="Times New Roman" w:eastAsia="Times New Roman" w:hint="default"/>
                <w:sz w:val="18"/>
                <w:szCs w:val="18"/>
              </w:rPr>
            </w:pPr>
            <w:r>
              <w:rPr>
                <w:rFonts w:ascii="Times New Roman"/>
                <w:sz w:val="18"/>
              </w:rPr>
              <w:t>36,226.46</w:t>
            </w:r>
          </w:p>
        </w:tc>
      </w:tr>
      <w:tr>
        <w:trPr>
          <w:trHeight w:val="42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9"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11,153,494.92</w:t>
            </w:r>
          </w:p>
        </w:tc>
        <w:tc>
          <w:tcPr>
            <w:tcW w:w="843"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11,827,705.61</w:t>
            </w:r>
          </w:p>
        </w:tc>
        <w:tc>
          <w:tcPr>
            <w:tcW w:w="56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2,877,926.46</w:t>
            </w:r>
          </w:p>
        </w:tc>
      </w:tr>
    </w:tbl>
    <w:p>
      <w:pPr>
        <w:spacing w:line="240" w:lineRule="auto" w:before="13"/>
        <w:rPr>
          <w:rFonts w:ascii="宋体" w:hAnsi="宋体" w:cs="宋体" w:eastAsia="宋体" w:hint="default"/>
          <w:b/>
          <w:bCs/>
          <w:sz w:val="15"/>
          <w:szCs w:val="15"/>
        </w:rPr>
      </w:pPr>
    </w:p>
    <w:p>
      <w:pPr>
        <w:spacing w:before="44"/>
        <w:ind w:left="142" w:right="5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．税收返还为本公司收到的销售</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POS</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机软件即征即退的增值税。</w:t>
      </w:r>
      <w:r>
        <w:rPr>
          <w:rFonts w:ascii="宋体" w:hAnsi="宋体" w:cs="宋体" w:eastAsia="宋体" w:hint="default"/>
          <w:sz w:val="18"/>
          <w:szCs w:val="18"/>
        </w:rPr>
      </w:r>
    </w:p>
    <w:p>
      <w:pPr>
        <w:spacing w:before="24"/>
        <w:ind w:left="142" w:right="5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．政府补助主要系：</w:t>
      </w:r>
      <w:r>
        <w:rPr>
          <w:rFonts w:ascii="宋体" w:hAnsi="宋体" w:cs="宋体" w:eastAsia="宋体" w:hint="default"/>
          <w:sz w:val="18"/>
          <w:szCs w:val="18"/>
        </w:rPr>
      </w:r>
    </w:p>
    <w:p>
      <w:pPr>
        <w:spacing w:before="24"/>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）本公司收到深圳市福田区总商会优秀互联网企业奖励资金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exact" w:before="27"/>
        <w:ind w:left="142" w:right="0" w:firstLine="0"/>
        <w:jc w:val="left"/>
        <w:rPr>
          <w:rFonts w:ascii="Times New Roman" w:hAnsi="Times New Roman" w:cs="Times New Roman" w:eastAsia="Times New Roman" w:hint="default"/>
          <w:sz w:val="18"/>
          <w:szCs w:val="18"/>
        </w:rPr>
      </w:pPr>
      <w:r>
        <w:rPr>
          <w:rFonts w:ascii="宋体" w:hAnsi="宋体" w:cs="宋体" w:eastAsia="宋体" w:hint="default"/>
          <w:b/>
          <w:bCs/>
          <w:spacing w:val="-5"/>
          <w:sz w:val="18"/>
          <w:szCs w:val="18"/>
        </w:rPr>
        <w:t>（</w:t>
      </w:r>
      <w:r>
        <w:rPr>
          <w:rFonts w:ascii="Times New Roman" w:hAnsi="Times New Roman" w:cs="Times New Roman" w:eastAsia="Times New Roman" w:hint="default"/>
          <w:b/>
          <w:bCs/>
          <w:spacing w:val="-5"/>
          <w:sz w:val="18"/>
          <w:szCs w:val="18"/>
        </w:rPr>
        <w:t>2</w:t>
      </w:r>
      <w:r>
        <w:rPr>
          <w:rFonts w:ascii="宋体" w:hAnsi="宋体" w:cs="宋体" w:eastAsia="宋体" w:hint="default"/>
          <w:b/>
          <w:bCs/>
          <w:spacing w:val="-5"/>
          <w:sz w:val="18"/>
          <w:szCs w:val="18"/>
        </w:rPr>
        <w:t>）</w:t>
      </w:r>
      <w:r>
        <w:rPr>
          <w:rFonts w:ascii="Times New Roman" w:hAnsi="Times New Roman" w:cs="Times New Roman" w:eastAsia="Times New Roman" w:hint="default"/>
          <w:b/>
          <w:bCs/>
          <w:spacing w:val="-5"/>
          <w:sz w:val="18"/>
          <w:szCs w:val="18"/>
        </w:rPr>
        <w:t>2010</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月，本公司收到深圳市福田区科学技术局</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年区科技发展资金重点资助项目新国都</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PC</w:t>
      </w:r>
      <w:r>
        <w:rPr>
          <w:rFonts w:ascii="Times New Roman" w:hAnsi="Times New Roman" w:cs="Times New Roman" w:eastAsia="Times New Roman" w:hint="default"/>
          <w:b/>
          <w:bCs/>
          <w:spacing w:val="-5"/>
          <w:sz w:val="18"/>
          <w:szCs w:val="18"/>
        </w:rPr>
        <w:t> </w:t>
      </w:r>
      <w:r>
        <w:rPr>
          <w:rFonts w:ascii="Times New Roman" w:hAnsi="Times New Roman" w:cs="Times New Roman" w:eastAsia="Times New Roman" w:hint="default"/>
          <w:b/>
          <w:bCs/>
          <w:sz w:val="18"/>
          <w:szCs w:val="18"/>
        </w:rPr>
        <w:t>POS</w:t>
      </w:r>
      <w:r>
        <w:rPr>
          <w:rFonts w:ascii="Times New Roman" w:hAnsi="Times New Roman" w:cs="Times New Roman" w:eastAsia="Times New Roman" w:hint="default"/>
          <w:sz w:val="18"/>
          <w:szCs w:val="18"/>
        </w:rPr>
      </w:r>
    </w:p>
    <w:p>
      <w:pPr>
        <w:spacing w:line="240" w:lineRule="exact" w:before="0"/>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个人网上支付系统项目资助资金</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1,000,000.00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before="24"/>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）本公司收到福田区经济发展资金扶持总部经济资助款</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21,700.00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before="24"/>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）本公司收到福田区经济发展资金扶持上市资助款</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1,000,000.00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before="24"/>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）本公司收到深圳市民营及中小企业发展专项资金企业改制上市培育资助经费</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800,000.00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before="0"/>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（三十一）营业外支出</w:t>
      </w:r>
      <w:r>
        <w:rPr>
          <w:rFonts w:ascii="宋体" w:hAnsi="宋体" w:cs="宋体" w:eastAsia="宋体" w:hint="default"/>
          <w:sz w:val="18"/>
          <w:szCs w:val="18"/>
        </w:rPr>
      </w:r>
    </w:p>
    <w:p>
      <w:pPr>
        <w:spacing w:line="240" w:lineRule="auto" w:before="3"/>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1891"/>
        <w:gridCol w:w="677"/>
        <w:gridCol w:w="1702"/>
        <w:gridCol w:w="708"/>
        <w:gridCol w:w="1685"/>
        <w:gridCol w:w="853"/>
        <w:gridCol w:w="1543"/>
      </w:tblGrid>
      <w:tr>
        <w:trPr>
          <w:trHeight w:val="486"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7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70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853"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179" w:lineRule="exact"/>
              <w:ind w:left="28" w:right="0"/>
              <w:jc w:val="left"/>
              <w:rPr>
                <w:rFonts w:ascii="宋体" w:hAnsi="宋体" w:cs="宋体" w:eastAsia="宋体" w:hint="default"/>
                <w:sz w:val="18"/>
                <w:szCs w:val="18"/>
              </w:rPr>
            </w:pPr>
            <w:r>
              <w:rPr>
                <w:rFonts w:ascii="宋体" w:hAnsi="宋体" w:cs="宋体" w:eastAsia="宋体" w:hint="default"/>
                <w:spacing w:val="5"/>
                <w:sz w:val="18"/>
                <w:szCs w:val="18"/>
              </w:rPr>
              <w:t>计入当期非经常性</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270"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67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1" w:right="0"/>
              <w:jc w:val="left"/>
              <w:rPr>
                <w:rFonts w:ascii="Times New Roman" w:hAnsi="Times New Roman" w:cs="Times New Roman" w:eastAsia="Times New Roman" w:hint="default"/>
                <w:sz w:val="18"/>
                <w:szCs w:val="18"/>
              </w:rPr>
            </w:pPr>
            <w:r>
              <w:rPr>
                <w:rFonts w:ascii="Times New Roman"/>
                <w:sz w:val="18"/>
              </w:rPr>
              <w:t>20,000.00</w:t>
            </w:r>
          </w:p>
        </w:tc>
        <w:tc>
          <w:tcPr>
            <w:tcW w:w="708"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20,000.00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100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597"/>
        <w:gridCol w:w="1702"/>
        <w:gridCol w:w="701"/>
        <w:gridCol w:w="1692"/>
        <w:gridCol w:w="845"/>
        <w:gridCol w:w="1137"/>
        <w:gridCol w:w="413"/>
      </w:tblGrid>
      <w:tr>
        <w:trPr>
          <w:trHeight w:val="364" w:hRule="exact"/>
        </w:trPr>
        <w:tc>
          <w:tcPr>
            <w:tcW w:w="2597"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702"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31" w:right="0"/>
              <w:jc w:val="left"/>
              <w:rPr>
                <w:rFonts w:ascii="Times New Roman" w:hAnsi="Times New Roman" w:cs="Times New Roman" w:eastAsia="Times New Roman" w:hint="default"/>
                <w:sz w:val="18"/>
                <w:szCs w:val="18"/>
              </w:rPr>
            </w:pPr>
            <w:r>
              <w:rPr>
                <w:rFonts w:ascii="Times New Roman"/>
                <w:sz w:val="18"/>
              </w:rPr>
              <w:t>---</w:t>
            </w:r>
          </w:p>
        </w:tc>
        <w:tc>
          <w:tcPr>
            <w:tcW w:w="701" w:type="dxa"/>
            <w:tcBorders>
              <w:top w:val="single" w:sz="6" w:space="0" w:color="000000"/>
              <w:left w:val="nil" w:sz="6" w:space="0" w:color="auto"/>
              <w:bottom w:val="nil" w:sz="6" w:space="0" w:color="auto"/>
              <w:right w:val="nil" w:sz="6" w:space="0" w:color="auto"/>
            </w:tcBorders>
          </w:tcPr>
          <w:p>
            <w:pPr/>
          </w:p>
        </w:tc>
        <w:tc>
          <w:tcPr>
            <w:tcW w:w="1692"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36" w:right="0"/>
              <w:jc w:val="left"/>
              <w:rPr>
                <w:rFonts w:ascii="Times New Roman" w:hAnsi="Times New Roman" w:cs="Times New Roman" w:eastAsia="Times New Roman" w:hint="default"/>
                <w:sz w:val="18"/>
                <w:szCs w:val="18"/>
              </w:rPr>
            </w:pPr>
            <w:r>
              <w:rPr>
                <w:rFonts w:ascii="Times New Roman"/>
                <w:sz w:val="18"/>
              </w:rPr>
              <w:t>5,000.00</w:t>
            </w:r>
          </w:p>
        </w:tc>
        <w:tc>
          <w:tcPr>
            <w:tcW w:w="845" w:type="dxa"/>
            <w:tcBorders>
              <w:top w:val="single" w:sz="6" w:space="0" w:color="000000"/>
              <w:left w:val="nil" w:sz="6" w:space="0" w:color="auto"/>
              <w:bottom w:val="nil" w:sz="6" w:space="0" w:color="auto"/>
              <w:right w:val="nil" w:sz="6" w:space="0" w:color="auto"/>
            </w:tcBorders>
          </w:tcPr>
          <w:p>
            <w:pPr/>
          </w:p>
        </w:tc>
        <w:tc>
          <w:tcPr>
            <w:tcW w:w="1137"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36" w:right="0"/>
              <w:jc w:val="left"/>
              <w:rPr>
                <w:rFonts w:ascii="Times New Roman" w:hAnsi="Times New Roman" w:cs="Times New Roman" w:eastAsia="Times New Roman" w:hint="default"/>
                <w:sz w:val="18"/>
                <w:szCs w:val="18"/>
              </w:rPr>
            </w:pPr>
            <w:r>
              <w:rPr>
                <w:rFonts w:ascii="Times New Roman"/>
                <w:sz w:val="18"/>
              </w:rPr>
              <w:t>---</w:t>
            </w:r>
          </w:p>
        </w:tc>
        <w:tc>
          <w:tcPr>
            <w:tcW w:w="413" w:type="dxa"/>
            <w:tcBorders>
              <w:top w:val="nil" w:sz="6" w:space="0" w:color="auto"/>
              <w:left w:val="nil" w:sz="6" w:space="0" w:color="auto"/>
              <w:bottom w:val="nil" w:sz="6" w:space="0" w:color="auto"/>
              <w:right w:val="nil" w:sz="6" w:space="0" w:color="auto"/>
            </w:tcBorders>
          </w:tcPr>
          <w:p>
            <w:pPr/>
          </w:p>
        </w:tc>
      </w:tr>
      <w:tr>
        <w:trPr>
          <w:trHeight w:val="339"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14,514.67</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c>
          <w:tcPr>
            <w:tcW w:w="84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14,514.67</w:t>
            </w:r>
          </w:p>
        </w:tc>
        <w:tc>
          <w:tcPr>
            <w:tcW w:w="413" w:type="dxa"/>
            <w:tcBorders>
              <w:top w:val="nil" w:sz="6" w:space="0" w:color="auto"/>
              <w:left w:val="nil" w:sz="6" w:space="0" w:color="auto"/>
              <w:bottom w:val="nil" w:sz="6" w:space="0" w:color="auto"/>
              <w:right w:val="nil" w:sz="6" w:space="0" w:color="auto"/>
            </w:tcBorders>
          </w:tcPr>
          <w:p>
            <w:pPr/>
          </w:p>
        </w:tc>
      </w:tr>
      <w:tr>
        <w:trPr>
          <w:trHeight w:val="34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1" w:right="0"/>
              <w:jc w:val="left"/>
              <w:rPr>
                <w:rFonts w:ascii="Times New Roman" w:hAnsi="Times New Roman" w:cs="Times New Roman" w:eastAsia="Times New Roman" w:hint="default"/>
                <w:sz w:val="18"/>
                <w:szCs w:val="18"/>
              </w:rPr>
            </w:pPr>
            <w:r>
              <w:rPr>
                <w:rFonts w:ascii="Times New Roman"/>
                <w:sz w:val="18"/>
              </w:rPr>
              <w:t>400.00</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115,605.08</w:t>
            </w:r>
          </w:p>
        </w:tc>
        <w:tc>
          <w:tcPr>
            <w:tcW w:w="84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400.00</w:t>
            </w:r>
          </w:p>
        </w:tc>
        <w:tc>
          <w:tcPr>
            <w:tcW w:w="413" w:type="dxa"/>
            <w:tcBorders>
              <w:top w:val="nil" w:sz="6" w:space="0" w:color="auto"/>
              <w:left w:val="nil" w:sz="6" w:space="0" w:color="auto"/>
              <w:bottom w:val="single" w:sz="4" w:space="0" w:color="000000"/>
              <w:right w:val="nil" w:sz="6" w:space="0" w:color="auto"/>
            </w:tcBorders>
          </w:tcPr>
          <w:p>
            <w:pPr/>
          </w:p>
        </w:tc>
      </w:tr>
      <w:tr>
        <w:trPr>
          <w:trHeight w:val="36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1" w:right="0"/>
              <w:jc w:val="left"/>
              <w:rPr>
                <w:rFonts w:ascii="Times New Roman" w:hAnsi="Times New Roman" w:cs="Times New Roman" w:eastAsia="Times New Roman" w:hint="default"/>
                <w:sz w:val="18"/>
                <w:szCs w:val="18"/>
              </w:rPr>
            </w:pPr>
            <w:r>
              <w:rPr>
                <w:rFonts w:ascii="Times New Roman"/>
                <w:sz w:val="18"/>
              </w:rPr>
              <w:t>34,914.67</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120,605.08</w:t>
            </w:r>
          </w:p>
        </w:tc>
        <w:tc>
          <w:tcPr>
            <w:tcW w:w="845" w:type="dxa"/>
            <w:tcBorders>
              <w:top w:val="nil" w:sz="6" w:space="0" w:color="auto"/>
              <w:left w:val="nil" w:sz="6" w:space="0" w:color="auto"/>
              <w:bottom w:val="nil" w:sz="6" w:space="0" w:color="auto"/>
              <w:right w:val="nil" w:sz="6" w:space="0" w:color="auto"/>
            </w:tcBorders>
          </w:tcPr>
          <w:p>
            <w:pPr/>
          </w:p>
        </w:tc>
        <w:tc>
          <w:tcPr>
            <w:tcW w:w="1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34,914.67</w:t>
            </w:r>
          </w:p>
        </w:tc>
        <w:tc>
          <w:tcPr>
            <w:tcW w:w="413" w:type="dxa"/>
            <w:tcBorders>
              <w:top w:val="single" w:sz="4" w:space="0" w:color="000000"/>
              <w:left w:val="nil" w:sz="6" w:space="0" w:color="auto"/>
              <w:bottom w:val="single" w:sz="12" w:space="0" w:color="000000"/>
              <w:right w:val="nil" w:sz="6" w:space="0" w:color="auto"/>
            </w:tcBorders>
          </w:tcPr>
          <w:p>
            <w:pPr/>
          </w:p>
        </w:tc>
      </w:tr>
    </w:tbl>
    <w:p>
      <w:pPr>
        <w:spacing w:line="240" w:lineRule="auto" w:before="12"/>
        <w:rPr>
          <w:rFonts w:ascii="宋体" w:hAnsi="宋体" w:cs="宋体" w:eastAsia="宋体" w:hint="default"/>
          <w:b/>
          <w:bCs/>
          <w:sz w:val="15"/>
          <w:szCs w:val="15"/>
        </w:rPr>
      </w:pPr>
    </w:p>
    <w:p>
      <w:pPr>
        <w:spacing w:before="44"/>
        <w:ind w:left="142" w:right="340" w:firstLine="0"/>
        <w:jc w:val="left"/>
        <w:rPr>
          <w:rFonts w:ascii="宋体" w:hAnsi="宋体" w:cs="宋体" w:eastAsia="宋体" w:hint="default"/>
          <w:sz w:val="18"/>
          <w:szCs w:val="18"/>
        </w:rPr>
      </w:pPr>
      <w:r>
        <w:rPr>
          <w:rFonts w:ascii="宋体" w:hAnsi="宋体" w:cs="宋体" w:eastAsia="宋体" w:hint="default"/>
          <w:b/>
          <w:bCs/>
          <w:sz w:val="18"/>
          <w:szCs w:val="18"/>
        </w:rPr>
        <w:t>（三十二）所得税费用</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142" w:right="3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所得税费用的组成</w:t>
      </w:r>
      <w:r>
        <w:rPr>
          <w:rFonts w:ascii="宋体" w:hAnsi="宋体" w:cs="宋体" w:eastAsia="宋体" w:hint="default"/>
          <w:sz w:val="18"/>
          <w:szCs w:val="18"/>
        </w:rPr>
      </w:r>
    </w:p>
    <w:p>
      <w:pPr>
        <w:spacing w:line="240" w:lineRule="auto" w:before="4"/>
        <w:rPr>
          <w:rFonts w:ascii="宋体" w:hAnsi="宋体" w:cs="宋体" w:eastAsia="宋体" w:hint="default"/>
          <w:b/>
          <w:bCs/>
          <w:sz w:val="28"/>
          <w:szCs w:val="28"/>
        </w:rPr>
      </w:pPr>
    </w:p>
    <w:tbl>
      <w:tblPr>
        <w:tblW w:w="0" w:type="auto"/>
        <w:jc w:val="left"/>
        <w:tblInd w:w="110" w:type="dxa"/>
        <w:tblLayout w:type="fixed"/>
        <w:tblCellMar>
          <w:top w:w="0" w:type="dxa"/>
          <w:left w:w="0" w:type="dxa"/>
          <w:bottom w:w="0" w:type="dxa"/>
          <w:right w:w="0" w:type="dxa"/>
        </w:tblCellMar>
        <w:tblLook w:val="01E0"/>
      </w:tblPr>
      <w:tblGrid>
        <w:gridCol w:w="2187"/>
        <w:gridCol w:w="1341"/>
        <w:gridCol w:w="2104"/>
        <w:gridCol w:w="1056"/>
        <w:gridCol w:w="2122"/>
      </w:tblGrid>
      <w:tr>
        <w:trPr>
          <w:trHeight w:val="258" w:hRule="exact"/>
        </w:trPr>
        <w:tc>
          <w:tcPr>
            <w:tcW w:w="2187"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1"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056"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22" w:hRule="exact"/>
        </w:trPr>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341"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4" w:right="0"/>
              <w:jc w:val="left"/>
              <w:rPr>
                <w:rFonts w:ascii="Times New Roman" w:hAnsi="Times New Roman" w:cs="Times New Roman" w:eastAsia="Times New Roman" w:hint="default"/>
                <w:sz w:val="18"/>
                <w:szCs w:val="18"/>
              </w:rPr>
            </w:pPr>
            <w:r>
              <w:rPr>
                <w:rFonts w:ascii="Times New Roman"/>
                <w:sz w:val="18"/>
              </w:rPr>
              <w:t>2,574,451.02</w:t>
            </w:r>
          </w:p>
        </w:tc>
        <w:tc>
          <w:tcPr>
            <w:tcW w:w="1056" w:type="dxa"/>
            <w:tcBorders>
              <w:top w:val="nil" w:sz="6" w:space="0" w:color="auto"/>
              <w:left w:val="nil" w:sz="6" w:space="0" w:color="auto"/>
              <w:bottom w:val="nil" w:sz="6" w:space="0" w:color="auto"/>
              <w:right w:val="nil" w:sz="6" w:space="0" w:color="auto"/>
            </w:tcBorders>
          </w:tcPr>
          <w:p>
            <w:pPr/>
          </w:p>
        </w:tc>
        <w:tc>
          <w:tcPr>
            <w:tcW w:w="212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6" w:right="0"/>
              <w:jc w:val="left"/>
              <w:rPr>
                <w:rFonts w:ascii="Times New Roman" w:hAnsi="Times New Roman" w:cs="Times New Roman" w:eastAsia="Times New Roman" w:hint="default"/>
                <w:sz w:val="18"/>
                <w:szCs w:val="18"/>
              </w:rPr>
            </w:pPr>
            <w:r>
              <w:rPr>
                <w:rFonts w:ascii="Times New Roman"/>
                <w:sz w:val="18"/>
              </w:rPr>
              <w:t>2,239,414.42</w:t>
            </w:r>
          </w:p>
        </w:tc>
      </w:tr>
      <w:tr>
        <w:trPr>
          <w:trHeight w:val="324"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341"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sz w:val="18"/>
              </w:rPr>
              <w:t>(862,499.18)</w:t>
            </w:r>
          </w:p>
        </w:tc>
        <w:tc>
          <w:tcPr>
            <w:tcW w:w="1056"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6" w:right="0"/>
              <w:jc w:val="left"/>
              <w:rPr>
                <w:rFonts w:ascii="Times New Roman" w:hAnsi="Times New Roman" w:cs="Times New Roman" w:eastAsia="Times New Roman" w:hint="default"/>
                <w:sz w:val="18"/>
                <w:szCs w:val="18"/>
              </w:rPr>
            </w:pPr>
            <w:r>
              <w:rPr>
                <w:rFonts w:ascii="Times New Roman"/>
                <w:sz w:val="18"/>
              </w:rPr>
              <w:t>(159,973.75)</w:t>
            </w:r>
          </w:p>
        </w:tc>
      </w:tr>
      <w:tr>
        <w:trPr>
          <w:trHeight w:val="338"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1"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4" w:right="0"/>
              <w:jc w:val="left"/>
              <w:rPr>
                <w:rFonts w:ascii="Times New Roman" w:hAnsi="Times New Roman" w:cs="Times New Roman" w:eastAsia="Times New Roman" w:hint="default"/>
                <w:sz w:val="18"/>
                <w:szCs w:val="18"/>
              </w:rPr>
            </w:pPr>
            <w:r>
              <w:rPr>
                <w:rFonts w:ascii="Times New Roman"/>
                <w:sz w:val="18"/>
              </w:rPr>
              <w:t>1,711,951.84</w:t>
            </w:r>
          </w:p>
        </w:tc>
        <w:tc>
          <w:tcPr>
            <w:tcW w:w="1056" w:type="dxa"/>
            <w:tcBorders>
              <w:top w:val="nil" w:sz="6" w:space="0" w:color="auto"/>
              <w:left w:val="nil" w:sz="6" w:space="0" w:color="auto"/>
              <w:bottom w:val="nil" w:sz="6" w:space="0" w:color="auto"/>
              <w:right w:val="nil" w:sz="6" w:space="0" w:color="auto"/>
            </w:tcBorders>
          </w:tcPr>
          <w:p>
            <w:pPr/>
          </w:p>
        </w:tc>
        <w:tc>
          <w:tcPr>
            <w:tcW w:w="212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6" w:right="0"/>
              <w:jc w:val="left"/>
              <w:rPr>
                <w:rFonts w:ascii="Times New Roman" w:hAnsi="Times New Roman" w:cs="Times New Roman" w:eastAsia="Times New Roman" w:hint="default"/>
                <w:sz w:val="18"/>
                <w:szCs w:val="18"/>
              </w:rPr>
            </w:pPr>
            <w:r>
              <w:rPr>
                <w:rFonts w:ascii="Times New Roman"/>
                <w:sz w:val="18"/>
              </w:rPr>
              <w:t>2,079,440.67</w:t>
            </w:r>
          </w:p>
        </w:tc>
      </w:tr>
    </w:tbl>
    <w:p>
      <w:pPr>
        <w:spacing w:line="240" w:lineRule="auto" w:before="2"/>
        <w:rPr>
          <w:rFonts w:ascii="宋体" w:hAnsi="宋体" w:cs="宋体" w:eastAsia="宋体" w:hint="default"/>
          <w:b/>
          <w:bCs/>
          <w:sz w:val="16"/>
          <w:szCs w:val="16"/>
        </w:rPr>
      </w:pPr>
    </w:p>
    <w:p>
      <w:pPr>
        <w:spacing w:line="241" w:lineRule="exact" w:before="44"/>
        <w:ind w:left="14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年度企业所得税汇算清缴差额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11,326.62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元，考虑金额较小，本公司计入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年度当期所得税费</w:t>
      </w:r>
    </w:p>
    <w:p>
      <w:pPr>
        <w:spacing w:line="241" w:lineRule="exact" w:before="0"/>
        <w:ind w:left="142" w:right="340" w:firstLine="0"/>
        <w:jc w:val="left"/>
        <w:rPr>
          <w:rFonts w:ascii="宋体" w:hAnsi="宋体" w:cs="宋体" w:eastAsia="宋体" w:hint="default"/>
          <w:sz w:val="18"/>
          <w:szCs w:val="18"/>
        </w:rPr>
      </w:pPr>
      <w:r>
        <w:rPr>
          <w:rFonts w:ascii="宋体" w:hAnsi="宋体" w:cs="宋体" w:eastAsia="宋体" w:hint="default"/>
          <w:sz w:val="18"/>
          <w:szCs w:val="18"/>
        </w:rPr>
        <w:t>用，故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年度实际当期所得税费用为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2,563,124.40 </w:t>
      </w:r>
      <w:r>
        <w:rPr>
          <w:rFonts w:ascii="宋体" w:hAnsi="宋体" w:cs="宋体" w:eastAsia="宋体" w:hint="default"/>
          <w:sz w:val="18"/>
          <w:szCs w:val="18"/>
        </w:rPr>
        <w:t>元。</w:t>
      </w:r>
    </w:p>
    <w:p>
      <w:pPr>
        <w:spacing w:line="240" w:lineRule="auto" w:before="10"/>
        <w:rPr>
          <w:rFonts w:ascii="宋体" w:hAnsi="宋体" w:cs="宋体" w:eastAsia="宋体" w:hint="default"/>
          <w:sz w:val="20"/>
          <w:szCs w:val="20"/>
        </w:rPr>
      </w:pPr>
    </w:p>
    <w:p>
      <w:pPr>
        <w:spacing w:before="0"/>
        <w:ind w:left="142" w:right="340" w:firstLine="0"/>
        <w:jc w:val="left"/>
        <w:rPr>
          <w:rFonts w:ascii="宋体" w:hAnsi="宋体" w:cs="宋体" w:eastAsia="宋体" w:hint="default"/>
          <w:sz w:val="18"/>
          <w:szCs w:val="18"/>
        </w:rPr>
      </w:pPr>
      <w:r>
        <w:rPr>
          <w:rFonts w:ascii="宋体" w:hAnsi="宋体" w:cs="宋体" w:eastAsia="宋体" w:hint="default"/>
          <w:b/>
          <w:bCs/>
          <w:sz w:val="18"/>
          <w:szCs w:val="18"/>
        </w:rPr>
        <w:t>（三十三）现金流量表附注</w:t>
      </w:r>
      <w:r>
        <w:rPr>
          <w:rFonts w:ascii="宋体" w:hAnsi="宋体" w:cs="宋体" w:eastAsia="宋体" w:hint="default"/>
          <w:sz w:val="18"/>
          <w:szCs w:val="18"/>
        </w:rPr>
      </w:r>
    </w:p>
    <w:p>
      <w:pPr>
        <w:spacing w:line="240" w:lineRule="auto" w:before="8"/>
        <w:rPr>
          <w:rFonts w:ascii="宋体" w:hAnsi="宋体" w:cs="宋体" w:eastAsia="宋体" w:hint="default"/>
          <w:b/>
          <w:bCs/>
          <w:sz w:val="21"/>
          <w:szCs w:val="21"/>
        </w:rPr>
      </w:pPr>
    </w:p>
    <w:p>
      <w:pPr>
        <w:spacing w:before="0"/>
        <w:ind w:left="142" w:right="34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其他与经营活动有关的现金</w:t>
      </w:r>
      <w:r>
        <w:rPr>
          <w:rFonts w:ascii="宋体" w:hAnsi="宋体" w:cs="宋体" w:eastAsia="宋体" w:hint="default"/>
          <w:sz w:val="18"/>
          <w:szCs w:val="18"/>
        </w:rPr>
      </w:r>
    </w:p>
    <w:p>
      <w:pPr>
        <w:spacing w:line="240" w:lineRule="auto" w:before="11"/>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2780"/>
        <w:gridCol w:w="1043"/>
        <w:gridCol w:w="1965"/>
        <w:gridCol w:w="1013"/>
        <w:gridCol w:w="1981"/>
      </w:tblGrid>
      <w:tr>
        <w:trPr>
          <w:trHeight w:val="267"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4" w:hRule="exact"/>
        </w:trPr>
        <w:tc>
          <w:tcPr>
            <w:tcW w:w="878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r>
      <w:tr>
        <w:trPr>
          <w:trHeight w:val="342"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2" w:right="0"/>
              <w:jc w:val="left"/>
              <w:rPr>
                <w:rFonts w:ascii="Times New Roman" w:hAnsi="Times New Roman" w:cs="Times New Roman" w:eastAsia="Times New Roman" w:hint="default"/>
                <w:sz w:val="18"/>
                <w:szCs w:val="18"/>
              </w:rPr>
            </w:pPr>
            <w:r>
              <w:rPr>
                <w:rFonts w:ascii="Times New Roman"/>
                <w:sz w:val="18"/>
              </w:rPr>
              <w:t>1,583,550.12</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2,122,927.17</w:t>
            </w:r>
          </w:p>
        </w:tc>
      </w:tr>
      <w:tr>
        <w:trPr>
          <w:trHeight w:val="34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64"/>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 w:right="0"/>
              <w:jc w:val="left"/>
              <w:rPr>
                <w:rFonts w:ascii="Times New Roman" w:hAnsi="Times New Roman" w:cs="Times New Roman" w:eastAsia="Times New Roman" w:hint="default"/>
                <w:sz w:val="18"/>
                <w:szCs w:val="18"/>
              </w:rPr>
            </w:pPr>
            <w:r>
              <w:rPr>
                <w:rFonts w:ascii="Times New Roman"/>
                <w:sz w:val="18"/>
              </w:rPr>
              <w:t>613,000.65</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545,786.17</w:t>
            </w:r>
          </w:p>
        </w:tc>
      </w:tr>
      <w:tr>
        <w:trPr>
          <w:trHeight w:val="34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64"/>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 w:right="0"/>
              <w:jc w:val="left"/>
              <w:rPr>
                <w:rFonts w:ascii="Times New Roman" w:hAnsi="Times New Roman" w:cs="Times New Roman" w:eastAsia="Times New Roman" w:hint="default"/>
                <w:sz w:val="18"/>
                <w:szCs w:val="18"/>
              </w:rPr>
            </w:pPr>
            <w:r>
              <w:rPr>
                <w:rFonts w:ascii="Times New Roman"/>
                <w:sz w:val="18"/>
              </w:rPr>
              <w:t>5,691,700.00</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4,096,678.15</w:t>
            </w:r>
          </w:p>
        </w:tc>
      </w:tr>
      <w:tr>
        <w:trPr>
          <w:trHeight w:val="344"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1,500.00</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7,939.59</w:t>
            </w:r>
          </w:p>
        </w:tc>
      </w:tr>
      <w:tr>
        <w:trPr>
          <w:trHeight w:val="36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7,889,750.77</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6,773,331.08</w:t>
            </w:r>
          </w:p>
        </w:tc>
      </w:tr>
      <w:tr>
        <w:trPr>
          <w:trHeight w:val="352" w:hRule="exact"/>
        </w:trPr>
        <w:tc>
          <w:tcPr>
            <w:tcW w:w="878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r>
      <w:tr>
        <w:trPr>
          <w:trHeight w:val="343"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2" w:right="0"/>
              <w:jc w:val="left"/>
              <w:rPr>
                <w:rFonts w:ascii="Times New Roman" w:hAnsi="Times New Roman" w:cs="Times New Roman" w:eastAsia="Times New Roman" w:hint="default"/>
                <w:sz w:val="18"/>
                <w:szCs w:val="18"/>
              </w:rPr>
            </w:pPr>
            <w:r>
              <w:rPr>
                <w:rFonts w:ascii="Times New Roman"/>
                <w:sz w:val="18"/>
              </w:rPr>
              <w:t>3,073,863.45</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Times New Roman" w:hAnsi="Times New Roman" w:cs="Times New Roman" w:eastAsia="Times New Roman" w:hint="default"/>
                <w:sz w:val="18"/>
                <w:szCs w:val="18"/>
              </w:rPr>
            </w:pPr>
            <w:r>
              <w:rPr>
                <w:rFonts w:ascii="Times New Roman"/>
                <w:sz w:val="18"/>
              </w:rPr>
              <w:t>2,625,811.30</w:t>
            </w:r>
          </w:p>
        </w:tc>
      </w:tr>
      <w:tr>
        <w:trPr>
          <w:trHeight w:val="34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64"/>
              <w:jc w:val="right"/>
              <w:rPr>
                <w:rFonts w:ascii="宋体" w:hAnsi="宋体" w:cs="宋体" w:eastAsia="宋体" w:hint="default"/>
                <w:sz w:val="18"/>
                <w:szCs w:val="18"/>
              </w:rPr>
            </w:pPr>
            <w:r>
              <w:rPr>
                <w:rFonts w:ascii="宋体" w:hAnsi="宋体" w:cs="宋体" w:eastAsia="宋体" w:hint="default"/>
                <w:sz w:val="18"/>
                <w:szCs w:val="18"/>
              </w:rPr>
              <w:t>费用支出</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 w:right="0"/>
              <w:jc w:val="left"/>
              <w:rPr>
                <w:rFonts w:ascii="Times New Roman" w:hAnsi="Times New Roman" w:cs="Times New Roman" w:eastAsia="Times New Roman" w:hint="default"/>
                <w:sz w:val="18"/>
                <w:szCs w:val="18"/>
              </w:rPr>
            </w:pPr>
            <w:r>
              <w:rPr>
                <w:rFonts w:ascii="Times New Roman"/>
                <w:sz w:val="18"/>
              </w:rPr>
              <w:t>28,701,464.52</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23,463,674.59</w:t>
            </w:r>
          </w:p>
        </w:tc>
      </w:tr>
      <w:tr>
        <w:trPr>
          <w:trHeight w:val="344"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7,871.61</w:t>
            </w:r>
          </w:p>
        </w:tc>
      </w:tr>
      <w:tr>
        <w:trPr>
          <w:trHeight w:val="36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3" w:type="dxa"/>
            <w:tcBorders>
              <w:top w:val="nil" w:sz="6" w:space="0" w:color="auto"/>
              <w:left w:val="nil" w:sz="6" w:space="0" w:color="auto"/>
              <w:bottom w:val="nil" w:sz="6" w:space="0" w:color="auto"/>
              <w:right w:val="nil" w:sz="6" w:space="0" w:color="auto"/>
            </w:tcBorders>
          </w:tcPr>
          <w:p>
            <w:pPr/>
          </w:p>
        </w:tc>
        <w:tc>
          <w:tcPr>
            <w:tcW w:w="1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31,775,327.97</w:t>
            </w:r>
          </w:p>
        </w:tc>
        <w:tc>
          <w:tcPr>
            <w:tcW w:w="1013" w:type="dxa"/>
            <w:tcBorders>
              <w:top w:val="nil" w:sz="6" w:space="0" w:color="auto"/>
              <w:left w:val="nil" w:sz="6" w:space="0" w:color="auto"/>
              <w:bottom w:val="nil" w:sz="6" w:space="0" w:color="auto"/>
              <w:right w:val="nil" w:sz="6" w:space="0" w:color="auto"/>
            </w:tcBorders>
          </w:tcPr>
          <w:p>
            <w:pPr/>
          </w:p>
        </w:tc>
        <w:tc>
          <w:tcPr>
            <w:tcW w:w="1981"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26,097,357.50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1040"/>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3"/>
          <w:szCs w:val="13"/>
        </w:rPr>
      </w:pPr>
    </w:p>
    <w:p>
      <w:pPr>
        <w:spacing w:before="44"/>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其他与筹资活动有关的现金</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42" w:type="dxa"/>
        <w:tblLayout w:type="fixed"/>
        <w:tblCellMar>
          <w:top w:w="0" w:type="dxa"/>
          <w:left w:w="0" w:type="dxa"/>
          <w:bottom w:w="0" w:type="dxa"/>
          <w:right w:w="0" w:type="dxa"/>
        </w:tblCellMar>
        <w:tblLook w:val="01E0"/>
      </w:tblPr>
      <w:tblGrid>
        <w:gridCol w:w="2871"/>
        <w:gridCol w:w="931"/>
        <w:gridCol w:w="2021"/>
        <w:gridCol w:w="1004"/>
        <w:gridCol w:w="1951"/>
      </w:tblGrid>
      <w:tr>
        <w:trPr>
          <w:trHeight w:val="255" w:hRule="exact"/>
        </w:trPr>
        <w:tc>
          <w:tcPr>
            <w:tcW w:w="287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16" w:hRule="exact"/>
        </w:trPr>
        <w:tc>
          <w:tcPr>
            <w:tcW w:w="877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r>
      <w:tr>
        <w:trPr>
          <w:trHeight w:val="316"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Times New Roman"/>
                <w:sz w:val="18"/>
              </w:rPr>
              <w:t>1,353,450.83</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4" w:right="0"/>
              <w:jc w:val="left"/>
              <w:rPr>
                <w:rFonts w:ascii="Times New Roman" w:hAnsi="Times New Roman" w:cs="Times New Roman" w:eastAsia="Times New Roman" w:hint="default"/>
                <w:sz w:val="18"/>
                <w:szCs w:val="18"/>
              </w:rPr>
            </w:pPr>
            <w:r>
              <w:rPr>
                <w:rFonts w:ascii="Times New Roman"/>
                <w:sz w:val="18"/>
              </w:rPr>
              <w:t>---</w:t>
            </w:r>
          </w:p>
        </w:tc>
      </w:tr>
      <w:tr>
        <w:trPr>
          <w:trHeight w:val="31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 w:right="0"/>
              <w:jc w:val="lef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质押保证金</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35"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34" w:right="0"/>
              <w:jc w:val="left"/>
              <w:rPr>
                <w:rFonts w:ascii="Times New Roman" w:hAnsi="Times New Roman" w:cs="Times New Roman" w:eastAsia="Times New Roman" w:hint="default"/>
                <w:sz w:val="18"/>
                <w:szCs w:val="18"/>
              </w:rPr>
            </w:pPr>
            <w:r>
              <w:rPr>
                <w:rFonts w:ascii="Times New Roman"/>
                <w:sz w:val="18"/>
              </w:rPr>
              <w:t>6,881,860.00</w:t>
            </w:r>
          </w:p>
        </w:tc>
      </w:tr>
      <w:tr>
        <w:trPr>
          <w:trHeight w:val="33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5" w:right="0"/>
              <w:jc w:val="left"/>
              <w:rPr>
                <w:rFonts w:ascii="Times New Roman" w:hAnsi="Times New Roman" w:cs="Times New Roman" w:eastAsia="Times New Roman" w:hint="default"/>
                <w:sz w:val="18"/>
                <w:szCs w:val="18"/>
              </w:rPr>
            </w:pPr>
            <w:r>
              <w:rPr>
                <w:rFonts w:ascii="Times New Roman"/>
                <w:sz w:val="18"/>
              </w:rPr>
              <w:t>1,353,450.83</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4" w:right="0"/>
              <w:jc w:val="left"/>
              <w:rPr>
                <w:rFonts w:ascii="Times New Roman" w:hAnsi="Times New Roman" w:cs="Times New Roman" w:eastAsia="Times New Roman" w:hint="default"/>
                <w:sz w:val="18"/>
                <w:szCs w:val="18"/>
              </w:rPr>
            </w:pPr>
            <w:r>
              <w:rPr>
                <w:rFonts w:ascii="Times New Roman"/>
                <w:sz w:val="18"/>
              </w:rPr>
              <w:t>6,881,860.00</w:t>
            </w:r>
          </w:p>
        </w:tc>
      </w:tr>
      <w:tr>
        <w:trPr>
          <w:trHeight w:val="327" w:hRule="exact"/>
        </w:trPr>
        <w:tc>
          <w:tcPr>
            <w:tcW w:w="877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r>
      <w:tr>
        <w:trPr>
          <w:trHeight w:val="317"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4,878,274.20</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sz w:val="18"/>
              </w:rPr>
              <w:t>1,353,450.83</w:t>
            </w:r>
          </w:p>
        </w:tc>
      </w:tr>
      <w:tr>
        <w:trPr>
          <w:trHeight w:val="312"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Times New Roman" w:hAnsi="Times New Roman" w:cs="Times New Roman" w:eastAsia="Times New Roman" w:hint="default"/>
                <w:sz w:val="18"/>
                <w:szCs w:val="18"/>
              </w:rPr>
            </w:pPr>
            <w:r>
              <w:rPr>
                <w:rFonts w:ascii="Times New Roman"/>
                <w:sz w:val="18"/>
              </w:rPr>
              <w:t>6,945,065.67</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质押保证金</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5"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4" w:right="0"/>
              <w:jc w:val="left"/>
              <w:rPr>
                <w:rFonts w:ascii="Times New Roman" w:hAnsi="Times New Roman" w:cs="Times New Roman" w:eastAsia="Times New Roman" w:hint="default"/>
                <w:sz w:val="18"/>
                <w:szCs w:val="18"/>
              </w:rPr>
            </w:pPr>
            <w:r>
              <w:rPr>
                <w:rFonts w:ascii="Times New Roman"/>
                <w:sz w:val="18"/>
              </w:rPr>
              <w:t>---</w:t>
            </w:r>
          </w:p>
        </w:tc>
      </w:tr>
      <w:tr>
        <w:trPr>
          <w:trHeight w:val="33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5" w:right="0"/>
              <w:jc w:val="left"/>
              <w:rPr>
                <w:rFonts w:ascii="Times New Roman" w:hAnsi="Times New Roman" w:cs="Times New Roman" w:eastAsia="Times New Roman" w:hint="default"/>
                <w:sz w:val="18"/>
                <w:szCs w:val="18"/>
              </w:rPr>
            </w:pPr>
            <w:r>
              <w:rPr>
                <w:rFonts w:ascii="Times New Roman"/>
                <w:sz w:val="18"/>
              </w:rPr>
              <w:t>11,823,339.87</w:t>
            </w:r>
          </w:p>
        </w:tc>
        <w:tc>
          <w:tcPr>
            <w:tcW w:w="1004"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4" w:right="0"/>
              <w:jc w:val="left"/>
              <w:rPr>
                <w:rFonts w:ascii="Times New Roman" w:hAnsi="Times New Roman" w:cs="Times New Roman" w:eastAsia="Times New Roman" w:hint="default"/>
                <w:sz w:val="18"/>
                <w:szCs w:val="18"/>
              </w:rPr>
            </w:pPr>
            <w:r>
              <w:rPr>
                <w:rFonts w:ascii="Times New Roman"/>
                <w:sz w:val="18"/>
              </w:rPr>
              <w:t>1,353,450.83</w:t>
            </w:r>
          </w:p>
        </w:tc>
      </w:tr>
    </w:tbl>
    <w:p>
      <w:pPr>
        <w:spacing w:before="8"/>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现金流量表补充资料</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42" w:type="dxa"/>
        <w:tblLayout w:type="fixed"/>
        <w:tblCellMar>
          <w:top w:w="0" w:type="dxa"/>
          <w:left w:w="0" w:type="dxa"/>
          <w:bottom w:w="0" w:type="dxa"/>
          <w:right w:w="0" w:type="dxa"/>
        </w:tblCellMar>
        <w:tblLook w:val="01E0"/>
      </w:tblPr>
      <w:tblGrid>
        <w:gridCol w:w="4676"/>
        <w:gridCol w:w="259"/>
        <w:gridCol w:w="1870"/>
        <w:gridCol w:w="308"/>
        <w:gridCol w:w="1862"/>
      </w:tblGrid>
      <w:tr>
        <w:trPr>
          <w:trHeight w:val="253" w:hRule="exact"/>
        </w:trPr>
        <w:tc>
          <w:tcPr>
            <w:tcW w:w="467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22" w:hRule="exact"/>
        </w:trPr>
        <w:tc>
          <w:tcPr>
            <w:tcW w:w="46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57,894,445.26</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44,395,399.78</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2,355,962.93</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116,470.37</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3,133,048.46</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2,783,154.28</w:t>
            </w:r>
          </w:p>
        </w:tc>
      </w:tr>
      <w:tr>
        <w:trPr>
          <w:trHeight w:val="315"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316,972.02</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106,765.85</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1,272,609.93</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725,691.76</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14,514.67</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104,265.27</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(590,335.95)</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(533,702.28)</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(862,499.18)</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(159,973.75)</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(24,281,326.30)</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(11,423,171.64)</w:t>
            </w:r>
          </w:p>
        </w:tc>
      </w:tr>
      <w:tr>
        <w:trPr>
          <w:trHeight w:val="315"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(74,886,614.38)</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(2,999,968.47)</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32,628,598.50</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(3,154,986.73)</w:t>
            </w:r>
          </w:p>
        </w:tc>
      </w:tr>
      <w:tr>
        <w:trPr>
          <w:trHeight w:val="31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(3,004,624.04)</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29,959,944.44</w:t>
            </w:r>
          </w:p>
        </w:tc>
      </w:tr>
      <w:tr>
        <w:trPr>
          <w:trHeight w:val="31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r>
      <w:tr>
        <w:trPr>
          <w:trHeight w:val="31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 w:right="0"/>
              <w:jc w:val="left"/>
              <w:rPr>
                <w:rFonts w:ascii="Times New Roman" w:hAnsi="Times New Roman" w:cs="Times New Roman" w:eastAsia="Times New Roman" w:hint="default"/>
                <w:sz w:val="18"/>
                <w:szCs w:val="18"/>
              </w:rPr>
            </w:pPr>
            <w:r>
              <w:rPr>
                <w:rFonts w:ascii="Times New Roman"/>
                <w:sz w:val="18"/>
              </w:rPr>
              <w:t>729,414,262.06</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 w:right="0"/>
              <w:jc w:val="left"/>
              <w:rPr>
                <w:rFonts w:ascii="Times New Roman" w:hAnsi="Times New Roman" w:cs="Times New Roman" w:eastAsia="Times New Roman" w:hint="default"/>
                <w:sz w:val="18"/>
                <w:szCs w:val="18"/>
              </w:rPr>
            </w:pPr>
            <w:r>
              <w:rPr>
                <w:rFonts w:ascii="Times New Roman"/>
                <w:sz w:val="18"/>
              </w:rPr>
              <w:t>91,199,601.64</w:t>
            </w:r>
          </w:p>
        </w:tc>
      </w:tr>
      <w:tr>
        <w:trPr>
          <w:trHeight w:val="31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91,199,601.64</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Times New Roman" w:hAnsi="Times New Roman" w:cs="Times New Roman" w:eastAsia="Times New Roman" w:hint="default"/>
                <w:sz w:val="18"/>
                <w:szCs w:val="18"/>
              </w:rPr>
            </w:pPr>
            <w:r>
              <w:rPr>
                <w:rFonts w:ascii="Times New Roman"/>
                <w:sz w:val="18"/>
              </w:rPr>
              <w:t>80,023,346.97</w:t>
            </w:r>
          </w:p>
        </w:tc>
      </w:tr>
      <w:tr>
        <w:trPr>
          <w:trHeight w:val="31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36" w:right="0"/>
              <w:jc w:val="left"/>
              <w:rPr>
                <w:rFonts w:ascii="Times New Roman" w:hAnsi="Times New Roman" w:cs="Times New Roman" w:eastAsia="Times New Roman" w:hint="default"/>
                <w:sz w:val="18"/>
                <w:szCs w:val="18"/>
              </w:rPr>
            </w:pPr>
            <w:r>
              <w:rPr>
                <w:rFonts w:ascii="Times New Roman"/>
                <w:sz w:val="18"/>
              </w:rPr>
              <w:t>---</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36" w:right="0"/>
              <w:jc w:val="lef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36" w:right="0"/>
              <w:jc w:val="left"/>
              <w:rPr>
                <w:rFonts w:ascii="Times New Roman" w:hAnsi="Times New Roman" w:cs="Times New Roman" w:eastAsia="Times New Roman" w:hint="default"/>
                <w:sz w:val="18"/>
                <w:szCs w:val="18"/>
              </w:rPr>
            </w:pPr>
            <w:r>
              <w:rPr>
                <w:rFonts w:ascii="Times New Roman"/>
                <w:sz w:val="18"/>
              </w:rPr>
              <w:t>638,214,660.42</w:t>
            </w:r>
          </w:p>
        </w:tc>
        <w:tc>
          <w:tcPr>
            <w:tcW w:w="30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left="36" w:right="0"/>
              <w:jc w:val="left"/>
              <w:rPr>
                <w:rFonts w:ascii="Times New Roman" w:hAnsi="Times New Roman" w:cs="Times New Roman" w:eastAsia="Times New Roman" w:hint="default"/>
                <w:sz w:val="18"/>
                <w:szCs w:val="18"/>
              </w:rPr>
            </w:pPr>
            <w:r>
              <w:rPr>
                <w:rFonts w:ascii="Times New Roman"/>
                <w:sz w:val="18"/>
              </w:rPr>
              <w:t>11,176,254.67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1120"/>
        </w:sectPr>
      </w:pPr>
    </w:p>
    <w:p>
      <w:pPr>
        <w:spacing w:line="240" w:lineRule="auto" w:before="0"/>
        <w:rPr>
          <w:rFonts w:ascii="宋体" w:hAnsi="宋体" w:cs="宋体" w:eastAsia="宋体" w:hint="default"/>
          <w:b/>
          <w:bCs/>
          <w:sz w:val="18"/>
          <w:szCs w:val="18"/>
        </w:rPr>
      </w:pPr>
    </w:p>
    <w:p>
      <w:pPr>
        <w:spacing w:before="44"/>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现金和现金等价物的构成</w:t>
      </w:r>
      <w:r>
        <w:rPr>
          <w:rFonts w:ascii="宋体" w:hAnsi="宋体" w:cs="宋体" w:eastAsia="宋体" w:hint="default"/>
          <w:sz w:val="18"/>
          <w:szCs w:val="18"/>
        </w:rPr>
      </w:r>
    </w:p>
    <w:p>
      <w:pPr>
        <w:spacing w:line="240" w:lineRule="auto" w:before="3"/>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3137"/>
        <w:gridCol w:w="994"/>
        <w:gridCol w:w="1834"/>
        <w:gridCol w:w="1119"/>
        <w:gridCol w:w="1891"/>
      </w:tblGrid>
      <w:tr>
        <w:trPr>
          <w:trHeight w:val="267"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5" w:hRule="exact"/>
        </w:trPr>
        <w:tc>
          <w:tcPr>
            <w:tcW w:w="3137" w:type="dxa"/>
            <w:tcBorders>
              <w:top w:val="single" w:sz="4" w:space="0" w:color="000000"/>
              <w:left w:val="nil" w:sz="6" w:space="0" w:color="auto"/>
              <w:bottom w:val="nil" w:sz="6" w:space="0" w:color="auto"/>
              <w:right w:val="nil" w:sz="6" w:space="0" w:color="auto"/>
            </w:tcBorders>
          </w:tcPr>
          <w:p>
            <w:pPr>
              <w:pStyle w:val="TableParagraph"/>
              <w:tabs>
                <w:tab w:pos="926" w:val="left" w:leader="none"/>
              </w:tabs>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729,414,262.06</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91,199,601.64</w:t>
            </w:r>
          </w:p>
        </w:tc>
      </w:tr>
      <w:tr>
        <w:trPr>
          <w:trHeight w:val="34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142,237.09</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157,801.89</w:t>
            </w:r>
          </w:p>
        </w:tc>
      </w:tr>
      <w:tr>
        <w:trPr>
          <w:trHeight w:val="34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 w:right="0"/>
              <w:jc w:val="left"/>
              <w:rPr>
                <w:rFonts w:ascii="Times New Roman" w:hAnsi="Times New Roman" w:cs="Times New Roman" w:eastAsia="Times New Roman" w:hint="default"/>
                <w:sz w:val="18"/>
                <w:szCs w:val="18"/>
              </w:rPr>
            </w:pPr>
            <w:r>
              <w:rPr>
                <w:rFonts w:ascii="Times New Roman"/>
                <w:sz w:val="18"/>
              </w:rPr>
              <w:t>729,272,024.97</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91,041,799.75</w:t>
            </w:r>
          </w:p>
        </w:tc>
      </w:tr>
      <w:tr>
        <w:trPr>
          <w:trHeight w:val="34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6" w:right="0"/>
              <w:jc w:val="left"/>
              <w:rPr>
                <w:rFonts w:ascii="Times New Roman" w:hAnsi="Times New Roman" w:cs="Times New Roman" w:eastAsia="Times New Roman" w:hint="default"/>
                <w:sz w:val="18"/>
                <w:szCs w:val="18"/>
              </w:rPr>
            </w:pPr>
            <w:r>
              <w:rPr>
                <w:rFonts w:ascii="Times New Roman"/>
                <w:sz w:val="18"/>
              </w:rPr>
              <w:t>---</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 w:right="0"/>
              <w:jc w:val="left"/>
              <w:rPr>
                <w:rFonts w:ascii="Times New Roman" w:hAnsi="Times New Roman" w:cs="Times New Roman" w:eastAsia="Times New Roman" w:hint="default"/>
                <w:sz w:val="18"/>
                <w:szCs w:val="18"/>
              </w:rPr>
            </w:pPr>
            <w:r>
              <w:rPr>
                <w:rFonts w:ascii="Times New Roman"/>
                <w:sz w:val="18"/>
              </w:rPr>
              <w:t>---</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263"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6" w:right="0"/>
              <w:jc w:val="left"/>
              <w:rPr>
                <w:rFonts w:ascii="Times New Roman" w:hAnsi="Times New Roman" w:cs="Times New Roman" w:eastAsia="Times New Roman" w:hint="default"/>
                <w:sz w:val="18"/>
                <w:szCs w:val="18"/>
              </w:rPr>
            </w:pPr>
            <w:r>
              <w:rPr>
                <w:rFonts w:ascii="Times New Roman"/>
                <w:sz w:val="18"/>
              </w:rPr>
              <w:t>729,414,262.06</w:t>
            </w:r>
          </w:p>
        </w:tc>
        <w:tc>
          <w:tcPr>
            <w:tcW w:w="111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Times New Roman" w:hAnsi="Times New Roman" w:cs="Times New Roman" w:eastAsia="Times New Roman" w:hint="default"/>
                <w:sz w:val="18"/>
                <w:szCs w:val="18"/>
              </w:rPr>
            </w:pPr>
            <w:r>
              <w:rPr>
                <w:rFonts w:ascii="Times New Roman"/>
                <w:sz w:val="18"/>
              </w:rPr>
              <w:t>91,199,601.64</w:t>
            </w:r>
          </w:p>
        </w:tc>
      </w:tr>
    </w:tbl>
    <w:p>
      <w:pPr>
        <w:spacing w:before="86"/>
        <w:ind w:left="142" w:right="0" w:firstLine="0"/>
        <w:jc w:val="left"/>
        <w:rPr>
          <w:rFonts w:ascii="宋体" w:hAnsi="宋体" w:cs="宋体" w:eastAsia="宋体" w:hint="default"/>
          <w:sz w:val="18"/>
          <w:szCs w:val="18"/>
        </w:rPr>
      </w:pPr>
      <w:r>
        <w:rPr>
          <w:rFonts w:ascii="宋体" w:hAnsi="宋体" w:cs="宋体" w:eastAsia="宋体" w:hint="default"/>
          <w:b/>
          <w:bCs/>
          <w:sz w:val="18"/>
          <w:szCs w:val="18"/>
        </w:rPr>
        <w:t>六、关联方及关联交易</w:t>
      </w:r>
      <w:r>
        <w:rPr>
          <w:rFonts w:ascii="宋体" w:hAnsi="宋体" w:cs="宋体" w:eastAsia="宋体" w:hint="default"/>
          <w:sz w:val="18"/>
          <w:szCs w:val="18"/>
        </w:rPr>
      </w:r>
    </w:p>
    <w:p>
      <w:pPr>
        <w:spacing w:line="240" w:lineRule="auto" w:before="8"/>
        <w:rPr>
          <w:rFonts w:ascii="宋体" w:hAnsi="宋体" w:cs="宋体" w:eastAsia="宋体" w:hint="default"/>
          <w:b/>
          <w:bCs/>
          <w:sz w:val="21"/>
          <w:szCs w:val="21"/>
        </w:rPr>
      </w:pPr>
    </w:p>
    <w:p>
      <w:pPr>
        <w:spacing w:before="0"/>
        <w:ind w:left="142" w:right="0" w:firstLine="0"/>
        <w:jc w:val="left"/>
        <w:rPr>
          <w:rFonts w:ascii="宋体" w:hAnsi="宋体" w:cs="宋体" w:eastAsia="宋体" w:hint="default"/>
          <w:sz w:val="18"/>
          <w:szCs w:val="18"/>
        </w:rPr>
      </w:pPr>
      <w:r>
        <w:rPr>
          <w:rFonts w:ascii="宋体" w:hAnsi="宋体" w:cs="宋体" w:eastAsia="宋体" w:hint="default"/>
          <w:b/>
          <w:bCs/>
          <w:sz w:val="18"/>
          <w:szCs w:val="18"/>
        </w:rPr>
        <w:t>（一）关联方情况</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．存在控制关系的关联方：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56" w:type="dxa"/>
        <w:tblLayout w:type="fixed"/>
        <w:tblCellMar>
          <w:top w:w="0" w:type="dxa"/>
          <w:left w:w="0" w:type="dxa"/>
          <w:bottom w:w="0" w:type="dxa"/>
          <w:right w:w="0" w:type="dxa"/>
        </w:tblCellMar>
        <w:tblLook w:val="01E0"/>
      </w:tblPr>
      <w:tblGrid>
        <w:gridCol w:w="1289"/>
        <w:gridCol w:w="1246"/>
        <w:gridCol w:w="1275"/>
        <w:gridCol w:w="1085"/>
        <w:gridCol w:w="1414"/>
        <w:gridCol w:w="1426"/>
        <w:gridCol w:w="1594"/>
      </w:tblGrid>
      <w:tr>
        <w:trPr>
          <w:trHeight w:val="296" w:hRule="exact"/>
        </w:trPr>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180" w:lineRule="exact"/>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85"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所持股份或权益</w:t>
            </w:r>
          </w:p>
        </w:tc>
        <w:tc>
          <w:tcPr>
            <w:tcW w:w="1594" w:type="dxa"/>
            <w:tcBorders>
              <w:top w:val="nil" w:sz="6" w:space="0" w:color="auto"/>
              <w:left w:val="nil" w:sz="6" w:space="0" w:color="auto"/>
              <w:bottom w:val="single" w:sz="4" w:space="0" w:color="000000"/>
              <w:right w:val="nil" w:sz="6" w:space="0" w:color="auto"/>
            </w:tcBorders>
          </w:tcPr>
          <w:p>
            <w:pPr>
              <w:pStyle w:val="TableParagraph"/>
              <w:spacing w:line="180" w:lineRule="exact"/>
              <w:ind w:left="1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402" w:hRule="exact"/>
        </w:trPr>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10" w:right="0"/>
              <w:jc w:val="lef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12"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07" w:right="0"/>
              <w:jc w:val="lef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07" w:right="0"/>
              <w:jc w:val="lef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10" w:right="0"/>
              <w:jc w:val="left"/>
              <w:rPr>
                <w:rFonts w:ascii="Times New Roman" w:hAnsi="Times New Roman" w:cs="Times New Roman" w:eastAsia="Times New Roman" w:hint="default"/>
                <w:sz w:val="18"/>
                <w:szCs w:val="18"/>
              </w:rPr>
            </w:pPr>
            <w:r>
              <w:rPr>
                <w:rFonts w:ascii="Times New Roman"/>
                <w:sz w:val="18"/>
              </w:rPr>
              <w:t>33.3071%</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98"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0" w:right="0"/>
              <w:jc w:val="left"/>
              <w:rPr>
                <w:rFonts w:ascii="Times New Roman" w:hAnsi="Times New Roman" w:cs="Times New Roman" w:eastAsia="Times New Roman" w:hint="default"/>
                <w:sz w:val="18"/>
                <w:szCs w:val="18"/>
              </w:rPr>
            </w:pPr>
            <w:r>
              <w:rPr>
                <w:rFonts w:ascii="Times New Roman"/>
                <w:sz w:val="18"/>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2"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Times New Roman" w:hAnsi="Times New Roman" w:cs="Times New Roman" w:eastAsia="Times New Roman" w:hint="default"/>
                <w:sz w:val="18"/>
                <w:szCs w:val="18"/>
              </w:rPr>
            </w:pPr>
            <w:r>
              <w:rPr>
                <w:rFonts w:ascii="Times New Roman"/>
                <w:sz w:val="18"/>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Times New Roman" w:hAnsi="Times New Roman" w:cs="Times New Roman" w:eastAsia="Times New Roman" w:hint="default"/>
                <w:sz w:val="18"/>
                <w:szCs w:val="18"/>
              </w:rPr>
            </w:pPr>
            <w:r>
              <w:rPr>
                <w:rFonts w:ascii="Times New Roman"/>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0" w:right="0"/>
              <w:jc w:val="left"/>
              <w:rPr>
                <w:rFonts w:ascii="Times New Roman" w:hAnsi="Times New Roman" w:cs="Times New Roman" w:eastAsia="Times New Roman" w:hint="default"/>
                <w:sz w:val="18"/>
                <w:szCs w:val="18"/>
              </w:rPr>
            </w:pPr>
            <w:r>
              <w:rPr>
                <w:rFonts w:ascii="Times New Roman"/>
                <w:sz w:val="18"/>
              </w:rPr>
              <w:t>11.1024%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291"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0" w:right="0"/>
              <w:jc w:val="left"/>
              <w:rPr>
                <w:rFonts w:ascii="Times New Roman" w:hAnsi="Times New Roman" w:cs="Times New Roman" w:eastAsia="Times New Roman" w:hint="default"/>
                <w:sz w:val="18"/>
                <w:szCs w:val="18"/>
              </w:rPr>
            </w:pPr>
            <w:r>
              <w:rPr>
                <w:rFonts w:ascii="Times New Roman"/>
                <w:sz w:val="18"/>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2"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Times New Roman" w:hAnsi="Times New Roman" w:cs="Times New Roman" w:eastAsia="Times New Roman" w:hint="default"/>
                <w:sz w:val="18"/>
                <w:szCs w:val="18"/>
              </w:rPr>
            </w:pPr>
            <w:r>
              <w:rPr>
                <w:rFonts w:ascii="Times New Roman"/>
                <w:sz w:val="18"/>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Times New Roman" w:hAnsi="Times New Roman" w:cs="Times New Roman" w:eastAsia="Times New Roman" w:hint="default"/>
                <w:sz w:val="18"/>
                <w:szCs w:val="18"/>
              </w:rPr>
            </w:pPr>
            <w:r>
              <w:rPr>
                <w:rFonts w:ascii="Times New Roman"/>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0" w:right="0"/>
              <w:jc w:val="left"/>
              <w:rPr>
                <w:rFonts w:ascii="Times New Roman" w:hAnsi="Times New Roman" w:cs="Times New Roman" w:eastAsia="Times New Roman" w:hint="default"/>
                <w:sz w:val="18"/>
                <w:szCs w:val="18"/>
              </w:rPr>
            </w:pPr>
            <w:r>
              <w:rPr>
                <w:rFonts w:ascii="Times New Roman"/>
                <w:sz w:val="18"/>
              </w:rPr>
              <w:t>11.1024%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bl>
    <w:p>
      <w:pPr>
        <w:spacing w:line="240" w:lineRule="auto" w:before="1"/>
        <w:rPr>
          <w:rFonts w:ascii="宋体" w:hAnsi="宋体" w:cs="宋体" w:eastAsia="宋体" w:hint="default"/>
          <w:b/>
          <w:bCs/>
          <w:sz w:val="24"/>
          <w:szCs w:val="24"/>
        </w:rPr>
      </w:pPr>
    </w:p>
    <w:p>
      <w:pPr>
        <w:spacing w:before="44"/>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存在控制关系的关联方所持股份或权益及其变化：</w:t>
      </w:r>
      <w:r>
        <w:rPr>
          <w:rFonts w:ascii="宋体" w:hAnsi="宋体" w:cs="宋体" w:eastAsia="宋体" w:hint="default"/>
          <w:sz w:val="18"/>
          <w:szCs w:val="18"/>
        </w:rPr>
      </w:r>
    </w:p>
    <w:p>
      <w:pPr>
        <w:spacing w:line="240" w:lineRule="auto" w:before="3"/>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1709"/>
        <w:gridCol w:w="337"/>
        <w:gridCol w:w="1620"/>
        <w:gridCol w:w="298"/>
        <w:gridCol w:w="1512"/>
        <w:gridCol w:w="350"/>
        <w:gridCol w:w="1558"/>
        <w:gridCol w:w="247"/>
        <w:gridCol w:w="1694"/>
      </w:tblGrid>
      <w:tr>
        <w:trPr>
          <w:trHeight w:val="267" w:hRule="exact"/>
        </w:trPr>
        <w:tc>
          <w:tcPr>
            <w:tcW w:w="1709" w:type="dxa"/>
            <w:vMerge w:val="restart"/>
            <w:tcBorders>
              <w:top w:val="nil" w:sz="6" w:space="0" w:color="auto"/>
              <w:left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z w:val="18"/>
                <w:szCs w:val="18"/>
              </w:rPr>
              <w:t>关联方</w:t>
            </w:r>
          </w:p>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37" w:type="dxa"/>
            <w:vMerge w:val="restart"/>
            <w:tcBorders>
              <w:top w:val="nil" w:sz="6" w:space="0" w:color="auto"/>
              <w:left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194"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98" w:type="dxa"/>
            <w:tcBorders>
              <w:top w:val="nil" w:sz="6" w:space="0" w:color="auto"/>
              <w:left w:val="nil" w:sz="6" w:space="0" w:color="auto"/>
              <w:bottom w:val="single" w:sz="4" w:space="0" w:color="000000"/>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194"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247" w:type="dxa"/>
            <w:tcBorders>
              <w:top w:val="nil" w:sz="6" w:space="0" w:color="auto"/>
              <w:left w:val="nil" w:sz="6" w:space="0" w:color="auto"/>
              <w:bottom w:val="single" w:sz="4" w:space="0" w:color="000000"/>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09" w:type="dxa"/>
            <w:vMerge/>
            <w:tcBorders>
              <w:left w:val="nil" w:sz="6" w:space="0" w:color="auto"/>
              <w:bottom w:val="single" w:sz="4" w:space="0" w:color="000000"/>
              <w:right w:val="nil" w:sz="6" w:space="0" w:color="auto"/>
            </w:tcBorders>
          </w:tcPr>
          <w:p>
            <w:pPr/>
          </w:p>
        </w:tc>
        <w:tc>
          <w:tcPr>
            <w:tcW w:w="337" w:type="dxa"/>
            <w:vMerge/>
            <w:tcBorders>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98" w:type="dxa"/>
            <w:tcBorders>
              <w:top w:val="single" w:sz="4" w:space="0" w:color="000000"/>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7" w:type="dxa"/>
            <w:tcBorders>
              <w:top w:val="single" w:sz="4" w:space="0" w:color="000000"/>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5" w:hRule="exact"/>
        </w:trPr>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337"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2,115.00</w:t>
            </w:r>
          </w:p>
        </w:tc>
        <w:tc>
          <w:tcPr>
            <w:tcW w:w="298"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2,115.00</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33.3071</w:t>
            </w:r>
          </w:p>
        </w:tc>
        <w:tc>
          <w:tcPr>
            <w:tcW w:w="247"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44.5263</w:t>
            </w:r>
          </w:p>
        </w:tc>
      </w:tr>
      <w:tr>
        <w:trPr>
          <w:trHeight w:val="341"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337"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705.00</w:t>
            </w:r>
          </w:p>
        </w:tc>
        <w:tc>
          <w:tcPr>
            <w:tcW w:w="29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705.00</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11.1024</w:t>
            </w:r>
          </w:p>
        </w:tc>
        <w:tc>
          <w:tcPr>
            <w:tcW w:w="24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14.8421</w:t>
            </w:r>
          </w:p>
        </w:tc>
      </w:tr>
      <w:tr>
        <w:trPr>
          <w:trHeight w:val="262"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337"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705.00</w:t>
            </w:r>
          </w:p>
        </w:tc>
        <w:tc>
          <w:tcPr>
            <w:tcW w:w="29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705.00</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11.1024</w:t>
            </w:r>
          </w:p>
        </w:tc>
        <w:tc>
          <w:tcPr>
            <w:tcW w:w="24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14.8421</w:t>
            </w:r>
          </w:p>
        </w:tc>
      </w:tr>
    </w:tbl>
    <w:p>
      <w:pPr>
        <w:spacing w:line="240" w:lineRule="auto" w:before="11"/>
        <w:rPr>
          <w:rFonts w:ascii="宋体" w:hAnsi="宋体" w:cs="宋体" w:eastAsia="宋体" w:hint="default"/>
          <w:b/>
          <w:bCs/>
          <w:sz w:val="21"/>
          <w:szCs w:val="21"/>
        </w:rPr>
      </w:pPr>
    </w:p>
    <w:p>
      <w:pPr>
        <w:spacing w:before="44"/>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本公司的子公司情况：</w:t>
      </w:r>
      <w:r>
        <w:rPr>
          <w:rFonts w:ascii="宋体" w:hAnsi="宋体" w:cs="宋体" w:eastAsia="宋体" w:hint="default"/>
          <w:sz w:val="18"/>
          <w:szCs w:val="18"/>
        </w:rPr>
      </w:r>
    </w:p>
    <w:p>
      <w:pPr>
        <w:spacing w:before="24"/>
        <w:ind w:left="142" w:right="0" w:firstLine="0"/>
        <w:jc w:val="lef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5"/>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322"/>
        <w:gridCol w:w="761"/>
        <w:gridCol w:w="852"/>
        <w:gridCol w:w="852"/>
        <w:gridCol w:w="747"/>
        <w:gridCol w:w="876"/>
        <w:gridCol w:w="854"/>
        <w:gridCol w:w="925"/>
        <w:gridCol w:w="1008"/>
        <w:gridCol w:w="1157"/>
      </w:tblGrid>
      <w:tr>
        <w:trPr>
          <w:trHeight w:val="48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50"/>
              <w:jc w:val="left"/>
              <w:rPr>
                <w:rFonts w:ascii="宋体" w:hAnsi="宋体" w:cs="宋体" w:eastAsia="宋体" w:hint="default"/>
                <w:sz w:val="15"/>
                <w:szCs w:val="15"/>
              </w:rPr>
            </w:pPr>
            <w:r>
              <w:rPr>
                <w:rFonts w:ascii="宋体" w:hAnsi="宋体" w:cs="宋体" w:eastAsia="宋体" w:hint="default"/>
                <w:spacing w:val="31"/>
                <w:sz w:val="15"/>
                <w:szCs w:val="15"/>
              </w:rPr>
              <w:t>子公司</w:t>
            </w:r>
            <w:r>
              <w:rPr>
                <w:rFonts w:ascii="宋体" w:hAnsi="宋体" w:cs="宋体" w:eastAsia="宋体" w:hint="default"/>
                <w:spacing w:val="-69"/>
                <w:sz w:val="15"/>
                <w:szCs w:val="15"/>
              </w:rPr>
              <w:t> </w:t>
            </w:r>
            <w:r>
              <w:rPr>
                <w:rFonts w:ascii="宋体" w:hAnsi="宋体" w:cs="宋体" w:eastAsia="宋体" w:hint="default"/>
                <w:sz w:val="15"/>
                <w:szCs w:val="15"/>
              </w:rPr>
              <w:t>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58"/>
              <w:jc w:val="left"/>
              <w:rPr>
                <w:rFonts w:ascii="宋体" w:hAnsi="宋体" w:cs="宋体" w:eastAsia="宋体" w:hint="default"/>
                <w:sz w:val="15"/>
                <w:szCs w:val="15"/>
              </w:rPr>
            </w:pPr>
            <w:r>
              <w:rPr>
                <w:rFonts w:ascii="宋体" w:hAnsi="宋体" w:cs="宋体" w:eastAsia="宋体" w:hint="default"/>
                <w:spacing w:val="26"/>
                <w:sz w:val="15"/>
                <w:szCs w:val="15"/>
              </w:rPr>
              <w:t>法定代</w:t>
            </w:r>
            <w:r>
              <w:rPr>
                <w:rFonts w:ascii="宋体" w:hAnsi="宋体" w:cs="宋体" w:eastAsia="宋体" w:hint="default"/>
                <w:spacing w:val="-70"/>
                <w:sz w:val="15"/>
                <w:szCs w:val="15"/>
              </w:rPr>
              <w:t> </w:t>
            </w:r>
            <w:r>
              <w:rPr>
                <w:rFonts w:ascii="宋体" w:hAnsi="宋体" w:cs="宋体" w:eastAsia="宋体" w:hint="default"/>
                <w:sz w:val="15"/>
                <w:szCs w:val="15"/>
              </w:rPr>
              <w:t>表人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0" w:right="0"/>
              <w:jc w:val="left"/>
              <w:rPr>
                <w:rFonts w:ascii="宋体" w:hAnsi="宋体" w:cs="宋体" w:eastAsia="宋体" w:hint="default"/>
                <w:sz w:val="15"/>
                <w:szCs w:val="15"/>
              </w:rPr>
            </w:pPr>
            <w:r>
              <w:rPr>
                <w:rFonts w:ascii="宋体" w:hAnsi="宋体" w:cs="宋体" w:eastAsia="宋体" w:hint="default"/>
                <w:sz w:val="15"/>
                <w:szCs w:val="15"/>
              </w:rPr>
              <w:t>持股比例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0" w:right="0"/>
              <w:jc w:val="left"/>
              <w:rPr>
                <w:rFonts w:ascii="宋体" w:hAnsi="宋体" w:cs="宋体" w:eastAsia="宋体" w:hint="default"/>
                <w:sz w:val="15"/>
                <w:szCs w:val="15"/>
              </w:rPr>
            </w:pPr>
            <w:r>
              <w:rPr>
                <w:rFonts w:ascii="宋体" w:hAnsi="宋体" w:cs="宋体" w:eastAsia="宋体" w:hint="default"/>
                <w:sz w:val="15"/>
                <w:szCs w:val="15"/>
              </w:rPr>
              <w:t>表决权比例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0" w:right="0"/>
              <w:jc w:val="left"/>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48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15"/>
                <w:szCs w:val="15"/>
              </w:rPr>
            </w:pPr>
            <w:r>
              <w:rPr>
                <w:rFonts w:ascii="宋体" w:hAnsi="宋体" w:cs="宋体" w:eastAsia="宋体" w:hint="default"/>
                <w:spacing w:val="6"/>
                <w:sz w:val="15"/>
                <w:szCs w:val="15"/>
              </w:rPr>
              <w:t>深圳市新国都软</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件技术有限公司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50"/>
              <w:jc w:val="left"/>
              <w:rPr>
                <w:rFonts w:ascii="宋体" w:hAnsi="宋体" w:cs="宋体" w:eastAsia="宋体" w:hint="default"/>
                <w:sz w:val="15"/>
                <w:szCs w:val="15"/>
              </w:rPr>
            </w:pPr>
            <w:r>
              <w:rPr>
                <w:rFonts w:ascii="宋体" w:hAnsi="宋体" w:cs="宋体" w:eastAsia="宋体" w:hint="default"/>
                <w:spacing w:val="31"/>
                <w:sz w:val="15"/>
                <w:szCs w:val="15"/>
              </w:rPr>
              <w:t>全资子</w:t>
            </w:r>
            <w:r>
              <w:rPr>
                <w:rFonts w:ascii="宋体" w:hAnsi="宋体" w:cs="宋体" w:eastAsia="宋体" w:hint="default"/>
                <w:spacing w:val="-69"/>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15"/>
                <w:szCs w:val="15"/>
              </w:rPr>
            </w:pPr>
            <w:r>
              <w:rPr>
                <w:rFonts w:ascii="宋体" w:hAnsi="宋体" w:cs="宋体" w:eastAsia="宋体" w:hint="default"/>
                <w:spacing w:val="7"/>
                <w:sz w:val="15"/>
                <w:szCs w:val="15"/>
              </w:rPr>
              <w:t>有限责任</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0" w:right="0"/>
              <w:jc w:val="left"/>
              <w:rPr>
                <w:rFonts w:ascii="宋体" w:hAnsi="宋体" w:cs="宋体" w:eastAsia="宋体" w:hint="default"/>
                <w:sz w:val="15"/>
                <w:szCs w:val="15"/>
              </w:rPr>
            </w:pPr>
            <w:r>
              <w:rPr>
                <w:rFonts w:ascii="宋体" w:hAnsi="宋体" w:cs="宋体" w:eastAsia="宋体" w:hint="default"/>
                <w:sz w:val="15"/>
                <w:szCs w:val="15"/>
              </w:rPr>
              <w:t>刘亚</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软件</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67004405-3</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36"/>
              <w:ind w:left="103" w:right="99"/>
              <w:jc w:val="left"/>
              <w:rPr>
                <w:rFonts w:ascii="宋体" w:hAnsi="宋体" w:cs="宋体" w:eastAsia="宋体" w:hint="default"/>
                <w:sz w:val="15"/>
                <w:szCs w:val="15"/>
              </w:rPr>
            </w:pPr>
            <w:r>
              <w:rPr>
                <w:rFonts w:ascii="宋体" w:hAnsi="宋体" w:cs="宋体" w:eastAsia="宋体" w:hint="default"/>
                <w:spacing w:val="6"/>
                <w:sz w:val="15"/>
                <w:szCs w:val="15"/>
              </w:rPr>
              <w:t>南京市新国都技</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36"/>
              <w:ind w:left="103" w:right="50"/>
              <w:jc w:val="left"/>
              <w:rPr>
                <w:rFonts w:ascii="宋体" w:hAnsi="宋体" w:cs="宋体" w:eastAsia="宋体" w:hint="default"/>
                <w:sz w:val="15"/>
                <w:szCs w:val="15"/>
              </w:rPr>
            </w:pPr>
            <w:r>
              <w:rPr>
                <w:rFonts w:ascii="宋体" w:hAnsi="宋体" w:cs="宋体" w:eastAsia="宋体" w:hint="default"/>
                <w:spacing w:val="31"/>
                <w:sz w:val="15"/>
                <w:szCs w:val="15"/>
              </w:rPr>
              <w:t>全资子</w:t>
            </w:r>
            <w:r>
              <w:rPr>
                <w:rFonts w:ascii="宋体" w:hAnsi="宋体" w:cs="宋体" w:eastAsia="宋体" w:hint="default"/>
                <w:spacing w:val="-69"/>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36"/>
              <w:ind w:left="103" w:right="99"/>
              <w:jc w:val="left"/>
              <w:rPr>
                <w:rFonts w:ascii="宋体" w:hAnsi="宋体" w:cs="宋体" w:eastAsia="宋体" w:hint="default"/>
                <w:sz w:val="15"/>
                <w:szCs w:val="15"/>
              </w:rPr>
            </w:pPr>
            <w:r>
              <w:rPr>
                <w:rFonts w:ascii="宋体" w:hAnsi="宋体" w:cs="宋体" w:eastAsia="宋体" w:hint="default"/>
                <w:spacing w:val="7"/>
                <w:sz w:val="15"/>
                <w:szCs w:val="15"/>
              </w:rPr>
              <w:t>有限责任</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5"/>
                <w:szCs w:val="15"/>
              </w:rPr>
            </w:pPr>
            <w:r>
              <w:rPr>
                <w:rFonts w:ascii="宋体" w:hAnsi="宋体" w:cs="宋体" w:eastAsia="宋体" w:hint="default"/>
                <w:sz w:val="15"/>
                <w:szCs w:val="15"/>
              </w:rPr>
              <w:t>南京市</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15"/>
                <w:szCs w:val="15"/>
              </w:rPr>
            </w:pPr>
            <w:r>
              <w:rPr>
                <w:rFonts w:ascii="宋体" w:hAnsi="宋体" w:cs="宋体" w:eastAsia="宋体" w:hint="default"/>
                <w:sz w:val="15"/>
                <w:szCs w:val="15"/>
              </w:rPr>
              <w:t>童卫东</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5"/>
                <w:szCs w:val="15"/>
              </w:rPr>
            </w:pPr>
            <w:r>
              <w:rPr>
                <w:rFonts w:ascii="宋体" w:hAnsi="宋体" w:cs="宋体" w:eastAsia="宋体" w:hint="default"/>
                <w:sz w:val="15"/>
                <w:szCs w:val="15"/>
              </w:rPr>
              <w:t>软件</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1,300.00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68672193-6</w:t>
            </w:r>
          </w:p>
        </w:tc>
      </w:tr>
      <w:tr>
        <w:trPr>
          <w:trHeight w:val="48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15"/>
                <w:szCs w:val="15"/>
              </w:rPr>
            </w:pPr>
            <w:r>
              <w:rPr>
                <w:rFonts w:ascii="宋体" w:hAnsi="宋体" w:cs="宋体" w:eastAsia="宋体" w:hint="default"/>
                <w:spacing w:val="6"/>
                <w:sz w:val="15"/>
                <w:szCs w:val="15"/>
              </w:rPr>
              <w:t>广州市新国都信</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息科技有限公司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50"/>
              <w:jc w:val="left"/>
              <w:rPr>
                <w:rFonts w:ascii="宋体" w:hAnsi="宋体" w:cs="宋体" w:eastAsia="宋体" w:hint="default"/>
                <w:sz w:val="15"/>
                <w:szCs w:val="15"/>
              </w:rPr>
            </w:pPr>
            <w:r>
              <w:rPr>
                <w:rFonts w:ascii="宋体" w:hAnsi="宋体" w:cs="宋体" w:eastAsia="宋体" w:hint="default"/>
                <w:spacing w:val="31"/>
                <w:sz w:val="15"/>
                <w:szCs w:val="15"/>
              </w:rPr>
              <w:t>全资子</w:t>
            </w:r>
            <w:r>
              <w:rPr>
                <w:rFonts w:ascii="宋体" w:hAnsi="宋体" w:cs="宋体" w:eastAsia="宋体" w:hint="default"/>
                <w:spacing w:val="-69"/>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15"/>
                <w:szCs w:val="15"/>
              </w:rPr>
            </w:pPr>
            <w:r>
              <w:rPr>
                <w:rFonts w:ascii="宋体" w:hAnsi="宋体" w:cs="宋体" w:eastAsia="宋体" w:hint="default"/>
                <w:spacing w:val="7"/>
                <w:sz w:val="15"/>
                <w:szCs w:val="15"/>
              </w:rPr>
              <w:t>有限责任</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0" w:right="0"/>
              <w:jc w:val="left"/>
              <w:rPr>
                <w:rFonts w:ascii="宋体" w:hAnsi="宋体" w:cs="宋体" w:eastAsia="宋体" w:hint="default"/>
                <w:sz w:val="15"/>
                <w:szCs w:val="15"/>
              </w:rPr>
            </w:pPr>
            <w:r>
              <w:rPr>
                <w:rFonts w:ascii="宋体" w:hAnsi="宋体" w:cs="宋体" w:eastAsia="宋体" w:hint="default"/>
                <w:sz w:val="15"/>
                <w:szCs w:val="15"/>
              </w:rPr>
              <w:t>汪洋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软件</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68934614-X</w:t>
            </w:r>
          </w:p>
        </w:tc>
      </w:tr>
    </w:tbl>
    <w:p>
      <w:pPr>
        <w:spacing w:line="240" w:lineRule="auto" w:before="12"/>
        <w:rPr>
          <w:rFonts w:ascii="宋体" w:hAnsi="宋体" w:cs="宋体" w:eastAsia="宋体" w:hint="default"/>
          <w:sz w:val="15"/>
          <w:szCs w:val="15"/>
        </w:rPr>
      </w:pPr>
    </w:p>
    <w:p>
      <w:pPr>
        <w:spacing w:before="44"/>
        <w:ind w:left="1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本公司的其他关联方情况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56" w:type="dxa"/>
        <w:tblLayout w:type="fixed"/>
        <w:tblCellMar>
          <w:top w:w="0" w:type="dxa"/>
          <w:left w:w="0" w:type="dxa"/>
          <w:bottom w:w="0" w:type="dxa"/>
          <w:right w:w="0" w:type="dxa"/>
        </w:tblCellMar>
        <w:tblLook w:val="01E0"/>
      </w:tblPr>
      <w:tblGrid>
        <w:gridCol w:w="3039"/>
        <w:gridCol w:w="2883"/>
        <w:gridCol w:w="3411"/>
      </w:tblGrid>
      <w:tr>
        <w:trPr>
          <w:trHeight w:val="282" w:hRule="exact"/>
        </w:trPr>
        <w:tc>
          <w:tcPr>
            <w:tcW w:w="3039"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373" w:hRule="exact"/>
        </w:trPr>
        <w:tc>
          <w:tcPr>
            <w:tcW w:w="303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c>
      </w:tr>
      <w:tr>
        <w:trPr>
          <w:trHeight w:val="275"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深圳市联合英华软件技术有限公司</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c>
      </w:tr>
    </w:tbl>
    <w:p>
      <w:pPr>
        <w:spacing w:after="0" w:line="240" w:lineRule="auto"/>
        <w:jc w:val="left"/>
        <w:rPr>
          <w:rFonts w:ascii="宋体" w:hAnsi="宋体" w:cs="宋体" w:eastAsia="宋体" w:hint="default"/>
          <w:sz w:val="18"/>
          <w:szCs w:val="18"/>
        </w:rPr>
        <w:sectPr>
          <w:pgSz w:w="11910" w:h="16840"/>
          <w:pgMar w:header="877" w:footer="1226" w:top="1060" w:bottom="1420" w:left="1560" w:right="740"/>
        </w:sectPr>
      </w:pPr>
    </w:p>
    <w:p>
      <w:pPr>
        <w:spacing w:line="240" w:lineRule="auto" w:before="11"/>
        <w:rPr>
          <w:rFonts w:ascii="宋体" w:hAnsi="宋体" w:cs="宋体" w:eastAsia="宋体" w:hint="default"/>
          <w:b/>
          <w:bCs/>
          <w:sz w:val="2"/>
          <w:szCs w:val="2"/>
        </w:rPr>
      </w:pPr>
    </w:p>
    <w:tbl>
      <w:tblPr>
        <w:tblW w:w="0" w:type="auto"/>
        <w:jc w:val="left"/>
        <w:tblInd w:w="813" w:type="dxa"/>
        <w:tblLayout w:type="fixed"/>
        <w:tblCellMar>
          <w:top w:w="0" w:type="dxa"/>
          <w:left w:w="0" w:type="dxa"/>
          <w:bottom w:w="0" w:type="dxa"/>
          <w:right w:w="0" w:type="dxa"/>
        </w:tblCellMar>
        <w:tblLook w:val="01E0"/>
      </w:tblPr>
      <w:tblGrid>
        <w:gridCol w:w="4113"/>
        <w:gridCol w:w="4581"/>
      </w:tblGrid>
      <w:tr>
        <w:trPr>
          <w:trHeight w:val="389" w:hRule="exact"/>
        </w:trPr>
        <w:tc>
          <w:tcPr>
            <w:tcW w:w="4113"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深圳市敏思达技术有限公司</w:t>
            </w:r>
          </w:p>
        </w:tc>
        <w:tc>
          <w:tcPr>
            <w:tcW w:w="4581"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1880" w:right="0"/>
              <w:jc w:val="left"/>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c>
      </w:tr>
      <w:tr>
        <w:trPr>
          <w:trHeight w:val="275" w:hRule="exact"/>
        </w:trPr>
        <w:tc>
          <w:tcPr>
            <w:tcW w:w="411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1" w:right="0"/>
              <w:jc w:val="left"/>
              <w:rPr>
                <w:rFonts w:ascii="宋体" w:hAnsi="宋体" w:cs="宋体" w:eastAsia="宋体" w:hint="default"/>
                <w:sz w:val="18"/>
                <w:szCs w:val="18"/>
              </w:rPr>
            </w:pPr>
            <w:r>
              <w:rPr>
                <w:rFonts w:ascii="宋体" w:hAnsi="宋体" w:cs="宋体" w:eastAsia="宋体" w:hint="default"/>
                <w:sz w:val="18"/>
                <w:szCs w:val="18"/>
              </w:rPr>
              <w:t>肇庆市好易联网络有限公司</w:t>
            </w:r>
          </w:p>
        </w:tc>
        <w:tc>
          <w:tcPr>
            <w:tcW w:w="45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880" w:right="0"/>
              <w:jc w:val="left"/>
              <w:rPr>
                <w:rFonts w:ascii="宋体" w:hAnsi="宋体" w:cs="宋体" w:eastAsia="宋体" w:hint="default"/>
                <w:sz w:val="18"/>
                <w:szCs w:val="18"/>
              </w:rPr>
            </w:pPr>
            <w:r>
              <w:rPr>
                <w:rFonts w:ascii="宋体" w:hAnsi="宋体" w:cs="宋体" w:eastAsia="宋体" w:hint="default"/>
                <w:sz w:val="18"/>
                <w:szCs w:val="18"/>
              </w:rPr>
              <w:t>本公司联营公司</w:t>
            </w:r>
          </w:p>
        </w:tc>
      </w:tr>
    </w:tbl>
    <w:p>
      <w:pPr>
        <w:spacing w:line="240" w:lineRule="auto" w:before="7"/>
        <w:rPr>
          <w:rFonts w:ascii="宋体" w:hAnsi="宋体" w:cs="宋体" w:eastAsia="宋体" w:hint="default"/>
          <w:b/>
          <w:bCs/>
          <w:sz w:val="23"/>
          <w:szCs w:val="23"/>
        </w:rPr>
      </w:pPr>
    </w:p>
    <w:p>
      <w:pPr>
        <w:spacing w:before="44"/>
        <w:ind w:left="842" w:right="0" w:firstLine="0"/>
        <w:jc w:val="both"/>
        <w:rPr>
          <w:rFonts w:ascii="宋体" w:hAnsi="宋体" w:cs="宋体" w:eastAsia="宋体" w:hint="default"/>
          <w:sz w:val="18"/>
          <w:szCs w:val="18"/>
        </w:rPr>
      </w:pPr>
      <w:r>
        <w:rPr>
          <w:rFonts w:ascii="宋体" w:hAnsi="宋体" w:cs="宋体" w:eastAsia="宋体" w:hint="default"/>
          <w:b/>
          <w:bCs/>
          <w:sz w:val="18"/>
          <w:szCs w:val="18"/>
        </w:rPr>
        <w:t>（二）关联方交易</w:t>
      </w:r>
      <w:r>
        <w:rPr>
          <w:rFonts w:ascii="宋体" w:hAnsi="宋体" w:cs="宋体" w:eastAsia="宋体" w:hint="default"/>
          <w:sz w:val="18"/>
          <w:szCs w:val="18"/>
        </w:rPr>
      </w:r>
    </w:p>
    <w:p>
      <w:pPr>
        <w:spacing w:before="38"/>
        <w:ind w:left="8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存在控制关系且已纳入本公司合并财务报表范围的子公司，其相互间交易及母子公司交易已作抵销。</w:t>
      </w:r>
    </w:p>
    <w:p>
      <w:pPr>
        <w:spacing w:before="22"/>
        <w:ind w:left="8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关联销售、采购及委托加工</w:t>
      </w:r>
    </w:p>
    <w:p>
      <w:pPr>
        <w:spacing w:before="24"/>
        <w:ind w:left="8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年度无关联销售、采购及委托加工。</w:t>
      </w:r>
    </w:p>
    <w:p>
      <w:pPr>
        <w:spacing w:before="24"/>
        <w:ind w:left="8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房屋租赁</w:t>
      </w:r>
    </w:p>
    <w:p>
      <w:pPr>
        <w:spacing w:line="223" w:lineRule="auto" w:before="41"/>
        <w:ind w:left="842" w:right="845" w:firstLine="0"/>
        <w:jc w:val="both"/>
        <w:rPr>
          <w:rFonts w:ascii="宋体" w:hAnsi="宋体" w:cs="宋体" w:eastAsia="宋体" w:hint="default"/>
          <w:sz w:val="18"/>
          <w:szCs w:val="18"/>
        </w:rPr>
      </w:pPr>
      <w:r>
        <w:rPr>
          <w:rFonts w:ascii="宋体" w:hAnsi="宋体" w:cs="宋体" w:eastAsia="宋体" w:hint="default"/>
          <w:sz w:val="18"/>
          <w:szCs w:val="18"/>
        </w:rPr>
        <w:t>本公司与深圳市泰德信实业有限公司签订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年房屋租赁合同，深圳市泰德信实业有限公司将其位于深圳市 福田区泰然大道东路泰然劲松大厦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17A</w:t>
      </w:r>
      <w:r>
        <w:rPr>
          <w:rFonts w:ascii="宋体" w:hAnsi="宋体" w:cs="宋体" w:eastAsia="宋体" w:hint="default"/>
          <w:sz w:val="18"/>
          <w:szCs w:val="18"/>
        </w:rPr>
        <w:t>、</w:t>
      </w:r>
      <w:r>
        <w:rPr>
          <w:rFonts w:ascii="Times New Roman" w:hAnsi="Times New Roman" w:cs="Times New Roman" w:eastAsia="Times New Roman" w:hint="default"/>
          <w:sz w:val="18"/>
          <w:szCs w:val="18"/>
        </w:rPr>
        <w:t>17B</w:t>
      </w:r>
      <w:r>
        <w:rPr>
          <w:rFonts w:ascii="宋体" w:hAnsi="宋体" w:cs="宋体" w:eastAsia="宋体" w:hint="default"/>
          <w:sz w:val="18"/>
          <w:szCs w:val="18"/>
        </w:rPr>
        <w:t>、</w:t>
      </w:r>
      <w:r>
        <w:rPr>
          <w:rFonts w:ascii="Times New Roman" w:hAnsi="Times New Roman" w:cs="Times New Roman" w:eastAsia="Times New Roman" w:hint="default"/>
          <w:sz w:val="18"/>
          <w:szCs w:val="18"/>
        </w:rPr>
        <w:t>17C</w:t>
      </w:r>
      <w:r>
        <w:rPr>
          <w:rFonts w:ascii="宋体" w:hAnsi="宋体" w:cs="宋体" w:eastAsia="宋体" w:hint="default"/>
          <w:sz w:val="18"/>
          <w:szCs w:val="18"/>
        </w:rPr>
        <w:t>、</w:t>
      </w:r>
      <w:r>
        <w:rPr>
          <w:rFonts w:ascii="Times New Roman" w:hAnsi="Times New Roman" w:cs="Times New Roman" w:eastAsia="Times New Roman" w:hint="default"/>
          <w:sz w:val="18"/>
          <w:szCs w:val="18"/>
        </w:rPr>
        <w:t>17D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建筑面积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886.6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平方米的房屋租赁给本公司使用，租 赁期自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日止，月租金为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exact" w:before="29"/>
        <w:ind w:left="842" w:right="0" w:firstLine="0"/>
        <w:jc w:val="both"/>
        <w:rPr>
          <w:rFonts w:ascii="宋体" w:hAnsi="宋体" w:cs="宋体" w:eastAsia="宋体" w:hint="default"/>
          <w:sz w:val="18"/>
          <w:szCs w:val="18"/>
        </w:rPr>
      </w:pPr>
      <w:r>
        <w:rPr>
          <w:rFonts w:ascii="宋体" w:hAnsi="宋体" w:cs="宋体" w:eastAsia="宋体" w:hint="default"/>
          <w:sz w:val="18"/>
          <w:szCs w:val="18"/>
        </w:rPr>
        <w:t>本公司与深圳市泰德信实业有限公司签订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年房屋租赁合同的补充合同，合同规定自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日起月</w:t>
      </w:r>
    </w:p>
    <w:p>
      <w:pPr>
        <w:spacing w:line="240" w:lineRule="exact" w:before="0"/>
        <w:ind w:left="842" w:right="0" w:firstLine="0"/>
        <w:jc w:val="both"/>
        <w:rPr>
          <w:rFonts w:ascii="宋体" w:hAnsi="宋体" w:cs="宋体" w:eastAsia="宋体" w:hint="default"/>
          <w:sz w:val="18"/>
          <w:szCs w:val="18"/>
        </w:rPr>
      </w:pPr>
      <w:r>
        <w:rPr>
          <w:rFonts w:ascii="宋体" w:hAnsi="宋体" w:cs="宋体" w:eastAsia="宋体" w:hint="default"/>
          <w:sz w:val="18"/>
          <w:szCs w:val="18"/>
        </w:rPr>
        <w:t>租金由原来的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70,928.00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元，其余条款仍按原合同执行。</w:t>
      </w:r>
    </w:p>
    <w:p>
      <w:pPr>
        <w:spacing w:before="25"/>
        <w:ind w:left="842" w:right="0" w:firstLine="0"/>
        <w:jc w:val="both"/>
        <w:rPr>
          <w:rFonts w:ascii="宋体" w:hAnsi="宋体" w:cs="宋体" w:eastAsia="宋体" w:hint="default"/>
          <w:sz w:val="18"/>
          <w:szCs w:val="18"/>
        </w:rPr>
      </w:pPr>
      <w:r>
        <w:rPr>
          <w:rFonts w:ascii="宋体" w:hAnsi="宋体" w:cs="宋体" w:eastAsia="宋体" w:hint="default"/>
          <w:b/>
          <w:bCs/>
          <w:sz w:val="18"/>
          <w:szCs w:val="18"/>
        </w:rPr>
        <w:t>（三）关联方应收应付款项</w:t>
      </w:r>
      <w:r>
        <w:rPr>
          <w:rFonts w:ascii="宋体" w:hAnsi="宋体" w:cs="宋体" w:eastAsia="宋体" w:hint="default"/>
          <w:sz w:val="18"/>
          <w:szCs w:val="18"/>
        </w:rPr>
      </w:r>
    </w:p>
    <w:p>
      <w:pPr>
        <w:spacing w:before="38"/>
        <w:ind w:left="842" w:right="0" w:firstLine="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日，本公司无关联应收应付款项。</w:t>
      </w:r>
    </w:p>
    <w:p>
      <w:pPr>
        <w:spacing w:line="240" w:lineRule="auto" w:before="10"/>
        <w:rPr>
          <w:rFonts w:ascii="宋体" w:hAnsi="宋体" w:cs="宋体" w:eastAsia="宋体" w:hint="default"/>
          <w:sz w:val="20"/>
          <w:szCs w:val="20"/>
        </w:rPr>
      </w:pPr>
    </w:p>
    <w:p>
      <w:pPr>
        <w:spacing w:before="0"/>
        <w:ind w:left="842" w:right="0" w:firstLine="0"/>
        <w:jc w:val="both"/>
        <w:rPr>
          <w:rFonts w:ascii="宋体" w:hAnsi="宋体" w:cs="宋体" w:eastAsia="宋体" w:hint="default"/>
          <w:sz w:val="18"/>
          <w:szCs w:val="18"/>
        </w:rPr>
      </w:pPr>
      <w:r>
        <w:rPr>
          <w:rFonts w:ascii="宋体" w:hAnsi="宋体" w:cs="宋体" w:eastAsia="宋体" w:hint="default"/>
          <w:b/>
          <w:bCs/>
          <w:sz w:val="18"/>
          <w:szCs w:val="18"/>
        </w:rPr>
        <w:t>七、或有事项</w:t>
      </w:r>
      <w:r>
        <w:rPr>
          <w:rFonts w:ascii="宋体" w:hAnsi="宋体" w:cs="宋体" w:eastAsia="宋体" w:hint="default"/>
          <w:sz w:val="18"/>
          <w:szCs w:val="18"/>
        </w:rPr>
      </w:r>
    </w:p>
    <w:p>
      <w:pPr>
        <w:spacing w:before="38"/>
        <w:ind w:left="842" w:right="0" w:firstLine="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日，本公司无需要披露的或有事项。</w:t>
      </w:r>
    </w:p>
    <w:p>
      <w:pPr>
        <w:spacing w:line="240" w:lineRule="auto" w:before="8"/>
        <w:rPr>
          <w:rFonts w:ascii="宋体" w:hAnsi="宋体" w:cs="宋体" w:eastAsia="宋体" w:hint="default"/>
          <w:sz w:val="20"/>
          <w:szCs w:val="20"/>
        </w:rPr>
      </w:pPr>
    </w:p>
    <w:p>
      <w:pPr>
        <w:spacing w:before="0"/>
        <w:ind w:left="842" w:right="0" w:firstLine="0"/>
        <w:jc w:val="both"/>
        <w:rPr>
          <w:rFonts w:ascii="宋体" w:hAnsi="宋体" w:cs="宋体" w:eastAsia="宋体" w:hint="default"/>
          <w:sz w:val="18"/>
          <w:szCs w:val="18"/>
        </w:rPr>
      </w:pPr>
      <w:r>
        <w:rPr>
          <w:rFonts w:ascii="宋体" w:hAnsi="宋体" w:cs="宋体" w:eastAsia="宋体" w:hint="default"/>
          <w:b/>
          <w:bCs/>
          <w:sz w:val="18"/>
          <w:szCs w:val="18"/>
        </w:rPr>
        <w:t>八、承诺事项</w:t>
      </w:r>
      <w:r>
        <w:rPr>
          <w:rFonts w:ascii="宋体" w:hAnsi="宋体" w:cs="宋体" w:eastAsia="宋体" w:hint="default"/>
          <w:sz w:val="18"/>
          <w:szCs w:val="18"/>
        </w:rPr>
      </w:r>
    </w:p>
    <w:p>
      <w:pPr>
        <w:spacing w:before="38"/>
        <w:ind w:left="842" w:right="0" w:firstLine="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日，本公司无需要披露的重大承诺事项。</w:t>
      </w:r>
    </w:p>
    <w:p>
      <w:pPr>
        <w:spacing w:line="240" w:lineRule="auto" w:before="10"/>
        <w:rPr>
          <w:rFonts w:ascii="宋体" w:hAnsi="宋体" w:cs="宋体" w:eastAsia="宋体" w:hint="default"/>
          <w:sz w:val="20"/>
          <w:szCs w:val="20"/>
        </w:rPr>
      </w:pPr>
    </w:p>
    <w:p>
      <w:pPr>
        <w:spacing w:before="0"/>
        <w:ind w:left="842" w:right="0" w:firstLine="0"/>
        <w:jc w:val="both"/>
        <w:rPr>
          <w:rFonts w:ascii="宋体" w:hAnsi="宋体" w:cs="宋体" w:eastAsia="宋体" w:hint="default"/>
          <w:sz w:val="18"/>
          <w:szCs w:val="18"/>
        </w:rPr>
      </w:pPr>
      <w:r>
        <w:rPr>
          <w:rFonts w:ascii="宋体" w:hAnsi="宋体" w:cs="宋体" w:eastAsia="宋体" w:hint="default"/>
          <w:b/>
          <w:bCs/>
          <w:sz w:val="18"/>
          <w:szCs w:val="18"/>
        </w:rPr>
        <w:t>九、资产负债表日后事项中的非调整事项</w:t>
      </w:r>
      <w:r>
        <w:rPr>
          <w:rFonts w:ascii="宋体" w:hAnsi="宋体" w:cs="宋体" w:eastAsia="宋体" w:hint="default"/>
          <w:sz w:val="18"/>
          <w:szCs w:val="18"/>
        </w:rPr>
      </w:r>
    </w:p>
    <w:p>
      <w:pPr>
        <w:spacing w:line="228" w:lineRule="auto" w:before="51"/>
        <w:ind w:left="842" w:right="84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日召开第一届董事会第十四次会议，会议通过了《关于审议使用部分其他与主营业 </w:t>
      </w:r>
      <w:r>
        <w:rPr>
          <w:rFonts w:ascii="宋体" w:hAnsi="宋体" w:cs="宋体" w:eastAsia="宋体" w:hint="default"/>
          <w:spacing w:val="-1"/>
          <w:sz w:val="18"/>
          <w:szCs w:val="18"/>
        </w:rPr>
        <w:t>务相关的营运资金对全资子公司深圳市新国都软件技术有限公司增资的议案》，同意从其他与主营业务相关的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营运资金中支出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亿元人民币，以货币出资形式向全资子公司新国都软件公司增资，该笔资金注入新国都软件 公司后将主要用于投入电子支付服务项目的经营。</w:t>
      </w:r>
    </w:p>
    <w:p>
      <w:pPr>
        <w:spacing w:line="241" w:lineRule="exact" w:before="41"/>
        <w:ind w:left="8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日召开第一届董事会第十四次会议，会议通过了《关于审议使用募集资金置换预先</w:t>
      </w:r>
    </w:p>
    <w:p>
      <w:pPr>
        <w:spacing w:line="230" w:lineRule="exact" w:before="18"/>
        <w:ind w:left="842" w:right="837" w:firstLine="0"/>
        <w:jc w:val="left"/>
        <w:rPr>
          <w:rFonts w:ascii="宋体" w:hAnsi="宋体" w:cs="宋体" w:eastAsia="宋体" w:hint="default"/>
          <w:sz w:val="18"/>
          <w:szCs w:val="18"/>
        </w:rPr>
      </w:pPr>
      <w:r>
        <w:rPr>
          <w:rFonts w:ascii="宋体" w:hAnsi="宋体" w:cs="宋体" w:eastAsia="宋体" w:hint="default"/>
          <w:spacing w:val="-4"/>
          <w:sz w:val="18"/>
          <w:szCs w:val="18"/>
        </w:rPr>
        <w:t>投入募集资金项目的自筹资金的议案》，同意以募集资金</w:t>
      </w:r>
      <w:r>
        <w:rPr>
          <w:rFonts w:ascii="宋体" w:hAnsi="宋体" w:cs="宋体" w:eastAsia="宋体" w:hint="default"/>
          <w:spacing w:val="-21"/>
          <w:sz w:val="18"/>
          <w:szCs w:val="18"/>
        </w:rPr>
        <w:t> </w:t>
      </w:r>
      <w:r>
        <w:rPr>
          <w:rFonts w:ascii="Times New Roman" w:hAnsi="Times New Roman" w:cs="Times New Roman" w:eastAsia="Times New Roman" w:hint="default"/>
          <w:spacing w:val="-1"/>
          <w:sz w:val="18"/>
          <w:szCs w:val="18"/>
        </w:rPr>
        <w:t>12,937,123.00</w:t>
      </w:r>
      <w:r>
        <w:rPr>
          <w:rFonts w:ascii="Times New Roman" w:hAnsi="Times New Roman" w:cs="Times New Roman" w:eastAsia="Times New Roman" w:hint="default"/>
          <w:spacing w:val="28"/>
          <w:sz w:val="18"/>
          <w:szCs w:val="18"/>
        </w:rPr>
        <w:t> </w:t>
      </w:r>
      <w:r>
        <w:rPr>
          <w:rFonts w:ascii="宋体" w:hAnsi="宋体" w:cs="宋体" w:eastAsia="宋体" w:hint="default"/>
          <w:spacing w:val="-1"/>
          <w:sz w:val="18"/>
          <w:szCs w:val="18"/>
        </w:rPr>
        <w:t>元置换预先已投入募集资金项目的自筹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p>
      <w:pPr>
        <w:spacing w:line="242" w:lineRule="exact" w:before="19"/>
        <w:ind w:left="84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日召开第一届董事会第十五次会议，会议通过了《关于审议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w:t>
      </w:r>
    </w:p>
    <w:p>
      <w:pPr>
        <w:spacing w:line="234" w:lineRule="exact" w:before="0"/>
        <w:ind w:left="842" w:right="0" w:firstLine="0"/>
        <w:jc w:val="both"/>
        <w:rPr>
          <w:rFonts w:ascii="宋体" w:hAnsi="宋体" w:cs="宋体" w:eastAsia="宋体" w:hint="default"/>
          <w:sz w:val="18"/>
          <w:szCs w:val="18"/>
        </w:rPr>
      </w:pPr>
      <w:r>
        <w:rPr>
          <w:rFonts w:ascii="宋体" w:hAnsi="宋体" w:cs="宋体" w:eastAsia="宋体" w:hint="default"/>
          <w:sz w:val="18"/>
          <w:szCs w:val="18"/>
        </w:rPr>
        <w:t>资本公积转增股本的议案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同意以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w:t>
      </w:r>
      <w:r>
        <w:rPr>
          <w:rFonts w:ascii="宋体" w:hAnsi="宋体" w:cs="宋体" w:eastAsia="宋体" w:hint="default"/>
          <w:spacing w:val="-34"/>
          <w:sz w:val="18"/>
          <w:szCs w:val="18"/>
        </w:rPr>
        <w:t>，</w:t>
      </w:r>
      <w:r>
        <w:rPr>
          <w:rFonts w:ascii="宋体" w:hAnsi="宋体" w:cs="宋体" w:eastAsia="宋体" w:hint="default"/>
          <w:spacing w:val="-3"/>
          <w:sz w:val="18"/>
          <w:szCs w:val="18"/>
        </w:rPr>
        <w:t>按</w:t>
      </w: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spacing w:line="232" w:lineRule="exact" w:before="0"/>
        <w:ind w:left="842" w:right="0" w:firstLine="0"/>
        <w:jc w:val="both"/>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共分配现金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7"/>
          <w:sz w:val="18"/>
          <w:szCs w:val="18"/>
        </w:rPr>
        <w:t>，</w:t>
      </w:r>
      <w:r>
        <w:rPr>
          <w:rFonts w:ascii="宋体" w:hAnsi="宋体" w:cs="宋体" w:eastAsia="宋体" w:hint="default"/>
          <w:sz w:val="18"/>
          <w:szCs w:val="18"/>
        </w:rPr>
        <w:t>剩余未分配</w:t>
      </w:r>
      <w:r>
        <w:rPr>
          <w:rFonts w:ascii="宋体" w:hAnsi="宋体" w:cs="宋体" w:eastAsia="宋体" w:hint="default"/>
          <w:spacing w:val="-3"/>
          <w:sz w:val="18"/>
          <w:szCs w:val="18"/>
        </w:rPr>
        <w:t>利</w:t>
      </w:r>
      <w:r>
        <w:rPr>
          <w:rFonts w:ascii="宋体" w:hAnsi="宋体" w:cs="宋体" w:eastAsia="宋体" w:hint="default"/>
          <w:sz w:val="18"/>
          <w:szCs w:val="18"/>
        </w:rPr>
        <w:t>润结转以后年度</w:t>
      </w:r>
      <w:r>
        <w:rPr>
          <w:rFonts w:ascii="宋体" w:hAnsi="宋体" w:cs="宋体" w:eastAsia="宋体" w:hint="default"/>
          <w:spacing w:val="-17"/>
          <w:sz w:val="18"/>
          <w:szCs w:val="18"/>
        </w:rPr>
        <w:t>；</w:t>
      </w:r>
      <w:r>
        <w:rPr>
          <w:rFonts w:ascii="宋体" w:hAnsi="宋体" w:cs="宋体" w:eastAsia="宋体" w:hint="default"/>
          <w:sz w:val="18"/>
          <w:szCs w:val="18"/>
        </w:rPr>
        <w:t>同时由资本公积金向全体股东每</w:t>
      </w:r>
    </w:p>
    <w:p>
      <w:pPr>
        <w:spacing w:line="501" w:lineRule="auto" w:before="0"/>
        <w:ind w:left="842" w:right="3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5,080 </w:t>
      </w:r>
      <w:r>
        <w:rPr>
          <w:rFonts w:ascii="宋体" w:hAnsi="宋体" w:cs="宋体" w:eastAsia="宋体" w:hint="default"/>
          <w:sz w:val="18"/>
          <w:szCs w:val="18"/>
        </w:rPr>
        <w:t>万股，并同意提交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年度股东大会审议。 </w:t>
      </w:r>
      <w:r>
        <w:rPr>
          <w:rFonts w:ascii="宋体" w:hAnsi="宋体" w:cs="宋体" w:eastAsia="宋体" w:hint="default"/>
          <w:b/>
          <w:bCs/>
          <w:sz w:val="18"/>
          <w:szCs w:val="18"/>
        </w:rPr>
        <w:t>十、</w:t>
      </w:r>
      <w:r>
        <w:rPr>
          <w:rFonts w:ascii="宋体" w:hAnsi="宋体" w:cs="宋体" w:eastAsia="宋体" w:hint="default"/>
          <w:b/>
          <w:bCs/>
          <w:spacing w:val="-36"/>
          <w:sz w:val="18"/>
          <w:szCs w:val="18"/>
        </w:rPr>
        <w:t> </w:t>
      </w:r>
      <w:r>
        <w:rPr>
          <w:rFonts w:ascii="宋体" w:hAnsi="宋体" w:cs="宋体" w:eastAsia="宋体" w:hint="default"/>
          <w:b/>
          <w:bCs/>
          <w:sz w:val="18"/>
          <w:szCs w:val="18"/>
        </w:rPr>
        <w:t>其他重要事项说明</w:t>
      </w:r>
      <w:r>
        <w:rPr>
          <w:rFonts w:ascii="宋体" w:hAnsi="宋体" w:cs="宋体" w:eastAsia="宋体" w:hint="default"/>
          <w:sz w:val="18"/>
          <w:szCs w:val="18"/>
        </w:rPr>
      </w:r>
    </w:p>
    <w:p>
      <w:pPr>
        <w:spacing w:before="89"/>
        <w:ind w:left="842" w:right="0" w:firstLine="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日，本公司无其他重要事项。</w:t>
      </w:r>
    </w:p>
    <w:p>
      <w:pPr>
        <w:spacing w:line="240" w:lineRule="auto" w:before="9"/>
        <w:rPr>
          <w:rFonts w:ascii="宋体" w:hAnsi="宋体" w:cs="宋体" w:eastAsia="宋体" w:hint="default"/>
          <w:sz w:val="20"/>
          <w:szCs w:val="20"/>
        </w:rPr>
      </w:pPr>
    </w:p>
    <w:p>
      <w:pPr>
        <w:spacing w:before="0"/>
        <w:ind w:left="842" w:right="0" w:firstLine="0"/>
        <w:jc w:val="both"/>
        <w:rPr>
          <w:rFonts w:ascii="宋体" w:hAnsi="宋体" w:cs="宋体" w:eastAsia="宋体" w:hint="default"/>
          <w:sz w:val="21"/>
          <w:szCs w:val="21"/>
        </w:rPr>
      </w:pPr>
      <w:r>
        <w:rPr>
          <w:rFonts w:ascii="宋体" w:hAnsi="宋体" w:cs="宋体" w:eastAsia="宋体" w:hint="default"/>
          <w:sz w:val="21"/>
          <w:szCs w:val="21"/>
        </w:rPr>
        <w:t>十一、母公司财务报表主要项目注释</w:t>
      </w:r>
    </w:p>
    <w:p>
      <w:pPr>
        <w:spacing w:line="240" w:lineRule="auto" w:before="11"/>
        <w:rPr>
          <w:rFonts w:ascii="宋体" w:hAnsi="宋体" w:cs="宋体" w:eastAsia="宋体" w:hint="default"/>
          <w:sz w:val="21"/>
          <w:szCs w:val="21"/>
        </w:rPr>
      </w:pPr>
    </w:p>
    <w:p>
      <w:pPr>
        <w:spacing w:before="0"/>
        <w:ind w:left="842" w:right="0" w:firstLine="0"/>
        <w:jc w:val="both"/>
        <w:rPr>
          <w:rFonts w:ascii="宋体" w:hAnsi="宋体" w:cs="宋体" w:eastAsia="宋体" w:hint="default"/>
          <w:sz w:val="18"/>
          <w:szCs w:val="18"/>
        </w:rPr>
      </w:pPr>
      <w:r>
        <w:rPr>
          <w:rFonts w:ascii="宋体" w:hAnsi="宋体" w:cs="宋体" w:eastAsia="宋体" w:hint="default"/>
          <w:b/>
          <w:bCs/>
          <w:sz w:val="18"/>
          <w:szCs w:val="18"/>
        </w:rPr>
        <w:t>（一）应收账款</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84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．应收账款按种类披露：</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14" w:type="dxa"/>
        <w:tblLayout w:type="fixed"/>
        <w:tblCellMar>
          <w:top w:w="0" w:type="dxa"/>
          <w:left w:w="0" w:type="dxa"/>
          <w:bottom w:w="0" w:type="dxa"/>
          <w:right w:w="0" w:type="dxa"/>
        </w:tblCellMar>
        <w:tblLook w:val="01E0"/>
      </w:tblPr>
      <w:tblGrid>
        <w:gridCol w:w="1700"/>
        <w:gridCol w:w="144"/>
        <w:gridCol w:w="1275"/>
        <w:gridCol w:w="711"/>
        <w:gridCol w:w="139"/>
        <w:gridCol w:w="1277"/>
        <w:gridCol w:w="142"/>
        <w:gridCol w:w="569"/>
        <w:gridCol w:w="142"/>
        <w:gridCol w:w="1274"/>
        <w:gridCol w:w="142"/>
        <w:gridCol w:w="567"/>
        <w:gridCol w:w="1277"/>
        <w:gridCol w:w="142"/>
        <w:gridCol w:w="574"/>
      </w:tblGrid>
      <w:tr>
        <w:trPr>
          <w:trHeight w:val="267" w:hRule="exact"/>
        </w:trPr>
        <w:tc>
          <w:tcPr>
            <w:tcW w:w="170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11"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2" w:type="dxa"/>
            <w:tcBorders>
              <w:top w:val="nil" w:sz="6" w:space="0" w:color="auto"/>
              <w:left w:val="nil" w:sz="6" w:space="0" w:color="auto"/>
              <w:bottom w:val="single" w:sz="4" w:space="0" w:color="000000"/>
              <w:right w:val="nil" w:sz="6" w:space="0" w:color="auto"/>
            </w:tcBorders>
          </w:tcPr>
          <w:p>
            <w:pPr/>
          </w:p>
        </w:tc>
        <w:tc>
          <w:tcPr>
            <w:tcW w:w="567"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574"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9"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 w:type="dxa"/>
            <w:tcBorders>
              <w:top w:val="single" w:sz="4" w:space="0" w:color="000000"/>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2" w:type="dxa"/>
            <w:tcBorders>
              <w:top w:val="single" w:sz="4" w:space="0" w:color="000000"/>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 w:type="dxa"/>
            <w:tcBorders>
              <w:top w:val="single" w:sz="4" w:space="0" w:color="000000"/>
              <w:left w:val="nil" w:sz="6" w:space="0" w:color="auto"/>
              <w:bottom w:val="nil" w:sz="6" w:space="0" w:color="auto"/>
              <w:right w:val="nil" w:sz="6" w:space="0" w:color="auto"/>
            </w:tcBorders>
          </w:tcPr>
          <w:p>
            <w:pPr/>
          </w:p>
        </w:tc>
        <w:tc>
          <w:tcPr>
            <w:tcW w:w="5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82" w:hRule="exact"/>
        </w:trPr>
        <w:tc>
          <w:tcPr>
            <w:tcW w:w="1700" w:type="dxa"/>
            <w:tcBorders>
              <w:top w:val="single" w:sz="4" w:space="0" w:color="000000"/>
              <w:left w:val="nil" w:sz="6" w:space="0" w:color="auto"/>
              <w:bottom w:val="nil" w:sz="6" w:space="0" w:color="auto"/>
              <w:right w:val="nil" w:sz="6" w:space="0" w:color="auto"/>
            </w:tcBorders>
          </w:tcPr>
          <w:p>
            <w:pPr>
              <w:pStyle w:val="TableParagraph"/>
              <w:spacing w:line="237" w:lineRule="auto" w:before="10"/>
              <w:ind w:left="28" w:right="27"/>
              <w:jc w:val="both"/>
              <w:rPr>
                <w:rFonts w:ascii="宋体" w:hAnsi="宋体" w:cs="宋体" w:eastAsia="宋体" w:hint="default"/>
                <w:sz w:val="18"/>
                <w:szCs w:val="18"/>
              </w:rPr>
            </w:pPr>
            <w:r>
              <w:rPr>
                <w:rFonts w:ascii="宋体" w:hAnsi="宋体" w:cs="宋体" w:eastAsia="宋体" w:hint="default"/>
                <w:sz w:val="18"/>
                <w:szCs w:val="18"/>
              </w:rPr>
              <w:t>一、单项金额重大并</w:t>
            </w:r>
            <w:r>
              <w:rPr>
                <w:rFonts w:ascii="宋体" w:hAnsi="宋体" w:cs="宋体" w:eastAsia="宋体" w:hint="default"/>
                <w:spacing w:val="-73"/>
                <w:sz w:val="18"/>
                <w:szCs w:val="18"/>
              </w:rPr>
              <w:t> </w:t>
            </w:r>
            <w:r>
              <w:rPr>
                <w:rFonts w:ascii="宋体" w:hAnsi="宋体" w:cs="宋体" w:eastAsia="宋体" w:hint="default"/>
                <w:sz w:val="18"/>
                <w:szCs w:val="18"/>
              </w:rPr>
              <w:t>单项计提坏账准备的</w:t>
            </w:r>
            <w:r>
              <w:rPr>
                <w:rFonts w:ascii="宋体" w:hAnsi="宋体" w:cs="宋体" w:eastAsia="宋体" w:hint="default"/>
                <w:spacing w:val="-73"/>
                <w:sz w:val="18"/>
                <w:szCs w:val="18"/>
              </w:rPr>
              <w:t> </w:t>
            </w:r>
            <w:r>
              <w:rPr>
                <w:rFonts w:ascii="宋体" w:hAnsi="宋体" w:cs="宋体" w:eastAsia="宋体" w:hint="default"/>
                <w:sz w:val="18"/>
                <w:szCs w:val="18"/>
              </w:rPr>
              <w:t>应收账款</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39"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42" w:type="dxa"/>
            <w:tcBorders>
              <w:top w:val="nil" w:sz="6" w:space="0" w:color="auto"/>
              <w:left w:val="nil" w:sz="6" w:space="0" w:color="auto"/>
              <w:bottom w:val="nil" w:sz="6" w:space="0" w:color="auto"/>
              <w:right w:val="nil" w:sz="6" w:space="0" w:color="auto"/>
            </w:tcBorders>
          </w:tcPr>
          <w:p>
            <w:pPr/>
          </w:p>
        </w:tc>
        <w:tc>
          <w:tcPr>
            <w:tcW w:w="57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80"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8" w:right="27"/>
              <w:jc w:val="left"/>
              <w:rPr>
                <w:rFonts w:ascii="宋体" w:hAnsi="宋体" w:cs="宋体" w:eastAsia="宋体" w:hint="default"/>
                <w:sz w:val="18"/>
                <w:szCs w:val="18"/>
              </w:rPr>
            </w:pPr>
            <w:r>
              <w:rPr>
                <w:rFonts w:ascii="宋体" w:hAnsi="宋体" w:cs="宋体" w:eastAsia="宋体" w:hint="default"/>
                <w:sz w:val="18"/>
                <w:szCs w:val="18"/>
              </w:rPr>
              <w:t>二、按账龄组合计提</w:t>
            </w:r>
            <w:r>
              <w:rPr>
                <w:rFonts w:ascii="宋体" w:hAnsi="宋体" w:cs="宋体" w:eastAsia="宋体" w:hint="default"/>
                <w:spacing w:val="-73"/>
                <w:sz w:val="18"/>
                <w:szCs w:val="18"/>
              </w:rPr>
              <w:t> </w:t>
            </w:r>
            <w:r>
              <w:rPr>
                <w:rFonts w:ascii="宋体" w:hAnsi="宋体" w:cs="宋体" w:eastAsia="宋体" w:hint="default"/>
                <w:sz w:val="18"/>
                <w:szCs w:val="18"/>
              </w:rPr>
              <w:t>坏账准备的应收账款</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73,868,181.89</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1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3,933,679.89</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5.33%</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31,985,201.09</w:t>
            </w:r>
          </w:p>
        </w:tc>
        <w:tc>
          <w:tcPr>
            <w:tcW w:w="14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1,755,318.18</w:t>
            </w:r>
          </w:p>
        </w:tc>
        <w:tc>
          <w:tcPr>
            <w:tcW w:w="142"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5.49%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860" w:right="740"/>
        </w:sectPr>
      </w:pPr>
    </w:p>
    <w:p>
      <w:pPr>
        <w:spacing w:line="240" w:lineRule="auto" w:before="11"/>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000"/>
        <w:gridCol w:w="1239"/>
        <w:gridCol w:w="761"/>
        <w:gridCol w:w="125"/>
        <w:gridCol w:w="1292"/>
        <w:gridCol w:w="127"/>
        <w:gridCol w:w="583"/>
        <w:gridCol w:w="127"/>
        <w:gridCol w:w="1289"/>
        <w:gridCol w:w="127"/>
        <w:gridCol w:w="580"/>
        <w:gridCol w:w="1295"/>
        <w:gridCol w:w="111"/>
        <w:gridCol w:w="588"/>
      </w:tblGrid>
      <w:tr>
        <w:trPr>
          <w:trHeight w:val="814" w:hRule="exact"/>
        </w:trPr>
        <w:tc>
          <w:tcPr>
            <w:tcW w:w="2000" w:type="dxa"/>
            <w:tcBorders>
              <w:top w:val="single" w:sz="6" w:space="0" w:color="000000"/>
              <w:left w:val="nil" w:sz="6" w:space="0" w:color="auto"/>
              <w:bottom w:val="nil" w:sz="6" w:space="0" w:color="auto"/>
              <w:right w:val="nil" w:sz="6" w:space="0" w:color="auto"/>
            </w:tcBorders>
          </w:tcPr>
          <w:p>
            <w:pPr>
              <w:pStyle w:val="TableParagraph"/>
              <w:spacing w:line="237" w:lineRule="auto" w:before="24"/>
              <w:ind w:left="200" w:right="156"/>
              <w:jc w:val="both"/>
              <w:rPr>
                <w:rFonts w:ascii="宋体" w:hAnsi="宋体" w:cs="宋体" w:eastAsia="宋体" w:hint="default"/>
                <w:sz w:val="18"/>
                <w:szCs w:val="18"/>
              </w:rPr>
            </w:pPr>
            <w:r>
              <w:rPr>
                <w:rFonts w:ascii="宋体" w:hAnsi="宋体" w:cs="宋体" w:eastAsia="宋体" w:hint="default"/>
                <w:sz w:val="18"/>
                <w:szCs w:val="18"/>
              </w:rPr>
              <w:t>三、单项金额虽不重</w:t>
            </w:r>
            <w:r>
              <w:rPr>
                <w:rFonts w:ascii="宋体" w:hAnsi="宋体" w:cs="宋体" w:eastAsia="宋体" w:hint="default"/>
                <w:spacing w:val="-73"/>
                <w:sz w:val="18"/>
                <w:szCs w:val="18"/>
              </w:rPr>
              <w:t> </w:t>
            </w:r>
            <w:r>
              <w:rPr>
                <w:rFonts w:ascii="宋体" w:hAnsi="宋体" w:cs="宋体" w:eastAsia="宋体" w:hint="default"/>
                <w:sz w:val="18"/>
                <w:szCs w:val="18"/>
              </w:rPr>
              <w:t>大但单项计提坏账准</w:t>
            </w:r>
            <w:r>
              <w:rPr>
                <w:rFonts w:ascii="宋体" w:hAnsi="宋体" w:cs="宋体" w:eastAsia="宋体" w:hint="default"/>
                <w:spacing w:val="-73"/>
                <w:sz w:val="18"/>
                <w:szCs w:val="18"/>
              </w:rPr>
              <w:t> </w:t>
            </w:r>
            <w:r>
              <w:rPr>
                <w:rFonts w:ascii="宋体" w:hAnsi="宋体" w:cs="宋体" w:eastAsia="宋体" w:hint="default"/>
                <w:sz w:val="18"/>
                <w:szCs w:val="18"/>
              </w:rPr>
              <w:t>备的应收账款</w:t>
            </w:r>
          </w:p>
        </w:tc>
        <w:tc>
          <w:tcPr>
            <w:tcW w:w="1239"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w:t>
            </w:r>
          </w:p>
        </w:tc>
        <w:tc>
          <w:tcPr>
            <w:tcW w:w="761"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w:t>
            </w:r>
          </w:p>
        </w:tc>
        <w:tc>
          <w:tcPr>
            <w:tcW w:w="125" w:type="dxa"/>
            <w:tcBorders>
              <w:top w:val="single" w:sz="6" w:space="0" w:color="000000"/>
              <w:left w:val="nil" w:sz="6" w:space="0" w:color="auto"/>
              <w:bottom w:val="nil" w:sz="6" w:space="0" w:color="auto"/>
              <w:right w:val="nil" w:sz="6" w:space="0" w:color="auto"/>
            </w:tcBorders>
          </w:tcPr>
          <w:p>
            <w:pPr/>
          </w:p>
        </w:tc>
        <w:tc>
          <w:tcPr>
            <w:tcW w:w="129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w:t>
            </w:r>
          </w:p>
        </w:tc>
        <w:tc>
          <w:tcPr>
            <w:tcW w:w="127" w:type="dxa"/>
            <w:tcBorders>
              <w:top w:val="single" w:sz="6" w:space="0" w:color="000000"/>
              <w:left w:val="nil" w:sz="6" w:space="0" w:color="auto"/>
              <w:bottom w:val="nil" w:sz="6" w:space="0" w:color="auto"/>
              <w:right w:val="nil" w:sz="6" w:space="0" w:color="auto"/>
            </w:tcBorders>
          </w:tcPr>
          <w:p>
            <w:pPr/>
          </w:p>
        </w:tc>
        <w:tc>
          <w:tcPr>
            <w:tcW w:w="583"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w:t>
            </w:r>
          </w:p>
        </w:tc>
        <w:tc>
          <w:tcPr>
            <w:tcW w:w="127" w:type="dxa"/>
            <w:tcBorders>
              <w:top w:val="single" w:sz="6" w:space="0" w:color="000000"/>
              <w:left w:val="nil" w:sz="6" w:space="0" w:color="auto"/>
              <w:bottom w:val="nil" w:sz="6" w:space="0" w:color="auto"/>
              <w:right w:val="nil" w:sz="6" w:space="0" w:color="auto"/>
            </w:tcBorders>
          </w:tcPr>
          <w:p>
            <w:pPr/>
          </w:p>
        </w:tc>
        <w:tc>
          <w:tcPr>
            <w:tcW w:w="1289"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w:t>
            </w:r>
          </w:p>
        </w:tc>
        <w:tc>
          <w:tcPr>
            <w:tcW w:w="127" w:type="dxa"/>
            <w:tcBorders>
              <w:top w:val="single" w:sz="6" w:space="0" w:color="000000"/>
              <w:left w:val="nil" w:sz="6" w:space="0" w:color="auto"/>
              <w:bottom w:val="nil" w:sz="6" w:space="0" w:color="auto"/>
              <w:right w:val="nil" w:sz="6" w:space="0" w:color="auto"/>
            </w:tcBorders>
          </w:tcPr>
          <w:p>
            <w:pPr/>
          </w:p>
        </w:tc>
        <w:tc>
          <w:tcPr>
            <w:tcW w:w="58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w:t>
            </w:r>
          </w:p>
        </w:tc>
        <w:tc>
          <w:tcPr>
            <w:tcW w:w="129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w:t>
            </w:r>
          </w:p>
        </w:tc>
        <w:tc>
          <w:tcPr>
            <w:tcW w:w="111"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9" w:type="dxa"/>
            <w:tcBorders>
              <w:top w:val="nil" w:sz="6" w:space="0" w:color="auto"/>
              <w:left w:val="nil" w:sz="6" w:space="0" w:color="auto"/>
              <w:bottom w:val="single" w:sz="12" w:space="0" w:color="000000"/>
              <w:right w:val="nil" w:sz="6" w:space="0" w:color="auto"/>
            </w:tcBorders>
          </w:tcPr>
          <w:p>
            <w:pPr>
              <w:pStyle w:val="TableParagraph"/>
              <w:spacing w:line="240" w:lineRule="auto" w:before="64"/>
              <w:ind w:left="43" w:right="0"/>
              <w:jc w:val="left"/>
              <w:rPr>
                <w:rFonts w:ascii="Times New Roman" w:hAnsi="Times New Roman" w:cs="Times New Roman" w:eastAsia="Times New Roman" w:hint="default"/>
                <w:sz w:val="18"/>
                <w:szCs w:val="18"/>
              </w:rPr>
            </w:pPr>
            <w:r>
              <w:rPr>
                <w:rFonts w:ascii="Times New Roman"/>
                <w:sz w:val="18"/>
              </w:rPr>
              <w:t>73,868,181.89</w:t>
            </w:r>
          </w:p>
        </w:tc>
        <w:tc>
          <w:tcPr>
            <w:tcW w:w="761" w:type="dxa"/>
            <w:tcBorders>
              <w:top w:val="nil" w:sz="6" w:space="0" w:color="auto"/>
              <w:left w:val="nil" w:sz="6" w:space="0" w:color="auto"/>
              <w:bottom w:val="single" w:sz="12" w:space="0" w:color="000000"/>
              <w:right w:val="nil" w:sz="6" w:space="0" w:color="auto"/>
            </w:tcBorders>
          </w:tcPr>
          <w:p>
            <w:pPr>
              <w:pStyle w:val="TableParagraph"/>
              <w:spacing w:line="20" w:lineRule="exact"/>
              <w:ind w:left="13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304" cy="9144"/>
                  <wp:effectExtent l="0" t="0" r="0" b="0"/>
                  <wp:docPr id="145" name="image84.png" descr=""/>
                  <wp:cNvGraphicFramePr>
                    <a:graphicFrameLocks noChangeAspect="1"/>
                  </wp:cNvGraphicFramePr>
                  <a:graphic>
                    <a:graphicData uri="http://schemas.openxmlformats.org/drawingml/2006/picture">
                      <pic:pic>
                        <pic:nvPicPr>
                          <pic:cNvPr id="146" name="image84.png"/>
                          <pic:cNvPicPr/>
                        </pic:nvPicPr>
                        <pic:blipFill>
                          <a:blip r:embed="rId131" cstate="print"/>
                          <a:stretch>
                            <a:fillRect/>
                          </a:stretch>
                        </pic:blipFill>
                        <pic:spPr>
                          <a:xfrm>
                            <a:off x="0" y="0"/>
                            <a:ext cx="39930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61" w:right="0"/>
              <w:jc w:val="left"/>
              <w:rPr>
                <w:rFonts w:ascii="Times New Roman" w:hAnsi="Times New Roman" w:cs="Times New Roman" w:eastAsia="Times New Roman" w:hint="default"/>
                <w:sz w:val="18"/>
                <w:szCs w:val="18"/>
              </w:rPr>
            </w:pPr>
            <w:r>
              <w:rPr>
                <w:rFonts w:ascii="Times New Roman"/>
                <w:sz w:val="18"/>
              </w:rPr>
              <w:t>100%</w:t>
            </w:r>
          </w:p>
        </w:tc>
        <w:tc>
          <w:tcPr>
            <w:tcW w:w="12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12"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1106" cy="9144"/>
                  <wp:effectExtent l="0" t="0" r="0" b="0"/>
                  <wp:docPr id="147" name="image85.png" descr=""/>
                  <wp:cNvGraphicFramePr>
                    <a:graphicFrameLocks noChangeAspect="1"/>
                  </wp:cNvGraphicFramePr>
                  <a:graphic>
                    <a:graphicData uri="http://schemas.openxmlformats.org/drawingml/2006/picture">
                      <pic:pic>
                        <pic:nvPicPr>
                          <pic:cNvPr id="148" name="image85.png"/>
                          <pic:cNvPicPr/>
                        </pic:nvPicPr>
                        <pic:blipFill>
                          <a:blip r:embed="rId132" cstate="print"/>
                          <a:stretch>
                            <a:fillRect/>
                          </a:stretch>
                        </pic:blipFill>
                        <pic:spPr>
                          <a:xfrm>
                            <a:off x="0" y="0"/>
                            <a:ext cx="81110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45" w:right="0"/>
              <w:jc w:val="left"/>
              <w:rPr>
                <w:rFonts w:ascii="Times New Roman" w:hAnsi="Times New Roman" w:cs="Times New Roman" w:eastAsia="Times New Roman" w:hint="default"/>
                <w:sz w:val="18"/>
                <w:szCs w:val="18"/>
              </w:rPr>
            </w:pPr>
            <w:r>
              <w:rPr>
                <w:rFonts w:ascii="Times New Roman"/>
                <w:sz w:val="18"/>
              </w:rPr>
              <w:t>3,933,679.89</w:t>
            </w:r>
          </w:p>
        </w:tc>
        <w:tc>
          <w:tcPr>
            <w:tcW w:w="127"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single" w:sz="12"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61203" cy="9144"/>
                  <wp:effectExtent l="0" t="0" r="0" b="0"/>
                  <wp:docPr id="149" name="image86.png" descr=""/>
                  <wp:cNvGraphicFramePr>
                    <a:graphicFrameLocks noChangeAspect="1"/>
                  </wp:cNvGraphicFramePr>
                  <a:graphic>
                    <a:graphicData uri="http://schemas.openxmlformats.org/drawingml/2006/picture">
                      <pic:pic>
                        <pic:nvPicPr>
                          <pic:cNvPr id="150" name="image86.png"/>
                          <pic:cNvPicPr/>
                        </pic:nvPicPr>
                        <pic:blipFill>
                          <a:blip r:embed="rId133" cstate="print"/>
                          <a:stretch>
                            <a:fillRect/>
                          </a:stretch>
                        </pic:blipFill>
                        <pic:spPr>
                          <a:xfrm>
                            <a:off x="0" y="0"/>
                            <a:ext cx="36120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45" w:right="0"/>
              <w:jc w:val="left"/>
              <w:rPr>
                <w:rFonts w:ascii="Times New Roman" w:hAnsi="Times New Roman" w:cs="Times New Roman" w:eastAsia="Times New Roman" w:hint="default"/>
                <w:sz w:val="18"/>
                <w:szCs w:val="18"/>
              </w:rPr>
            </w:pPr>
            <w:r>
              <w:rPr>
                <w:rFonts w:ascii="Times New Roman"/>
                <w:sz w:val="18"/>
              </w:rPr>
              <w:t>5.33%</w:t>
            </w:r>
          </w:p>
        </w:tc>
        <w:tc>
          <w:tcPr>
            <w:tcW w:w="12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09277" cy="9144"/>
                  <wp:effectExtent l="0" t="0" r="0" b="0"/>
                  <wp:docPr id="151" name="image87.png" descr=""/>
                  <wp:cNvGraphicFramePr>
                    <a:graphicFrameLocks noChangeAspect="1"/>
                  </wp:cNvGraphicFramePr>
                  <a:graphic>
                    <a:graphicData uri="http://schemas.openxmlformats.org/drawingml/2006/picture">
                      <pic:pic>
                        <pic:nvPicPr>
                          <pic:cNvPr id="152" name="image87.png"/>
                          <pic:cNvPicPr/>
                        </pic:nvPicPr>
                        <pic:blipFill>
                          <a:blip r:embed="rId134" cstate="print"/>
                          <a:stretch>
                            <a:fillRect/>
                          </a:stretch>
                        </pic:blipFill>
                        <pic:spPr>
                          <a:xfrm>
                            <a:off x="0" y="0"/>
                            <a:ext cx="80927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43" w:right="0"/>
              <w:jc w:val="left"/>
              <w:rPr>
                <w:rFonts w:ascii="Times New Roman" w:hAnsi="Times New Roman" w:cs="Times New Roman" w:eastAsia="Times New Roman" w:hint="default"/>
                <w:sz w:val="18"/>
                <w:szCs w:val="18"/>
              </w:rPr>
            </w:pPr>
            <w:r>
              <w:rPr>
                <w:rFonts w:ascii="Times New Roman"/>
                <w:sz w:val="18"/>
              </w:rPr>
              <w:t>31,985,201.09</w:t>
            </w:r>
          </w:p>
        </w:tc>
        <w:tc>
          <w:tcPr>
            <w:tcW w:w="127"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single" w:sz="12" w:space="0" w:color="000000"/>
              <w:right w:val="nil" w:sz="6" w:space="0" w:color="auto"/>
            </w:tcBorders>
          </w:tcPr>
          <w:p>
            <w:pPr>
              <w:pStyle w:val="TableParagraph"/>
              <w:spacing w:line="20" w:lineRule="exact"/>
              <w:ind w:left="14" w:right="-4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60059" cy="9144"/>
                  <wp:effectExtent l="0" t="0" r="0" b="0"/>
                  <wp:docPr id="153" name="image88.png" descr=""/>
                  <wp:cNvGraphicFramePr>
                    <a:graphicFrameLocks noChangeAspect="1"/>
                  </wp:cNvGraphicFramePr>
                  <a:graphic>
                    <a:graphicData uri="http://schemas.openxmlformats.org/drawingml/2006/picture">
                      <pic:pic>
                        <pic:nvPicPr>
                          <pic:cNvPr id="154" name="image88.png"/>
                          <pic:cNvPicPr/>
                        </pic:nvPicPr>
                        <pic:blipFill>
                          <a:blip r:embed="rId135" cstate="print"/>
                          <a:stretch>
                            <a:fillRect/>
                          </a:stretch>
                        </pic:blipFill>
                        <pic:spPr>
                          <a:xfrm>
                            <a:off x="0" y="0"/>
                            <a:ext cx="36005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43" w:right="0"/>
              <w:jc w:val="left"/>
              <w:rPr>
                <w:rFonts w:ascii="Times New Roman" w:hAnsi="Times New Roman" w:cs="Times New Roman" w:eastAsia="Times New Roman" w:hint="default"/>
                <w:sz w:val="18"/>
                <w:szCs w:val="18"/>
              </w:rPr>
            </w:pPr>
            <w:r>
              <w:rPr>
                <w:rFonts w:ascii="Times New Roman"/>
                <w:sz w:val="18"/>
              </w:rPr>
              <w:t>100%</w:t>
            </w:r>
          </w:p>
        </w:tc>
        <w:tc>
          <w:tcPr>
            <w:tcW w:w="1295" w:type="dxa"/>
            <w:tcBorders>
              <w:top w:val="nil" w:sz="6" w:space="0" w:color="auto"/>
              <w:left w:val="nil" w:sz="6" w:space="0" w:color="auto"/>
              <w:bottom w:val="single" w:sz="12" w:space="0" w:color="000000"/>
              <w:right w:val="nil" w:sz="6" w:space="0" w:color="auto"/>
            </w:tcBorders>
          </w:tcPr>
          <w:p>
            <w:pPr>
              <w:pStyle w:val="TableParagraph"/>
              <w:spacing w:line="20" w:lineRule="exact"/>
              <w:ind w:left="83" w:right="-2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8983" cy="9144"/>
                  <wp:effectExtent l="0" t="0" r="0" b="0"/>
                  <wp:docPr id="155" name="image89.png" descr=""/>
                  <wp:cNvGraphicFramePr>
                    <a:graphicFrameLocks noChangeAspect="1"/>
                  </wp:cNvGraphicFramePr>
                  <a:graphic>
                    <a:graphicData uri="http://schemas.openxmlformats.org/drawingml/2006/picture">
                      <pic:pic>
                        <pic:nvPicPr>
                          <pic:cNvPr id="156" name="image89.png"/>
                          <pic:cNvPicPr/>
                        </pic:nvPicPr>
                        <pic:blipFill>
                          <a:blip r:embed="rId136" cstate="print"/>
                          <a:stretch>
                            <a:fillRect/>
                          </a:stretch>
                        </pic:blipFill>
                        <pic:spPr>
                          <a:xfrm>
                            <a:off x="0" y="0"/>
                            <a:ext cx="75898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11" w:right="0"/>
              <w:jc w:val="left"/>
              <w:rPr>
                <w:rFonts w:ascii="Times New Roman" w:hAnsi="Times New Roman" w:cs="Times New Roman" w:eastAsia="Times New Roman" w:hint="default"/>
                <w:sz w:val="18"/>
                <w:szCs w:val="18"/>
              </w:rPr>
            </w:pPr>
            <w:r>
              <w:rPr>
                <w:rFonts w:ascii="Times New Roman"/>
                <w:sz w:val="18"/>
              </w:rPr>
              <w:t>1,755,318.18</w:t>
            </w:r>
          </w:p>
        </w:tc>
        <w:tc>
          <w:tcPr>
            <w:tcW w:w="111"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single" w:sz="12" w:space="0" w:color="000000"/>
              <w:right w:val="nil" w:sz="6" w:space="0" w:color="auto"/>
            </w:tcBorders>
          </w:tcPr>
          <w:p>
            <w:pPr>
              <w:pStyle w:val="TableParagraph"/>
              <w:spacing w:line="20" w:lineRule="exact"/>
              <w:ind w:left="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64251" cy="9144"/>
                  <wp:effectExtent l="0" t="0" r="0" b="0"/>
                  <wp:docPr id="157" name="image90.png" descr=""/>
                  <wp:cNvGraphicFramePr>
                    <a:graphicFrameLocks noChangeAspect="1"/>
                  </wp:cNvGraphicFramePr>
                  <a:graphic>
                    <a:graphicData uri="http://schemas.openxmlformats.org/drawingml/2006/picture">
                      <pic:pic>
                        <pic:nvPicPr>
                          <pic:cNvPr id="158" name="image90.png"/>
                          <pic:cNvPicPr/>
                        </pic:nvPicPr>
                        <pic:blipFill>
                          <a:blip r:embed="rId137" cstate="print"/>
                          <a:stretch>
                            <a:fillRect/>
                          </a:stretch>
                        </pic:blipFill>
                        <pic:spPr>
                          <a:xfrm>
                            <a:off x="0" y="0"/>
                            <a:ext cx="3642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43" w:right="0"/>
              <w:jc w:val="left"/>
              <w:rPr>
                <w:rFonts w:ascii="Times New Roman" w:hAnsi="Times New Roman" w:cs="Times New Roman" w:eastAsia="Times New Roman" w:hint="default"/>
                <w:sz w:val="18"/>
                <w:szCs w:val="18"/>
              </w:rPr>
            </w:pPr>
            <w:r>
              <w:rPr>
                <w:rFonts w:ascii="Times New Roman"/>
                <w:sz w:val="18"/>
              </w:rPr>
              <w:t>5.49%</w:t>
            </w:r>
          </w:p>
        </w:tc>
      </w:tr>
    </w:tbl>
    <w:p>
      <w:pPr>
        <w:spacing w:line="240" w:lineRule="auto" w:before="2"/>
        <w:rPr>
          <w:rFonts w:ascii="宋体" w:hAnsi="宋体" w:cs="宋体" w:eastAsia="宋体" w:hint="default"/>
          <w:b/>
          <w:bCs/>
          <w:sz w:val="16"/>
          <w:szCs w:val="16"/>
        </w:rPr>
      </w:pPr>
    </w:p>
    <w:p>
      <w:pPr>
        <w:spacing w:before="44"/>
        <w:ind w:left="1002" w:right="0" w:firstLine="0"/>
        <w:jc w:val="left"/>
        <w:rPr>
          <w:rFonts w:ascii="宋体" w:hAnsi="宋体" w:cs="宋体" w:eastAsia="宋体" w:hint="default"/>
          <w:sz w:val="18"/>
          <w:szCs w:val="18"/>
        </w:rPr>
      </w:pPr>
      <w:r>
        <w:rPr/>
        <w:pict>
          <v:shape style="position:absolute;margin-left:140.899994pt;margin-top:-29.768278pt;width:63.752656pt;height:.72pt;mso-position-horizontal-relative:page;mso-position-vertical-relative:paragraph;z-index:-676192" type="#_x0000_t75" stroked="false">
            <v:imagedata r:id="rId138" o:title=""/>
          </v:shape>
        </w:pic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．应收账款按账龄结构列示如下：</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002" w:type="dxa"/>
        <w:tblLayout w:type="fixed"/>
        <w:tblCellMar>
          <w:top w:w="0" w:type="dxa"/>
          <w:left w:w="0" w:type="dxa"/>
          <w:bottom w:w="0" w:type="dxa"/>
          <w:right w:w="0" w:type="dxa"/>
        </w:tblCellMar>
        <w:tblLook w:val="01E0"/>
      </w:tblPr>
      <w:tblGrid>
        <w:gridCol w:w="1802"/>
        <w:gridCol w:w="1335"/>
        <w:gridCol w:w="1147"/>
        <w:gridCol w:w="1316"/>
        <w:gridCol w:w="1428"/>
        <w:gridCol w:w="1092"/>
        <w:gridCol w:w="1385"/>
      </w:tblGrid>
      <w:tr>
        <w:trPr>
          <w:trHeight w:val="282" w:hRule="exact"/>
        </w:trPr>
        <w:tc>
          <w:tcPr>
            <w:tcW w:w="1802"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47" w:type="dxa"/>
            <w:tcBorders>
              <w:top w:val="nil" w:sz="6" w:space="0" w:color="auto"/>
              <w:left w:val="nil" w:sz="6" w:space="0" w:color="auto"/>
              <w:bottom w:val="single" w:sz="4" w:space="0" w:color="000000"/>
              <w:right w:val="nil" w:sz="6" w:space="0" w:color="auto"/>
            </w:tcBorders>
          </w:tcPr>
          <w:p>
            <w:pPr/>
          </w:p>
        </w:tc>
        <w:tc>
          <w:tcPr>
            <w:tcW w:w="1316" w:type="dxa"/>
            <w:tcBorders>
              <w:top w:val="nil" w:sz="6" w:space="0" w:color="auto"/>
              <w:left w:val="nil" w:sz="6" w:space="0" w:color="auto"/>
              <w:bottom w:val="single" w:sz="4" w:space="0" w:color="000000"/>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180" w:lineRule="exact"/>
              <w:ind w:left="11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2"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2"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316"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2"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5" w:hRule="exact"/>
        </w:trPr>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72,246,429.89</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18"/>
                <w:szCs w:val="18"/>
              </w:rPr>
            </w:pPr>
            <w:r>
              <w:rPr>
                <w:rFonts w:ascii="Times New Roman"/>
                <w:sz w:val="18"/>
              </w:rPr>
              <w:t>97.80%</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18"/>
                <w:szCs w:val="18"/>
              </w:rPr>
            </w:pPr>
            <w:r>
              <w:rPr>
                <w:rFonts w:ascii="Times New Roman"/>
                <w:sz w:val="18"/>
              </w:rPr>
              <w:t>3,609,329.49</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15" w:right="0"/>
              <w:jc w:val="left"/>
              <w:rPr>
                <w:rFonts w:ascii="Times New Roman" w:hAnsi="Times New Roman" w:cs="Times New Roman" w:eastAsia="Times New Roman" w:hint="default"/>
                <w:sz w:val="18"/>
                <w:szCs w:val="18"/>
              </w:rPr>
            </w:pPr>
            <w:r>
              <w:rPr>
                <w:rFonts w:ascii="Times New Roman"/>
                <w:sz w:val="18"/>
              </w:rPr>
              <w:t>30,944,813.59</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18"/>
                <w:szCs w:val="18"/>
              </w:rPr>
            </w:pPr>
            <w:r>
              <w:rPr>
                <w:rFonts w:ascii="Times New Roman"/>
                <w:sz w:val="18"/>
              </w:rPr>
              <w:t>96.75%</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10" w:right="0"/>
              <w:jc w:val="left"/>
              <w:rPr>
                <w:rFonts w:ascii="Times New Roman" w:hAnsi="Times New Roman" w:cs="Times New Roman" w:eastAsia="Times New Roman" w:hint="default"/>
                <w:sz w:val="18"/>
                <w:szCs w:val="18"/>
              </w:rPr>
            </w:pPr>
            <w:r>
              <w:rPr>
                <w:rFonts w:ascii="Times New Roman"/>
                <w:sz w:val="18"/>
              </w:rPr>
              <w:t>1,547,240.68</w:t>
            </w:r>
          </w:p>
        </w:tc>
      </w:tr>
      <w:tr>
        <w:trPr>
          <w:trHeight w:val="369"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Times New Roman" w:hAnsi="Times New Roman" w:cs="Times New Roman" w:eastAsia="Times New Roman" w:hint="default"/>
                <w:sz w:val="18"/>
                <w:szCs w:val="18"/>
              </w:rPr>
            </w:pPr>
            <w:r>
              <w:rPr>
                <w:rFonts w:ascii="Times New Roman"/>
                <w:sz w:val="18"/>
              </w:rPr>
              <w:t>1,621,752.00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18"/>
                <w:szCs w:val="18"/>
              </w:rPr>
            </w:pPr>
            <w:r>
              <w:rPr>
                <w:rFonts w:ascii="Times New Roman"/>
                <w:sz w:val="18"/>
              </w:rPr>
              <w:t>2.20%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18"/>
                <w:szCs w:val="18"/>
              </w:rPr>
            </w:pPr>
            <w:r>
              <w:rPr>
                <w:rFonts w:ascii="Times New Roman"/>
                <w:sz w:val="18"/>
              </w:rPr>
              <w:t>324,350.40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Times New Roman" w:hAnsi="Times New Roman" w:cs="Times New Roman" w:eastAsia="Times New Roman" w:hint="default"/>
                <w:sz w:val="18"/>
                <w:szCs w:val="18"/>
              </w:rPr>
            </w:pPr>
            <w:r>
              <w:rPr>
                <w:rFonts w:ascii="Times New Roman"/>
                <w:sz w:val="18"/>
              </w:rPr>
              <w:t>1,040,387.50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18"/>
                <w:szCs w:val="18"/>
              </w:rPr>
            </w:pPr>
            <w:r>
              <w:rPr>
                <w:rFonts w:ascii="Times New Roman"/>
                <w:sz w:val="18"/>
              </w:rPr>
              <w:t>3.25%</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Times New Roman" w:hAnsi="Times New Roman" w:cs="Times New Roman" w:eastAsia="Times New Roman" w:hint="default"/>
                <w:sz w:val="18"/>
                <w:szCs w:val="18"/>
              </w:rPr>
            </w:pPr>
            <w:r>
              <w:rPr>
                <w:rFonts w:ascii="Times New Roman"/>
                <w:sz w:val="18"/>
              </w:rPr>
              <w:t>208,077.50</w:t>
            </w:r>
          </w:p>
        </w:tc>
      </w:tr>
      <w:tr>
        <w:trPr>
          <w:trHeight w:val="370"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18"/>
                <w:szCs w:val="18"/>
              </w:rPr>
            </w:pPr>
            <w:r>
              <w:rPr>
                <w:rFonts w:ascii="Times New Roman"/>
                <w:sz w:val="18"/>
              </w:rPr>
              <w:t>---</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2" w:right="0"/>
              <w:jc w:val="left"/>
              <w:rPr>
                <w:rFonts w:ascii="Times New Roman" w:hAnsi="Times New Roman" w:cs="Times New Roman" w:eastAsia="Times New Roman" w:hint="default"/>
                <w:sz w:val="18"/>
                <w:szCs w:val="18"/>
              </w:rPr>
            </w:pPr>
            <w:r>
              <w:rPr>
                <w:rFonts w:ascii="Times New Roman"/>
                <w:sz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2" w:right="0"/>
              <w:jc w:val="left"/>
              <w:rPr>
                <w:rFonts w:ascii="Times New Roman" w:hAnsi="Times New Roman" w:cs="Times New Roman" w:eastAsia="Times New Roman" w:hint="default"/>
                <w:sz w:val="18"/>
                <w:szCs w:val="18"/>
              </w:rPr>
            </w:pPr>
            <w:r>
              <w:rPr>
                <w:rFonts w:ascii="Times New Roman"/>
                <w:sz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5"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2" w:right="0"/>
              <w:jc w:val="left"/>
              <w:rPr>
                <w:rFonts w:ascii="Times New Roman" w:hAnsi="Times New Roman" w:cs="Times New Roman" w:eastAsia="Times New Roman" w:hint="default"/>
                <w:sz w:val="18"/>
                <w:szCs w:val="18"/>
              </w:rPr>
            </w:pPr>
            <w:r>
              <w:rPr>
                <w:rFonts w:ascii="Times New Roman"/>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18"/>
                <w:szCs w:val="18"/>
              </w:rPr>
            </w:pPr>
            <w:r>
              <w:rPr>
                <w:rFonts w:ascii="Times New Roman"/>
                <w:sz w:val="18"/>
              </w:rPr>
              <w:t>---</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2" w:right="0"/>
              <w:jc w:val="left"/>
              <w:rPr>
                <w:rFonts w:ascii="Times New Roman" w:hAnsi="Times New Roman" w:cs="Times New Roman" w:eastAsia="Times New Roman" w:hint="default"/>
                <w:sz w:val="18"/>
                <w:szCs w:val="18"/>
              </w:rPr>
            </w:pPr>
            <w:r>
              <w:rPr>
                <w:rFonts w:ascii="Times New Roman"/>
                <w:sz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2" w:right="0"/>
              <w:jc w:val="left"/>
              <w:rPr>
                <w:rFonts w:ascii="Times New Roman" w:hAnsi="Times New Roman" w:cs="Times New Roman" w:eastAsia="Times New Roman" w:hint="default"/>
                <w:sz w:val="18"/>
                <w:szCs w:val="18"/>
              </w:rPr>
            </w:pPr>
            <w:r>
              <w:rPr>
                <w:rFonts w:ascii="Times New Roman"/>
                <w:sz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5"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2" w:right="0"/>
              <w:jc w:val="left"/>
              <w:rPr>
                <w:rFonts w:ascii="Times New Roman" w:hAnsi="Times New Roman" w:cs="Times New Roman" w:eastAsia="Times New Roman" w:hint="default"/>
                <w:sz w:val="18"/>
                <w:szCs w:val="18"/>
              </w:rPr>
            </w:pPr>
            <w:r>
              <w:rPr>
                <w:rFonts w:ascii="Times New Roman"/>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99"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nil" w:sz="6" w:space="0" w:color="auto"/>
              <w:left w:val="nil" w:sz="6" w:space="0" w:color="auto"/>
              <w:bottom w:val="single" w:sz="17"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7760" cy="9144"/>
                  <wp:effectExtent l="0" t="0" r="0" b="0"/>
                  <wp:docPr id="159" name="image92.png" descr=""/>
                  <wp:cNvGraphicFramePr>
                    <a:graphicFrameLocks noChangeAspect="1"/>
                  </wp:cNvGraphicFramePr>
                  <a:graphic>
                    <a:graphicData uri="http://schemas.openxmlformats.org/drawingml/2006/picture">
                      <pic:pic>
                        <pic:nvPicPr>
                          <pic:cNvPr id="160" name="image92.png"/>
                          <pic:cNvPicPr/>
                        </pic:nvPicPr>
                        <pic:blipFill>
                          <a:blip r:embed="rId139" cstate="print"/>
                          <a:stretch>
                            <a:fillRect/>
                          </a:stretch>
                        </pic:blipFill>
                        <pic:spPr>
                          <a:xfrm>
                            <a:off x="0" y="0"/>
                            <a:ext cx="8477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28" w:right="0"/>
              <w:jc w:val="left"/>
              <w:rPr>
                <w:rFonts w:ascii="Times New Roman" w:hAnsi="Times New Roman" w:cs="Times New Roman" w:eastAsia="Times New Roman" w:hint="default"/>
                <w:sz w:val="18"/>
                <w:szCs w:val="18"/>
              </w:rPr>
            </w:pPr>
            <w:r>
              <w:rPr>
                <w:rFonts w:ascii="Times New Roman"/>
                <w:sz w:val="18"/>
              </w:rPr>
              <w:t>73,868,181.89</w:t>
            </w:r>
          </w:p>
        </w:tc>
        <w:tc>
          <w:tcPr>
            <w:tcW w:w="1147"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5160" cy="9144"/>
                  <wp:effectExtent l="0" t="0" r="0" b="0"/>
                  <wp:docPr id="161" name="image93.png" descr=""/>
                  <wp:cNvGraphicFramePr>
                    <a:graphicFrameLocks noChangeAspect="1"/>
                  </wp:cNvGraphicFramePr>
                  <a:graphic>
                    <a:graphicData uri="http://schemas.openxmlformats.org/drawingml/2006/picture">
                      <pic:pic>
                        <pic:nvPicPr>
                          <pic:cNvPr id="162" name="image93.png"/>
                          <pic:cNvPicPr/>
                        </pic:nvPicPr>
                        <pic:blipFill>
                          <a:blip r:embed="rId140" cstate="print"/>
                          <a:stretch>
                            <a:fillRect/>
                          </a:stretch>
                        </pic:blipFill>
                        <pic:spPr>
                          <a:xfrm>
                            <a:off x="0" y="0"/>
                            <a:ext cx="6751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2" w:right="0"/>
              <w:jc w:val="left"/>
              <w:rPr>
                <w:rFonts w:ascii="Times New Roman" w:hAnsi="Times New Roman" w:cs="Times New Roman" w:eastAsia="Times New Roman" w:hint="default"/>
                <w:sz w:val="18"/>
                <w:szCs w:val="18"/>
              </w:rPr>
            </w:pPr>
            <w:r>
              <w:rPr>
                <w:rFonts w:ascii="Times New Roman"/>
                <w:sz w:val="18"/>
              </w:rPr>
              <w:t>100%</w:t>
            </w:r>
          </w:p>
        </w:tc>
        <w:tc>
          <w:tcPr>
            <w:tcW w:w="131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82098" cy="9144"/>
                  <wp:effectExtent l="0" t="0" r="0" b="0"/>
                  <wp:docPr id="163" name="image94.png" descr=""/>
                  <wp:cNvGraphicFramePr>
                    <a:graphicFrameLocks noChangeAspect="1"/>
                  </wp:cNvGraphicFramePr>
                  <a:graphic>
                    <a:graphicData uri="http://schemas.openxmlformats.org/drawingml/2006/picture">
                      <pic:pic>
                        <pic:nvPicPr>
                          <pic:cNvPr id="164" name="image94.png"/>
                          <pic:cNvPicPr/>
                        </pic:nvPicPr>
                        <pic:blipFill>
                          <a:blip r:embed="rId141" cstate="print"/>
                          <a:stretch>
                            <a:fillRect/>
                          </a:stretch>
                        </pic:blipFill>
                        <pic:spPr>
                          <a:xfrm>
                            <a:off x="0" y="0"/>
                            <a:ext cx="78209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2" w:right="0"/>
              <w:jc w:val="left"/>
              <w:rPr>
                <w:rFonts w:ascii="Times New Roman" w:hAnsi="Times New Roman" w:cs="Times New Roman" w:eastAsia="Times New Roman" w:hint="default"/>
                <w:sz w:val="18"/>
                <w:szCs w:val="18"/>
              </w:rPr>
            </w:pPr>
            <w:r>
              <w:rPr>
                <w:rFonts w:ascii="Times New Roman"/>
                <w:sz w:val="18"/>
              </w:rPr>
              <w:t>3,933,679.89</w:t>
            </w:r>
          </w:p>
        </w:tc>
        <w:tc>
          <w:tcPr>
            <w:tcW w:w="1428" w:type="dxa"/>
            <w:tcBorders>
              <w:top w:val="nil" w:sz="6" w:space="0" w:color="auto"/>
              <w:left w:val="nil" w:sz="6" w:space="0" w:color="auto"/>
              <w:bottom w:val="single" w:sz="17" w:space="0" w:color="000000"/>
              <w:right w:val="nil" w:sz="6" w:space="0" w:color="auto"/>
            </w:tcBorders>
          </w:tcPr>
          <w:p>
            <w:pPr>
              <w:pStyle w:val="TableParagraph"/>
              <w:spacing w:line="20" w:lineRule="exact"/>
              <w:ind w:left="8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3856" cy="9144"/>
                  <wp:effectExtent l="0" t="0" r="0" b="0"/>
                  <wp:docPr id="165" name="image95.png" descr=""/>
                  <wp:cNvGraphicFramePr>
                    <a:graphicFrameLocks noChangeAspect="1"/>
                  </wp:cNvGraphicFramePr>
                  <a:graphic>
                    <a:graphicData uri="http://schemas.openxmlformats.org/drawingml/2006/picture">
                      <pic:pic>
                        <pic:nvPicPr>
                          <pic:cNvPr id="166" name="image95.png"/>
                          <pic:cNvPicPr/>
                        </pic:nvPicPr>
                        <pic:blipFill>
                          <a:blip r:embed="rId142" cstate="print"/>
                          <a:stretch>
                            <a:fillRect/>
                          </a:stretch>
                        </pic:blipFill>
                        <pic:spPr>
                          <a:xfrm>
                            <a:off x="0" y="0"/>
                            <a:ext cx="85385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5" w:right="0"/>
              <w:jc w:val="left"/>
              <w:rPr>
                <w:rFonts w:ascii="Times New Roman" w:hAnsi="Times New Roman" w:cs="Times New Roman" w:eastAsia="Times New Roman" w:hint="default"/>
                <w:sz w:val="18"/>
                <w:szCs w:val="18"/>
              </w:rPr>
            </w:pPr>
            <w:r>
              <w:rPr>
                <w:rFonts w:ascii="Times New Roman"/>
                <w:sz w:val="18"/>
              </w:rPr>
              <w:t>31,985,201.09</w:t>
            </w:r>
          </w:p>
        </w:tc>
        <w:tc>
          <w:tcPr>
            <w:tcW w:w="1092"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106" cy="9144"/>
                  <wp:effectExtent l="0" t="0" r="0" b="0"/>
                  <wp:docPr id="167" name="image96.png" descr=""/>
                  <wp:cNvGraphicFramePr>
                    <a:graphicFrameLocks noChangeAspect="1"/>
                  </wp:cNvGraphicFramePr>
                  <a:graphic>
                    <a:graphicData uri="http://schemas.openxmlformats.org/drawingml/2006/picture">
                      <pic:pic>
                        <pic:nvPicPr>
                          <pic:cNvPr id="168" name="image96.png"/>
                          <pic:cNvPicPr/>
                        </pic:nvPicPr>
                        <pic:blipFill>
                          <a:blip r:embed="rId143" cstate="print"/>
                          <a:stretch>
                            <a:fillRect/>
                          </a:stretch>
                        </pic:blipFill>
                        <pic:spPr>
                          <a:xfrm>
                            <a:off x="0" y="0"/>
                            <a:ext cx="64010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2" w:right="0"/>
              <w:jc w:val="left"/>
              <w:rPr>
                <w:rFonts w:ascii="Times New Roman" w:hAnsi="Times New Roman" w:cs="Times New Roman" w:eastAsia="Times New Roman" w:hint="default"/>
                <w:sz w:val="18"/>
                <w:szCs w:val="18"/>
              </w:rPr>
            </w:pPr>
            <w:r>
              <w:rPr>
                <w:rFonts w:ascii="Times New Roman"/>
                <w:sz w:val="18"/>
              </w:rPr>
              <w:t>100%</w:t>
            </w:r>
          </w:p>
        </w:tc>
        <w:tc>
          <w:tcPr>
            <w:tcW w:w="1385"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9345" cy="9144"/>
                  <wp:effectExtent l="0" t="0" r="0" b="0"/>
                  <wp:docPr id="169" name="image97.png" descr=""/>
                  <wp:cNvGraphicFramePr>
                    <a:graphicFrameLocks noChangeAspect="1"/>
                  </wp:cNvGraphicFramePr>
                  <a:graphic>
                    <a:graphicData uri="http://schemas.openxmlformats.org/drawingml/2006/picture">
                      <pic:pic>
                        <pic:nvPicPr>
                          <pic:cNvPr id="170" name="image97.png"/>
                          <pic:cNvPicPr/>
                        </pic:nvPicPr>
                        <pic:blipFill>
                          <a:blip r:embed="rId144" cstate="print"/>
                          <a:stretch>
                            <a:fillRect/>
                          </a:stretch>
                        </pic:blipFill>
                        <pic:spPr>
                          <a:xfrm>
                            <a:off x="0" y="0"/>
                            <a:ext cx="82934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0" w:right="0"/>
              <w:jc w:val="left"/>
              <w:rPr>
                <w:rFonts w:ascii="Times New Roman" w:hAnsi="Times New Roman" w:cs="Times New Roman" w:eastAsia="Times New Roman" w:hint="default"/>
                <w:sz w:val="18"/>
                <w:szCs w:val="18"/>
              </w:rPr>
            </w:pPr>
            <w:r>
              <w:rPr>
                <w:rFonts w:ascii="Times New Roman"/>
                <w:sz w:val="18"/>
              </w:rPr>
              <w:t>1,755,318.18</w:t>
            </w:r>
          </w:p>
        </w:tc>
      </w:tr>
    </w:tbl>
    <w:p>
      <w:pPr>
        <w:spacing w:line="240" w:lineRule="auto" w:before="2"/>
        <w:rPr>
          <w:rFonts w:ascii="宋体" w:hAnsi="宋体" w:cs="宋体" w:eastAsia="宋体" w:hint="default"/>
          <w:b/>
          <w:bCs/>
          <w:sz w:val="16"/>
          <w:szCs w:val="16"/>
        </w:rPr>
      </w:pPr>
    </w:p>
    <w:p>
      <w:pPr>
        <w:spacing w:before="44"/>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．应收账款期末数中无持本公司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）表决权的股东单位欠款。</w:t>
      </w:r>
      <w:r>
        <w:rPr>
          <w:rFonts w:ascii="宋体" w:hAnsi="宋体" w:cs="宋体" w:eastAsia="宋体" w:hint="default"/>
          <w:sz w:val="18"/>
          <w:szCs w:val="18"/>
        </w:rPr>
      </w:r>
    </w:p>
    <w:p>
      <w:pPr>
        <w:spacing w:before="24"/>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．应收账款期末数中欠款金额前五名：</w:t>
      </w:r>
      <w:r>
        <w:rPr>
          <w:rFonts w:ascii="宋体" w:hAnsi="宋体" w:cs="宋体" w:eastAsia="宋体" w:hint="default"/>
          <w:sz w:val="18"/>
          <w:szCs w:val="18"/>
        </w:rPr>
      </w:r>
    </w:p>
    <w:p>
      <w:pPr>
        <w:spacing w:line="240" w:lineRule="auto" w:before="12"/>
        <w:rPr>
          <w:rFonts w:ascii="宋体" w:hAnsi="宋体" w:cs="宋体" w:eastAsia="宋体" w:hint="default"/>
          <w:b/>
          <w:bCs/>
          <w:sz w:val="27"/>
          <w:szCs w:val="27"/>
        </w:rPr>
      </w:pPr>
    </w:p>
    <w:tbl>
      <w:tblPr>
        <w:tblW w:w="0" w:type="auto"/>
        <w:jc w:val="left"/>
        <w:tblInd w:w="1002" w:type="dxa"/>
        <w:tblLayout w:type="fixed"/>
        <w:tblCellMar>
          <w:top w:w="0" w:type="dxa"/>
          <w:left w:w="0" w:type="dxa"/>
          <w:bottom w:w="0" w:type="dxa"/>
          <w:right w:w="0" w:type="dxa"/>
        </w:tblCellMar>
        <w:tblLook w:val="01E0"/>
      </w:tblPr>
      <w:tblGrid>
        <w:gridCol w:w="3238"/>
        <w:gridCol w:w="94"/>
        <w:gridCol w:w="1443"/>
        <w:gridCol w:w="120"/>
        <w:gridCol w:w="1406"/>
        <w:gridCol w:w="1611"/>
        <w:gridCol w:w="136"/>
        <w:gridCol w:w="1388"/>
      </w:tblGrid>
      <w:tr>
        <w:trPr>
          <w:trHeight w:val="529" w:hRule="exact"/>
        </w:trPr>
        <w:tc>
          <w:tcPr>
            <w:tcW w:w="323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3"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40" w:lineRule="auto" w:before="38"/>
              <w:ind w:left="32"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47" w:hRule="exact"/>
        </w:trPr>
        <w:tc>
          <w:tcPr>
            <w:tcW w:w="32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1"/>
              <w:jc w:val="left"/>
              <w:rPr>
                <w:rFonts w:ascii="宋体" w:hAnsi="宋体" w:cs="宋体" w:eastAsia="宋体" w:hint="default"/>
                <w:sz w:val="18"/>
                <w:szCs w:val="18"/>
              </w:rPr>
            </w:pPr>
            <w:r>
              <w:rPr>
                <w:rFonts w:ascii="宋体" w:hAnsi="宋体" w:cs="宋体" w:eastAsia="宋体" w:hint="default"/>
                <w:spacing w:val="-2"/>
                <w:sz w:val="18"/>
                <w:szCs w:val="18"/>
              </w:rPr>
              <w:t>银联商务有限公司（含广银联、深银联）</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37,719,469.52</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2" w:right="0"/>
              <w:jc w:val="left"/>
              <w:rPr>
                <w:rFonts w:ascii="Times New Roman" w:hAnsi="Times New Roman" w:cs="Times New Roman" w:eastAsia="Times New Roman" w:hint="default"/>
                <w:sz w:val="18"/>
                <w:szCs w:val="18"/>
              </w:rPr>
            </w:pPr>
            <w:r>
              <w:rPr>
                <w:rFonts w:ascii="Times New Roman"/>
                <w:sz w:val="18"/>
              </w:rPr>
              <w:t>51.06%</w:t>
            </w:r>
          </w:p>
        </w:tc>
      </w:tr>
      <w:tr>
        <w:trPr>
          <w:trHeight w:val="340"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3,103,721.00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4.20%</w:t>
            </w:r>
          </w:p>
        </w:tc>
      </w:tr>
      <w:tr>
        <w:trPr>
          <w:trHeight w:val="341"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10,948,350.00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2" w:right="0"/>
              <w:jc w:val="left"/>
              <w:rPr>
                <w:rFonts w:ascii="Times New Roman" w:hAnsi="Times New Roman" w:cs="Times New Roman" w:eastAsia="Times New Roman" w:hint="default"/>
                <w:sz w:val="18"/>
                <w:szCs w:val="18"/>
              </w:rPr>
            </w:pPr>
            <w:r>
              <w:rPr>
                <w:rFonts w:ascii="Times New Roman"/>
                <w:sz w:val="18"/>
              </w:rPr>
              <w:t>14.82%</w:t>
            </w:r>
          </w:p>
        </w:tc>
      </w:tr>
      <w:tr>
        <w:trPr>
          <w:trHeight w:val="340"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安徽省农村信用社联合社</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4,127,300.00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2" w:right="0"/>
              <w:jc w:val="left"/>
              <w:rPr>
                <w:rFonts w:ascii="Times New Roman" w:hAnsi="Times New Roman" w:cs="Times New Roman" w:eastAsia="Times New Roman" w:hint="default"/>
                <w:sz w:val="18"/>
                <w:szCs w:val="18"/>
              </w:rPr>
            </w:pPr>
            <w:r>
              <w:rPr>
                <w:rFonts w:ascii="Times New Roman"/>
                <w:sz w:val="18"/>
              </w:rPr>
              <w:t>5.59%</w:t>
            </w:r>
          </w:p>
        </w:tc>
      </w:tr>
      <w:tr>
        <w:trPr>
          <w:trHeight w:val="34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吉林省农村信用社联合社</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2,582,990.00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2" w:right="0"/>
              <w:jc w:val="left"/>
              <w:rPr>
                <w:rFonts w:ascii="Times New Roman" w:hAnsi="Times New Roman" w:cs="Times New Roman" w:eastAsia="Times New Roman" w:hint="default"/>
                <w:sz w:val="18"/>
                <w:szCs w:val="18"/>
              </w:rPr>
            </w:pPr>
            <w:r>
              <w:rPr>
                <w:rFonts w:ascii="Times New Roman"/>
                <w:sz w:val="18"/>
              </w:rPr>
              <w:t>3.50%</w:t>
            </w:r>
          </w:p>
        </w:tc>
      </w:tr>
      <w:tr>
        <w:trPr>
          <w:trHeight w:val="36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58,481,830.52</w:t>
            </w:r>
          </w:p>
        </w:tc>
        <w:tc>
          <w:tcPr>
            <w:tcW w:w="161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2" w:right="0"/>
              <w:jc w:val="left"/>
              <w:rPr>
                <w:rFonts w:ascii="Times New Roman" w:hAnsi="Times New Roman" w:cs="Times New Roman" w:eastAsia="Times New Roman" w:hint="default"/>
                <w:sz w:val="18"/>
                <w:szCs w:val="18"/>
              </w:rPr>
            </w:pPr>
            <w:r>
              <w:rPr>
                <w:rFonts w:ascii="Times New Roman"/>
                <w:sz w:val="18"/>
              </w:rPr>
              <w:t>79.17%</w:t>
            </w:r>
          </w:p>
        </w:tc>
      </w:tr>
    </w:tbl>
    <w:p>
      <w:pPr>
        <w:spacing w:line="240" w:lineRule="auto" w:before="2"/>
        <w:rPr>
          <w:rFonts w:ascii="宋体" w:hAnsi="宋体" w:cs="宋体" w:eastAsia="宋体" w:hint="default"/>
          <w:b/>
          <w:bCs/>
          <w:sz w:val="16"/>
          <w:szCs w:val="16"/>
        </w:rPr>
      </w:pPr>
    </w:p>
    <w:p>
      <w:pPr>
        <w:spacing w:line="232" w:lineRule="exact" w:before="69"/>
        <w:ind w:left="1002" w:right="1007" w:firstLine="0"/>
        <w:jc w:val="both"/>
        <w:rPr>
          <w:rFonts w:ascii="宋体" w:hAnsi="宋体" w:cs="宋体" w:eastAsia="宋体" w:hint="default"/>
          <w:sz w:val="18"/>
          <w:szCs w:val="18"/>
        </w:rPr>
      </w:pP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广州银联网络支付有限公司（简称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广银联</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）、深圳市银联金融网络有限公司（简称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深银联</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）本期变更为银</w:t>
      </w:r>
      <w:r>
        <w:rPr>
          <w:rFonts w:ascii="宋体" w:hAnsi="宋体" w:cs="宋体" w:eastAsia="宋体" w:hint="default"/>
          <w:spacing w:val="-68"/>
          <w:w w:val="100"/>
          <w:sz w:val="18"/>
          <w:szCs w:val="18"/>
        </w:rPr>
        <w:t> </w:t>
      </w:r>
      <w:r>
        <w:rPr>
          <w:rFonts w:ascii="宋体" w:hAnsi="宋体" w:cs="宋体" w:eastAsia="宋体" w:hint="default"/>
          <w:sz w:val="18"/>
          <w:szCs w:val="18"/>
        </w:rPr>
        <w:t>联商务有限公司之子公司。</w:t>
      </w:r>
    </w:p>
    <w:p>
      <w:pPr>
        <w:spacing w:line="240" w:lineRule="auto" w:before="4"/>
        <w:rPr>
          <w:rFonts w:ascii="宋体" w:hAnsi="宋体" w:cs="宋体" w:eastAsia="宋体" w:hint="default"/>
          <w:sz w:val="21"/>
          <w:szCs w:val="21"/>
        </w:rPr>
      </w:pPr>
    </w:p>
    <w:p>
      <w:pPr>
        <w:spacing w:line="223" w:lineRule="auto" w:before="0"/>
        <w:ind w:left="1002" w:right="1005"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5. </w:t>
      </w:r>
      <w:r>
        <w:rPr>
          <w:rFonts w:ascii="宋体" w:hAnsi="宋体" w:cs="宋体" w:eastAsia="宋体" w:hint="default"/>
          <w:b/>
          <w:bCs/>
          <w:sz w:val="18"/>
          <w:szCs w:val="18"/>
        </w:rPr>
        <w:t>应收账款期末数比期初数增加 </w:t>
      </w:r>
      <w:r>
        <w:rPr>
          <w:rFonts w:ascii="Times New Roman" w:hAnsi="Times New Roman" w:cs="Times New Roman" w:eastAsia="Times New Roman" w:hint="default"/>
          <w:b/>
          <w:bCs/>
          <w:sz w:val="18"/>
          <w:szCs w:val="18"/>
        </w:rPr>
        <w:t>41,882,980.80 </w:t>
      </w:r>
      <w:r>
        <w:rPr>
          <w:rFonts w:ascii="宋体" w:hAnsi="宋体" w:cs="宋体" w:eastAsia="宋体" w:hint="default"/>
          <w:b/>
          <w:bCs/>
          <w:sz w:val="18"/>
          <w:szCs w:val="18"/>
        </w:rPr>
        <w:t>元，增幅为</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130.94%</w:t>
      </w:r>
      <w:r>
        <w:rPr>
          <w:rFonts w:ascii="宋体" w:hAnsi="宋体" w:cs="宋体" w:eastAsia="宋体" w:hint="default"/>
          <w:b/>
          <w:bCs/>
          <w:sz w:val="18"/>
          <w:szCs w:val="18"/>
        </w:rPr>
        <w:t>，增加原因为：本期销售规模扩大；受行</w:t>
      </w:r>
      <w:r>
        <w:rPr>
          <w:rFonts w:ascii="宋体" w:hAnsi="宋体" w:cs="宋体" w:eastAsia="宋体" w:hint="default"/>
          <w:b/>
          <w:bCs/>
          <w:w w:val="99"/>
          <w:sz w:val="18"/>
          <w:szCs w:val="18"/>
        </w:rPr>
        <w:t> </w:t>
      </w:r>
      <w:r>
        <w:rPr>
          <w:rFonts w:ascii="宋体" w:hAnsi="宋体" w:cs="宋体" w:eastAsia="宋体" w:hint="default"/>
          <w:b/>
          <w:bCs/>
          <w:sz w:val="18"/>
          <w:szCs w:val="18"/>
        </w:rPr>
        <w:t>业主要客户招标期间的影响，</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3"/>
          <w:sz w:val="18"/>
          <w:szCs w:val="18"/>
        </w:rPr>
        <w:t> </w:t>
      </w:r>
      <w:r>
        <w:rPr>
          <w:rFonts w:ascii="宋体" w:hAnsi="宋体" w:cs="宋体" w:eastAsia="宋体" w:hint="default"/>
          <w:b/>
          <w:bCs/>
          <w:sz w:val="18"/>
          <w:szCs w:val="18"/>
        </w:rPr>
        <w:t>年中标期间为</w:t>
      </w:r>
      <w:r>
        <w:rPr>
          <w:rFonts w:ascii="宋体" w:hAnsi="宋体" w:cs="宋体" w:eastAsia="宋体" w:hint="default"/>
          <w:b/>
          <w:bCs/>
          <w:spacing w:val="-69"/>
          <w:sz w:val="18"/>
          <w:szCs w:val="18"/>
        </w:rPr>
        <w:t> </w:t>
      </w:r>
      <w:r>
        <w:rPr>
          <w:rFonts w:ascii="Times New Roman" w:hAnsi="Times New Roman" w:cs="Times New Roman" w:eastAsia="Times New Roman" w:hint="default"/>
          <w:b/>
          <w:bCs/>
          <w:sz w:val="18"/>
          <w:szCs w:val="18"/>
        </w:rPr>
        <w:t>3-4</w:t>
      </w:r>
      <w:r>
        <w:rPr>
          <w:rFonts w:ascii="Times New Roman" w:hAnsi="Times New Roman" w:cs="Times New Roman" w:eastAsia="Times New Roman" w:hint="default"/>
          <w:b/>
          <w:bCs/>
          <w:spacing w:val="-24"/>
          <w:sz w:val="18"/>
          <w:szCs w:val="18"/>
        </w:rPr>
        <w:t> </w:t>
      </w:r>
      <w:r>
        <w:rPr>
          <w:rFonts w:ascii="宋体" w:hAnsi="宋体" w:cs="宋体" w:eastAsia="宋体" w:hint="default"/>
          <w:b/>
          <w:bCs/>
          <w:sz w:val="18"/>
          <w:szCs w:val="18"/>
        </w:rPr>
        <w:t>月份，本公司的销售大部分集中在下半年，同时对主要客</w:t>
      </w:r>
      <w:r>
        <w:rPr>
          <w:rFonts w:ascii="宋体" w:hAnsi="宋体" w:cs="宋体" w:eastAsia="宋体" w:hint="default"/>
          <w:b/>
          <w:bCs/>
          <w:w w:val="99"/>
          <w:sz w:val="18"/>
          <w:szCs w:val="18"/>
        </w:rPr>
        <w:t> </w:t>
      </w:r>
      <w:r>
        <w:rPr>
          <w:rFonts w:ascii="宋体" w:hAnsi="宋体" w:cs="宋体" w:eastAsia="宋体" w:hint="default"/>
          <w:b/>
          <w:bCs/>
          <w:sz w:val="18"/>
          <w:szCs w:val="18"/>
        </w:rPr>
        <w:t>户合同约定销售回款有</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月的账期，使得应收账款期末余额增加。</w:t>
      </w:r>
      <w:r>
        <w:rPr>
          <w:rFonts w:ascii="宋体" w:hAnsi="宋体" w:cs="宋体" w:eastAsia="宋体" w:hint="default"/>
          <w:sz w:val="18"/>
          <w:szCs w:val="18"/>
        </w:rPr>
      </w:r>
    </w:p>
    <w:p>
      <w:pPr>
        <w:spacing w:line="240" w:lineRule="auto" w:before="0"/>
        <w:rPr>
          <w:rFonts w:ascii="宋体" w:hAnsi="宋体" w:cs="宋体" w:eastAsia="宋体" w:hint="default"/>
          <w:b/>
          <w:bCs/>
          <w:sz w:val="21"/>
          <w:szCs w:val="21"/>
        </w:rPr>
      </w:pPr>
    </w:p>
    <w:p>
      <w:pPr>
        <w:spacing w:before="0"/>
        <w:ind w:left="100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报告期实际核销的应收账款情况：</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002" w:type="dxa"/>
        <w:tblLayout w:type="fixed"/>
        <w:tblCellMar>
          <w:top w:w="0" w:type="dxa"/>
          <w:left w:w="0" w:type="dxa"/>
          <w:bottom w:w="0" w:type="dxa"/>
          <w:right w:w="0" w:type="dxa"/>
        </w:tblCellMar>
        <w:tblLook w:val="01E0"/>
      </w:tblPr>
      <w:tblGrid>
        <w:gridCol w:w="2100"/>
        <w:gridCol w:w="154"/>
        <w:gridCol w:w="1442"/>
        <w:gridCol w:w="124"/>
        <w:gridCol w:w="1418"/>
        <w:gridCol w:w="2364"/>
        <w:gridCol w:w="139"/>
        <w:gridCol w:w="1428"/>
      </w:tblGrid>
      <w:tr>
        <w:trPr>
          <w:trHeight w:val="488"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2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3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179" w:lineRule="exact"/>
              <w:ind w:left="28" w:right="0"/>
              <w:jc w:val="left"/>
              <w:rPr>
                <w:rFonts w:ascii="宋体" w:hAnsi="宋体" w:cs="宋体" w:eastAsia="宋体" w:hint="default"/>
                <w:sz w:val="18"/>
                <w:szCs w:val="18"/>
              </w:rPr>
            </w:pPr>
            <w:r>
              <w:rPr>
                <w:rFonts w:ascii="宋体" w:hAnsi="宋体" w:cs="宋体" w:eastAsia="宋体" w:hint="default"/>
                <w:spacing w:val="15"/>
                <w:sz w:val="18"/>
                <w:szCs w:val="18"/>
              </w:rPr>
              <w:t>是否因关联交易</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产生</w:t>
            </w:r>
          </w:p>
        </w:tc>
      </w:tr>
      <w:tr>
        <w:trPr>
          <w:trHeight w:val="359"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阳光雨露信息技术公司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0" w:right="0"/>
              <w:jc w:val="left"/>
              <w:rPr>
                <w:rFonts w:ascii="Times New Roman" w:hAnsi="Times New Roman" w:cs="Times New Roman" w:eastAsia="Times New Roman" w:hint="default"/>
                <w:sz w:val="18"/>
                <w:szCs w:val="18"/>
              </w:rPr>
            </w:pPr>
            <w:r>
              <w:rPr>
                <w:rFonts w:ascii="Times New Roman"/>
                <w:sz w:val="18"/>
              </w:rPr>
              <w:t>2,400.00</w:t>
            </w:r>
          </w:p>
        </w:tc>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无法收回，本期核销</w:t>
            </w:r>
          </w:p>
        </w:tc>
        <w:tc>
          <w:tcPr>
            <w:tcW w:w="139"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5"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32" w:lineRule="exact" w:before="45"/>
              <w:ind w:left="26" w:right="26"/>
              <w:jc w:val="left"/>
              <w:rPr>
                <w:rFonts w:ascii="宋体" w:hAnsi="宋体" w:cs="宋体" w:eastAsia="宋体" w:hint="default"/>
                <w:sz w:val="18"/>
                <w:szCs w:val="18"/>
              </w:rPr>
            </w:pPr>
            <w:r>
              <w:rPr>
                <w:rFonts w:ascii="宋体" w:hAnsi="宋体" w:cs="宋体" w:eastAsia="宋体" w:hint="default"/>
                <w:spacing w:val="5"/>
                <w:sz w:val="18"/>
                <w:szCs w:val="18"/>
              </w:rPr>
              <w:t>广州银联网络支付有限公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司珠海分公司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8"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无法收回，本期核销</w:t>
            </w:r>
          </w:p>
        </w:tc>
        <w:tc>
          <w:tcPr>
            <w:tcW w:w="13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0" w:right="0"/>
              <w:jc w:val="left"/>
              <w:rPr>
                <w:rFonts w:ascii="Times New Roman" w:hAnsi="Times New Roman" w:cs="Times New Roman" w:eastAsia="Times New Roman" w:hint="default"/>
                <w:sz w:val="18"/>
                <w:szCs w:val="18"/>
              </w:rPr>
            </w:pPr>
            <w:r>
              <w:rPr>
                <w:rFonts w:ascii="Times New Roman"/>
                <w:sz w:val="18"/>
              </w:rPr>
              <w:t>2,410.00</w:t>
            </w:r>
          </w:p>
        </w:tc>
        <w:tc>
          <w:tcPr>
            <w:tcW w:w="236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b/>
          <w:bCs/>
          <w:sz w:val="15"/>
          <w:szCs w:val="15"/>
        </w:rPr>
      </w:pPr>
    </w:p>
    <w:p>
      <w:pPr>
        <w:spacing w:before="44"/>
        <w:ind w:left="1002" w:right="0" w:firstLine="0"/>
        <w:jc w:val="left"/>
        <w:rPr>
          <w:rFonts w:ascii="宋体" w:hAnsi="宋体" w:cs="宋体" w:eastAsia="宋体" w:hint="default"/>
          <w:sz w:val="18"/>
          <w:szCs w:val="18"/>
        </w:rPr>
      </w:pPr>
      <w:r>
        <w:rPr>
          <w:rFonts w:ascii="宋体" w:hAnsi="宋体" w:cs="宋体" w:eastAsia="宋体" w:hint="default"/>
          <w:b/>
          <w:bCs/>
          <w:sz w:val="18"/>
          <w:szCs w:val="18"/>
        </w:rPr>
        <w:t>（二）其他应收款</w:t>
      </w:r>
      <w:r>
        <w:rPr>
          <w:rFonts w:ascii="宋体" w:hAnsi="宋体" w:cs="宋体" w:eastAsia="宋体" w:hint="default"/>
          <w:sz w:val="18"/>
          <w:szCs w:val="18"/>
        </w:rPr>
      </w:r>
    </w:p>
    <w:p>
      <w:pPr>
        <w:spacing w:line="240" w:lineRule="auto" w:before="11"/>
        <w:rPr>
          <w:rFonts w:ascii="宋体" w:hAnsi="宋体" w:cs="宋体" w:eastAsia="宋体" w:hint="default"/>
          <w:b/>
          <w:bCs/>
          <w:sz w:val="21"/>
          <w:szCs w:val="21"/>
        </w:rPr>
      </w:pPr>
    </w:p>
    <w:p>
      <w:pPr>
        <w:spacing w:before="0"/>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其他应收款按种类披露：</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6" w:top="1060" w:bottom="1420" w:left="700" w:right="580"/>
        </w:sectPr>
      </w:pPr>
    </w:p>
    <w:p>
      <w:pPr>
        <w:spacing w:line="240" w:lineRule="auto" w:before="11"/>
        <w:rPr>
          <w:rFonts w:ascii="宋体" w:hAnsi="宋体" w:cs="宋体" w:eastAsia="宋体" w:hint="default"/>
          <w:b/>
          <w:bCs/>
          <w:sz w:val="2"/>
          <w:szCs w:val="2"/>
        </w:rPr>
      </w:pPr>
    </w:p>
    <w:tbl>
      <w:tblPr>
        <w:tblW w:w="0" w:type="auto"/>
        <w:jc w:val="left"/>
        <w:tblInd w:w="207" w:type="dxa"/>
        <w:tblLayout w:type="fixed"/>
        <w:tblCellMar>
          <w:top w:w="0" w:type="dxa"/>
          <w:left w:w="0" w:type="dxa"/>
          <w:bottom w:w="0" w:type="dxa"/>
          <w:right w:w="0" w:type="dxa"/>
        </w:tblCellMar>
        <w:tblLook w:val="01E0"/>
      </w:tblPr>
      <w:tblGrid>
        <w:gridCol w:w="1844"/>
        <w:gridCol w:w="142"/>
        <w:gridCol w:w="1277"/>
        <w:gridCol w:w="135"/>
        <w:gridCol w:w="857"/>
        <w:gridCol w:w="134"/>
        <w:gridCol w:w="1044"/>
        <w:gridCol w:w="778"/>
        <w:gridCol w:w="1303"/>
        <w:gridCol w:w="711"/>
        <w:gridCol w:w="135"/>
        <w:gridCol w:w="1082"/>
        <w:gridCol w:w="768"/>
      </w:tblGrid>
      <w:tr>
        <w:trPr>
          <w:trHeight w:val="396" w:hRule="exact"/>
        </w:trPr>
        <w:tc>
          <w:tcPr>
            <w:tcW w:w="1844"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1277"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 w:type="dxa"/>
            <w:tcBorders>
              <w:top w:val="single" w:sz="6" w:space="0" w:color="000000"/>
              <w:left w:val="nil" w:sz="6" w:space="0" w:color="auto"/>
              <w:bottom w:val="single" w:sz="4" w:space="0" w:color="000000"/>
              <w:right w:val="nil" w:sz="6" w:space="0" w:color="auto"/>
            </w:tcBorders>
          </w:tcPr>
          <w:p>
            <w:pPr/>
          </w:p>
        </w:tc>
        <w:tc>
          <w:tcPr>
            <w:tcW w:w="857" w:type="dxa"/>
            <w:tcBorders>
              <w:top w:val="single" w:sz="6" w:space="0" w:color="000000"/>
              <w:left w:val="nil" w:sz="6" w:space="0" w:color="auto"/>
              <w:bottom w:val="single" w:sz="4" w:space="0" w:color="000000"/>
              <w:right w:val="nil" w:sz="6" w:space="0" w:color="auto"/>
            </w:tcBorders>
          </w:tcPr>
          <w:p>
            <w:pPr/>
          </w:p>
        </w:tc>
        <w:tc>
          <w:tcPr>
            <w:tcW w:w="134" w:type="dxa"/>
            <w:tcBorders>
              <w:top w:val="single" w:sz="6" w:space="0" w:color="000000"/>
              <w:left w:val="nil" w:sz="6" w:space="0" w:color="auto"/>
              <w:bottom w:val="single" w:sz="4" w:space="0" w:color="000000"/>
              <w:right w:val="nil" w:sz="6" w:space="0" w:color="auto"/>
            </w:tcBorders>
          </w:tcPr>
          <w:p>
            <w:pPr/>
          </w:p>
        </w:tc>
        <w:tc>
          <w:tcPr>
            <w:tcW w:w="1044" w:type="dxa"/>
            <w:tcBorders>
              <w:top w:val="single" w:sz="6" w:space="0" w:color="000000"/>
              <w:left w:val="nil" w:sz="6" w:space="0" w:color="auto"/>
              <w:bottom w:val="single" w:sz="4" w:space="0" w:color="000000"/>
              <w:right w:val="nil" w:sz="6" w:space="0" w:color="auto"/>
            </w:tcBorders>
          </w:tcPr>
          <w:p>
            <w:pPr/>
          </w:p>
        </w:tc>
        <w:tc>
          <w:tcPr>
            <w:tcW w:w="778" w:type="dxa"/>
            <w:tcBorders>
              <w:top w:val="single" w:sz="6" w:space="0" w:color="000000"/>
              <w:left w:val="nil" w:sz="6" w:space="0" w:color="auto"/>
              <w:bottom w:val="single" w:sz="4" w:space="0" w:color="000000"/>
              <w:right w:val="nil" w:sz="6" w:space="0" w:color="auto"/>
            </w:tcBorders>
          </w:tcPr>
          <w:p>
            <w:pPr/>
          </w:p>
        </w:tc>
        <w:tc>
          <w:tcPr>
            <w:tcW w:w="1303"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11" w:type="dxa"/>
            <w:tcBorders>
              <w:top w:val="single" w:sz="6" w:space="0" w:color="000000"/>
              <w:left w:val="nil" w:sz="6" w:space="0" w:color="auto"/>
              <w:bottom w:val="single" w:sz="4" w:space="0" w:color="000000"/>
              <w:right w:val="nil" w:sz="6" w:space="0" w:color="auto"/>
            </w:tcBorders>
          </w:tcPr>
          <w:p>
            <w:pPr/>
          </w:p>
        </w:tc>
        <w:tc>
          <w:tcPr>
            <w:tcW w:w="135" w:type="dxa"/>
            <w:tcBorders>
              <w:top w:val="single" w:sz="6" w:space="0" w:color="000000"/>
              <w:left w:val="nil" w:sz="6" w:space="0" w:color="auto"/>
              <w:bottom w:val="single" w:sz="4" w:space="0" w:color="000000"/>
              <w:right w:val="nil" w:sz="6" w:space="0" w:color="auto"/>
            </w:tcBorders>
          </w:tcPr>
          <w:p>
            <w:pPr/>
          </w:p>
        </w:tc>
        <w:tc>
          <w:tcPr>
            <w:tcW w:w="1082" w:type="dxa"/>
            <w:tcBorders>
              <w:top w:val="single" w:sz="6" w:space="0" w:color="000000"/>
              <w:left w:val="nil" w:sz="6" w:space="0" w:color="auto"/>
              <w:bottom w:val="single" w:sz="4" w:space="0" w:color="000000"/>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
        </w:tc>
      </w:tr>
      <w:tr>
        <w:trPr>
          <w:trHeight w:val="380" w:hRule="exact"/>
        </w:trPr>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 w:type="dxa"/>
            <w:tcBorders>
              <w:top w:val="single" w:sz="4" w:space="0" w:color="000000"/>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tcBorders>
              <w:top w:val="single" w:sz="4" w:space="0" w:color="000000"/>
              <w:left w:val="nil" w:sz="6" w:space="0" w:color="auto"/>
              <w:bottom w:val="nil" w:sz="6" w:space="0" w:color="auto"/>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5" w:type="dxa"/>
            <w:tcBorders>
              <w:top w:val="single" w:sz="4" w:space="0" w:color="000000"/>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6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2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83" w:hRule="exact"/>
        </w:trPr>
        <w:tc>
          <w:tcPr>
            <w:tcW w:w="1844" w:type="dxa"/>
            <w:tcBorders>
              <w:top w:val="single" w:sz="4" w:space="0" w:color="000000"/>
              <w:left w:val="nil" w:sz="6" w:space="0" w:color="auto"/>
              <w:bottom w:val="nil" w:sz="6" w:space="0" w:color="auto"/>
              <w:right w:val="nil" w:sz="6" w:space="0" w:color="auto"/>
            </w:tcBorders>
          </w:tcPr>
          <w:p>
            <w:pPr>
              <w:pStyle w:val="TableParagraph"/>
              <w:spacing w:line="237" w:lineRule="auto" w:before="10"/>
              <w:ind w:left="28" w:right="29"/>
              <w:jc w:val="both"/>
              <w:rPr>
                <w:rFonts w:ascii="宋体" w:hAnsi="宋体" w:cs="宋体" w:eastAsia="宋体" w:hint="default"/>
                <w:sz w:val="18"/>
                <w:szCs w:val="18"/>
              </w:rPr>
            </w:pPr>
            <w:r>
              <w:rPr>
                <w:rFonts w:ascii="宋体" w:hAnsi="宋体" w:cs="宋体" w:eastAsia="宋体" w:hint="default"/>
                <w:spacing w:val="-2"/>
                <w:sz w:val="18"/>
                <w:szCs w:val="18"/>
              </w:rPr>
              <w:t>一、单项金额重大并单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项计提坏账准备的其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他应收款</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tc>
        <w:tc>
          <w:tcPr>
            <w:tcW w:w="134" w:type="dxa"/>
            <w:tcBorders>
              <w:top w:val="nil" w:sz="6" w:space="0" w:color="auto"/>
              <w:left w:val="nil" w:sz="6" w:space="0" w:color="auto"/>
              <w:bottom w:val="nil" w:sz="6" w:space="0" w:color="auto"/>
              <w:right w:val="nil" w:sz="6" w:space="0" w:color="auto"/>
            </w:tcBorders>
          </w:tcPr>
          <w:p>
            <w:pP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w:t>
            </w:r>
          </w:p>
        </w:tc>
      </w:tr>
      <w:tr>
        <w:trPr>
          <w:trHeight w:val="546"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28" w:right="29"/>
              <w:jc w:val="left"/>
              <w:rPr>
                <w:rFonts w:ascii="宋体" w:hAnsi="宋体" w:cs="宋体" w:eastAsia="宋体" w:hint="default"/>
                <w:sz w:val="18"/>
                <w:szCs w:val="18"/>
              </w:rPr>
            </w:pPr>
            <w:r>
              <w:rPr>
                <w:rFonts w:ascii="宋体" w:hAnsi="宋体" w:cs="宋体" w:eastAsia="宋体" w:hint="default"/>
                <w:spacing w:val="-2"/>
                <w:sz w:val="18"/>
                <w:szCs w:val="18"/>
              </w:rPr>
              <w:t>二、按账龄组合计提坏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3,515,921.68</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100%</w:t>
            </w:r>
          </w:p>
        </w:tc>
        <w:tc>
          <w:tcPr>
            <w:tcW w:w="134"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267,311.84</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7.60%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1,652,943.36</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13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246,129.72</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14.89%</w:t>
            </w:r>
          </w:p>
        </w:tc>
      </w:tr>
      <w:tr>
        <w:trPr>
          <w:trHeight w:val="803"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28" w:right="29"/>
              <w:jc w:val="both"/>
              <w:rPr>
                <w:rFonts w:ascii="宋体" w:hAnsi="宋体" w:cs="宋体" w:eastAsia="宋体" w:hint="default"/>
                <w:sz w:val="18"/>
                <w:szCs w:val="18"/>
              </w:rPr>
            </w:pPr>
            <w:r>
              <w:rPr>
                <w:rFonts w:ascii="宋体" w:hAnsi="宋体" w:cs="宋体" w:eastAsia="宋体" w:hint="default"/>
                <w:spacing w:val="-2"/>
                <w:sz w:val="18"/>
                <w:szCs w:val="18"/>
              </w:rPr>
              <w:t>三、单项金额虽不重大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但单项计提坏账准备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的其他应收款</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9518" cy="9144"/>
                  <wp:effectExtent l="0" t="0" r="0" b="0"/>
                  <wp:docPr id="171" name="image98.png" descr=""/>
                  <wp:cNvGraphicFramePr>
                    <a:graphicFrameLocks noChangeAspect="1"/>
                  </wp:cNvGraphicFramePr>
                  <a:graphic>
                    <a:graphicData uri="http://schemas.openxmlformats.org/drawingml/2006/picture">
                      <pic:pic>
                        <pic:nvPicPr>
                          <pic:cNvPr id="172" name="image98.png"/>
                          <pic:cNvPicPr/>
                        </pic:nvPicPr>
                        <pic:blipFill>
                          <a:blip r:embed="rId145" cstate="print"/>
                          <a:stretch>
                            <a:fillRect/>
                          </a:stretch>
                        </pic:blipFill>
                        <pic:spPr>
                          <a:xfrm>
                            <a:off x="0" y="0"/>
                            <a:ext cx="539518" cy="9144"/>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8649" cy="9144"/>
                  <wp:effectExtent l="0" t="0" r="0" b="0"/>
                  <wp:docPr id="173" name="image99.png" descr=""/>
                  <wp:cNvGraphicFramePr>
                    <a:graphicFrameLocks noChangeAspect="1"/>
                  </wp:cNvGraphicFramePr>
                  <a:graphic>
                    <a:graphicData uri="http://schemas.openxmlformats.org/drawingml/2006/picture">
                      <pic:pic>
                        <pic:nvPicPr>
                          <pic:cNvPr id="174" name="image99.png"/>
                          <pic:cNvPicPr/>
                        </pic:nvPicPr>
                        <pic:blipFill>
                          <a:blip r:embed="rId146" cstate="print"/>
                          <a:stretch>
                            <a:fillRect/>
                          </a:stretch>
                        </pic:blipFill>
                        <pic:spPr>
                          <a:xfrm>
                            <a:off x="0" y="0"/>
                            <a:ext cx="658649" cy="9144"/>
                          </a:xfrm>
                          <a:prstGeom prst="rect">
                            <a:avLst/>
                          </a:prstGeom>
                        </pic:spPr>
                      </pic:pic>
                    </a:graphicData>
                  </a:graphic>
                </wp:inline>
              </w:drawing>
            </w:r>
            <w:r>
              <w:rPr>
                <w:rFonts w:ascii="宋体" w:hAnsi="宋体" w:cs="宋体" w:eastAsia="宋体" w:hint="default"/>
                <w:sz w:val="2"/>
                <w:szCs w:val="2"/>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9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31309" cy="9144"/>
                  <wp:effectExtent l="0" t="0" r="0" b="0"/>
                  <wp:docPr id="175" name="image100.png" descr=""/>
                  <wp:cNvGraphicFramePr>
                    <a:graphicFrameLocks noChangeAspect="1"/>
                  </wp:cNvGraphicFramePr>
                  <a:graphic>
                    <a:graphicData uri="http://schemas.openxmlformats.org/drawingml/2006/picture">
                      <pic:pic>
                        <pic:nvPicPr>
                          <pic:cNvPr id="176" name="image100.png"/>
                          <pic:cNvPicPr/>
                        </pic:nvPicPr>
                        <pic:blipFill>
                          <a:blip r:embed="rId147" cstate="print"/>
                          <a:stretch>
                            <a:fillRect/>
                          </a:stretch>
                        </pic:blipFill>
                        <pic:spPr>
                          <a:xfrm>
                            <a:off x="0" y="0"/>
                            <a:ext cx="431309" cy="9144"/>
                          </a:xfrm>
                          <a:prstGeom prst="rect">
                            <a:avLst/>
                          </a:prstGeom>
                        </pic:spPr>
                      </pic:pic>
                    </a:graphicData>
                  </a:graphic>
                </wp:inline>
              </w:drawing>
            </w:r>
            <w:r>
              <w:rPr>
                <w:rFonts w:ascii="宋体" w:hAnsi="宋体" w:cs="宋体" w:eastAsia="宋体" w:hint="default"/>
                <w:sz w:val="2"/>
                <w:szCs w:val="2"/>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0" w:lineRule="exact"/>
              <w:ind w:left="9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25213" cy="9144"/>
                  <wp:effectExtent l="0" t="0" r="0" b="0"/>
                  <wp:docPr id="177" name="image101.png" descr=""/>
                  <wp:cNvGraphicFramePr>
                    <a:graphicFrameLocks noChangeAspect="1"/>
                  </wp:cNvGraphicFramePr>
                  <a:graphic>
                    <a:graphicData uri="http://schemas.openxmlformats.org/drawingml/2006/picture">
                      <pic:pic>
                        <pic:nvPicPr>
                          <pic:cNvPr id="178" name="image101.png"/>
                          <pic:cNvPicPr/>
                        </pic:nvPicPr>
                        <pic:blipFill>
                          <a:blip r:embed="rId148" cstate="print"/>
                          <a:stretch>
                            <a:fillRect/>
                          </a:stretch>
                        </pic:blipFill>
                        <pic:spPr>
                          <a:xfrm>
                            <a:off x="0" y="0"/>
                            <a:ext cx="425213" cy="9144"/>
                          </a:xfrm>
                          <a:prstGeom prst="rect">
                            <a:avLst/>
                          </a:prstGeom>
                        </pic:spPr>
                      </pic:pic>
                    </a:graphicData>
                  </a:graphic>
                </wp:inline>
              </w:drawing>
            </w:r>
            <w:r>
              <w:rPr>
                <w:rFonts w:ascii="宋体" w:hAnsi="宋体" w:cs="宋体" w:eastAsia="宋体" w:hint="default"/>
                <w:sz w:val="2"/>
                <w:szCs w:val="2"/>
              </w:rPr>
            </w:r>
          </w:p>
        </w:tc>
      </w:tr>
      <w:tr>
        <w:trPr>
          <w:trHeight w:val="389"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1182" cy="9144"/>
                  <wp:effectExtent l="0" t="0" r="0" b="0"/>
                  <wp:docPr id="179" name="image85.png" descr=""/>
                  <wp:cNvGraphicFramePr>
                    <a:graphicFrameLocks noChangeAspect="1"/>
                  </wp:cNvGraphicFramePr>
                  <a:graphic>
                    <a:graphicData uri="http://schemas.openxmlformats.org/drawingml/2006/picture">
                      <pic:pic>
                        <pic:nvPicPr>
                          <pic:cNvPr id="180" name="image85.png"/>
                          <pic:cNvPicPr/>
                        </pic:nvPicPr>
                        <pic:blipFill>
                          <a:blip r:embed="rId132" cstate="print"/>
                          <a:stretch>
                            <a:fillRect/>
                          </a:stretch>
                        </pic:blipFill>
                        <pic:spPr>
                          <a:xfrm>
                            <a:off x="0" y="0"/>
                            <a:ext cx="81118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28" w:right="0"/>
              <w:jc w:val="left"/>
              <w:rPr>
                <w:rFonts w:ascii="Times New Roman" w:hAnsi="Times New Roman" w:cs="Times New Roman" w:eastAsia="Times New Roman" w:hint="default"/>
                <w:sz w:val="18"/>
                <w:szCs w:val="18"/>
              </w:rPr>
            </w:pPr>
            <w:r>
              <w:rPr>
                <w:rFonts w:ascii="Times New Roman"/>
                <w:sz w:val="18"/>
              </w:rPr>
              <w:t>3,515,921.68</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17" w:space="0" w:color="000000"/>
              <w:right w:val="nil" w:sz="6" w:space="0" w:color="auto"/>
            </w:tcBorders>
          </w:tcPr>
          <w:p>
            <w:pPr>
              <w:pStyle w:val="TableParagraph"/>
              <w:spacing w:line="240" w:lineRule="auto" w:before="72"/>
              <w:ind w:left="36" w:right="0"/>
              <w:jc w:val="left"/>
              <w:rPr>
                <w:rFonts w:ascii="Times New Roman" w:hAnsi="Times New Roman" w:cs="Times New Roman" w:eastAsia="Times New Roman" w:hint="default"/>
                <w:sz w:val="18"/>
                <w:szCs w:val="18"/>
              </w:rPr>
            </w:pPr>
            <w:r>
              <w:rPr>
                <w:rFonts w:ascii="Times New Roman"/>
                <w:sz w:val="18"/>
              </w:rPr>
              <w:t>100%</w:t>
            </w:r>
          </w:p>
        </w:tc>
        <w:tc>
          <w:tcPr>
            <w:tcW w:w="134"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single" w:sz="17" w:space="0" w:color="000000"/>
              <w:right w:val="nil" w:sz="6" w:space="0" w:color="auto"/>
            </w:tcBorders>
          </w:tcPr>
          <w:p>
            <w:pPr>
              <w:pStyle w:val="TableParagraph"/>
              <w:spacing w:line="240" w:lineRule="auto" w:before="72"/>
              <w:ind w:left="36" w:right="0"/>
              <w:jc w:val="left"/>
              <w:rPr>
                <w:rFonts w:ascii="Times New Roman" w:hAnsi="Times New Roman" w:cs="Times New Roman" w:eastAsia="Times New Roman" w:hint="default"/>
                <w:sz w:val="18"/>
                <w:szCs w:val="18"/>
              </w:rPr>
            </w:pPr>
            <w:r>
              <w:rPr>
                <w:rFonts w:ascii="Times New Roman"/>
                <w:sz w:val="18"/>
              </w:rPr>
              <w:t>267,311.84</w:t>
            </w:r>
          </w:p>
        </w:tc>
        <w:tc>
          <w:tcPr>
            <w:tcW w:w="778" w:type="dxa"/>
            <w:tcBorders>
              <w:top w:val="nil" w:sz="6" w:space="0" w:color="auto"/>
              <w:left w:val="nil" w:sz="6" w:space="0" w:color="auto"/>
              <w:bottom w:val="single" w:sz="17" w:space="0" w:color="000000"/>
              <w:right w:val="nil" w:sz="6" w:space="0" w:color="auto"/>
            </w:tcBorders>
          </w:tcPr>
          <w:p>
            <w:pPr>
              <w:pStyle w:val="TableParagraph"/>
              <w:spacing w:line="240" w:lineRule="auto" w:before="72"/>
              <w:ind w:left="127" w:right="0"/>
              <w:jc w:val="left"/>
              <w:rPr>
                <w:rFonts w:ascii="Times New Roman" w:hAnsi="Times New Roman" w:cs="Times New Roman" w:eastAsia="Times New Roman" w:hint="default"/>
                <w:sz w:val="18"/>
                <w:szCs w:val="18"/>
              </w:rPr>
            </w:pPr>
            <w:r>
              <w:rPr>
                <w:rFonts w:ascii="Times New Roman"/>
                <w:sz w:val="18"/>
              </w:rPr>
              <w:t>7.60%</w:t>
            </w:r>
          </w:p>
        </w:tc>
        <w:tc>
          <w:tcPr>
            <w:tcW w:w="1303"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75748" cy="9144"/>
                  <wp:effectExtent l="0" t="0" r="0" b="0"/>
                  <wp:docPr id="181" name="image102.png" descr=""/>
                  <wp:cNvGraphicFramePr>
                    <a:graphicFrameLocks noChangeAspect="1"/>
                  </wp:cNvGraphicFramePr>
                  <a:graphic>
                    <a:graphicData uri="http://schemas.openxmlformats.org/drawingml/2006/picture">
                      <pic:pic>
                        <pic:nvPicPr>
                          <pic:cNvPr id="182" name="image102.png"/>
                          <pic:cNvPicPr/>
                        </pic:nvPicPr>
                        <pic:blipFill>
                          <a:blip r:embed="rId149" cstate="print"/>
                          <a:stretch>
                            <a:fillRect/>
                          </a:stretch>
                        </pic:blipFill>
                        <pic:spPr>
                          <a:xfrm>
                            <a:off x="0" y="0"/>
                            <a:ext cx="77574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0" w:right="0"/>
              <w:jc w:val="left"/>
              <w:rPr>
                <w:rFonts w:ascii="Times New Roman" w:hAnsi="Times New Roman" w:cs="Times New Roman" w:eastAsia="Times New Roman" w:hint="default"/>
                <w:sz w:val="18"/>
                <w:szCs w:val="18"/>
              </w:rPr>
            </w:pPr>
            <w:r>
              <w:rPr>
                <w:rFonts w:ascii="Times New Roman"/>
                <w:sz w:val="18"/>
              </w:rPr>
              <w:t>1,652,943.36</w:t>
            </w:r>
          </w:p>
        </w:tc>
        <w:tc>
          <w:tcPr>
            <w:tcW w:w="711"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685" cy="9144"/>
                  <wp:effectExtent l="0" t="0" r="0" b="0"/>
                  <wp:docPr id="183" name="image38.png" descr=""/>
                  <wp:cNvGraphicFramePr>
                    <a:graphicFrameLocks noChangeAspect="1"/>
                  </wp:cNvGraphicFramePr>
                  <a:graphic>
                    <a:graphicData uri="http://schemas.openxmlformats.org/drawingml/2006/picture">
                      <pic:pic>
                        <pic:nvPicPr>
                          <pic:cNvPr id="184" name="image38.png"/>
                          <pic:cNvPicPr/>
                        </pic:nvPicPr>
                        <pic:blipFill>
                          <a:blip r:embed="rId83" cstate="print"/>
                          <a:stretch>
                            <a:fillRect/>
                          </a:stretch>
                        </pic:blipFill>
                        <pic:spPr>
                          <a:xfrm>
                            <a:off x="0" y="0"/>
                            <a:ext cx="3996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110" w:right="0"/>
              <w:jc w:val="left"/>
              <w:rPr>
                <w:rFonts w:ascii="Times New Roman" w:hAnsi="Times New Roman" w:cs="Times New Roman" w:eastAsia="Times New Roman" w:hint="default"/>
                <w:sz w:val="18"/>
                <w:szCs w:val="18"/>
              </w:rPr>
            </w:pPr>
            <w:r>
              <w:rPr>
                <w:rFonts w:ascii="Times New Roman"/>
                <w:sz w:val="18"/>
              </w:rPr>
              <w:t>100%</w:t>
            </w:r>
          </w:p>
        </w:tc>
        <w:tc>
          <w:tcPr>
            <w:tcW w:w="13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single" w:sz="17" w:space="0" w:color="000000"/>
              <w:right w:val="nil" w:sz="6" w:space="0" w:color="auto"/>
            </w:tcBorders>
          </w:tcPr>
          <w:p>
            <w:pPr>
              <w:pStyle w:val="TableParagraph"/>
              <w:spacing w:line="240" w:lineRule="auto" w:before="72"/>
              <w:ind w:left="36" w:right="0"/>
              <w:jc w:val="left"/>
              <w:rPr>
                <w:rFonts w:ascii="Times New Roman" w:hAnsi="Times New Roman" w:cs="Times New Roman" w:eastAsia="Times New Roman" w:hint="default"/>
                <w:sz w:val="18"/>
                <w:szCs w:val="18"/>
              </w:rPr>
            </w:pPr>
            <w:r>
              <w:rPr>
                <w:rFonts w:ascii="Times New Roman"/>
                <w:sz w:val="18"/>
              </w:rPr>
              <w:t>246,129.72</w:t>
            </w:r>
          </w:p>
        </w:tc>
        <w:tc>
          <w:tcPr>
            <w:tcW w:w="768" w:type="dxa"/>
            <w:tcBorders>
              <w:top w:val="nil" w:sz="6" w:space="0" w:color="auto"/>
              <w:left w:val="nil" w:sz="6" w:space="0" w:color="auto"/>
              <w:bottom w:val="single" w:sz="17" w:space="0" w:color="000000"/>
              <w:right w:val="nil" w:sz="6" w:space="0" w:color="auto"/>
            </w:tcBorders>
          </w:tcPr>
          <w:p>
            <w:pPr>
              <w:pStyle w:val="TableParagraph"/>
              <w:spacing w:line="240" w:lineRule="auto" w:before="72"/>
              <w:ind w:left="127" w:right="0"/>
              <w:jc w:val="left"/>
              <w:rPr>
                <w:rFonts w:ascii="Times New Roman" w:hAnsi="Times New Roman" w:cs="Times New Roman" w:eastAsia="Times New Roman" w:hint="default"/>
                <w:sz w:val="18"/>
                <w:szCs w:val="18"/>
              </w:rPr>
            </w:pPr>
            <w:r>
              <w:rPr>
                <w:rFonts w:ascii="Times New Roman"/>
                <w:sz w:val="18"/>
              </w:rPr>
              <w:t>14.89%</w:t>
            </w:r>
          </w:p>
        </w:tc>
      </w:tr>
    </w:tbl>
    <w:p>
      <w:pPr>
        <w:spacing w:before="8"/>
        <w:ind w:left="1002" w:right="975" w:firstLine="0"/>
        <w:jc w:val="left"/>
        <w:rPr>
          <w:rFonts w:ascii="宋体" w:hAnsi="宋体" w:cs="宋体" w:eastAsia="宋体" w:hint="default"/>
          <w:sz w:val="18"/>
          <w:szCs w:val="18"/>
        </w:rPr>
      </w:pPr>
      <w:r>
        <w:rPr/>
        <w:pict>
          <v:shape style="position:absolute;margin-left:463.660004pt;margin-top:-21.488234pt;width:54.602275pt;height:.72pt;mso-position-horizontal-relative:page;mso-position-vertical-relative:paragraph;z-index:6760" type="#_x0000_t75" stroked="false">
            <v:imagedata r:id="rId150" o:title=""/>
          </v:shape>
        </w:pic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．其他应收款按账龄结构列示如下：</w:t>
      </w:r>
      <w:r>
        <w:rPr>
          <w:rFonts w:ascii="宋体" w:hAnsi="宋体" w:cs="宋体" w:eastAsia="宋体" w:hint="default"/>
          <w:sz w:val="18"/>
          <w:szCs w:val="18"/>
        </w:rPr>
      </w:r>
    </w:p>
    <w:p>
      <w:pPr>
        <w:spacing w:line="240" w:lineRule="auto" w:before="1"/>
        <w:rPr>
          <w:rFonts w:ascii="宋体" w:hAnsi="宋体" w:cs="宋体" w:eastAsia="宋体" w:hint="default"/>
          <w:b/>
          <w:bCs/>
          <w:sz w:val="29"/>
          <w:szCs w:val="29"/>
        </w:rPr>
      </w:pPr>
    </w:p>
    <w:tbl>
      <w:tblPr>
        <w:tblW w:w="0" w:type="auto"/>
        <w:jc w:val="left"/>
        <w:tblInd w:w="1002" w:type="dxa"/>
        <w:tblLayout w:type="fixed"/>
        <w:tblCellMar>
          <w:top w:w="0" w:type="dxa"/>
          <w:left w:w="0" w:type="dxa"/>
          <w:bottom w:w="0" w:type="dxa"/>
          <w:right w:w="0" w:type="dxa"/>
        </w:tblCellMar>
        <w:tblLook w:val="01E0"/>
      </w:tblPr>
      <w:tblGrid>
        <w:gridCol w:w="1723"/>
        <w:gridCol w:w="103"/>
        <w:gridCol w:w="1325"/>
        <w:gridCol w:w="1176"/>
        <w:gridCol w:w="1246"/>
        <w:gridCol w:w="1358"/>
        <w:gridCol w:w="104"/>
        <w:gridCol w:w="1001"/>
        <w:gridCol w:w="1205"/>
      </w:tblGrid>
      <w:tr>
        <w:trPr>
          <w:trHeight w:val="267" w:hRule="exact"/>
        </w:trPr>
        <w:tc>
          <w:tcPr>
            <w:tcW w:w="172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76" w:type="dxa"/>
            <w:tcBorders>
              <w:top w:val="nil" w:sz="6" w:space="0" w:color="auto"/>
              <w:left w:val="nil" w:sz="6" w:space="0" w:color="auto"/>
              <w:bottom w:val="single" w:sz="4" w:space="0" w:color="000000"/>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4"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4" w:type="dxa"/>
            <w:tcBorders>
              <w:top w:val="single" w:sz="4" w:space="0" w:color="000000"/>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1" w:right="0"/>
              <w:jc w:val="left"/>
              <w:rPr>
                <w:rFonts w:ascii="Times New Roman" w:hAnsi="Times New Roman" w:cs="Times New Roman" w:eastAsia="Times New Roman" w:hint="default"/>
                <w:sz w:val="18"/>
                <w:szCs w:val="18"/>
              </w:rPr>
            </w:pPr>
            <w:r>
              <w:rPr>
                <w:rFonts w:ascii="Times New Roman"/>
                <w:sz w:val="18"/>
              </w:rPr>
              <w:t>2,483,717.32</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Times New Roman" w:hAnsi="Times New Roman" w:cs="Times New Roman" w:eastAsia="Times New Roman" w:hint="default"/>
                <w:sz w:val="18"/>
                <w:szCs w:val="18"/>
              </w:rPr>
            </w:pPr>
            <w:r>
              <w:rPr>
                <w:rFonts w:ascii="Times New Roman"/>
                <w:sz w:val="18"/>
              </w:rPr>
              <w:t>70.64%</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12" w:right="0"/>
              <w:jc w:val="left"/>
              <w:rPr>
                <w:rFonts w:ascii="Times New Roman" w:hAnsi="Times New Roman" w:cs="Times New Roman" w:eastAsia="Times New Roman" w:hint="default"/>
                <w:sz w:val="18"/>
                <w:szCs w:val="18"/>
              </w:rPr>
            </w:pPr>
            <w:r>
              <w:rPr>
                <w:rFonts w:ascii="Times New Roman"/>
                <w:sz w:val="18"/>
              </w:rPr>
              <w:t>75,685.86</w:t>
            </w: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1,016,393.00</w:t>
            </w:r>
          </w:p>
        </w:tc>
        <w:tc>
          <w:tcPr>
            <w:tcW w:w="104"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1" w:right="0"/>
              <w:jc w:val="left"/>
              <w:rPr>
                <w:rFonts w:ascii="Times New Roman" w:hAnsi="Times New Roman" w:cs="Times New Roman" w:eastAsia="Times New Roman" w:hint="default"/>
                <w:sz w:val="18"/>
                <w:szCs w:val="18"/>
              </w:rPr>
            </w:pPr>
            <w:r>
              <w:rPr>
                <w:rFonts w:ascii="Times New Roman"/>
                <w:sz w:val="18"/>
              </w:rPr>
              <w:t>61.49%</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12" w:right="0"/>
              <w:jc w:val="left"/>
              <w:rPr>
                <w:rFonts w:ascii="Times New Roman" w:hAnsi="Times New Roman" w:cs="Times New Roman" w:eastAsia="Times New Roman" w:hint="default"/>
                <w:sz w:val="18"/>
                <w:szCs w:val="18"/>
              </w:rPr>
            </w:pPr>
            <w:r>
              <w:rPr>
                <w:rFonts w:ascii="Times New Roman"/>
                <w:sz w:val="18"/>
              </w:rPr>
              <w:t>25,819.65</w:t>
            </w:r>
          </w:p>
        </w:tc>
      </w:tr>
      <w:tr>
        <w:trPr>
          <w:trHeight w:val="340"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 w:right="0"/>
              <w:jc w:val="left"/>
              <w:rPr>
                <w:rFonts w:ascii="Times New Roman" w:hAnsi="Times New Roman" w:cs="Times New Roman" w:eastAsia="Times New Roman" w:hint="default"/>
                <w:sz w:val="18"/>
                <w:szCs w:val="18"/>
              </w:rPr>
            </w:pPr>
            <w:r>
              <w:rPr>
                <w:rFonts w:ascii="Times New Roman"/>
                <w:sz w:val="18"/>
              </w:rPr>
              <w:t>748,254.00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sz w:val="18"/>
              </w:rPr>
              <w:t>21.28%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2" w:right="0"/>
              <w:jc w:val="left"/>
              <w:rPr>
                <w:rFonts w:ascii="Times New Roman" w:hAnsi="Times New Roman" w:cs="Times New Roman" w:eastAsia="Times New Roman" w:hint="default"/>
                <w:sz w:val="18"/>
                <w:szCs w:val="18"/>
              </w:rPr>
            </w:pPr>
            <w:r>
              <w:rPr>
                <w:rFonts w:ascii="Times New Roman"/>
                <w:sz w:val="18"/>
              </w:rPr>
              <w:t>49,650.80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Times New Roman" w:hAnsi="Times New Roman" w:cs="Times New Roman" w:eastAsia="Times New Roman" w:hint="default"/>
                <w:sz w:val="18"/>
                <w:szCs w:val="18"/>
              </w:rPr>
            </w:pPr>
            <w:r>
              <w:rPr>
                <w:rFonts w:ascii="Times New Roman"/>
                <w:sz w:val="18"/>
              </w:rPr>
              <w:t>326,550.36</w:t>
            </w:r>
          </w:p>
        </w:tc>
        <w:tc>
          <w:tcPr>
            <w:tcW w:w="10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 w:right="0"/>
              <w:jc w:val="left"/>
              <w:rPr>
                <w:rFonts w:ascii="Times New Roman" w:hAnsi="Times New Roman" w:cs="Times New Roman" w:eastAsia="Times New Roman" w:hint="default"/>
                <w:sz w:val="18"/>
                <w:szCs w:val="18"/>
              </w:rPr>
            </w:pPr>
            <w:r>
              <w:rPr>
                <w:rFonts w:ascii="Times New Roman"/>
                <w:sz w:val="18"/>
              </w:rPr>
              <w:t>19.76%</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2" w:right="0"/>
              <w:jc w:val="left"/>
              <w:rPr>
                <w:rFonts w:ascii="Times New Roman" w:hAnsi="Times New Roman" w:cs="Times New Roman" w:eastAsia="Times New Roman" w:hint="default"/>
                <w:sz w:val="18"/>
                <w:szCs w:val="18"/>
              </w:rPr>
            </w:pPr>
            <w:r>
              <w:rPr>
                <w:rFonts w:ascii="Times New Roman"/>
                <w:sz w:val="18"/>
              </w:rPr>
              <w:t>65,310.07</w:t>
            </w:r>
          </w:p>
        </w:tc>
      </w:tr>
      <w:tr>
        <w:trPr>
          <w:trHeight w:val="341"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left"/>
              <w:rPr>
                <w:rFonts w:ascii="Times New Roman" w:hAnsi="Times New Roman" w:cs="Times New Roman" w:eastAsia="Times New Roman" w:hint="default"/>
                <w:sz w:val="18"/>
                <w:szCs w:val="18"/>
              </w:rPr>
            </w:pPr>
            <w:r>
              <w:rPr>
                <w:rFonts w:ascii="Times New Roman"/>
                <w:sz w:val="18"/>
              </w:rPr>
              <w:t>283,950.36</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Times New Roman" w:hAnsi="Times New Roman" w:cs="Times New Roman" w:eastAsia="Times New Roman" w:hint="default"/>
                <w:sz w:val="18"/>
                <w:szCs w:val="18"/>
              </w:rPr>
            </w:pPr>
            <w:r>
              <w:rPr>
                <w:rFonts w:ascii="Times New Roman"/>
                <w:sz w:val="18"/>
              </w:rPr>
              <w:t>8.08%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2" w:right="0"/>
              <w:jc w:val="left"/>
              <w:rPr>
                <w:rFonts w:ascii="Times New Roman" w:hAnsi="Times New Roman" w:cs="Times New Roman" w:eastAsia="Times New Roman" w:hint="default"/>
                <w:sz w:val="18"/>
                <w:szCs w:val="18"/>
              </w:rPr>
            </w:pPr>
            <w:r>
              <w:rPr>
                <w:rFonts w:ascii="Times New Roman"/>
                <w:sz w:val="18"/>
              </w:rPr>
              <w:t>141,975.18</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Times New Roman" w:hAnsi="Times New Roman" w:cs="Times New Roman" w:eastAsia="Times New Roman" w:hint="default"/>
                <w:sz w:val="18"/>
                <w:szCs w:val="18"/>
              </w:rPr>
            </w:pPr>
            <w:r>
              <w:rPr>
                <w:rFonts w:ascii="Times New Roman"/>
                <w:sz w:val="18"/>
              </w:rPr>
              <w:t>310,000.00</w:t>
            </w:r>
          </w:p>
        </w:tc>
        <w:tc>
          <w:tcPr>
            <w:tcW w:w="10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left"/>
              <w:rPr>
                <w:rFonts w:ascii="Times New Roman" w:hAnsi="Times New Roman" w:cs="Times New Roman" w:eastAsia="Times New Roman" w:hint="default"/>
                <w:sz w:val="18"/>
                <w:szCs w:val="18"/>
              </w:rPr>
            </w:pPr>
            <w:r>
              <w:rPr>
                <w:rFonts w:ascii="Times New Roman"/>
                <w:sz w:val="18"/>
              </w:rPr>
              <w:t>18.75%</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2" w:right="0"/>
              <w:jc w:val="left"/>
              <w:rPr>
                <w:rFonts w:ascii="Times New Roman" w:hAnsi="Times New Roman" w:cs="Times New Roman" w:eastAsia="Times New Roman" w:hint="default"/>
                <w:sz w:val="18"/>
                <w:szCs w:val="18"/>
              </w:rPr>
            </w:pPr>
            <w:r>
              <w:rPr>
                <w:rFonts w:ascii="Times New Roman"/>
                <w:sz w:val="18"/>
              </w:rPr>
              <w:t>155,000.00</w:t>
            </w:r>
          </w:p>
        </w:tc>
      </w:tr>
      <w:tr>
        <w:trPr>
          <w:trHeight w:val="347"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2" w:right="0"/>
              <w:jc w:val="left"/>
              <w:rPr>
                <w:rFonts w:ascii="Times New Roman" w:hAnsi="Times New Roman" w:cs="Times New Roman" w:eastAsia="Times New Roman" w:hint="default"/>
                <w:sz w:val="18"/>
                <w:szCs w:val="18"/>
              </w:rPr>
            </w:pPr>
            <w:r>
              <w:rPr>
                <w:rFonts w:ascii="Times New Roman"/>
                <w:sz w:val="18"/>
              </w:rPr>
              <w:t>---</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2" w:right="0"/>
              <w:jc w:val="lef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1628" cy="9144"/>
                  <wp:effectExtent l="0" t="0" r="0" b="0"/>
                  <wp:docPr id="185" name="image104.png" descr=""/>
                  <wp:cNvGraphicFramePr>
                    <a:graphicFrameLocks noChangeAspect="1"/>
                  </wp:cNvGraphicFramePr>
                  <a:graphic>
                    <a:graphicData uri="http://schemas.openxmlformats.org/drawingml/2006/picture">
                      <pic:pic>
                        <pic:nvPicPr>
                          <pic:cNvPr id="186" name="image104.png"/>
                          <pic:cNvPicPr/>
                        </pic:nvPicPr>
                        <pic:blipFill>
                          <a:blip r:embed="rId151" cstate="print"/>
                          <a:stretch>
                            <a:fillRect/>
                          </a:stretch>
                        </pic:blipFill>
                        <pic:spPr>
                          <a:xfrm>
                            <a:off x="0" y="0"/>
                            <a:ext cx="84162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31" w:right="0"/>
              <w:jc w:val="left"/>
              <w:rPr>
                <w:rFonts w:ascii="Times New Roman" w:hAnsi="Times New Roman" w:cs="Times New Roman" w:eastAsia="Times New Roman" w:hint="default"/>
                <w:sz w:val="18"/>
                <w:szCs w:val="18"/>
              </w:rPr>
            </w:pPr>
            <w:r>
              <w:rPr>
                <w:rFonts w:ascii="Times New Roman"/>
                <w:sz w:val="18"/>
              </w:rPr>
              <w:t>3,515,921.68</w:t>
            </w:r>
          </w:p>
        </w:tc>
        <w:tc>
          <w:tcPr>
            <w:tcW w:w="1176"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6467" cy="9144"/>
                  <wp:effectExtent l="0" t="0" r="0" b="0"/>
                  <wp:docPr id="187" name="image105.png" descr=""/>
                  <wp:cNvGraphicFramePr>
                    <a:graphicFrameLocks noChangeAspect="1"/>
                  </wp:cNvGraphicFramePr>
                  <a:graphic>
                    <a:graphicData uri="http://schemas.openxmlformats.org/drawingml/2006/picture">
                      <pic:pic>
                        <pic:nvPicPr>
                          <pic:cNvPr id="188" name="image105.png"/>
                          <pic:cNvPicPr/>
                        </pic:nvPicPr>
                        <pic:blipFill>
                          <a:blip r:embed="rId152" cstate="print"/>
                          <a:stretch>
                            <a:fillRect/>
                          </a:stretch>
                        </pic:blipFill>
                        <pic:spPr>
                          <a:xfrm>
                            <a:off x="0" y="0"/>
                            <a:ext cx="69646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08" w:right="0"/>
              <w:jc w:val="left"/>
              <w:rPr>
                <w:rFonts w:ascii="Times New Roman" w:hAnsi="Times New Roman" w:cs="Times New Roman" w:eastAsia="Times New Roman" w:hint="default"/>
                <w:sz w:val="18"/>
                <w:szCs w:val="18"/>
              </w:rPr>
            </w:pPr>
            <w:r>
              <w:rPr>
                <w:rFonts w:ascii="Times New Roman"/>
                <w:sz w:val="18"/>
              </w:rPr>
              <w:t>100%</w:t>
            </w:r>
          </w:p>
        </w:tc>
        <w:tc>
          <w:tcPr>
            <w:tcW w:w="124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7869" cy="9144"/>
                  <wp:effectExtent l="0" t="0" r="0" b="0"/>
                  <wp:docPr id="189" name="image106.png" descr=""/>
                  <wp:cNvGraphicFramePr>
                    <a:graphicFrameLocks noChangeAspect="1"/>
                  </wp:cNvGraphicFramePr>
                  <a:graphic>
                    <a:graphicData uri="http://schemas.openxmlformats.org/drawingml/2006/picture">
                      <pic:pic>
                        <pic:nvPicPr>
                          <pic:cNvPr id="190" name="image106.png"/>
                          <pic:cNvPicPr/>
                        </pic:nvPicPr>
                        <pic:blipFill>
                          <a:blip r:embed="rId153" cstate="print"/>
                          <a:stretch>
                            <a:fillRect/>
                          </a:stretch>
                        </pic:blipFill>
                        <pic:spPr>
                          <a:xfrm>
                            <a:off x="0" y="0"/>
                            <a:ext cx="73786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12" w:right="0"/>
              <w:jc w:val="left"/>
              <w:rPr>
                <w:rFonts w:ascii="Times New Roman" w:hAnsi="Times New Roman" w:cs="Times New Roman" w:eastAsia="Times New Roman" w:hint="default"/>
                <w:sz w:val="18"/>
                <w:szCs w:val="18"/>
              </w:rPr>
            </w:pPr>
            <w:r>
              <w:rPr>
                <w:rFonts w:ascii="Times New Roman"/>
                <w:sz w:val="18"/>
              </w:rPr>
              <w:t>267,311.84</w:t>
            </w:r>
          </w:p>
        </w:tc>
        <w:tc>
          <w:tcPr>
            <w:tcW w:w="135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2292" cy="9144"/>
                  <wp:effectExtent l="0" t="0" r="0" b="0"/>
                  <wp:docPr id="191" name="image107.png" descr=""/>
                  <wp:cNvGraphicFramePr>
                    <a:graphicFrameLocks noChangeAspect="1"/>
                  </wp:cNvGraphicFramePr>
                  <a:graphic>
                    <a:graphicData uri="http://schemas.openxmlformats.org/drawingml/2006/picture">
                      <pic:pic>
                        <pic:nvPicPr>
                          <pic:cNvPr id="192" name="image107.png"/>
                          <pic:cNvPicPr/>
                        </pic:nvPicPr>
                        <pic:blipFill>
                          <a:blip r:embed="rId154" cstate="print"/>
                          <a:stretch>
                            <a:fillRect/>
                          </a:stretch>
                        </pic:blipFill>
                        <pic:spPr>
                          <a:xfrm>
                            <a:off x="0" y="0"/>
                            <a:ext cx="81229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07" w:right="0"/>
              <w:jc w:val="left"/>
              <w:rPr>
                <w:rFonts w:ascii="Times New Roman" w:hAnsi="Times New Roman" w:cs="Times New Roman" w:eastAsia="Times New Roman" w:hint="default"/>
                <w:sz w:val="18"/>
                <w:szCs w:val="18"/>
              </w:rPr>
            </w:pPr>
            <w:r>
              <w:rPr>
                <w:rFonts w:ascii="Times New Roman"/>
                <w:sz w:val="18"/>
              </w:rPr>
              <w:t>1,652,943.36</w:t>
            </w:r>
          </w:p>
        </w:tc>
        <w:tc>
          <w:tcPr>
            <w:tcW w:w="10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5507" cy="9144"/>
                  <wp:effectExtent l="0" t="0" r="0" b="0"/>
                  <wp:docPr id="193" name="image108.png" descr=""/>
                  <wp:cNvGraphicFramePr>
                    <a:graphicFrameLocks noChangeAspect="1"/>
                  </wp:cNvGraphicFramePr>
                  <a:graphic>
                    <a:graphicData uri="http://schemas.openxmlformats.org/drawingml/2006/picture">
                      <pic:pic>
                        <pic:nvPicPr>
                          <pic:cNvPr id="194" name="image108.png"/>
                          <pic:cNvPicPr/>
                        </pic:nvPicPr>
                        <pic:blipFill>
                          <a:blip r:embed="rId155" cstate="print"/>
                          <a:stretch>
                            <a:fillRect/>
                          </a:stretch>
                        </pic:blipFill>
                        <pic:spPr>
                          <a:xfrm>
                            <a:off x="0" y="0"/>
                            <a:ext cx="6355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31" w:right="0"/>
              <w:jc w:val="left"/>
              <w:rPr>
                <w:rFonts w:ascii="Times New Roman" w:hAnsi="Times New Roman" w:cs="Times New Roman" w:eastAsia="Times New Roman" w:hint="default"/>
                <w:sz w:val="18"/>
                <w:szCs w:val="18"/>
              </w:rPr>
            </w:pPr>
            <w:r>
              <w:rPr>
                <w:rFonts w:ascii="Times New Roman"/>
                <w:sz w:val="18"/>
              </w:rPr>
              <w:t>100%</w:t>
            </w:r>
          </w:p>
        </w:tc>
        <w:tc>
          <w:tcPr>
            <w:tcW w:w="1205"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1707" cy="9144"/>
                  <wp:effectExtent l="0" t="0" r="0" b="0"/>
                  <wp:docPr id="195" name="image109.png" descr=""/>
                  <wp:cNvGraphicFramePr>
                    <a:graphicFrameLocks noChangeAspect="1"/>
                  </wp:cNvGraphicFramePr>
                  <a:graphic>
                    <a:graphicData uri="http://schemas.openxmlformats.org/drawingml/2006/picture">
                      <pic:pic>
                        <pic:nvPicPr>
                          <pic:cNvPr id="196" name="image109.png"/>
                          <pic:cNvPicPr/>
                        </pic:nvPicPr>
                        <pic:blipFill>
                          <a:blip r:embed="rId156" cstate="print"/>
                          <a:stretch>
                            <a:fillRect/>
                          </a:stretch>
                        </pic:blipFill>
                        <pic:spPr>
                          <a:xfrm>
                            <a:off x="0" y="0"/>
                            <a:ext cx="7117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left="112" w:right="0"/>
              <w:jc w:val="left"/>
              <w:rPr>
                <w:rFonts w:ascii="Times New Roman" w:hAnsi="Times New Roman" w:cs="Times New Roman" w:eastAsia="Times New Roman" w:hint="default"/>
                <w:sz w:val="18"/>
                <w:szCs w:val="18"/>
              </w:rPr>
            </w:pPr>
            <w:r>
              <w:rPr>
                <w:rFonts w:ascii="Times New Roman"/>
                <w:sz w:val="18"/>
              </w:rPr>
              <w:t>246,129.72</w:t>
            </w:r>
          </w:p>
        </w:tc>
      </w:tr>
    </w:tbl>
    <w:p>
      <w:pPr>
        <w:spacing w:line="240" w:lineRule="auto" w:before="12"/>
        <w:rPr>
          <w:rFonts w:ascii="宋体" w:hAnsi="宋体" w:cs="宋体" w:eastAsia="宋体" w:hint="default"/>
          <w:b/>
          <w:bCs/>
          <w:sz w:val="15"/>
          <w:szCs w:val="15"/>
        </w:rPr>
      </w:pPr>
    </w:p>
    <w:p>
      <w:pPr>
        <w:spacing w:before="44"/>
        <w:ind w:left="1002" w:right="97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其他应收款期末数中无持本公司</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％以上（含</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％）表决权的股东单位欠款。</w:t>
      </w:r>
      <w:r>
        <w:rPr>
          <w:rFonts w:ascii="宋体" w:hAnsi="宋体" w:cs="宋体" w:eastAsia="宋体" w:hint="default"/>
          <w:sz w:val="18"/>
          <w:szCs w:val="18"/>
        </w:rPr>
      </w:r>
    </w:p>
    <w:p>
      <w:pPr>
        <w:spacing w:line="230" w:lineRule="exact" w:before="53"/>
        <w:ind w:left="1002" w:right="97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其他应收款期末数比期初数增加 </w:t>
      </w:r>
      <w:r>
        <w:rPr>
          <w:rFonts w:ascii="Times New Roman" w:hAnsi="Times New Roman" w:cs="Times New Roman" w:eastAsia="Times New Roman" w:hint="default"/>
          <w:b/>
          <w:bCs/>
          <w:sz w:val="18"/>
          <w:szCs w:val="18"/>
        </w:rPr>
        <w:t>1,862,978.32 </w:t>
      </w:r>
      <w:r>
        <w:rPr>
          <w:rFonts w:ascii="宋体" w:hAnsi="宋体" w:cs="宋体" w:eastAsia="宋体" w:hint="default"/>
          <w:b/>
          <w:bCs/>
          <w:sz w:val="18"/>
          <w:szCs w:val="18"/>
        </w:rPr>
        <w:t>元，增幅为</w:t>
      </w:r>
      <w:r>
        <w:rPr>
          <w:rFonts w:ascii="宋体" w:hAnsi="宋体" w:cs="宋体" w:eastAsia="宋体" w:hint="default"/>
          <w:b/>
          <w:bCs/>
          <w:spacing w:val="-59"/>
          <w:sz w:val="18"/>
          <w:szCs w:val="18"/>
        </w:rPr>
        <w:t> </w:t>
      </w:r>
      <w:r>
        <w:rPr>
          <w:rFonts w:ascii="Times New Roman" w:hAnsi="Times New Roman" w:cs="Times New Roman" w:eastAsia="Times New Roman" w:hint="default"/>
          <w:b/>
          <w:bCs/>
          <w:sz w:val="18"/>
          <w:szCs w:val="18"/>
        </w:rPr>
        <w:t>112.71%</w:t>
      </w:r>
      <w:r>
        <w:rPr>
          <w:rFonts w:ascii="宋体" w:hAnsi="宋体" w:cs="宋体" w:eastAsia="宋体" w:hint="default"/>
          <w:b/>
          <w:bCs/>
          <w:sz w:val="18"/>
          <w:szCs w:val="18"/>
        </w:rPr>
        <w:t>，增加的主要原因为本期新增对子公司南</w:t>
      </w:r>
      <w:r>
        <w:rPr>
          <w:rFonts w:ascii="宋体" w:hAnsi="宋体" w:cs="宋体" w:eastAsia="宋体" w:hint="default"/>
          <w:b/>
          <w:bCs/>
          <w:w w:val="99"/>
          <w:sz w:val="18"/>
          <w:szCs w:val="18"/>
        </w:rPr>
        <w:t> </w:t>
      </w:r>
      <w:r>
        <w:rPr>
          <w:rFonts w:ascii="宋体" w:hAnsi="宋体" w:cs="宋体" w:eastAsia="宋体" w:hint="default"/>
          <w:b/>
          <w:bCs/>
          <w:sz w:val="18"/>
          <w:szCs w:val="18"/>
        </w:rPr>
        <w:t>京新国都技术有限公司应收款项</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970,000.00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b/>
          <w:bCs/>
          <w:sz w:val="20"/>
          <w:szCs w:val="20"/>
        </w:rPr>
      </w:pPr>
    </w:p>
    <w:p>
      <w:pPr>
        <w:spacing w:before="0"/>
        <w:ind w:left="1002" w:right="97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其他应收款期末数中欠款金额前五名：</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002" w:type="dxa"/>
        <w:tblLayout w:type="fixed"/>
        <w:tblCellMar>
          <w:top w:w="0" w:type="dxa"/>
          <w:left w:w="0" w:type="dxa"/>
          <w:bottom w:w="0" w:type="dxa"/>
          <w:right w:w="0" w:type="dxa"/>
        </w:tblCellMar>
        <w:tblLook w:val="01E0"/>
      </w:tblPr>
      <w:tblGrid>
        <w:gridCol w:w="2590"/>
        <w:gridCol w:w="154"/>
        <w:gridCol w:w="1442"/>
        <w:gridCol w:w="120"/>
        <w:gridCol w:w="1644"/>
        <w:gridCol w:w="1716"/>
        <w:gridCol w:w="132"/>
        <w:gridCol w:w="1428"/>
      </w:tblGrid>
      <w:tr>
        <w:trPr>
          <w:trHeight w:val="529"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3"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38"/>
              <w:ind w:left="33"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45"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970,000.00</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27.59%</w:t>
            </w:r>
          </w:p>
        </w:tc>
      </w:tr>
      <w:tr>
        <w:trPr>
          <w:trHeight w:val="341"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3" w:right="0"/>
              <w:jc w:val="left"/>
              <w:rPr>
                <w:rFonts w:ascii="Times New Roman" w:hAnsi="Times New Roman" w:cs="Times New Roman" w:eastAsia="Times New Roman" w:hint="default"/>
                <w:sz w:val="18"/>
                <w:szCs w:val="18"/>
              </w:rPr>
            </w:pPr>
            <w:r>
              <w:rPr>
                <w:rFonts w:ascii="Times New Roman"/>
                <w:sz w:val="18"/>
              </w:rPr>
              <w:t>500,000.00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一年以上二年以内</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3" w:right="0"/>
              <w:jc w:val="left"/>
              <w:rPr>
                <w:rFonts w:ascii="Times New Roman" w:hAnsi="Times New Roman" w:cs="Times New Roman" w:eastAsia="Times New Roman" w:hint="default"/>
                <w:sz w:val="18"/>
                <w:szCs w:val="18"/>
              </w:rPr>
            </w:pPr>
            <w:r>
              <w:rPr>
                <w:rFonts w:ascii="Times New Roman"/>
                <w:sz w:val="18"/>
              </w:rPr>
              <w:t>14.22%</w:t>
            </w:r>
          </w:p>
        </w:tc>
      </w:tr>
      <w:tr>
        <w:trPr>
          <w:trHeight w:val="33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深圳高新区开发建设公司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140,105.70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一年以上二年以内</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3.98%</w:t>
            </w:r>
          </w:p>
        </w:tc>
      </w:tr>
      <w:tr>
        <w:trPr>
          <w:trHeight w:val="55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34" w:lineRule="exact" w:before="38"/>
              <w:ind w:left="26" w:right="28"/>
              <w:jc w:val="left"/>
              <w:rPr>
                <w:rFonts w:ascii="宋体" w:hAnsi="宋体" w:cs="宋体" w:eastAsia="宋体" w:hint="default"/>
                <w:sz w:val="18"/>
                <w:szCs w:val="18"/>
              </w:rPr>
            </w:pPr>
            <w:r>
              <w:rPr>
                <w:rFonts w:ascii="宋体" w:hAnsi="宋体" w:cs="宋体" w:eastAsia="宋体" w:hint="default"/>
                <w:sz w:val="18"/>
                <w:szCs w:val="18"/>
              </w:rPr>
              <w:t>中国建设银行股份有限公司广东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省分行</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110,000.00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一年以上二年以内</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3.13%</w:t>
            </w:r>
          </w:p>
        </w:tc>
      </w:tr>
      <w:tr>
        <w:trPr>
          <w:trHeight w:val="33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佛山市顺德区精进能源有限公司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85,000.00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2.42%</w:t>
            </w:r>
          </w:p>
        </w:tc>
      </w:tr>
      <w:tr>
        <w:trPr>
          <w:trHeight w:val="344"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吉林省农村合作信用社</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208,083.00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5.92%</w:t>
            </w:r>
          </w:p>
        </w:tc>
      </w:tr>
      <w:tr>
        <w:trPr>
          <w:trHeight w:val="360"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2,013,188.70</w:t>
            </w:r>
          </w:p>
        </w:tc>
        <w:tc>
          <w:tcPr>
            <w:tcW w:w="171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57.26%</w:t>
            </w:r>
          </w:p>
        </w:tc>
      </w:tr>
    </w:tbl>
    <w:p>
      <w:pPr>
        <w:spacing w:line="240" w:lineRule="auto" w:before="2"/>
        <w:rPr>
          <w:rFonts w:ascii="宋体" w:hAnsi="宋体" w:cs="宋体" w:eastAsia="宋体" w:hint="default"/>
          <w:b/>
          <w:bCs/>
          <w:sz w:val="16"/>
          <w:szCs w:val="16"/>
        </w:rPr>
      </w:pPr>
    </w:p>
    <w:p>
      <w:pPr>
        <w:spacing w:before="44"/>
        <w:ind w:left="1002" w:right="975" w:firstLine="0"/>
        <w:jc w:val="left"/>
        <w:rPr>
          <w:rFonts w:ascii="宋体" w:hAnsi="宋体" w:cs="宋体" w:eastAsia="宋体" w:hint="default"/>
          <w:sz w:val="18"/>
          <w:szCs w:val="18"/>
        </w:rPr>
      </w:pPr>
      <w:r>
        <w:rPr>
          <w:rFonts w:ascii="宋体" w:hAnsi="宋体" w:cs="宋体" w:eastAsia="宋体" w:hint="default"/>
          <w:b/>
          <w:bCs/>
          <w:sz w:val="18"/>
          <w:szCs w:val="18"/>
        </w:rPr>
        <w:t>（三）长期股权投资</w:t>
      </w:r>
      <w:r>
        <w:rPr>
          <w:rFonts w:ascii="宋体" w:hAnsi="宋体" w:cs="宋体" w:eastAsia="宋体" w:hint="default"/>
          <w:sz w:val="18"/>
          <w:szCs w:val="18"/>
        </w:rPr>
      </w:r>
    </w:p>
    <w:p>
      <w:pPr>
        <w:spacing w:line="240" w:lineRule="auto" w:before="2"/>
        <w:rPr>
          <w:rFonts w:ascii="宋体" w:hAnsi="宋体" w:cs="宋体" w:eastAsia="宋体" w:hint="default"/>
          <w:b/>
          <w:bCs/>
          <w:sz w:val="29"/>
          <w:szCs w:val="29"/>
        </w:rPr>
      </w:pPr>
    </w:p>
    <w:tbl>
      <w:tblPr>
        <w:tblW w:w="0" w:type="auto"/>
        <w:jc w:val="left"/>
        <w:tblInd w:w="116" w:type="dxa"/>
        <w:tblLayout w:type="fixed"/>
        <w:tblCellMar>
          <w:top w:w="0" w:type="dxa"/>
          <w:left w:w="0" w:type="dxa"/>
          <w:bottom w:w="0" w:type="dxa"/>
          <w:right w:w="0" w:type="dxa"/>
        </w:tblCellMar>
        <w:tblLook w:val="01E0"/>
      </w:tblPr>
      <w:tblGrid>
        <w:gridCol w:w="1028"/>
        <w:gridCol w:w="653"/>
        <w:gridCol w:w="1140"/>
        <w:gridCol w:w="104"/>
        <w:gridCol w:w="1063"/>
        <w:gridCol w:w="101"/>
        <w:gridCol w:w="886"/>
        <w:gridCol w:w="103"/>
        <w:gridCol w:w="1049"/>
        <w:gridCol w:w="101"/>
        <w:gridCol w:w="643"/>
        <w:gridCol w:w="103"/>
        <w:gridCol w:w="521"/>
        <w:gridCol w:w="103"/>
        <w:gridCol w:w="960"/>
        <w:gridCol w:w="87"/>
        <w:gridCol w:w="571"/>
        <w:gridCol w:w="427"/>
        <w:gridCol w:w="747"/>
      </w:tblGrid>
      <w:tr>
        <w:trPr>
          <w:trHeight w:val="1422" w:hRule="exact"/>
        </w:trPr>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32" w:lineRule="exact"/>
              <w:ind w:left="28" w:right="56"/>
              <w:jc w:val="left"/>
              <w:rPr>
                <w:rFonts w:ascii="宋体" w:hAnsi="宋体" w:cs="宋体" w:eastAsia="宋体" w:hint="default"/>
                <w:sz w:val="18"/>
                <w:szCs w:val="18"/>
              </w:rPr>
            </w:pPr>
            <w:r>
              <w:rPr>
                <w:rFonts w:ascii="宋体" w:hAnsi="宋体" w:cs="宋体" w:eastAsia="宋体" w:hint="default"/>
                <w:spacing w:val="41"/>
                <w:sz w:val="18"/>
                <w:szCs w:val="18"/>
              </w:rPr>
              <w:t>被投资单</w:t>
            </w:r>
            <w:r>
              <w:rPr>
                <w:rFonts w:ascii="宋体" w:hAnsi="宋体" w:cs="宋体" w:eastAsia="宋体" w:hint="default"/>
                <w:spacing w:val="-35"/>
                <w:sz w:val="18"/>
                <w:szCs w:val="18"/>
              </w:rPr>
              <w:t> </w:t>
            </w:r>
            <w:r>
              <w:rPr>
                <w:rFonts w:ascii="宋体" w:hAnsi="宋体" w:cs="宋体" w:eastAsia="宋体" w:hint="default"/>
                <w:sz w:val="18"/>
                <w:szCs w:val="18"/>
              </w:rPr>
              <w:t>位</w:t>
            </w:r>
          </w:p>
        </w:tc>
        <w:tc>
          <w:tcPr>
            <w:tcW w:w="6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32" w:lineRule="exact"/>
              <w:ind w:left="28" w:right="2"/>
              <w:jc w:val="left"/>
              <w:rPr>
                <w:rFonts w:ascii="宋体" w:hAnsi="宋体" w:cs="宋体" w:eastAsia="宋体" w:hint="default"/>
                <w:sz w:val="18"/>
                <w:szCs w:val="18"/>
              </w:rPr>
            </w:pPr>
            <w:r>
              <w:rPr>
                <w:rFonts w:ascii="宋体" w:hAnsi="宋体" w:cs="宋体" w:eastAsia="宋体" w:hint="default"/>
                <w:spacing w:val="17"/>
                <w:sz w:val="18"/>
                <w:szCs w:val="18"/>
              </w:rPr>
              <w:t>核算方</w:t>
            </w:r>
            <w:r>
              <w:rPr>
                <w:rFonts w:ascii="宋体" w:hAnsi="宋体" w:cs="宋体" w:eastAsia="宋体" w:hint="default"/>
                <w:spacing w:val="-64"/>
                <w:sz w:val="18"/>
                <w:szCs w:val="18"/>
              </w:rPr>
              <w:t> </w:t>
            </w:r>
            <w:r>
              <w:rPr>
                <w:rFonts w:ascii="宋体" w:hAnsi="宋体" w:cs="宋体" w:eastAsia="宋体" w:hint="default"/>
                <w:sz w:val="18"/>
                <w:szCs w:val="18"/>
              </w:rPr>
              <w:t>法</w:t>
            </w: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3"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1"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37" w:lineRule="auto"/>
              <w:ind w:left="31" w:right="5"/>
              <w:jc w:val="both"/>
              <w:rPr>
                <w:rFonts w:ascii="宋体" w:hAnsi="宋体" w:cs="宋体" w:eastAsia="宋体" w:hint="default"/>
                <w:sz w:val="18"/>
                <w:szCs w:val="18"/>
              </w:rPr>
            </w:pPr>
            <w:r>
              <w:rPr>
                <w:rFonts w:ascii="宋体" w:hAnsi="宋体" w:cs="宋体" w:eastAsia="宋体" w:hint="default"/>
                <w:spacing w:val="14"/>
                <w:sz w:val="18"/>
                <w:szCs w:val="18"/>
              </w:rPr>
              <w:t>在被投</w:t>
            </w:r>
            <w:r>
              <w:rPr>
                <w:rFonts w:ascii="宋体" w:hAnsi="宋体" w:cs="宋体" w:eastAsia="宋体" w:hint="default"/>
                <w:spacing w:val="-69"/>
                <w:sz w:val="18"/>
                <w:szCs w:val="18"/>
              </w:rPr>
              <w:t> </w:t>
            </w:r>
            <w:r>
              <w:rPr>
                <w:rFonts w:ascii="宋体" w:hAnsi="宋体" w:cs="宋体" w:eastAsia="宋体" w:hint="default"/>
                <w:spacing w:val="14"/>
                <w:sz w:val="18"/>
                <w:szCs w:val="18"/>
              </w:rPr>
              <w:t>资单位</w:t>
            </w:r>
            <w:r>
              <w:rPr>
                <w:rFonts w:ascii="宋体" w:hAnsi="宋体" w:cs="宋体" w:eastAsia="宋体" w:hint="default"/>
                <w:spacing w:val="-69"/>
                <w:sz w:val="18"/>
                <w:szCs w:val="18"/>
              </w:rPr>
              <w:t> </w:t>
            </w:r>
            <w:r>
              <w:rPr>
                <w:rFonts w:ascii="宋体" w:hAnsi="宋体" w:cs="宋体" w:eastAsia="宋体" w:hint="default"/>
                <w:spacing w:val="14"/>
                <w:sz w:val="18"/>
                <w:szCs w:val="18"/>
              </w:rPr>
              <w:t>持股比</w:t>
            </w:r>
            <w:r>
              <w:rPr>
                <w:rFonts w:ascii="宋体" w:hAnsi="宋体" w:cs="宋体" w:eastAsia="宋体" w:hint="default"/>
                <w:spacing w:val="-69"/>
                <w:sz w:val="18"/>
                <w:szCs w:val="18"/>
              </w:rPr>
              <w:t> </w:t>
            </w:r>
            <w:r>
              <w:rPr>
                <w:rFonts w:ascii="宋体" w:hAnsi="宋体" w:cs="宋体" w:eastAsia="宋体" w:hint="default"/>
                <w:sz w:val="18"/>
                <w:szCs w:val="18"/>
              </w:rPr>
              <w:t>例</w:t>
            </w:r>
          </w:p>
        </w:tc>
        <w:tc>
          <w:tcPr>
            <w:tcW w:w="103"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13"/>
                <w:sz w:val="18"/>
                <w:szCs w:val="18"/>
              </w:rPr>
              <w:t> </w:t>
            </w:r>
            <w:r>
              <w:rPr>
                <w:rFonts w:ascii="宋体" w:hAnsi="宋体" w:cs="宋体" w:eastAsia="宋体" w:hint="default"/>
                <w:sz w:val="18"/>
                <w:szCs w:val="18"/>
              </w:rPr>
              <w:t>被</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13"/>
                <w:sz w:val="18"/>
                <w:szCs w:val="18"/>
              </w:rPr>
              <w:t> </w:t>
            </w:r>
            <w:r>
              <w:rPr>
                <w:rFonts w:ascii="宋体" w:hAnsi="宋体" w:cs="宋体" w:eastAsia="宋体" w:hint="default"/>
                <w:sz w:val="18"/>
                <w:szCs w:val="18"/>
              </w:rPr>
              <w:t>资</w:t>
            </w:r>
          </w:p>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13"/>
                <w:sz w:val="18"/>
                <w:szCs w:val="18"/>
              </w:rPr>
              <w:t> </w:t>
            </w:r>
            <w:r>
              <w:rPr>
                <w:rFonts w:ascii="宋体" w:hAnsi="宋体" w:cs="宋体" w:eastAsia="宋体" w:hint="default"/>
                <w:sz w:val="18"/>
                <w:szCs w:val="18"/>
              </w:rPr>
              <w:t>位</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13"/>
                <w:sz w:val="18"/>
                <w:szCs w:val="18"/>
              </w:rPr>
              <w:t> </w:t>
            </w:r>
            <w:r>
              <w:rPr>
                <w:rFonts w:ascii="宋体" w:hAnsi="宋体" w:cs="宋体" w:eastAsia="宋体" w:hint="default"/>
                <w:sz w:val="18"/>
                <w:szCs w:val="18"/>
              </w:rPr>
              <w:t>决</w:t>
            </w:r>
          </w:p>
          <w:p>
            <w:pPr>
              <w:pStyle w:val="TableParagraph"/>
              <w:spacing w:line="230" w:lineRule="exact" w:before="26"/>
              <w:ind w:left="28" w:right="26"/>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13"/>
                <w:sz w:val="18"/>
                <w:szCs w:val="18"/>
              </w:rPr>
              <w:t> </w:t>
            </w:r>
            <w:r>
              <w:rPr>
                <w:rFonts w:ascii="宋体" w:hAnsi="宋体" w:cs="宋体" w:eastAsia="宋体" w:hint="default"/>
                <w:sz w:val="18"/>
                <w:szCs w:val="18"/>
              </w:rPr>
              <w:t>比</w:t>
            </w:r>
            <w:r>
              <w:rPr>
                <w:rFonts w:ascii="宋体" w:hAnsi="宋体" w:cs="宋体" w:eastAsia="宋体" w:hint="default"/>
                <w:sz w:val="18"/>
                <w:szCs w:val="18"/>
              </w:rPr>
              <w:t> 例</w:t>
            </w:r>
          </w:p>
        </w:tc>
        <w:tc>
          <w:tcPr>
            <w:tcW w:w="103"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both"/>
              <w:rPr>
                <w:rFonts w:ascii="宋体" w:hAnsi="宋体" w:cs="宋体" w:eastAsia="宋体" w:hint="default"/>
                <w:sz w:val="18"/>
                <w:szCs w:val="18"/>
              </w:rPr>
            </w:pPr>
            <w:r>
              <w:rPr>
                <w:rFonts w:ascii="宋体" w:hAnsi="宋体" w:cs="宋体" w:eastAsia="宋体" w:hint="default"/>
                <w:spacing w:val="39"/>
                <w:sz w:val="18"/>
                <w:szCs w:val="18"/>
              </w:rPr>
              <w:t>在被投资</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7" w:lineRule="auto" w:before="2"/>
              <w:ind w:left="28" w:right="0"/>
              <w:jc w:val="both"/>
              <w:rPr>
                <w:rFonts w:ascii="宋体" w:hAnsi="宋体" w:cs="宋体" w:eastAsia="宋体" w:hint="default"/>
                <w:sz w:val="18"/>
                <w:szCs w:val="18"/>
              </w:rPr>
            </w:pPr>
            <w:r>
              <w:rPr>
                <w:rFonts w:ascii="宋体" w:hAnsi="宋体" w:cs="宋体" w:eastAsia="宋体" w:hint="default"/>
                <w:spacing w:val="39"/>
                <w:sz w:val="18"/>
                <w:szCs w:val="18"/>
              </w:rPr>
              <w:t>单位持股</w:t>
            </w:r>
            <w:r>
              <w:rPr>
                <w:rFonts w:ascii="宋体" w:hAnsi="宋体" w:cs="宋体" w:eastAsia="宋体" w:hint="default"/>
                <w:spacing w:val="-38"/>
                <w:sz w:val="18"/>
                <w:szCs w:val="18"/>
              </w:rPr>
              <w:t> </w:t>
            </w:r>
            <w:r>
              <w:rPr>
                <w:rFonts w:ascii="宋体" w:hAnsi="宋体" w:cs="宋体" w:eastAsia="宋体" w:hint="default"/>
                <w:spacing w:val="39"/>
                <w:sz w:val="18"/>
                <w:szCs w:val="18"/>
              </w:rPr>
              <w:t>比例与表</w:t>
            </w:r>
            <w:r>
              <w:rPr>
                <w:rFonts w:ascii="宋体" w:hAnsi="宋体" w:cs="宋体" w:eastAsia="宋体" w:hint="default"/>
                <w:spacing w:val="-38"/>
                <w:sz w:val="18"/>
                <w:szCs w:val="18"/>
              </w:rPr>
              <w:t> </w:t>
            </w:r>
            <w:r>
              <w:rPr>
                <w:rFonts w:ascii="宋体" w:hAnsi="宋体" w:cs="宋体" w:eastAsia="宋体" w:hint="default"/>
                <w:spacing w:val="39"/>
                <w:sz w:val="18"/>
                <w:szCs w:val="18"/>
              </w:rPr>
              <w:t>决权比例</w:t>
            </w:r>
            <w:r>
              <w:rPr>
                <w:rFonts w:ascii="宋体" w:hAnsi="宋体" w:cs="宋体" w:eastAsia="宋体" w:hint="default"/>
                <w:spacing w:val="-38"/>
                <w:sz w:val="18"/>
                <w:szCs w:val="18"/>
              </w:rPr>
              <w:t> </w:t>
            </w:r>
            <w:r>
              <w:rPr>
                <w:rFonts w:ascii="宋体" w:hAnsi="宋体" w:cs="宋体" w:eastAsia="宋体" w:hint="default"/>
                <w:spacing w:val="39"/>
                <w:sz w:val="18"/>
                <w:szCs w:val="18"/>
              </w:rPr>
              <w:t>不一致的</w:t>
            </w:r>
            <w:r>
              <w:rPr>
                <w:rFonts w:ascii="宋体" w:hAnsi="宋体" w:cs="宋体" w:eastAsia="宋体" w:hint="default"/>
                <w:spacing w:val="-38"/>
                <w:sz w:val="18"/>
                <w:szCs w:val="18"/>
              </w:rPr>
              <w:t> </w:t>
            </w:r>
            <w:r>
              <w:rPr>
                <w:rFonts w:ascii="宋体" w:hAnsi="宋体" w:cs="宋体" w:eastAsia="宋体" w:hint="default"/>
                <w:sz w:val="18"/>
                <w:szCs w:val="18"/>
              </w:rPr>
              <w:t>说明</w:t>
            </w:r>
          </w:p>
        </w:tc>
        <w:tc>
          <w:tcPr>
            <w:tcW w:w="87"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32" w:lineRule="exact"/>
              <w:ind w:left="28" w:right="65"/>
              <w:jc w:val="left"/>
              <w:rPr>
                <w:rFonts w:ascii="宋体" w:hAnsi="宋体" w:cs="宋体" w:eastAsia="宋体" w:hint="default"/>
                <w:sz w:val="18"/>
                <w:szCs w:val="18"/>
              </w:rPr>
            </w:pPr>
            <w:r>
              <w:rPr>
                <w:rFonts w:ascii="宋体" w:hAnsi="宋体" w:cs="宋体" w:eastAsia="宋体" w:hint="default"/>
                <w:spacing w:val="28"/>
                <w:sz w:val="18"/>
                <w:szCs w:val="18"/>
              </w:rPr>
              <w:t>减值</w:t>
            </w:r>
            <w:r>
              <w:rPr>
                <w:rFonts w:ascii="宋体" w:hAnsi="宋体" w:cs="宋体" w:eastAsia="宋体" w:hint="default"/>
                <w:spacing w:val="-33"/>
                <w:sz w:val="18"/>
                <w:szCs w:val="18"/>
              </w:rPr>
              <w:t> </w:t>
            </w:r>
            <w:r>
              <w:rPr>
                <w:rFonts w:ascii="宋体" w:hAnsi="宋体" w:cs="宋体" w:eastAsia="宋体" w:hint="default"/>
                <w:sz w:val="18"/>
                <w:szCs w:val="18"/>
              </w:rPr>
              <w:t>准备</w:t>
            </w:r>
          </w:p>
        </w:tc>
        <w:tc>
          <w:tcPr>
            <w:tcW w:w="42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37" w:lineRule="auto"/>
              <w:ind w:left="28" w:right="23"/>
              <w:jc w:val="both"/>
              <w:rPr>
                <w:rFonts w:ascii="宋体" w:hAnsi="宋体" w:cs="宋体" w:eastAsia="宋体" w:hint="default"/>
                <w:sz w:val="18"/>
                <w:szCs w:val="18"/>
              </w:rPr>
            </w:pPr>
            <w:r>
              <w:rPr>
                <w:rFonts w:ascii="宋体" w:hAnsi="宋体" w:cs="宋体" w:eastAsia="宋体" w:hint="default"/>
                <w:spacing w:val="7"/>
                <w:sz w:val="18"/>
                <w:szCs w:val="18"/>
              </w:rPr>
              <w:t>本期 计提 减值 </w:t>
            </w:r>
            <w:r>
              <w:rPr>
                <w:rFonts w:ascii="宋体" w:hAnsi="宋体" w:cs="宋体" w:eastAsia="宋体" w:hint="default"/>
                <w:sz w:val="18"/>
                <w:szCs w:val="18"/>
              </w:rPr>
              <w:t>准备</w:t>
            </w:r>
          </w:p>
        </w:tc>
        <w:tc>
          <w:tcPr>
            <w:tcW w:w="7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pacing w:val="20"/>
                <w:sz w:val="18"/>
                <w:szCs w:val="18"/>
              </w:rPr>
              <w:t>本期现</w:t>
            </w:r>
            <w:r>
              <w:rPr>
                <w:rFonts w:ascii="宋体" w:hAnsi="宋体" w:cs="宋体" w:eastAsia="宋体" w:hint="default"/>
                <w:spacing w:val="-59"/>
                <w:sz w:val="18"/>
                <w:szCs w:val="18"/>
              </w:rPr>
              <w:t> </w:t>
            </w:r>
            <w:r>
              <w:rPr>
                <w:rFonts w:ascii="宋体" w:hAnsi="宋体" w:cs="宋体" w:eastAsia="宋体" w:hint="default"/>
                <w:sz w:val="18"/>
                <w:szCs w:val="18"/>
              </w:rPr>
              <w:t>金红利</w:t>
            </w:r>
          </w:p>
        </w:tc>
      </w:tr>
      <w:tr>
        <w:trPr>
          <w:trHeight w:val="516" w:hRule="exact"/>
        </w:trPr>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56"/>
              <w:jc w:val="left"/>
              <w:rPr>
                <w:rFonts w:ascii="宋体" w:hAnsi="宋体" w:cs="宋体" w:eastAsia="宋体" w:hint="default"/>
                <w:sz w:val="18"/>
                <w:szCs w:val="18"/>
              </w:rPr>
            </w:pPr>
            <w:r>
              <w:rPr>
                <w:rFonts w:ascii="宋体" w:hAnsi="宋体" w:cs="宋体" w:eastAsia="宋体" w:hint="default"/>
                <w:spacing w:val="41"/>
                <w:sz w:val="18"/>
                <w:szCs w:val="18"/>
              </w:rPr>
              <w:t>肇庆市好</w:t>
            </w:r>
            <w:r>
              <w:rPr>
                <w:rFonts w:ascii="宋体" w:hAnsi="宋体" w:cs="宋体" w:eastAsia="宋体" w:hint="default"/>
                <w:spacing w:val="-35"/>
                <w:sz w:val="18"/>
                <w:szCs w:val="18"/>
              </w:rPr>
              <w:t> </w:t>
            </w:r>
            <w:r>
              <w:rPr>
                <w:rFonts w:ascii="宋体" w:hAnsi="宋体" w:cs="宋体" w:eastAsia="宋体" w:hint="default"/>
                <w:spacing w:val="41"/>
                <w:sz w:val="18"/>
                <w:szCs w:val="18"/>
              </w:rPr>
              <w:t>易联网络</w:t>
            </w:r>
            <w:r>
              <w:rPr>
                <w:rFonts w:ascii="宋体" w:hAnsi="宋体" w:cs="宋体" w:eastAsia="宋体" w:hint="default"/>
                <w:spacing w:val="-35"/>
                <w:sz w:val="18"/>
                <w:szCs w:val="18"/>
              </w:rPr>
              <w:t> </w:t>
            </w:r>
            <w:r>
              <w:rPr>
                <w:rFonts w:ascii="宋体" w:hAnsi="宋体" w:cs="宋体" w:eastAsia="宋体" w:hint="default"/>
                <w:sz w:val="18"/>
                <w:szCs w:val="18"/>
              </w:rPr>
            </w: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2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110" w:right="0"/>
              <w:jc w:val="left"/>
              <w:rPr>
                <w:rFonts w:ascii="Times New Roman" w:hAnsi="Times New Roman" w:cs="Times New Roman" w:eastAsia="Times New Roman" w:hint="default"/>
                <w:sz w:val="18"/>
                <w:szCs w:val="18"/>
              </w:rPr>
            </w:pPr>
            <w:r>
              <w:rPr>
                <w:rFonts w:ascii="Times New Roman"/>
                <w:sz w:val="18"/>
              </w:rPr>
              <w:t>1,250,624.65</w:t>
            </w:r>
          </w:p>
        </w:tc>
        <w:tc>
          <w:tcPr>
            <w:tcW w:w="104"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2,067,879.25</w:t>
            </w:r>
          </w:p>
        </w:tc>
        <w:tc>
          <w:tcPr>
            <w:tcW w:w="101" w:type="dxa"/>
            <w:tcBorders>
              <w:top w:val="nil" w:sz="6" w:space="0" w:color="auto"/>
              <w:left w:val="nil" w:sz="6" w:space="0" w:color="auto"/>
              <w:bottom w:val="nil" w:sz="6" w:space="0" w:color="auto"/>
              <w:right w:val="nil" w:sz="6" w:space="0" w:color="auto"/>
            </w:tcBorders>
          </w:tcPr>
          <w:p>
            <w:pPr/>
          </w:p>
        </w:tc>
        <w:tc>
          <w:tcPr>
            <w:tcW w:w="886"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590,335.95</w:t>
            </w:r>
          </w:p>
        </w:tc>
        <w:tc>
          <w:tcPr>
            <w:tcW w:w="103"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2,658,215.20</w:t>
            </w:r>
          </w:p>
        </w:tc>
        <w:tc>
          <w:tcPr>
            <w:tcW w:w="101" w:type="dxa"/>
            <w:tcBorders>
              <w:top w:val="nil" w:sz="6" w:space="0" w:color="auto"/>
              <w:left w:val="nil" w:sz="6" w:space="0" w:color="auto"/>
              <w:bottom w:val="nil" w:sz="6" w:space="0" w:color="auto"/>
              <w:right w:val="nil" w:sz="6" w:space="0" w:color="auto"/>
            </w:tcBorders>
          </w:tcPr>
          <w:p>
            <w:pPr/>
          </w:p>
        </w:tc>
        <w:tc>
          <w:tcPr>
            <w:tcW w:w="64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31" w:right="0"/>
              <w:jc w:val="left"/>
              <w:rPr>
                <w:rFonts w:ascii="Times New Roman" w:hAnsi="Times New Roman" w:cs="Times New Roman" w:eastAsia="Times New Roman" w:hint="default"/>
                <w:sz w:val="18"/>
                <w:szCs w:val="18"/>
              </w:rPr>
            </w:pPr>
            <w:r>
              <w:rPr>
                <w:rFonts w:ascii="Times New Roman"/>
                <w:sz w:val="18"/>
              </w:rPr>
              <w:t>49%</w:t>
            </w:r>
          </w:p>
        </w:tc>
        <w:tc>
          <w:tcPr>
            <w:tcW w:w="103" w:type="dxa"/>
            <w:tcBorders>
              <w:top w:val="nil" w:sz="6" w:space="0" w:color="auto"/>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49%</w:t>
            </w:r>
          </w:p>
        </w:tc>
        <w:tc>
          <w:tcPr>
            <w:tcW w:w="103"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w:t>
            </w:r>
          </w:p>
        </w:tc>
        <w:tc>
          <w:tcPr>
            <w:tcW w:w="87" w:type="dxa"/>
            <w:tcBorders>
              <w:top w:val="nil" w:sz="6" w:space="0" w:color="auto"/>
              <w:left w:val="nil" w:sz="6" w:space="0" w:color="auto"/>
              <w:bottom w:val="nil" w:sz="6" w:space="0" w:color="auto"/>
              <w:right w:val="nil" w:sz="6" w:space="0" w:color="auto"/>
            </w:tcBorders>
          </w:tcPr>
          <w:p>
            <w:pPr/>
          </w:p>
        </w:tc>
        <w:tc>
          <w:tcPr>
            <w:tcW w:w="571"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w:t>
            </w:r>
          </w:p>
        </w:tc>
        <w:tc>
          <w:tcPr>
            <w:tcW w:w="747"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1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700" w:right="600"/>
        </w:sectPr>
      </w:pPr>
    </w:p>
    <w:p>
      <w:pPr>
        <w:spacing w:line="240" w:lineRule="auto" w:before="0"/>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1013"/>
        <w:gridCol w:w="749"/>
        <w:gridCol w:w="1056"/>
        <w:gridCol w:w="106"/>
        <w:gridCol w:w="1063"/>
        <w:gridCol w:w="101"/>
        <w:gridCol w:w="883"/>
        <w:gridCol w:w="106"/>
        <w:gridCol w:w="1049"/>
        <w:gridCol w:w="716"/>
        <w:gridCol w:w="684"/>
        <w:gridCol w:w="713"/>
        <w:gridCol w:w="809"/>
        <w:gridCol w:w="594"/>
        <w:gridCol w:w="947"/>
      </w:tblGrid>
      <w:tr>
        <w:trPr>
          <w:trHeight w:val="372" w:hRule="exact"/>
        </w:trPr>
        <w:tc>
          <w:tcPr>
            <w:tcW w:w="1013" w:type="dxa"/>
            <w:tcBorders>
              <w:top w:val="single" w:sz="6" w:space="0" w:color="000000"/>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49" w:type="dxa"/>
            <w:tcBorders>
              <w:top w:val="single" w:sz="15" w:space="0" w:color="000000"/>
              <w:left w:val="nil" w:sz="6" w:space="0" w:color="auto"/>
              <w:bottom w:val="nil" w:sz="6" w:space="0" w:color="auto"/>
              <w:right w:val="nil" w:sz="6" w:space="0" w:color="auto"/>
            </w:tcBorders>
          </w:tcPr>
          <w:p>
            <w:pPr/>
          </w:p>
        </w:tc>
        <w:tc>
          <w:tcPr>
            <w:tcW w:w="1056" w:type="dxa"/>
            <w:tcBorders>
              <w:top w:val="single" w:sz="15"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0" w:lineRule="exact"/>
              <w:ind w:left="1056" w:right="-4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97" name="image83.png" descr=""/>
                  <wp:cNvGraphicFramePr>
                    <a:graphicFrameLocks noChangeAspect="1"/>
                  </wp:cNvGraphicFramePr>
                  <a:graphic>
                    <a:graphicData uri="http://schemas.openxmlformats.org/drawingml/2006/picture">
                      <pic:pic>
                        <pic:nvPicPr>
                          <pic:cNvPr id="198" name="image83.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0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7"/>
                <w:szCs w:val="27"/>
              </w:rPr>
            </w:pPr>
          </w:p>
        </w:tc>
        <w:tc>
          <w:tcPr>
            <w:tcW w:w="1063" w:type="dxa"/>
            <w:tcBorders>
              <w:top w:val="single" w:sz="15" w:space="0" w:color="000000"/>
              <w:left w:val="nil" w:sz="6" w:space="0" w:color="auto"/>
              <w:bottom w:val="single" w:sz="4" w:space="0" w:color="000000"/>
              <w:right w:val="nil" w:sz="6" w:space="0" w:color="auto"/>
            </w:tcBorders>
          </w:tcPr>
          <w:p>
            <w:pPr/>
          </w:p>
        </w:tc>
        <w:tc>
          <w:tcPr>
            <w:tcW w:w="101" w:type="dxa"/>
            <w:tcBorders>
              <w:top w:val="single" w:sz="6" w:space="0" w:color="000000"/>
              <w:left w:val="nil" w:sz="6" w:space="0" w:color="auto"/>
              <w:bottom w:val="nil" w:sz="6" w:space="0" w:color="auto"/>
              <w:right w:val="nil" w:sz="6" w:space="0" w:color="auto"/>
            </w:tcBorders>
          </w:tcPr>
          <w:p>
            <w:pPr/>
          </w:p>
        </w:tc>
        <w:tc>
          <w:tcPr>
            <w:tcW w:w="883" w:type="dxa"/>
            <w:tcBorders>
              <w:top w:val="single" w:sz="15"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0" w:lineRule="exact"/>
              <w:ind w:left="883" w:right="-4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99" name="image83.png" descr=""/>
                  <wp:cNvGraphicFramePr>
                    <a:graphicFrameLocks noChangeAspect="1"/>
                  </wp:cNvGraphicFramePr>
                  <a:graphic>
                    <a:graphicData uri="http://schemas.openxmlformats.org/drawingml/2006/picture">
                      <pic:pic>
                        <pic:nvPicPr>
                          <pic:cNvPr id="200" name="image83.png"/>
                          <pic:cNvPicPr/>
                        </pic:nvPicPr>
                        <pic:blipFill>
                          <a:blip r:embed="rId13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0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7"/>
                <w:szCs w:val="27"/>
              </w:rPr>
            </w:pPr>
          </w:p>
        </w:tc>
        <w:tc>
          <w:tcPr>
            <w:tcW w:w="1049" w:type="dxa"/>
            <w:tcBorders>
              <w:top w:val="single" w:sz="15" w:space="0" w:color="000000"/>
              <w:left w:val="nil" w:sz="6" w:space="0" w:color="auto"/>
              <w:bottom w:val="single" w:sz="4" w:space="0" w:color="000000"/>
              <w:right w:val="nil" w:sz="6" w:space="0" w:color="auto"/>
            </w:tcBorders>
          </w:tcPr>
          <w:p>
            <w:pPr/>
          </w:p>
        </w:tc>
        <w:tc>
          <w:tcPr>
            <w:tcW w:w="716" w:type="dxa"/>
            <w:tcBorders>
              <w:top w:val="single" w:sz="15" w:space="0" w:color="000000"/>
              <w:left w:val="nil" w:sz="6" w:space="0" w:color="auto"/>
              <w:bottom w:val="nil" w:sz="6" w:space="0" w:color="auto"/>
              <w:right w:val="nil" w:sz="6" w:space="0" w:color="auto"/>
            </w:tcBorders>
          </w:tcPr>
          <w:p>
            <w:pPr/>
          </w:p>
        </w:tc>
        <w:tc>
          <w:tcPr>
            <w:tcW w:w="684" w:type="dxa"/>
            <w:tcBorders>
              <w:top w:val="single" w:sz="15" w:space="0" w:color="000000"/>
              <w:left w:val="nil" w:sz="6" w:space="0" w:color="auto"/>
              <w:bottom w:val="nil" w:sz="6" w:space="0" w:color="auto"/>
              <w:right w:val="nil" w:sz="6" w:space="0" w:color="auto"/>
            </w:tcBorders>
          </w:tcPr>
          <w:p>
            <w:pPr/>
          </w:p>
        </w:tc>
        <w:tc>
          <w:tcPr>
            <w:tcW w:w="713" w:type="dxa"/>
            <w:tcBorders>
              <w:top w:val="single" w:sz="15" w:space="0" w:color="000000"/>
              <w:left w:val="nil" w:sz="6" w:space="0" w:color="auto"/>
              <w:bottom w:val="nil" w:sz="6" w:space="0" w:color="auto"/>
              <w:right w:val="nil" w:sz="6" w:space="0" w:color="auto"/>
            </w:tcBorders>
          </w:tcPr>
          <w:p>
            <w:pPr/>
          </w:p>
        </w:tc>
        <w:tc>
          <w:tcPr>
            <w:tcW w:w="809" w:type="dxa"/>
            <w:tcBorders>
              <w:top w:val="single" w:sz="15" w:space="0" w:color="000000"/>
              <w:left w:val="nil" w:sz="6" w:space="0" w:color="auto"/>
              <w:bottom w:val="nil" w:sz="6" w:space="0" w:color="auto"/>
              <w:right w:val="nil" w:sz="6" w:space="0" w:color="auto"/>
            </w:tcBorders>
          </w:tcPr>
          <w:p>
            <w:pPr/>
          </w:p>
        </w:tc>
        <w:tc>
          <w:tcPr>
            <w:tcW w:w="594" w:type="dxa"/>
            <w:tcBorders>
              <w:top w:val="single" w:sz="15" w:space="0" w:color="000000"/>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33.65pt;height:.5pt;mso-position-horizontal-relative:char;mso-position-vertical-relative:line" coordorigin="0,0" coordsize="673,10">
                  <v:group style="position:absolute;left:5;top:5;width:663;height:2" coordorigin="5,5" coordsize="663,2">
                    <v:shape style="position:absolute;left:5;top:5;width:663;height:2" coordorigin="5,5" coordsize="663,0" path="m5,5l66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b/>
                <w:bCs/>
                <w:sz w:val="26"/>
                <w:szCs w:val="26"/>
              </w:rPr>
            </w:pPr>
          </w:p>
        </w:tc>
      </w:tr>
      <w:tr>
        <w:trPr>
          <w:trHeight w:val="557"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28" w:right="41"/>
              <w:jc w:val="left"/>
              <w:rPr>
                <w:rFonts w:ascii="宋体" w:hAnsi="宋体" w:cs="宋体" w:eastAsia="宋体" w:hint="default"/>
                <w:sz w:val="18"/>
                <w:szCs w:val="18"/>
              </w:rPr>
            </w:pPr>
            <w:r>
              <w:rPr>
                <w:rFonts w:ascii="宋体" w:hAnsi="宋体" w:cs="宋体" w:eastAsia="宋体" w:hint="default"/>
                <w:spacing w:val="41"/>
                <w:sz w:val="18"/>
                <w:szCs w:val="18"/>
              </w:rPr>
              <w:t>权益法小</w:t>
            </w:r>
            <w:r>
              <w:rPr>
                <w:rFonts w:ascii="宋体" w:hAnsi="宋体" w:cs="宋体" w:eastAsia="宋体" w:hint="default"/>
                <w:spacing w:val="-35"/>
                <w:sz w:val="18"/>
                <w:szCs w:val="18"/>
              </w:rPr>
              <w:t> </w:t>
            </w:r>
            <w:r>
              <w:rPr>
                <w:rFonts w:ascii="宋体" w:hAnsi="宋体" w:cs="宋体" w:eastAsia="宋体" w:hint="default"/>
                <w:sz w:val="18"/>
                <w:szCs w:val="18"/>
              </w:rPr>
              <w:t>计</w:t>
            </w:r>
          </w:p>
        </w:tc>
        <w:tc>
          <w:tcPr>
            <w:tcW w:w="749"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1,250,624.65</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2,067,879.25</w:t>
            </w:r>
          </w:p>
        </w:tc>
        <w:tc>
          <w:tcPr>
            <w:tcW w:w="101"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590,335.95</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2,658,215.20</w:t>
            </w:r>
          </w:p>
        </w:tc>
        <w:tc>
          <w:tcPr>
            <w:tcW w:w="716"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r>
      <w:tr>
        <w:trPr>
          <w:trHeight w:val="1014"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37" w:lineRule="auto" w:before="15"/>
              <w:ind w:left="28" w:right="41"/>
              <w:jc w:val="both"/>
              <w:rPr>
                <w:rFonts w:ascii="宋体" w:hAnsi="宋体" w:cs="宋体" w:eastAsia="宋体" w:hint="default"/>
                <w:sz w:val="18"/>
                <w:szCs w:val="18"/>
              </w:rPr>
            </w:pPr>
            <w:r>
              <w:rPr>
                <w:rFonts w:ascii="宋体" w:hAnsi="宋体" w:cs="宋体" w:eastAsia="宋体" w:hint="default"/>
                <w:spacing w:val="41"/>
                <w:sz w:val="18"/>
                <w:szCs w:val="18"/>
              </w:rPr>
              <w:t>深圳市新</w:t>
            </w:r>
            <w:r>
              <w:rPr>
                <w:rFonts w:ascii="宋体" w:hAnsi="宋体" w:cs="宋体" w:eastAsia="宋体" w:hint="default"/>
                <w:spacing w:val="-35"/>
                <w:sz w:val="18"/>
                <w:szCs w:val="18"/>
              </w:rPr>
              <w:t> </w:t>
            </w:r>
            <w:r>
              <w:rPr>
                <w:rFonts w:ascii="宋体" w:hAnsi="宋体" w:cs="宋体" w:eastAsia="宋体" w:hint="default"/>
                <w:spacing w:val="41"/>
                <w:sz w:val="18"/>
                <w:szCs w:val="18"/>
              </w:rPr>
              <w:t>国都软件</w:t>
            </w:r>
            <w:r>
              <w:rPr>
                <w:rFonts w:ascii="宋体" w:hAnsi="宋体" w:cs="宋体" w:eastAsia="宋体" w:hint="default"/>
                <w:spacing w:val="-35"/>
                <w:sz w:val="18"/>
                <w:szCs w:val="18"/>
              </w:rPr>
              <w:t> </w:t>
            </w:r>
            <w:r>
              <w:rPr>
                <w:rFonts w:ascii="宋体" w:hAnsi="宋体" w:cs="宋体" w:eastAsia="宋体" w:hint="default"/>
                <w:spacing w:val="41"/>
                <w:sz w:val="18"/>
                <w:szCs w:val="18"/>
              </w:rPr>
              <w:t>技术有限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106"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101"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z w:val="18"/>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w:t>
            </w:r>
          </w:p>
        </w:tc>
      </w:tr>
      <w:tr>
        <w:trPr>
          <w:trHeight w:val="782"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37" w:lineRule="auto" w:before="13"/>
              <w:ind w:left="28" w:right="41"/>
              <w:jc w:val="both"/>
              <w:rPr>
                <w:rFonts w:ascii="宋体" w:hAnsi="宋体" w:cs="宋体" w:eastAsia="宋体" w:hint="default"/>
                <w:sz w:val="18"/>
                <w:szCs w:val="18"/>
              </w:rPr>
            </w:pPr>
            <w:r>
              <w:rPr>
                <w:rFonts w:ascii="宋体" w:hAnsi="宋体" w:cs="宋体" w:eastAsia="宋体" w:hint="default"/>
                <w:spacing w:val="41"/>
                <w:sz w:val="18"/>
                <w:szCs w:val="18"/>
              </w:rPr>
              <w:t>南京市新</w:t>
            </w:r>
            <w:r>
              <w:rPr>
                <w:rFonts w:ascii="宋体" w:hAnsi="宋体" w:cs="宋体" w:eastAsia="宋体" w:hint="default"/>
                <w:spacing w:val="-35"/>
                <w:sz w:val="18"/>
                <w:szCs w:val="18"/>
              </w:rPr>
              <w:t> </w:t>
            </w:r>
            <w:r>
              <w:rPr>
                <w:rFonts w:ascii="宋体" w:hAnsi="宋体" w:cs="宋体" w:eastAsia="宋体" w:hint="default"/>
                <w:spacing w:val="41"/>
                <w:sz w:val="18"/>
                <w:szCs w:val="18"/>
              </w:rPr>
              <w:t>国都技术</w:t>
            </w:r>
            <w:r>
              <w:rPr>
                <w:rFonts w:ascii="宋体" w:hAnsi="宋体" w:cs="宋体" w:eastAsia="宋体" w:hint="default"/>
                <w:spacing w:val="-35"/>
                <w:sz w:val="18"/>
                <w:szCs w:val="18"/>
              </w:rPr>
              <w:t> </w:t>
            </w:r>
            <w:r>
              <w:rPr>
                <w:rFonts w:ascii="宋体" w:hAnsi="宋体" w:cs="宋体" w:eastAsia="宋体" w:hint="default"/>
                <w:sz w:val="18"/>
                <w:szCs w:val="18"/>
              </w:rPr>
              <w:t>有限公司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13,000,000.0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10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13,000,000.0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101"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13,000,000.0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z w:val="18"/>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w:t>
            </w:r>
          </w:p>
        </w:tc>
      </w:tr>
      <w:tr>
        <w:trPr>
          <w:trHeight w:val="1022"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37" w:lineRule="auto" w:before="13"/>
              <w:ind w:left="28" w:right="41"/>
              <w:jc w:val="both"/>
              <w:rPr>
                <w:rFonts w:ascii="宋体" w:hAnsi="宋体" w:cs="宋体" w:eastAsia="宋体" w:hint="default"/>
                <w:sz w:val="18"/>
                <w:szCs w:val="18"/>
              </w:rPr>
            </w:pPr>
            <w:r>
              <w:rPr>
                <w:rFonts w:ascii="宋体" w:hAnsi="宋体" w:cs="宋体" w:eastAsia="宋体" w:hint="default"/>
                <w:spacing w:val="41"/>
                <w:sz w:val="18"/>
                <w:szCs w:val="18"/>
              </w:rPr>
              <w:t>广州市新</w:t>
            </w:r>
            <w:r>
              <w:rPr>
                <w:rFonts w:ascii="宋体" w:hAnsi="宋体" w:cs="宋体" w:eastAsia="宋体" w:hint="default"/>
                <w:spacing w:val="-35"/>
                <w:sz w:val="18"/>
                <w:szCs w:val="18"/>
              </w:rPr>
              <w:t> </w:t>
            </w:r>
            <w:r>
              <w:rPr>
                <w:rFonts w:ascii="宋体" w:hAnsi="宋体" w:cs="宋体" w:eastAsia="宋体" w:hint="default"/>
                <w:spacing w:val="41"/>
                <w:sz w:val="18"/>
                <w:szCs w:val="18"/>
              </w:rPr>
              <w:t>国都信息</w:t>
            </w:r>
            <w:r>
              <w:rPr>
                <w:rFonts w:ascii="宋体" w:hAnsi="宋体" w:cs="宋体" w:eastAsia="宋体" w:hint="default"/>
                <w:spacing w:val="-35"/>
                <w:sz w:val="18"/>
                <w:szCs w:val="18"/>
              </w:rPr>
              <w:t> </w:t>
            </w:r>
            <w:r>
              <w:rPr>
                <w:rFonts w:ascii="宋体" w:hAnsi="宋体" w:cs="宋体" w:eastAsia="宋体" w:hint="default"/>
                <w:spacing w:val="41"/>
                <w:sz w:val="18"/>
                <w:szCs w:val="18"/>
              </w:rPr>
              <w:t>科技有限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4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3,000,000.00</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201" name="image83.png" descr=""/>
                  <wp:cNvGraphicFramePr>
                    <a:graphicFrameLocks noChangeAspect="1"/>
                  </wp:cNvGraphicFramePr>
                  <a:graphic>
                    <a:graphicData uri="http://schemas.openxmlformats.org/drawingml/2006/picture">
                      <pic:pic>
                        <pic:nvPicPr>
                          <pic:cNvPr id="202" name="image83.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tc>
        <w:tc>
          <w:tcPr>
            <w:tcW w:w="101"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203" name="image83.png" descr=""/>
                  <wp:cNvGraphicFramePr>
                    <a:graphicFrameLocks noChangeAspect="1"/>
                  </wp:cNvGraphicFramePr>
                  <a:graphic>
                    <a:graphicData uri="http://schemas.openxmlformats.org/drawingml/2006/picture">
                      <pic:pic>
                        <pic:nvPicPr>
                          <pic:cNvPr id="204" name="image83.png"/>
                          <pic:cNvPicPr/>
                        </pic:nvPicPr>
                        <pic:blipFill>
                          <a:blip r:embed="rId13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z w:val="18"/>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28" w:right="41"/>
              <w:jc w:val="left"/>
              <w:rPr>
                <w:rFonts w:ascii="宋体" w:hAnsi="宋体" w:cs="宋体" w:eastAsia="宋体" w:hint="default"/>
                <w:sz w:val="18"/>
                <w:szCs w:val="18"/>
              </w:rPr>
            </w:pPr>
            <w:r>
              <w:rPr>
                <w:rFonts w:ascii="宋体" w:hAnsi="宋体" w:cs="宋体" w:eastAsia="宋体" w:hint="default"/>
                <w:spacing w:val="41"/>
                <w:sz w:val="18"/>
                <w:szCs w:val="18"/>
              </w:rPr>
              <w:t>成本法小</w:t>
            </w:r>
            <w:r>
              <w:rPr>
                <w:rFonts w:ascii="宋体" w:hAnsi="宋体" w:cs="宋体" w:eastAsia="宋体" w:hint="default"/>
                <w:spacing w:val="-35"/>
                <w:sz w:val="18"/>
                <w:szCs w:val="18"/>
              </w:rPr>
              <w:t> </w:t>
            </w:r>
            <w:r>
              <w:rPr>
                <w:rFonts w:ascii="宋体" w:hAnsi="宋体" w:cs="宋体" w:eastAsia="宋体" w:hint="default"/>
                <w:sz w:val="18"/>
                <w:szCs w:val="18"/>
              </w:rPr>
              <w:t>计</w:t>
            </w:r>
          </w:p>
        </w:tc>
        <w:tc>
          <w:tcPr>
            <w:tcW w:w="749"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Style w:val="TableParagraph"/>
              <w:spacing w:line="207" w:lineRule="exact" w:before="60"/>
              <w:ind w:left="28" w:right="0"/>
              <w:jc w:val="left"/>
              <w:rPr>
                <w:rFonts w:ascii="Times New Roman" w:hAnsi="Times New Roman" w:cs="Times New Roman" w:eastAsia="Times New Roman" w:hint="default"/>
                <w:sz w:val="18"/>
                <w:szCs w:val="18"/>
              </w:rPr>
            </w:pPr>
            <w:r>
              <w:rPr>
                <w:rFonts w:ascii="Times New Roman"/>
                <w:sz w:val="18"/>
              </w:rPr>
              <w:t>26,000,000.0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07" w:lineRule="exact" w:before="60"/>
              <w:ind w:left="28" w:right="0"/>
              <w:jc w:val="left"/>
              <w:rPr>
                <w:rFonts w:ascii="Times New Roman" w:hAnsi="Times New Roman" w:cs="Times New Roman" w:eastAsia="Times New Roman" w:hint="default"/>
                <w:sz w:val="18"/>
                <w:szCs w:val="18"/>
              </w:rPr>
            </w:pPr>
            <w:r>
              <w:rPr>
                <w:rFonts w:ascii="Times New Roman"/>
                <w:sz w:val="18"/>
              </w:rPr>
              <w:t>26,000,000.0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101"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07" w:lineRule="exact" w:before="60"/>
              <w:ind w:left="28" w:right="0"/>
              <w:jc w:val="left"/>
              <w:rPr>
                <w:rFonts w:ascii="Times New Roman" w:hAnsi="Times New Roman" w:cs="Times New Roman" w:eastAsia="Times New Roman" w:hint="default"/>
                <w:sz w:val="18"/>
                <w:szCs w:val="18"/>
              </w:rPr>
            </w:pPr>
            <w:r>
              <w:rPr>
                <w:rFonts w:ascii="Times New Roman"/>
                <w:sz w:val="18"/>
              </w:rPr>
              <w:t>26,000,000.0</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716"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r>
      <w:tr>
        <w:trPr>
          <w:trHeight w:val="514"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9"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12" w:space="0" w:color="000000"/>
              <w:right w:val="nil" w:sz="6" w:space="0" w:color="auto"/>
            </w:tcBorders>
          </w:tcPr>
          <w:p>
            <w:pPr>
              <w:pStyle w:val="TableParagraph"/>
              <w:spacing w:line="207" w:lineRule="exact" w:before="33"/>
              <w:ind w:left="28" w:right="0"/>
              <w:jc w:val="left"/>
              <w:rPr>
                <w:rFonts w:ascii="Times New Roman" w:hAnsi="Times New Roman" w:cs="Times New Roman" w:eastAsia="Times New Roman" w:hint="default"/>
                <w:sz w:val="18"/>
                <w:szCs w:val="18"/>
              </w:rPr>
            </w:pPr>
            <w:r>
              <w:rPr>
                <w:rFonts w:ascii="Times New Roman"/>
                <w:sz w:val="18"/>
              </w:rPr>
              <w:t>27,250,624.6</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5</w:t>
            </w:r>
          </w:p>
        </w:tc>
        <w:tc>
          <w:tcPr>
            <w:tcW w:w="106"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single" w:sz="12" w:space="0" w:color="000000"/>
              <w:right w:val="nil" w:sz="6" w:space="0" w:color="auto"/>
            </w:tcBorders>
          </w:tcPr>
          <w:p>
            <w:pPr>
              <w:pStyle w:val="TableParagraph"/>
              <w:spacing w:line="207" w:lineRule="exact" w:before="33"/>
              <w:ind w:left="28" w:right="0"/>
              <w:jc w:val="left"/>
              <w:rPr>
                <w:rFonts w:ascii="Times New Roman" w:hAnsi="Times New Roman" w:cs="Times New Roman" w:eastAsia="Times New Roman" w:hint="default"/>
                <w:sz w:val="18"/>
                <w:szCs w:val="18"/>
              </w:rPr>
            </w:pPr>
            <w:r>
              <w:rPr>
                <w:rFonts w:ascii="Times New Roman"/>
                <w:sz w:val="18"/>
              </w:rPr>
              <w:t>28,067,879.2</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5</w:t>
            </w:r>
          </w:p>
        </w:tc>
        <w:tc>
          <w:tcPr>
            <w:tcW w:w="101"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590,335.95</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12" w:space="0" w:color="000000"/>
              <w:right w:val="nil" w:sz="6" w:space="0" w:color="auto"/>
            </w:tcBorders>
          </w:tcPr>
          <w:p>
            <w:pPr>
              <w:pStyle w:val="TableParagraph"/>
              <w:spacing w:line="207" w:lineRule="exact" w:before="33"/>
              <w:ind w:left="28" w:right="0"/>
              <w:jc w:val="left"/>
              <w:rPr>
                <w:rFonts w:ascii="Times New Roman" w:hAnsi="Times New Roman" w:cs="Times New Roman" w:eastAsia="Times New Roman" w:hint="default"/>
                <w:sz w:val="18"/>
                <w:szCs w:val="18"/>
              </w:rPr>
            </w:pPr>
            <w:r>
              <w:rPr>
                <w:rFonts w:ascii="Times New Roman"/>
                <w:sz w:val="18"/>
              </w:rPr>
              <w:t>28,658,215.2</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0</w:t>
            </w:r>
          </w:p>
        </w:tc>
        <w:tc>
          <w:tcPr>
            <w:tcW w:w="716"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r>
    </w:tbl>
    <w:p>
      <w:pPr>
        <w:spacing w:line="242" w:lineRule="exact" w:before="7"/>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深圳市新国都软件技术有限公司由本公司</w:t>
      </w:r>
      <w:r>
        <w:rPr>
          <w:rFonts w:ascii="宋体" w:hAnsi="宋体" w:cs="宋体" w:eastAsia="宋体" w:hint="default"/>
          <w:b/>
          <w:bCs/>
          <w:spacing w:val="-39"/>
          <w:sz w:val="18"/>
          <w:szCs w:val="18"/>
        </w:rPr>
        <w:t> </w:t>
      </w: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b/>
          <w:bCs/>
          <w:spacing w:val="-38"/>
          <w:sz w:val="18"/>
          <w:szCs w:val="18"/>
        </w:rPr>
        <w:t> </w:t>
      </w:r>
      <w:r>
        <w:rPr>
          <w:rFonts w:ascii="Times New Roman" w:hAnsi="Times New Roman" w:cs="Times New Roman" w:eastAsia="Times New Roman" w:hint="default"/>
          <w:b/>
          <w:bCs/>
          <w:sz w:val="18"/>
          <w:szCs w:val="18"/>
        </w:rPr>
        <w:t>11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月出资</w:t>
      </w:r>
      <w:r>
        <w:rPr>
          <w:rFonts w:ascii="宋体" w:hAnsi="宋体" w:cs="宋体" w:eastAsia="宋体" w:hint="default"/>
          <w:b/>
          <w:bCs/>
          <w:spacing w:val="-37"/>
          <w:sz w:val="18"/>
          <w:szCs w:val="18"/>
        </w:rPr>
        <w:t> </w:t>
      </w:r>
      <w:r>
        <w:rPr>
          <w:rFonts w:ascii="Times New Roman" w:hAnsi="Times New Roman" w:cs="Times New Roman" w:eastAsia="Times New Roman" w:hint="default"/>
          <w:b/>
          <w:bCs/>
          <w:sz w:val="18"/>
          <w:szCs w:val="18"/>
        </w:rPr>
        <w:t>50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万元设立，并于</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38"/>
          <w:sz w:val="18"/>
          <w:szCs w:val="18"/>
        </w:rPr>
        <w:t> </w:t>
      </w:r>
      <w:r>
        <w:rPr>
          <w:rFonts w:ascii="Times New Roman" w:hAnsi="Times New Roman" w:cs="Times New Roman" w:eastAsia="Times New Roman" w:hint="default"/>
          <w:b/>
          <w:bCs/>
          <w:sz w:val="18"/>
          <w:szCs w:val="18"/>
        </w:rPr>
        <w:t>24</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日以货币资</w:t>
      </w:r>
      <w:r>
        <w:rPr>
          <w:rFonts w:ascii="宋体" w:hAnsi="宋体" w:cs="宋体" w:eastAsia="宋体" w:hint="default"/>
          <w:sz w:val="18"/>
          <w:szCs w:val="18"/>
        </w:rPr>
      </w:r>
    </w:p>
    <w:p>
      <w:pPr>
        <w:spacing w:line="244" w:lineRule="auto" w:before="0"/>
        <w:ind w:left="1002" w:right="1175" w:firstLine="0"/>
        <w:jc w:val="left"/>
        <w:rPr>
          <w:rFonts w:ascii="宋体" w:hAnsi="宋体" w:cs="宋体" w:eastAsia="宋体" w:hint="default"/>
          <w:sz w:val="18"/>
          <w:szCs w:val="18"/>
        </w:rPr>
      </w:pPr>
      <w:r>
        <w:rPr>
          <w:rFonts w:ascii="宋体" w:hAnsi="宋体" w:cs="宋体" w:eastAsia="宋体" w:hint="default"/>
          <w:b/>
          <w:bCs/>
          <w:sz w:val="18"/>
          <w:szCs w:val="18"/>
        </w:rPr>
        <w:t>金向深圳市新国都软件技术有限公司增资</w:t>
      </w:r>
      <w:r>
        <w:rPr>
          <w:rFonts w:ascii="宋体" w:hAnsi="宋体" w:cs="宋体" w:eastAsia="宋体" w:hint="default"/>
          <w:b/>
          <w:bCs/>
          <w:spacing w:val="-39"/>
          <w:sz w:val="18"/>
          <w:szCs w:val="18"/>
        </w:rPr>
        <w:t> </w:t>
      </w:r>
      <w:r>
        <w:rPr>
          <w:rFonts w:ascii="Times New Roman" w:hAnsi="Times New Roman" w:cs="Times New Roman" w:eastAsia="Times New Roman" w:hint="default"/>
          <w:b/>
          <w:bCs/>
          <w:sz w:val="18"/>
          <w:szCs w:val="18"/>
        </w:rPr>
        <w:t>950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万元，增资后于</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日完成工商变更手续，此次增资</w:t>
      </w:r>
      <w:r>
        <w:rPr>
          <w:rFonts w:ascii="宋体" w:hAnsi="宋体" w:cs="宋体" w:eastAsia="宋体" w:hint="default"/>
          <w:b/>
          <w:bCs/>
          <w:w w:val="99"/>
          <w:sz w:val="18"/>
          <w:szCs w:val="18"/>
        </w:rPr>
        <w:t> </w:t>
      </w:r>
      <w:r>
        <w:rPr>
          <w:rFonts w:ascii="宋体" w:hAnsi="宋体" w:cs="宋体" w:eastAsia="宋体" w:hint="default"/>
          <w:b/>
          <w:bCs/>
          <w:sz w:val="18"/>
          <w:szCs w:val="18"/>
        </w:rPr>
        <w:t>完成后本公司对深圳市新国都软件技术有限公司投资额为</w:t>
      </w:r>
      <w:r>
        <w:rPr>
          <w:rFonts w:ascii="宋体" w:hAnsi="宋体" w:cs="宋体" w:eastAsia="宋体" w:hint="default"/>
          <w:b/>
          <w:bCs/>
          <w:spacing w:val="-42"/>
          <w:sz w:val="18"/>
          <w:szCs w:val="18"/>
        </w:rPr>
        <w:t> </w:t>
      </w:r>
      <w:r>
        <w:rPr>
          <w:rFonts w:ascii="Times New Roman" w:hAnsi="Times New Roman" w:cs="Times New Roman" w:eastAsia="Times New Roman" w:hint="default"/>
          <w:b/>
          <w:bCs/>
          <w:sz w:val="18"/>
          <w:szCs w:val="18"/>
        </w:rPr>
        <w:t>1,000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万元，持股比例</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100%</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南京市新国都技术有限公司由本公司于</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日出资</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万元设立，并于</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日以货币</w:t>
      </w:r>
      <w:r>
        <w:rPr>
          <w:rFonts w:ascii="宋体" w:hAnsi="宋体" w:cs="宋体" w:eastAsia="宋体" w:hint="default"/>
          <w:sz w:val="18"/>
          <w:szCs w:val="18"/>
        </w:rPr>
      </w:r>
    </w:p>
    <w:p>
      <w:pPr>
        <w:spacing w:line="230" w:lineRule="exact" w:before="6"/>
        <w:ind w:left="1002" w:right="1179" w:firstLine="0"/>
        <w:jc w:val="left"/>
        <w:rPr>
          <w:rFonts w:ascii="宋体" w:hAnsi="宋体" w:cs="宋体" w:eastAsia="宋体" w:hint="default"/>
          <w:sz w:val="18"/>
          <w:szCs w:val="18"/>
        </w:rPr>
      </w:pPr>
      <w:r>
        <w:rPr>
          <w:rFonts w:ascii="宋体" w:hAnsi="宋体" w:cs="宋体" w:eastAsia="宋体" w:hint="default"/>
          <w:b/>
          <w:bCs/>
          <w:sz w:val="18"/>
          <w:szCs w:val="18"/>
        </w:rPr>
        <w:t>资金向南京市新国都技术有限公司增资</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万元，增资后于</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号完成工商变更手续，此次增资</w:t>
      </w:r>
      <w:r>
        <w:rPr>
          <w:rFonts w:ascii="宋体" w:hAnsi="宋体" w:cs="宋体" w:eastAsia="宋体" w:hint="default"/>
          <w:b/>
          <w:bCs/>
          <w:w w:val="99"/>
          <w:sz w:val="18"/>
          <w:szCs w:val="18"/>
        </w:rPr>
        <w:t> </w:t>
      </w:r>
      <w:r>
        <w:rPr>
          <w:rFonts w:ascii="宋体" w:hAnsi="宋体" w:cs="宋体" w:eastAsia="宋体" w:hint="default"/>
          <w:b/>
          <w:bCs/>
          <w:sz w:val="18"/>
          <w:szCs w:val="18"/>
        </w:rPr>
        <w:t>完成后本公司对南京市新国都技术有限公司投资额为</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1,300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万元，持股比例</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100%</w:t>
      </w:r>
      <w:r>
        <w:rPr>
          <w:rFonts w:ascii="宋体" w:hAnsi="宋体" w:cs="宋体" w:eastAsia="宋体" w:hint="default"/>
          <w:b/>
          <w:bCs/>
          <w:sz w:val="18"/>
          <w:szCs w:val="18"/>
        </w:rPr>
        <w:t>。</w:t>
      </w:r>
      <w:r>
        <w:rPr>
          <w:rFonts w:ascii="宋体" w:hAnsi="宋体" w:cs="宋体" w:eastAsia="宋体" w:hint="default"/>
          <w:sz w:val="18"/>
          <w:szCs w:val="18"/>
        </w:rPr>
      </w:r>
    </w:p>
    <w:p>
      <w:pPr>
        <w:spacing w:before="17"/>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广州市新国都信息科技有限公司由本公司于</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日出资</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万元设立，持股比例</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100%</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before="0"/>
        <w:ind w:left="1002" w:right="0" w:firstLine="0"/>
        <w:jc w:val="left"/>
        <w:rPr>
          <w:rFonts w:ascii="宋体" w:hAnsi="宋体" w:cs="宋体" w:eastAsia="宋体" w:hint="default"/>
          <w:sz w:val="18"/>
          <w:szCs w:val="18"/>
        </w:rPr>
      </w:pPr>
      <w:r>
        <w:rPr>
          <w:rFonts w:ascii="宋体" w:hAnsi="宋体" w:cs="宋体" w:eastAsia="宋体" w:hint="default"/>
          <w:b/>
          <w:bCs/>
          <w:sz w:val="18"/>
          <w:szCs w:val="18"/>
        </w:rPr>
        <w:t>（四）营业收入及营业成本</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spacing w:before="0"/>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002" w:type="dxa"/>
        <w:tblLayout w:type="fixed"/>
        <w:tblCellMar>
          <w:top w:w="0" w:type="dxa"/>
          <w:left w:w="0" w:type="dxa"/>
          <w:bottom w:w="0" w:type="dxa"/>
          <w:right w:w="0" w:type="dxa"/>
        </w:tblCellMar>
        <w:tblLook w:val="01E0"/>
      </w:tblPr>
      <w:tblGrid>
        <w:gridCol w:w="1891"/>
        <w:gridCol w:w="1813"/>
        <w:gridCol w:w="2052"/>
        <w:gridCol w:w="1573"/>
        <w:gridCol w:w="1870"/>
      </w:tblGrid>
      <w:tr>
        <w:trPr>
          <w:trHeight w:val="267"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13"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73"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6"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13" w:type="dxa"/>
            <w:tcBorders>
              <w:top w:val="nil" w:sz="6" w:space="0" w:color="auto"/>
              <w:left w:val="nil" w:sz="6" w:space="0" w:color="auto"/>
              <w:bottom w:val="nil" w:sz="6" w:space="0" w:color="auto"/>
              <w:right w:val="nil" w:sz="6" w:space="0" w:color="auto"/>
            </w:tcBorders>
          </w:tcPr>
          <w:p>
            <w:pP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205,299,993.01</w:t>
            </w:r>
          </w:p>
        </w:tc>
        <w:tc>
          <w:tcPr>
            <w:tcW w:w="1573"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137,430,017.35</w:t>
            </w:r>
          </w:p>
        </w:tc>
      </w:tr>
      <w:tr>
        <w:trPr>
          <w:trHeight w:val="345"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13"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w:t>
            </w:r>
          </w:p>
        </w:tc>
        <w:tc>
          <w:tcPr>
            <w:tcW w:w="1573"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6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3" w:type="dxa"/>
            <w:tcBorders>
              <w:top w:val="nil" w:sz="6" w:space="0" w:color="auto"/>
              <w:left w:val="nil" w:sz="6" w:space="0" w:color="auto"/>
              <w:bottom w:val="nil" w:sz="6" w:space="0" w:color="auto"/>
              <w:right w:val="nil" w:sz="6" w:space="0" w:color="auto"/>
            </w:tcBorders>
          </w:tcPr>
          <w:p>
            <w:pPr/>
          </w:p>
        </w:tc>
        <w:tc>
          <w:tcPr>
            <w:tcW w:w="2052"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205,299,993.01</w:t>
            </w:r>
          </w:p>
        </w:tc>
        <w:tc>
          <w:tcPr>
            <w:tcW w:w="1573"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137,430,017.35</w:t>
            </w:r>
          </w:p>
        </w:tc>
      </w:tr>
    </w:tbl>
    <w:p>
      <w:pPr>
        <w:spacing w:line="240" w:lineRule="auto" w:before="2"/>
        <w:rPr>
          <w:rFonts w:ascii="宋体" w:hAnsi="宋体" w:cs="宋体" w:eastAsia="宋体" w:hint="default"/>
          <w:b/>
          <w:bCs/>
          <w:sz w:val="16"/>
          <w:szCs w:val="16"/>
        </w:rPr>
      </w:pPr>
    </w:p>
    <w:p>
      <w:pPr>
        <w:spacing w:before="44"/>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1"/>
        <w:rPr>
          <w:rFonts w:ascii="宋体" w:hAnsi="宋体" w:cs="宋体" w:eastAsia="宋体" w:hint="default"/>
          <w:b/>
          <w:bCs/>
          <w:sz w:val="29"/>
          <w:szCs w:val="29"/>
        </w:rPr>
      </w:pPr>
    </w:p>
    <w:tbl>
      <w:tblPr>
        <w:tblW w:w="0" w:type="auto"/>
        <w:jc w:val="left"/>
        <w:tblInd w:w="1016" w:type="dxa"/>
        <w:tblLayout w:type="fixed"/>
        <w:tblCellMar>
          <w:top w:w="0" w:type="dxa"/>
          <w:left w:w="0" w:type="dxa"/>
          <w:bottom w:w="0" w:type="dxa"/>
          <w:right w:w="0" w:type="dxa"/>
        </w:tblCellMar>
        <w:tblLook w:val="01E0"/>
      </w:tblPr>
      <w:tblGrid>
        <w:gridCol w:w="1877"/>
        <w:gridCol w:w="1813"/>
        <w:gridCol w:w="2036"/>
        <w:gridCol w:w="1589"/>
        <w:gridCol w:w="1855"/>
      </w:tblGrid>
      <w:tr>
        <w:trPr>
          <w:trHeight w:val="267" w:hRule="exact"/>
        </w:trPr>
        <w:tc>
          <w:tcPr>
            <w:tcW w:w="1877"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13"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89"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813"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138,681,008.53</w:t>
            </w:r>
          </w:p>
        </w:tc>
        <w:tc>
          <w:tcPr>
            <w:tcW w:w="1589"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80,479,596.87</w:t>
            </w:r>
          </w:p>
        </w:tc>
      </w:tr>
      <w:tr>
        <w:trPr>
          <w:trHeight w:val="34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813"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c>
          <w:tcPr>
            <w:tcW w:w="1589"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3"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138,681,008.53</w:t>
            </w:r>
          </w:p>
        </w:tc>
        <w:tc>
          <w:tcPr>
            <w:tcW w:w="1589"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185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205" name="image110.png" descr=""/>
                  <wp:cNvGraphicFramePr>
                    <a:graphicFrameLocks noChangeAspect="1"/>
                  </wp:cNvGraphicFramePr>
                  <a:graphic>
                    <a:graphicData uri="http://schemas.openxmlformats.org/drawingml/2006/picture">
                      <pic:pic>
                        <pic:nvPicPr>
                          <pic:cNvPr id="206" name="image110.png"/>
                          <pic:cNvPicPr/>
                        </pic:nvPicPr>
                        <pic:blipFill>
                          <a:blip r:embed="rId157"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Times New Roman"/>
                <w:sz w:val="18"/>
              </w:rPr>
              <w:t>80,479,596.87</w:t>
            </w:r>
          </w:p>
        </w:tc>
      </w:tr>
    </w:tbl>
    <w:p>
      <w:pPr>
        <w:spacing w:line="240" w:lineRule="auto" w:before="12"/>
        <w:rPr>
          <w:rFonts w:ascii="宋体" w:hAnsi="宋体" w:cs="宋体" w:eastAsia="宋体" w:hint="default"/>
          <w:b/>
          <w:bCs/>
          <w:sz w:val="15"/>
          <w:szCs w:val="15"/>
        </w:rPr>
      </w:pPr>
    </w:p>
    <w:p>
      <w:pPr>
        <w:spacing w:before="44"/>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公司前五名客户的主营业务收入情况</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002" w:type="dxa"/>
        <w:tblLayout w:type="fixed"/>
        <w:tblCellMar>
          <w:top w:w="0" w:type="dxa"/>
          <w:left w:w="0" w:type="dxa"/>
          <w:bottom w:w="0" w:type="dxa"/>
          <w:right w:w="0" w:type="dxa"/>
        </w:tblCellMar>
        <w:tblLook w:val="01E0"/>
      </w:tblPr>
      <w:tblGrid>
        <w:gridCol w:w="2132"/>
        <w:gridCol w:w="1510"/>
        <w:gridCol w:w="2098"/>
        <w:gridCol w:w="1261"/>
        <w:gridCol w:w="2100"/>
      </w:tblGrid>
      <w:tr>
        <w:trPr>
          <w:trHeight w:val="270" w:hRule="exact"/>
        </w:trPr>
        <w:tc>
          <w:tcPr>
            <w:tcW w:w="2132"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61"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5" w:hRule="exact"/>
        </w:trPr>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销售收入前五名合计金额</w:t>
            </w:r>
          </w:p>
        </w:tc>
        <w:tc>
          <w:tcPr>
            <w:tcW w:w="1510" w:type="dxa"/>
            <w:tcBorders>
              <w:top w:val="nil" w:sz="6" w:space="0" w:color="auto"/>
              <w:left w:val="nil" w:sz="6" w:space="0" w:color="auto"/>
              <w:bottom w:val="nil" w:sz="6" w:space="0" w:color="auto"/>
              <w:right w:val="nil" w:sz="6" w:space="0" w:color="auto"/>
            </w:tcBorders>
          </w:tcPr>
          <w:p>
            <w:pP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146,479,696.29</w:t>
            </w:r>
          </w:p>
        </w:tc>
        <w:tc>
          <w:tcPr>
            <w:tcW w:w="1261"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105,962,244.80</w:t>
            </w:r>
          </w:p>
        </w:tc>
      </w:tr>
      <w:tr>
        <w:trPr>
          <w:trHeight w:val="262"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占销售收入比例</w:t>
            </w:r>
          </w:p>
        </w:tc>
        <w:tc>
          <w:tcPr>
            <w:tcW w:w="1510"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 w:right="0"/>
              <w:jc w:val="left"/>
              <w:rPr>
                <w:rFonts w:ascii="Times New Roman" w:hAnsi="Times New Roman" w:cs="Times New Roman" w:eastAsia="Times New Roman" w:hint="default"/>
                <w:sz w:val="18"/>
                <w:szCs w:val="18"/>
              </w:rPr>
            </w:pPr>
            <w:r>
              <w:rPr>
                <w:rFonts w:ascii="Times New Roman"/>
                <w:sz w:val="18"/>
              </w:rPr>
              <w:t>71.35%</w:t>
            </w:r>
          </w:p>
        </w:tc>
        <w:tc>
          <w:tcPr>
            <w:tcW w:w="1261"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77.10%</w:t>
            </w:r>
          </w:p>
        </w:tc>
      </w:tr>
    </w:tbl>
    <w:p>
      <w:pPr>
        <w:spacing w:line="240" w:lineRule="auto" w:before="1"/>
        <w:rPr>
          <w:rFonts w:ascii="宋体" w:hAnsi="宋体" w:cs="宋体" w:eastAsia="宋体" w:hint="default"/>
          <w:b/>
          <w:bCs/>
          <w:sz w:val="22"/>
          <w:szCs w:val="22"/>
        </w:rPr>
      </w:pPr>
    </w:p>
    <w:p>
      <w:pPr>
        <w:spacing w:before="44"/>
        <w:ind w:left="10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主营业务收入及成本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按业务分类</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6" w:top="1060" w:bottom="1420" w:left="700" w:right="40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129"/>
        <w:gridCol w:w="1505"/>
        <w:gridCol w:w="2120"/>
        <w:gridCol w:w="1268"/>
        <w:gridCol w:w="2093"/>
      </w:tblGrid>
      <w:tr>
        <w:trPr>
          <w:trHeight w:val="367" w:hRule="exact"/>
        </w:trPr>
        <w:tc>
          <w:tcPr>
            <w:tcW w:w="2129"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05" w:type="dxa"/>
            <w:tcBorders>
              <w:top w:val="single" w:sz="6" w:space="0" w:color="000000"/>
              <w:left w:val="nil" w:sz="6" w:space="0" w:color="auto"/>
              <w:bottom w:val="nil" w:sz="6" w:space="0" w:color="auto"/>
              <w:right w:val="nil" w:sz="6" w:space="0" w:color="auto"/>
            </w:tcBorders>
          </w:tcPr>
          <w:p>
            <w:pPr/>
          </w:p>
        </w:tc>
        <w:tc>
          <w:tcPr>
            <w:tcW w:w="2120"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68" w:type="dxa"/>
            <w:tcBorders>
              <w:top w:val="single" w:sz="6" w:space="0" w:color="000000"/>
              <w:left w:val="nil" w:sz="6" w:space="0" w:color="auto"/>
              <w:bottom w:val="nil" w:sz="6" w:space="0" w:color="auto"/>
              <w:right w:val="nil" w:sz="6" w:space="0" w:color="auto"/>
            </w:tcBorders>
          </w:tcPr>
          <w:p>
            <w:pPr/>
          </w:p>
        </w:tc>
        <w:tc>
          <w:tcPr>
            <w:tcW w:w="2093"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4" w:hRule="exact"/>
        </w:trPr>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
        </w:tc>
      </w:tr>
      <w:tr>
        <w:trPr>
          <w:trHeight w:val="345"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机销售</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190,202,408.87</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127,524,240.31</w:t>
            </w:r>
          </w:p>
        </w:tc>
      </w:tr>
      <w:tr>
        <w:trPr>
          <w:trHeight w:val="34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9,632,415.88</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9,110,944.60</w:t>
            </w:r>
          </w:p>
        </w:tc>
      </w:tr>
      <w:tr>
        <w:trPr>
          <w:trHeight w:val="338"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Times New Roman" w:hAnsi="Times New Roman" w:cs="Times New Roman" w:eastAsia="Times New Roman" w:hint="default"/>
                <w:sz w:val="18"/>
                <w:szCs w:val="18"/>
              </w:rPr>
            </w:pPr>
            <w:r>
              <w:rPr>
                <w:rFonts w:ascii="Times New Roman"/>
                <w:sz w:val="18"/>
              </w:rPr>
              <w:t>513,299.08</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479,145.26</w:t>
            </w:r>
          </w:p>
        </w:tc>
      </w:tr>
      <w:tr>
        <w:trPr>
          <w:trHeight w:val="34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123,946.61</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314,487.18</w:t>
            </w:r>
          </w:p>
        </w:tc>
      </w:tr>
      <w:tr>
        <w:trPr>
          <w:trHeight w:val="341"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4,705,127.79</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122,794.78</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1,200.00</w:t>
            </w:r>
          </w:p>
        </w:tc>
      </w:tr>
      <w:tr>
        <w:trPr>
          <w:trHeight w:val="36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205,299,993.01</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137,430,017.35</w:t>
            </w:r>
          </w:p>
        </w:tc>
      </w:tr>
      <w:tr>
        <w:trPr>
          <w:trHeight w:val="353"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12" w:space="0" w:color="000000"/>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single" w:sz="12" w:space="0" w:color="000000"/>
              <w:left w:val="nil" w:sz="6" w:space="0" w:color="auto"/>
              <w:bottom w:val="nil" w:sz="6" w:space="0" w:color="auto"/>
              <w:right w:val="nil" w:sz="6" w:space="0" w:color="auto"/>
            </w:tcBorders>
          </w:tcPr>
          <w:p>
            <w:pPr/>
          </w:p>
        </w:tc>
      </w:tr>
      <w:tr>
        <w:trPr>
          <w:trHeight w:val="345"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机销售</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134,630,010.80</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78,381,326.95</w:t>
            </w:r>
          </w:p>
        </w:tc>
      </w:tr>
      <w:tr>
        <w:trPr>
          <w:trHeight w:val="34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1,925,369.20</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1,897,049.51</w:t>
            </w:r>
          </w:p>
        </w:tc>
      </w:tr>
      <w:tr>
        <w:trPr>
          <w:trHeight w:val="338"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Times New Roman" w:hAnsi="Times New Roman" w:cs="Times New Roman" w:eastAsia="Times New Roman" w:hint="default"/>
                <w:sz w:val="18"/>
                <w:szCs w:val="18"/>
              </w:rPr>
            </w:pPr>
            <w:r>
              <w:rPr>
                <w:rFonts w:ascii="Times New Roman"/>
                <w:sz w:val="18"/>
              </w:rPr>
              <w:t>209,545.61</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160,419.37</w:t>
            </w:r>
          </w:p>
        </w:tc>
      </w:tr>
      <w:tr>
        <w:trPr>
          <w:trHeight w:val="34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40,801.04</w:t>
            </w:r>
          </w:p>
        </w:tc>
      </w:tr>
      <w:tr>
        <w:trPr>
          <w:trHeight w:val="341"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1,916,082.92</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
        </w:tc>
      </w:tr>
      <w:tr>
        <w:trPr>
          <w:trHeight w:val="344"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138,681,008.53</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80,479,596.87</w:t>
            </w:r>
          </w:p>
        </w:tc>
      </w:tr>
      <w:tr>
        <w:trPr>
          <w:trHeight w:val="353"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12" w:space="0" w:color="000000"/>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single" w:sz="12" w:space="0" w:color="000000"/>
              <w:left w:val="nil" w:sz="6" w:space="0" w:color="auto"/>
              <w:bottom w:val="nil" w:sz="6" w:space="0" w:color="auto"/>
              <w:right w:val="nil" w:sz="6" w:space="0" w:color="auto"/>
            </w:tcBorders>
          </w:tcPr>
          <w:p>
            <w:pPr/>
          </w:p>
        </w:tc>
      </w:tr>
      <w:tr>
        <w:trPr>
          <w:trHeight w:val="345"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机销售</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55,572,398.07</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49,142,913.36</w:t>
            </w:r>
          </w:p>
        </w:tc>
      </w:tr>
      <w:tr>
        <w:trPr>
          <w:trHeight w:val="34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7,707,046.68</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7,213,895.09</w:t>
            </w:r>
          </w:p>
        </w:tc>
      </w:tr>
      <w:tr>
        <w:trPr>
          <w:trHeight w:val="339"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Times New Roman" w:hAnsi="Times New Roman" w:cs="Times New Roman" w:eastAsia="Times New Roman" w:hint="default"/>
                <w:sz w:val="18"/>
                <w:szCs w:val="18"/>
              </w:rPr>
            </w:pPr>
            <w:r>
              <w:rPr>
                <w:rFonts w:ascii="Times New Roman"/>
                <w:sz w:val="18"/>
              </w:rPr>
              <w:t>303,753.47</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318,725.89</w:t>
            </w:r>
          </w:p>
        </w:tc>
      </w:tr>
      <w:tr>
        <w:trPr>
          <w:trHeight w:val="34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123,946.61</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273,686.14</w:t>
            </w:r>
          </w:p>
        </w:tc>
      </w:tr>
      <w:tr>
        <w:trPr>
          <w:trHeight w:val="341"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2,789,044.87</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122,794.78</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1,200.00</w:t>
            </w:r>
          </w:p>
        </w:tc>
      </w:tr>
      <w:tr>
        <w:trPr>
          <w:trHeight w:val="36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66,618,984.48</w:t>
            </w:r>
          </w:p>
        </w:tc>
        <w:tc>
          <w:tcPr>
            <w:tcW w:w="1268"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56,950,420.48</w:t>
            </w:r>
          </w:p>
        </w:tc>
      </w:tr>
    </w:tbl>
    <w:p>
      <w:pPr>
        <w:spacing w:line="240" w:lineRule="auto" w:before="2"/>
        <w:rPr>
          <w:rFonts w:ascii="宋体" w:hAnsi="宋体" w:cs="宋体" w:eastAsia="宋体" w:hint="default"/>
          <w:b/>
          <w:bCs/>
          <w:sz w:val="16"/>
          <w:szCs w:val="16"/>
        </w:rPr>
      </w:pPr>
    </w:p>
    <w:p>
      <w:pPr>
        <w:spacing w:before="44"/>
        <w:ind w:left="142" w:right="5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主营业务收入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0"/>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2086"/>
        <w:gridCol w:w="1505"/>
        <w:gridCol w:w="2134"/>
        <w:gridCol w:w="1268"/>
        <w:gridCol w:w="2108"/>
      </w:tblGrid>
      <w:tr>
        <w:trPr>
          <w:trHeight w:val="267" w:hRule="exact"/>
        </w:trPr>
        <w:tc>
          <w:tcPr>
            <w:tcW w:w="208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9,445,485.01</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4,653,494.02</w:t>
            </w:r>
          </w:p>
        </w:tc>
      </w:tr>
      <w:tr>
        <w:trPr>
          <w:trHeight w:val="339"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Times New Roman" w:hAnsi="Times New Roman" w:cs="Times New Roman" w:eastAsia="Times New Roman" w:hint="default"/>
                <w:sz w:val="18"/>
                <w:szCs w:val="18"/>
              </w:rPr>
            </w:pPr>
            <w:r>
              <w:rPr>
                <w:rFonts w:ascii="Times New Roman"/>
                <w:sz w:val="18"/>
              </w:rPr>
              <w:t>31,713,735.92</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Times New Roman" w:hAnsi="Times New Roman" w:cs="Times New Roman" w:eastAsia="Times New Roman" w:hint="default"/>
                <w:sz w:val="18"/>
                <w:szCs w:val="18"/>
              </w:rPr>
            </w:pPr>
            <w:r>
              <w:rPr>
                <w:rFonts w:ascii="Times New Roman"/>
                <w:sz w:val="18"/>
              </w:rPr>
              <w:t>10,515,725.67</w:t>
            </w:r>
          </w:p>
        </w:tc>
      </w:tr>
      <w:tr>
        <w:trPr>
          <w:trHeight w:val="34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6,546,023.37</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4,228,281.86</w:t>
            </w:r>
          </w:p>
        </w:tc>
      </w:tr>
      <w:tr>
        <w:trPr>
          <w:trHeight w:val="34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27,890,234.82</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16,112,311.41</w:t>
            </w:r>
          </w:p>
        </w:tc>
      </w:tr>
      <w:tr>
        <w:trPr>
          <w:trHeight w:val="338"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43,100,019.13</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22,252,507.16</w:t>
            </w:r>
          </w:p>
        </w:tc>
      </w:tr>
      <w:tr>
        <w:trPr>
          <w:trHeight w:val="34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79,213,818.91</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68,026,481.12</w:t>
            </w:r>
          </w:p>
        </w:tc>
      </w:tr>
      <w:tr>
        <w:trPr>
          <w:trHeight w:val="34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Times New Roman" w:hAnsi="Times New Roman" w:cs="Times New Roman" w:eastAsia="Times New Roman" w:hint="default"/>
                <w:sz w:val="18"/>
                <w:szCs w:val="18"/>
              </w:rPr>
            </w:pPr>
            <w:r>
              <w:rPr>
                <w:rFonts w:ascii="Times New Roman"/>
                <w:sz w:val="18"/>
              </w:rPr>
              <w:t>7,073,532.62</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7,078,544.31</w:t>
            </w:r>
          </w:p>
        </w:tc>
      </w:tr>
      <w:tr>
        <w:trPr>
          <w:trHeight w:val="344"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6" w:right="0"/>
              <w:jc w:val="left"/>
              <w:rPr>
                <w:rFonts w:ascii="Times New Roman" w:hAnsi="Times New Roman" w:cs="Times New Roman" w:eastAsia="Times New Roman" w:hint="default"/>
                <w:sz w:val="18"/>
                <w:szCs w:val="18"/>
              </w:rPr>
            </w:pPr>
            <w:r>
              <w:rPr>
                <w:rFonts w:ascii="Times New Roman"/>
                <w:sz w:val="18"/>
              </w:rPr>
              <w:t>317,143.23</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4,562,671.80</w:t>
            </w:r>
          </w:p>
        </w:tc>
      </w:tr>
      <w:tr>
        <w:trPr>
          <w:trHeight w:val="360"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6" w:right="0"/>
              <w:jc w:val="left"/>
              <w:rPr>
                <w:rFonts w:ascii="Times New Roman" w:hAnsi="Times New Roman" w:cs="Times New Roman" w:eastAsia="Times New Roman" w:hint="default"/>
                <w:sz w:val="18"/>
                <w:szCs w:val="18"/>
              </w:rPr>
            </w:pPr>
            <w:r>
              <w:rPr>
                <w:rFonts w:ascii="Times New Roman"/>
                <w:sz w:val="18"/>
              </w:rPr>
              <w:t>205,299,993.01</w:t>
            </w:r>
          </w:p>
        </w:tc>
        <w:tc>
          <w:tcPr>
            <w:tcW w:w="1268"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137,430,017.35</w:t>
            </w:r>
          </w:p>
        </w:tc>
      </w:tr>
    </w:tbl>
    <w:p>
      <w:pPr>
        <w:spacing w:before="8"/>
        <w:ind w:left="142" w:right="573" w:firstLine="0"/>
        <w:jc w:val="left"/>
        <w:rPr>
          <w:rFonts w:ascii="宋体" w:hAnsi="宋体" w:cs="宋体" w:eastAsia="宋体" w:hint="default"/>
          <w:sz w:val="18"/>
          <w:szCs w:val="18"/>
        </w:rPr>
      </w:pPr>
      <w:r>
        <w:rPr>
          <w:rFonts w:ascii="宋体" w:hAnsi="宋体" w:cs="宋体" w:eastAsia="宋体" w:hint="default"/>
          <w:b/>
          <w:bCs/>
          <w:sz w:val="18"/>
          <w:szCs w:val="18"/>
        </w:rPr>
        <w:t>（五）投资收益</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072"/>
        <w:gridCol w:w="1527"/>
        <w:gridCol w:w="2141"/>
        <w:gridCol w:w="1261"/>
        <w:gridCol w:w="2100"/>
      </w:tblGrid>
      <w:tr>
        <w:trPr>
          <w:trHeight w:val="267" w:hRule="exact"/>
        </w:trPr>
        <w:tc>
          <w:tcPr>
            <w:tcW w:w="2072"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27"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61"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263" w:hRule="exact"/>
        </w:trPr>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1527"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77" w:footer="1226" w:top="1060" w:bottom="1420" w:left="1560" w:right="1000"/>
        </w:sectPr>
      </w:pPr>
    </w:p>
    <w:p>
      <w:pPr>
        <w:spacing w:line="240" w:lineRule="auto" w:before="11"/>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3627"/>
        <w:gridCol w:w="2141"/>
        <w:gridCol w:w="1253"/>
        <w:gridCol w:w="1654"/>
        <w:gridCol w:w="454"/>
      </w:tblGrid>
      <w:tr>
        <w:trPr>
          <w:trHeight w:val="574" w:hRule="exact"/>
        </w:trPr>
        <w:tc>
          <w:tcPr>
            <w:tcW w:w="3627" w:type="dxa"/>
            <w:tcBorders>
              <w:top w:val="single" w:sz="6" w:space="0" w:color="000000"/>
              <w:left w:val="nil" w:sz="6" w:space="0" w:color="auto"/>
              <w:bottom w:val="nil" w:sz="6" w:space="0" w:color="auto"/>
              <w:right w:val="nil" w:sz="6" w:space="0" w:color="auto"/>
            </w:tcBorders>
          </w:tcPr>
          <w:p>
            <w:pPr>
              <w:pStyle w:val="TableParagraph"/>
              <w:spacing w:line="232" w:lineRule="exact" w:before="47"/>
              <w:ind w:left="57" w:right="1560"/>
              <w:jc w:val="left"/>
              <w:rPr>
                <w:rFonts w:ascii="宋体" w:hAnsi="宋体" w:cs="宋体" w:eastAsia="宋体" w:hint="default"/>
                <w:sz w:val="18"/>
                <w:szCs w:val="18"/>
              </w:rPr>
            </w:pPr>
            <w:r>
              <w:rPr>
                <w:rFonts w:ascii="宋体" w:hAnsi="宋体" w:cs="宋体" w:eastAsia="宋体" w:hint="default"/>
                <w:spacing w:val="2"/>
                <w:sz w:val="18"/>
                <w:szCs w:val="18"/>
              </w:rPr>
              <w:t>期末调整的被投资公司所</w:t>
            </w:r>
            <w:r>
              <w:rPr>
                <w:rFonts w:ascii="宋体" w:hAnsi="宋体" w:cs="宋体" w:eastAsia="宋体" w:hint="default"/>
                <w:sz w:val="18"/>
                <w:szCs w:val="18"/>
              </w:rPr>
              <w:t> 有者权益净增减额</w:t>
            </w:r>
          </w:p>
        </w:tc>
        <w:tc>
          <w:tcPr>
            <w:tcW w:w="2141"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590,335.95</w:t>
            </w:r>
          </w:p>
        </w:tc>
        <w:tc>
          <w:tcPr>
            <w:tcW w:w="1253" w:type="dxa"/>
            <w:tcBorders>
              <w:top w:val="single" w:sz="6" w:space="0" w:color="000000"/>
              <w:left w:val="nil" w:sz="6" w:space="0" w:color="auto"/>
              <w:bottom w:val="nil" w:sz="6" w:space="0" w:color="auto"/>
              <w:right w:val="nil" w:sz="6" w:space="0" w:color="auto"/>
            </w:tcBorders>
          </w:tcPr>
          <w:p>
            <w:pPr/>
          </w:p>
        </w:tc>
        <w:tc>
          <w:tcPr>
            <w:tcW w:w="1654"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533,702.28</w:t>
            </w:r>
          </w:p>
        </w:tc>
        <w:tc>
          <w:tcPr>
            <w:tcW w:w="454" w:type="dxa"/>
            <w:tcBorders>
              <w:top w:val="nil" w:sz="6" w:space="0" w:color="auto"/>
              <w:left w:val="nil" w:sz="6" w:space="0" w:color="auto"/>
              <w:bottom w:val="single" w:sz="4" w:space="0" w:color="000000"/>
              <w:right w:val="nil" w:sz="6" w:space="0" w:color="auto"/>
            </w:tcBorders>
          </w:tcPr>
          <w:p>
            <w:pPr/>
          </w:p>
        </w:tc>
      </w:tr>
      <w:tr>
        <w:trPr>
          <w:trHeight w:val="362" w:hRule="exact"/>
        </w:trPr>
        <w:tc>
          <w:tcPr>
            <w:tcW w:w="36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590,335.95</w:t>
            </w:r>
          </w:p>
        </w:tc>
        <w:tc>
          <w:tcPr>
            <w:tcW w:w="1253"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533,702.28</w:t>
            </w:r>
          </w:p>
        </w:tc>
        <w:tc>
          <w:tcPr>
            <w:tcW w:w="454" w:type="dxa"/>
            <w:tcBorders>
              <w:top w:val="single" w:sz="4" w:space="0" w:color="000000"/>
              <w:left w:val="nil" w:sz="6" w:space="0" w:color="auto"/>
              <w:bottom w:val="single" w:sz="12" w:space="0" w:color="000000"/>
              <w:right w:val="nil" w:sz="6" w:space="0" w:color="auto"/>
            </w:tcBorders>
          </w:tcPr>
          <w:p>
            <w:pPr/>
          </w:p>
        </w:tc>
      </w:tr>
    </w:tbl>
    <w:p>
      <w:pPr>
        <w:spacing w:line="240" w:lineRule="auto" w:before="12"/>
        <w:rPr>
          <w:rFonts w:ascii="宋体" w:hAnsi="宋体" w:cs="宋体" w:eastAsia="宋体" w:hint="default"/>
          <w:b/>
          <w:bCs/>
          <w:sz w:val="15"/>
          <w:szCs w:val="15"/>
        </w:rPr>
      </w:pPr>
    </w:p>
    <w:p>
      <w:pPr>
        <w:spacing w:before="44"/>
        <w:ind w:left="142" w:right="0" w:firstLine="0"/>
        <w:jc w:val="left"/>
        <w:rPr>
          <w:rFonts w:ascii="宋体" w:hAnsi="宋体" w:cs="宋体" w:eastAsia="宋体" w:hint="default"/>
          <w:sz w:val="18"/>
          <w:szCs w:val="18"/>
        </w:rPr>
      </w:pPr>
      <w:r>
        <w:rPr>
          <w:rFonts w:ascii="宋体" w:hAnsi="宋体" w:cs="宋体" w:eastAsia="宋体" w:hint="default"/>
          <w:b/>
          <w:bCs/>
          <w:sz w:val="18"/>
          <w:szCs w:val="18"/>
        </w:rPr>
        <w:t>（六）现金和现金等价物的构成</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3113"/>
        <w:gridCol w:w="1059"/>
        <w:gridCol w:w="2072"/>
        <w:gridCol w:w="994"/>
        <w:gridCol w:w="1877"/>
      </w:tblGrid>
      <w:tr>
        <w:trPr>
          <w:trHeight w:val="267"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5"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715,590,749.97</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71,324,861.61</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108,492.27</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122,227.81</w:t>
            </w:r>
          </w:p>
        </w:tc>
      </w:tr>
      <w:tr>
        <w:trPr>
          <w:trHeight w:val="33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sz w:val="18"/>
              </w:rPr>
              <w:t>715,482,257.70</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 w:right="0"/>
              <w:jc w:val="left"/>
              <w:rPr>
                <w:rFonts w:ascii="Times New Roman" w:hAnsi="Times New Roman" w:cs="Times New Roman" w:eastAsia="Times New Roman" w:hint="default"/>
                <w:sz w:val="18"/>
                <w:szCs w:val="18"/>
              </w:rPr>
            </w:pPr>
            <w:r>
              <w:rPr>
                <w:rFonts w:ascii="Times New Roman"/>
                <w:sz w:val="18"/>
              </w:rPr>
              <w:t>71,202,633.80</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3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26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05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715,590,749.97</w:t>
            </w:r>
          </w:p>
        </w:tc>
        <w:tc>
          <w:tcPr>
            <w:tcW w:w="994"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71,324,861.61</w:t>
            </w:r>
          </w:p>
        </w:tc>
      </w:tr>
    </w:tbl>
    <w:p>
      <w:pPr>
        <w:spacing w:line="240" w:lineRule="auto" w:before="11"/>
        <w:rPr>
          <w:rFonts w:ascii="宋体" w:hAnsi="宋体" w:cs="宋体" w:eastAsia="宋体" w:hint="default"/>
          <w:b/>
          <w:bCs/>
          <w:sz w:val="21"/>
          <w:szCs w:val="21"/>
        </w:rPr>
      </w:pPr>
    </w:p>
    <w:p>
      <w:pPr>
        <w:spacing w:before="44"/>
        <w:ind w:left="142" w:right="0" w:firstLine="0"/>
        <w:jc w:val="left"/>
        <w:rPr>
          <w:rFonts w:ascii="宋体" w:hAnsi="宋体" w:cs="宋体" w:eastAsia="宋体" w:hint="default"/>
          <w:sz w:val="18"/>
          <w:szCs w:val="18"/>
        </w:rPr>
      </w:pPr>
      <w:r>
        <w:rPr>
          <w:rFonts w:ascii="宋体" w:hAnsi="宋体" w:cs="宋体" w:eastAsia="宋体" w:hint="default"/>
          <w:b/>
          <w:bCs/>
          <w:sz w:val="18"/>
          <w:szCs w:val="18"/>
        </w:rPr>
        <w:t>（七）现金流量表补充资料</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4820"/>
        <w:gridCol w:w="1985"/>
        <w:gridCol w:w="1985"/>
      </w:tblGrid>
      <w:tr>
        <w:trPr>
          <w:trHeight w:val="267" w:hRule="exact"/>
        </w:trPr>
        <w:tc>
          <w:tcPr>
            <w:tcW w:w="482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6" w:hRule="exact"/>
        </w:trPr>
        <w:tc>
          <w:tcPr>
            <w:tcW w:w="482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85"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2" w:right="0"/>
              <w:jc w:val="left"/>
              <w:rPr>
                <w:rFonts w:ascii="Times New Roman" w:hAnsi="Times New Roman" w:cs="Times New Roman" w:eastAsia="Times New Roman" w:hint="default"/>
                <w:sz w:val="18"/>
                <w:szCs w:val="18"/>
              </w:rPr>
            </w:pPr>
            <w:r>
              <w:rPr>
                <w:rFonts w:ascii="Times New Roman"/>
                <w:sz w:val="18"/>
              </w:rPr>
              <w:t>26,440,382.38</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Times New Roman" w:hAnsi="Times New Roman" w:cs="Times New Roman" w:eastAsia="Times New Roman" w:hint="default"/>
                <w:sz w:val="18"/>
                <w:szCs w:val="18"/>
              </w:rPr>
            </w:pPr>
            <w:r>
              <w:rPr>
                <w:rFonts w:ascii="Times New Roman"/>
                <w:sz w:val="18"/>
              </w:rPr>
              <w:t>18,656,417.39</w:t>
            </w:r>
          </w:p>
        </w:tc>
      </w:tr>
      <w:tr>
        <w:trPr>
          <w:trHeight w:val="33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2" w:right="0"/>
              <w:jc w:val="left"/>
              <w:rPr>
                <w:rFonts w:ascii="Times New Roman" w:hAnsi="Times New Roman" w:cs="Times New Roman" w:eastAsia="Times New Roman" w:hint="default"/>
                <w:sz w:val="18"/>
                <w:szCs w:val="18"/>
              </w:rPr>
            </w:pPr>
            <w:r>
              <w:rPr>
                <w:rFonts w:ascii="Times New Roman"/>
                <w:sz w:val="18"/>
              </w:rPr>
              <w:t>2,201,953.83</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110,487.67</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3,045,743.81</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2,718,637.86</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60,733.98</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3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2" w:right="0"/>
              <w:jc w:val="left"/>
              <w:rPr>
                <w:rFonts w:ascii="Times New Roman" w:hAnsi="Times New Roman" w:cs="Times New Roman" w:eastAsia="Times New Roman" w:hint="default"/>
                <w:sz w:val="18"/>
                <w:szCs w:val="18"/>
              </w:rPr>
            </w:pPr>
            <w:r>
              <w:rPr>
                <w:rFonts w:ascii="Times New Roman"/>
                <w:sz w:val="18"/>
              </w:rPr>
              <w:t>1,272,609.93</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725,691.76</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14,514.67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3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104,265.27</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(590,335.95)</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(533,702.28)</w:t>
            </w:r>
          </w:p>
        </w:tc>
      </w:tr>
      <w:tr>
        <w:trPr>
          <w:trHeight w:val="33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2" w:right="0"/>
              <w:jc w:val="left"/>
              <w:rPr>
                <w:rFonts w:ascii="Times New Roman" w:hAnsi="Times New Roman" w:cs="Times New Roman" w:eastAsia="Times New Roman" w:hint="default"/>
                <w:sz w:val="18"/>
                <w:szCs w:val="18"/>
              </w:rPr>
            </w:pPr>
            <w:r>
              <w:rPr>
                <w:rFonts w:ascii="Times New Roman"/>
                <w:sz w:val="18"/>
              </w:rPr>
              <w:t>(816,494.37)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(159,973.75)</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(21,040,144.80)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(12,865,891.60)</w:t>
            </w:r>
          </w:p>
        </w:tc>
      </w:tr>
      <w:tr>
        <w:trPr>
          <w:trHeight w:val="33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2" w:right="0"/>
              <w:jc w:val="left"/>
              <w:rPr>
                <w:rFonts w:ascii="Times New Roman" w:hAnsi="Times New Roman" w:cs="Times New Roman" w:eastAsia="Times New Roman" w:hint="default"/>
                <w:sz w:val="18"/>
                <w:szCs w:val="18"/>
              </w:rPr>
            </w:pPr>
            <w:r>
              <w:rPr>
                <w:rFonts w:ascii="Times New Roman"/>
                <w:sz w:val="18"/>
              </w:rPr>
              <w:t>(73,166,722.40)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 w:right="0"/>
              <w:jc w:val="left"/>
              <w:rPr>
                <w:rFonts w:ascii="Times New Roman" w:hAnsi="Times New Roman" w:cs="Times New Roman" w:eastAsia="Times New Roman" w:hint="default"/>
                <w:sz w:val="18"/>
                <w:szCs w:val="18"/>
              </w:rPr>
            </w:pPr>
            <w:r>
              <w:rPr>
                <w:rFonts w:ascii="Times New Roman"/>
                <w:sz w:val="18"/>
              </w:rPr>
              <w:t>(3,030,314.46)</w:t>
            </w:r>
          </w:p>
        </w:tc>
      </w:tr>
      <w:tr>
        <w:trPr>
          <w:trHeight w:val="34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65,539,338.32</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18,828,579.29</w:t>
            </w:r>
          </w:p>
        </w:tc>
      </w:tr>
      <w:tr>
        <w:trPr>
          <w:trHeight w:val="344"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2,961,579.40</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24,554,197.15</w:t>
            </w:r>
          </w:p>
        </w:tc>
      </w:tr>
      <w:tr>
        <w:trPr>
          <w:trHeight w:val="329" w:hRule="exact"/>
        </w:trPr>
        <w:tc>
          <w:tcPr>
            <w:tcW w:w="482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24" w:hRule="exact"/>
        </w:trPr>
        <w:tc>
          <w:tcPr>
            <w:tcW w:w="48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85"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r>
      <w:tr>
        <w:trPr>
          <w:trHeight w:val="31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8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251"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Times New Roman" w:hAnsi="Times New Roman" w:cs="Times New Roman" w:eastAsia="Times New Roman" w:hint="default"/>
                <w:sz w:val="18"/>
                <w:szCs w:val="18"/>
              </w:rPr>
            </w:pPr>
            <w:r>
              <w:rPr>
                <w:rFonts w:ascii="Times New Roman"/>
                <w:sz w:val="18"/>
              </w:rPr>
              <w:t>715,590,749.97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Times New Roman" w:hAnsi="Times New Roman" w:cs="Times New Roman" w:eastAsia="Times New Roman" w:hint="default"/>
                <w:sz w:val="18"/>
                <w:szCs w:val="18"/>
              </w:rPr>
            </w:pPr>
            <w:r>
              <w:rPr>
                <w:rFonts w:ascii="Times New Roman"/>
                <w:sz w:val="18"/>
              </w:rPr>
              <w:t>71,324,861.61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560" w:right="980"/>
        </w:sectPr>
      </w:pPr>
    </w:p>
    <w:p>
      <w:pPr>
        <w:spacing w:line="240" w:lineRule="auto" w:before="11"/>
        <w:rPr>
          <w:rFonts w:ascii="宋体" w:hAnsi="宋体" w:cs="宋体" w:eastAsia="宋体" w:hint="default"/>
          <w:b/>
          <w:bCs/>
          <w:sz w:val="2"/>
          <w:szCs w:val="2"/>
        </w:rPr>
      </w:pPr>
    </w:p>
    <w:tbl>
      <w:tblPr>
        <w:tblW w:w="0" w:type="auto"/>
        <w:jc w:val="left"/>
        <w:tblInd w:w="273" w:type="dxa"/>
        <w:tblLayout w:type="fixed"/>
        <w:tblCellMar>
          <w:top w:w="0" w:type="dxa"/>
          <w:left w:w="0" w:type="dxa"/>
          <w:bottom w:w="0" w:type="dxa"/>
          <w:right w:w="0" w:type="dxa"/>
        </w:tblCellMar>
        <w:tblLook w:val="01E0"/>
      </w:tblPr>
      <w:tblGrid>
        <w:gridCol w:w="4940"/>
        <w:gridCol w:w="1894"/>
        <w:gridCol w:w="1841"/>
        <w:gridCol w:w="144"/>
      </w:tblGrid>
      <w:tr>
        <w:trPr>
          <w:trHeight w:val="341" w:hRule="exact"/>
        </w:trPr>
        <w:tc>
          <w:tcPr>
            <w:tcW w:w="4940"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4"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left="31" w:right="0"/>
              <w:jc w:val="left"/>
              <w:rPr>
                <w:rFonts w:ascii="Times New Roman" w:hAnsi="Times New Roman" w:cs="Times New Roman" w:eastAsia="Times New Roman" w:hint="default"/>
                <w:sz w:val="18"/>
                <w:szCs w:val="18"/>
              </w:rPr>
            </w:pPr>
            <w:r>
              <w:rPr>
                <w:rFonts w:ascii="Times New Roman"/>
                <w:sz w:val="18"/>
              </w:rPr>
              <w:t>71,324,861.61</w:t>
            </w:r>
          </w:p>
        </w:tc>
        <w:tc>
          <w:tcPr>
            <w:tcW w:w="1841"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left="110" w:right="0"/>
              <w:jc w:val="left"/>
              <w:rPr>
                <w:rFonts w:ascii="Times New Roman" w:hAnsi="Times New Roman" w:cs="Times New Roman" w:eastAsia="Times New Roman" w:hint="default"/>
                <w:sz w:val="18"/>
                <w:szCs w:val="18"/>
              </w:rPr>
            </w:pPr>
            <w:r>
              <w:rPr>
                <w:rFonts w:ascii="Times New Roman"/>
                <w:sz w:val="18"/>
              </w:rPr>
              <w:t>78,242,454.23</w:t>
            </w:r>
          </w:p>
        </w:tc>
        <w:tc>
          <w:tcPr>
            <w:tcW w:w="144" w:type="dxa"/>
            <w:tcBorders>
              <w:top w:val="nil" w:sz="6" w:space="0" w:color="auto"/>
              <w:left w:val="nil" w:sz="6" w:space="0" w:color="auto"/>
              <w:bottom w:val="nil" w:sz="6" w:space="0" w:color="auto"/>
              <w:right w:val="nil" w:sz="6" w:space="0" w:color="auto"/>
            </w:tcBorders>
          </w:tcPr>
          <w:p>
            <w:pPr/>
          </w:p>
        </w:tc>
      </w:tr>
      <w:tr>
        <w:trPr>
          <w:trHeight w:val="317" w:hRule="exact"/>
        </w:trPr>
        <w:tc>
          <w:tcPr>
            <w:tcW w:w="49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 w:right="0"/>
              <w:jc w:val="left"/>
              <w:rPr>
                <w:rFonts w:ascii="Times New Roman" w:hAnsi="Times New Roman" w:cs="Times New Roman" w:eastAsia="Times New Roman" w:hint="default"/>
                <w:sz w:val="18"/>
                <w:szCs w:val="18"/>
              </w:rPr>
            </w:pPr>
            <w:r>
              <w:rPr>
                <w:rFonts w:ascii="Times New Roman"/>
                <w:sz w:val="18"/>
              </w:rPr>
              <w:t>---</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Times New Roman" w:hAnsi="Times New Roman" w:cs="Times New Roman" w:eastAsia="Times New Roman" w:hint="default"/>
                <w:sz w:val="18"/>
                <w:szCs w:val="18"/>
              </w:rPr>
            </w:pPr>
            <w:r>
              <w:rPr>
                <w:rFonts w:ascii="Times New Roman"/>
                <w:sz w:val="18"/>
              </w:rPr>
              <w:t>---</w:t>
            </w:r>
          </w:p>
        </w:tc>
        <w:tc>
          <w:tcPr>
            <w:tcW w:w="144" w:type="dxa"/>
            <w:tcBorders>
              <w:top w:val="nil" w:sz="6" w:space="0" w:color="auto"/>
              <w:left w:val="nil" w:sz="6" w:space="0" w:color="auto"/>
              <w:bottom w:val="nil" w:sz="6" w:space="0" w:color="auto"/>
              <w:right w:val="nil" w:sz="6" w:space="0" w:color="auto"/>
            </w:tcBorders>
          </w:tcPr>
          <w:p>
            <w:pPr/>
          </w:p>
        </w:tc>
      </w:tr>
      <w:tr>
        <w:trPr>
          <w:trHeight w:val="324" w:hRule="exact"/>
        </w:trPr>
        <w:tc>
          <w:tcPr>
            <w:tcW w:w="49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w:t>
            </w: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w:t>
            </w:r>
          </w:p>
        </w:tc>
        <w:tc>
          <w:tcPr>
            <w:tcW w:w="144" w:type="dxa"/>
            <w:tcBorders>
              <w:top w:val="nil" w:sz="6" w:space="0" w:color="auto"/>
              <w:left w:val="nil" w:sz="6" w:space="0" w:color="auto"/>
              <w:bottom w:val="single" w:sz="4" w:space="0" w:color="000000"/>
              <w:right w:val="nil" w:sz="6" w:space="0" w:color="auto"/>
            </w:tcBorders>
          </w:tcPr>
          <w:p>
            <w:pPr/>
          </w:p>
        </w:tc>
      </w:tr>
      <w:tr>
        <w:trPr>
          <w:trHeight w:val="346" w:hRule="exact"/>
        </w:trPr>
        <w:tc>
          <w:tcPr>
            <w:tcW w:w="49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4"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644,265,888.36</w:t>
            </w:r>
          </w:p>
        </w:tc>
        <w:tc>
          <w:tcPr>
            <w:tcW w:w="18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(6,917,592.62)</w:t>
            </w:r>
          </w:p>
        </w:tc>
        <w:tc>
          <w:tcPr>
            <w:tcW w:w="144" w:type="dxa"/>
            <w:tcBorders>
              <w:top w:val="single" w:sz="4" w:space="0" w:color="000000"/>
              <w:left w:val="nil" w:sz="6" w:space="0" w:color="auto"/>
              <w:bottom w:val="single" w:sz="17" w:space="0" w:color="000000"/>
              <w:right w:val="nil" w:sz="6" w:space="0" w:color="auto"/>
            </w:tcBorders>
          </w:tcPr>
          <w:p>
            <w:pPr/>
          </w:p>
        </w:tc>
      </w:tr>
    </w:tbl>
    <w:p>
      <w:pPr>
        <w:spacing w:line="240" w:lineRule="auto" w:before="3"/>
        <w:rPr>
          <w:rFonts w:ascii="宋体" w:hAnsi="宋体" w:cs="宋体" w:eastAsia="宋体" w:hint="default"/>
          <w:b/>
          <w:bCs/>
          <w:sz w:val="19"/>
          <w:szCs w:val="19"/>
        </w:rPr>
      </w:pPr>
    </w:p>
    <w:p>
      <w:pPr>
        <w:spacing w:before="36"/>
        <w:ind w:left="302" w:right="0"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spacing w:before="41"/>
        <w:ind w:left="302" w:right="0" w:firstLine="0"/>
        <w:jc w:val="left"/>
        <w:rPr>
          <w:rFonts w:ascii="宋体" w:hAnsi="宋体" w:cs="宋体" w:eastAsia="宋体" w:hint="default"/>
          <w:sz w:val="18"/>
          <w:szCs w:val="18"/>
        </w:rPr>
      </w:pPr>
      <w:r>
        <w:rPr>
          <w:rFonts w:ascii="宋体" w:hAnsi="宋体" w:cs="宋体" w:eastAsia="宋体" w:hint="default"/>
          <w:b/>
          <w:bCs/>
          <w:sz w:val="18"/>
          <w:szCs w:val="18"/>
        </w:rPr>
        <w:t>当期非经常性损益明细表</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302" w:type="dxa"/>
        <w:tblLayout w:type="fixed"/>
        <w:tblCellMar>
          <w:top w:w="0" w:type="dxa"/>
          <w:left w:w="0" w:type="dxa"/>
          <w:bottom w:w="0" w:type="dxa"/>
          <w:right w:w="0" w:type="dxa"/>
        </w:tblCellMar>
        <w:tblLook w:val="01E0"/>
      </w:tblPr>
      <w:tblGrid>
        <w:gridCol w:w="4018"/>
        <w:gridCol w:w="2345"/>
        <w:gridCol w:w="2417"/>
      </w:tblGrid>
      <w:tr>
        <w:trPr>
          <w:trHeight w:val="267" w:hRule="exact"/>
        </w:trPr>
        <w:tc>
          <w:tcPr>
            <w:tcW w:w="4018"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61" w:hRule="exact"/>
        </w:trPr>
        <w:tc>
          <w:tcPr>
            <w:tcW w:w="4018"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26" w:right="3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非流动性资产处置损益</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包括已计提资产减值准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备的冲销部分</w:t>
            </w:r>
            <w:r>
              <w:rPr>
                <w:rFonts w:ascii="Times New Roman" w:hAnsi="Times New Roman" w:cs="Times New Roman" w:eastAsia="Times New Roman" w:hint="default"/>
                <w:sz w:val="18"/>
                <w:szCs w:val="18"/>
              </w:rPr>
              <w:t>)</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
        </w:tc>
      </w:tr>
      <w:tr>
        <w:trPr>
          <w:trHeight w:val="334"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处置长期资产收入</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342"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其中：固定资产清理收入</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3" w:right="0"/>
              <w:jc w:val="lef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处置长期资产支出</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14,514.67</w:t>
            </w:r>
          </w:p>
        </w:tc>
      </w:tr>
      <w:tr>
        <w:trPr>
          <w:trHeight w:val="35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14,514.67</w:t>
            </w:r>
          </w:p>
        </w:tc>
      </w:tr>
      <w:tr>
        <w:trPr>
          <w:trHeight w:val="36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非流动资产处置损益净额</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(14,514.67)</w:t>
            </w:r>
          </w:p>
        </w:tc>
      </w:tr>
      <w:tr>
        <w:trPr>
          <w:trHeight w:val="558"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32" w:lineRule="exact" w:before="47"/>
              <w:ind w:left="26"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返还、减免</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2,563,124.40</w:t>
            </w:r>
          </w:p>
        </w:tc>
      </w:tr>
      <w:tr>
        <w:trPr>
          <w:trHeight w:val="792"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30" w:lineRule="auto" w:before="20"/>
              <w:ind w:left="26" w:right="2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计入当期损益的政府补助</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与公司正常经营业务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密切相关，符合国家政策规定，按照一定标准定额</w:t>
            </w:r>
            <w:r>
              <w:rPr>
                <w:rFonts w:ascii="宋体" w:hAnsi="宋体" w:cs="宋体" w:eastAsia="宋体" w:hint="default"/>
                <w:sz w:val="18"/>
                <w:szCs w:val="18"/>
              </w:rPr>
              <w:t> 或定量持续享受的政府补助除外</w:t>
            </w:r>
            <w:r>
              <w:rPr>
                <w:rFonts w:ascii="Times New Roman" w:hAnsi="Times New Roman" w:cs="Times New Roman" w:eastAsia="Times New Roman" w:hint="default"/>
                <w:sz w:val="18"/>
                <w:szCs w:val="18"/>
              </w:rPr>
              <w:t>)</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2,841,700.00</w:t>
            </w:r>
          </w:p>
        </w:tc>
      </w:tr>
      <w:tr>
        <w:trPr>
          <w:trHeight w:val="334"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除上述各项之外的其他营业外收入和支出</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34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r>
      <w:tr>
        <w:trPr>
          <w:trHeight w:val="343"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3" w:right="0"/>
              <w:jc w:val="left"/>
              <w:rPr>
                <w:rFonts w:ascii="Times New Roman" w:hAnsi="Times New Roman" w:cs="Times New Roman" w:eastAsia="Times New Roman" w:hint="default"/>
                <w:sz w:val="18"/>
                <w:szCs w:val="18"/>
              </w:rPr>
            </w:pPr>
            <w:r>
              <w:rPr>
                <w:rFonts w:ascii="Times New Roman"/>
                <w:sz w:val="18"/>
              </w:rPr>
              <w:t>36,226.46</w:t>
            </w:r>
          </w:p>
        </w:tc>
      </w:tr>
      <w:tr>
        <w:trPr>
          <w:trHeight w:val="35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36,226.46</w:t>
            </w:r>
          </w:p>
        </w:tc>
      </w:tr>
      <w:tr>
        <w:trPr>
          <w:trHeight w:val="347"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减：营业外支出：</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
        </w:tc>
      </w:tr>
      <w:tr>
        <w:trPr>
          <w:trHeight w:val="338"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其中：捐赠支出</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3" w:right="0"/>
              <w:jc w:val="left"/>
              <w:rPr>
                <w:rFonts w:ascii="Times New Roman" w:hAnsi="Times New Roman" w:cs="Times New Roman" w:eastAsia="Times New Roman" w:hint="default"/>
                <w:sz w:val="18"/>
                <w:szCs w:val="18"/>
              </w:rPr>
            </w:pPr>
            <w:r>
              <w:rPr>
                <w:rFonts w:ascii="Times New Roman"/>
                <w:sz w:val="18"/>
              </w:rPr>
              <w:t>20,000.00</w:t>
            </w:r>
          </w:p>
        </w:tc>
      </w:tr>
      <w:tr>
        <w:trPr>
          <w:trHeight w:val="344"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 w:right="0"/>
              <w:jc w:val="left"/>
              <w:rPr>
                <w:rFonts w:ascii="Times New Roman" w:hAnsi="Times New Roman" w:cs="Times New Roman" w:eastAsia="Times New Roman" w:hint="default"/>
                <w:sz w:val="18"/>
                <w:szCs w:val="18"/>
              </w:rPr>
            </w:pPr>
            <w:r>
              <w:rPr>
                <w:rFonts w:ascii="Times New Roman"/>
                <w:sz w:val="18"/>
              </w:rPr>
              <w:t>400.00</w:t>
            </w:r>
          </w:p>
        </w:tc>
      </w:tr>
      <w:tr>
        <w:trPr>
          <w:trHeight w:val="35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20,400.00</w:t>
            </w:r>
          </w:p>
        </w:tc>
      </w:tr>
      <w:tr>
        <w:trPr>
          <w:trHeight w:val="351"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15,826.46</w:t>
            </w:r>
          </w:p>
        </w:tc>
      </w:tr>
      <w:tr>
        <w:trPr>
          <w:trHeight w:val="348"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312,722.50</w:t>
            </w:r>
          </w:p>
        </w:tc>
      </w:tr>
      <w:tr>
        <w:trPr>
          <w:trHeight w:val="36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扣除所得税影响后非经常性损益合计</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5,093,413.69</w:t>
            </w:r>
          </w:p>
        </w:tc>
      </w:tr>
      <w:tr>
        <w:trPr>
          <w:trHeight w:val="37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6" w:right="0"/>
              <w:jc w:val="left"/>
              <w:rPr>
                <w:rFonts w:ascii="宋体" w:hAnsi="宋体" w:cs="宋体" w:eastAsia="宋体" w:hint="default"/>
                <w:sz w:val="18"/>
                <w:szCs w:val="18"/>
              </w:rPr>
            </w:pPr>
            <w:r>
              <w:rPr>
                <w:rFonts w:ascii="宋体" w:hAnsi="宋体" w:cs="宋体" w:eastAsia="宋体" w:hint="default"/>
                <w:sz w:val="18"/>
                <w:szCs w:val="18"/>
              </w:rPr>
              <w:t>减：少数股东损益影响金额</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6"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2345" w:type="dxa"/>
            <w:tcBorders>
              <w:top w:val="nil" w:sz="6" w:space="0" w:color="auto"/>
              <w:left w:val="nil" w:sz="6" w:space="0" w:color="auto"/>
              <w:bottom w:val="nil" w:sz="6" w:space="0" w:color="auto"/>
              <w:right w:val="nil" w:sz="6" w:space="0" w:color="auto"/>
            </w:tcBorders>
          </w:tcPr>
          <w:p>
            <w:pPr/>
          </w:p>
        </w:tc>
        <w:tc>
          <w:tcPr>
            <w:tcW w:w="24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5,093,413.69</w:t>
            </w:r>
          </w:p>
        </w:tc>
      </w:tr>
    </w:tbl>
    <w:p>
      <w:pPr>
        <w:spacing w:before="8"/>
        <w:ind w:left="30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  </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净资产收益率及每股收益：</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2971"/>
        <w:gridCol w:w="1588"/>
        <w:gridCol w:w="2513"/>
        <w:gridCol w:w="1640"/>
      </w:tblGrid>
      <w:tr>
        <w:trPr>
          <w:trHeight w:val="168" w:hRule="exact"/>
        </w:trPr>
        <w:tc>
          <w:tcPr>
            <w:tcW w:w="2971"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nil" w:sz="6" w:space="0" w:color="auto"/>
              <w:right w:val="nil" w:sz="6" w:space="0" w:color="auto"/>
            </w:tcBorders>
          </w:tcPr>
          <w:p>
            <w:pPr>
              <w:pStyle w:val="TableParagraph"/>
              <w:spacing w:line="180" w:lineRule="exact"/>
              <w:ind w:left="1072"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640" w:type="dxa"/>
            <w:tcBorders>
              <w:top w:val="nil" w:sz="6" w:space="0" w:color="auto"/>
              <w:left w:val="nil" w:sz="6" w:space="0" w:color="auto"/>
              <w:bottom w:val="nil" w:sz="6" w:space="0" w:color="auto"/>
              <w:right w:val="nil" w:sz="6" w:space="0" w:color="auto"/>
            </w:tcBorders>
          </w:tcPr>
          <w:p>
            <w:pPr/>
          </w:p>
        </w:tc>
      </w:tr>
      <w:tr>
        <w:trPr>
          <w:trHeight w:val="160"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168" w:lineRule="exact"/>
              <w:ind w:left="20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4101"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10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40" w:type="dxa"/>
            <w:tcBorders>
              <w:top w:val="nil" w:sz="6" w:space="0" w:color="auto"/>
              <w:left w:val="nil" w:sz="6" w:space="0" w:color="auto"/>
              <w:bottom w:val="nil" w:sz="6" w:space="0" w:color="auto"/>
              <w:right w:val="nil" w:sz="6" w:space="0" w:color="auto"/>
            </w:tcBorders>
          </w:tcPr>
          <w:p>
            <w:pPr/>
          </w:p>
        </w:tc>
      </w:tr>
      <w:tr>
        <w:trPr>
          <w:trHeight w:val="233" w:hRule="exact"/>
        </w:trPr>
        <w:tc>
          <w:tcPr>
            <w:tcW w:w="2971"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nil" w:sz="6" w:space="0" w:color="auto"/>
              <w:right w:val="nil" w:sz="6" w:space="0" w:color="auto"/>
            </w:tcBorders>
          </w:tcPr>
          <w:p>
            <w:pPr>
              <w:pStyle w:val="TableParagraph"/>
              <w:spacing w:line="167" w:lineRule="exact"/>
              <w:ind w:left="107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40" w:type="dxa"/>
            <w:tcBorders>
              <w:top w:val="nil" w:sz="6" w:space="0" w:color="auto"/>
              <w:left w:val="nil" w:sz="6" w:space="0" w:color="auto"/>
              <w:bottom w:val="nil" w:sz="6" w:space="0" w:color="auto"/>
              <w:right w:val="nil" w:sz="6" w:space="0" w:color="auto"/>
            </w:tcBorders>
          </w:tcPr>
          <w:p>
            <w:pPr>
              <w:pStyle w:val="TableParagraph"/>
              <w:spacing w:line="167" w:lineRule="exact"/>
              <w:ind w:left="36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17"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Times New Roman" w:hAnsi="Times New Roman" w:cs="Times New Roman" w:eastAsia="Times New Roman" w:hint="default"/>
                <w:sz w:val="18"/>
                <w:szCs w:val="18"/>
              </w:rPr>
            </w:pPr>
            <w:r>
              <w:rPr>
                <w:rFonts w:ascii="Times New Roman"/>
                <w:sz w:val="18"/>
              </w:rPr>
              <w:t>19.02</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2" w:right="0"/>
              <w:jc w:val="left"/>
              <w:rPr>
                <w:rFonts w:ascii="Times New Roman" w:hAnsi="Times New Roman" w:cs="Times New Roman" w:eastAsia="Times New Roman" w:hint="default"/>
                <w:sz w:val="18"/>
                <w:szCs w:val="18"/>
              </w:rPr>
            </w:pPr>
            <w:r>
              <w:rPr>
                <w:rFonts w:ascii="Times New Roman"/>
                <w:sz w:val="18"/>
              </w:rPr>
              <w:t>1.15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1.15</w:t>
            </w:r>
          </w:p>
        </w:tc>
      </w:tr>
      <w:tr>
        <w:trPr>
          <w:trHeight w:val="476"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32" w:lineRule="exact" w:before="32"/>
              <w:ind w:left="200" w:right="107"/>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17.34</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72" w:right="0"/>
              <w:jc w:val="left"/>
              <w:rPr>
                <w:rFonts w:ascii="Times New Roman" w:hAnsi="Times New Roman" w:cs="Times New Roman" w:eastAsia="Times New Roman" w:hint="default"/>
                <w:sz w:val="18"/>
                <w:szCs w:val="18"/>
              </w:rPr>
            </w:pPr>
            <w:r>
              <w:rPr>
                <w:rFonts w:ascii="Times New Roman"/>
                <w:sz w:val="18"/>
              </w:rPr>
              <w:t>1.05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1.05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6" w:top="1060" w:bottom="1420" w:left="1400" w:right="1300"/>
        </w:sectPr>
      </w:pPr>
    </w:p>
    <w:p>
      <w:pPr>
        <w:spacing w:line="240" w:lineRule="auto" w:before="11"/>
        <w:rPr>
          <w:rFonts w:ascii="宋体" w:hAnsi="宋体" w:cs="宋体" w:eastAsia="宋体" w:hint="default"/>
          <w:b/>
          <w:bCs/>
          <w:sz w:val="2"/>
          <w:szCs w:val="2"/>
        </w:rPr>
      </w:pPr>
    </w:p>
    <w:p>
      <w:pPr>
        <w:spacing w:line="20" w:lineRule="exact"/>
        <w:ind w:left="566" w:right="0" w:firstLine="0"/>
        <w:rPr>
          <w:rFonts w:ascii="宋体" w:hAnsi="宋体" w:cs="宋体" w:eastAsia="宋体" w:hint="default"/>
          <w:sz w:val="2"/>
          <w:szCs w:val="2"/>
        </w:rPr>
      </w:pPr>
      <w:r>
        <w:rPr>
          <w:rFonts w:ascii="宋体" w:hAnsi="宋体" w:cs="宋体" w:eastAsia="宋体" w:hint="default"/>
          <w:sz w:val="2"/>
          <w:szCs w:val="2"/>
        </w:rPr>
        <w:pict>
          <v:group style="width:434.5pt;height:.75pt;mso-position-horizontal-relative:char;mso-position-vertical-relative:line" coordorigin="0,0" coordsize="8690,15">
            <v:group style="position:absolute;left:7;top:7;width:8675;height:2" coordorigin="7,7" coordsize="8675,2">
              <v:shape style="position:absolute;left:7;top:7;width:8675;height:2" coordorigin="7,7" coordsize="8675,0" path="m7,7l86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44"/>
        <w:ind w:left="602" w:right="0" w:firstLine="0"/>
        <w:jc w:val="left"/>
        <w:rPr>
          <w:rFonts w:ascii="宋体" w:hAnsi="宋体" w:cs="宋体" w:eastAsia="宋体" w:hint="default"/>
          <w:sz w:val="18"/>
          <w:szCs w:val="18"/>
        </w:rPr>
      </w:pPr>
      <w:r>
        <w:rPr>
          <w:rFonts w:ascii="宋体" w:hAnsi="宋体" w:cs="宋体" w:eastAsia="宋体" w:hint="default"/>
          <w:b/>
          <w:bCs/>
          <w:sz w:val="18"/>
          <w:szCs w:val="18"/>
        </w:rPr>
        <w:t>（三）公司主要会计报表项目的异常情况及原因的说明</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1124"/>
        <w:gridCol w:w="235"/>
        <w:gridCol w:w="1361"/>
        <w:gridCol w:w="235"/>
        <w:gridCol w:w="1404"/>
        <w:gridCol w:w="240"/>
        <w:gridCol w:w="1056"/>
        <w:gridCol w:w="238"/>
        <w:gridCol w:w="3716"/>
      </w:tblGrid>
      <w:tr>
        <w:trPr>
          <w:trHeight w:val="488" w:hRule="exact"/>
        </w:trPr>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179" w:lineRule="exact"/>
              <w:ind w:left="28" w:right="0"/>
              <w:jc w:val="left"/>
              <w:rPr>
                <w:rFonts w:ascii="宋体" w:hAnsi="宋体" w:cs="宋体" w:eastAsia="宋体" w:hint="default"/>
                <w:sz w:val="18"/>
                <w:szCs w:val="18"/>
              </w:rPr>
            </w:pPr>
            <w:r>
              <w:rPr>
                <w:rFonts w:ascii="宋体" w:hAnsi="宋体" w:cs="宋体" w:eastAsia="宋体" w:hint="default"/>
                <w:spacing w:val="7"/>
                <w:sz w:val="18"/>
                <w:szCs w:val="18"/>
              </w:rPr>
              <w:t>期末数（或本期</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数）</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179" w:lineRule="exact"/>
              <w:ind w:left="28" w:right="0"/>
              <w:jc w:val="left"/>
              <w:rPr>
                <w:rFonts w:ascii="宋体" w:hAnsi="宋体" w:cs="宋体" w:eastAsia="宋体" w:hint="default"/>
                <w:sz w:val="18"/>
                <w:szCs w:val="18"/>
              </w:rPr>
            </w:pPr>
            <w:r>
              <w:rPr>
                <w:rFonts w:ascii="宋体" w:hAnsi="宋体" w:cs="宋体" w:eastAsia="宋体" w:hint="default"/>
                <w:spacing w:val="14"/>
                <w:sz w:val="18"/>
                <w:szCs w:val="18"/>
              </w:rPr>
              <w:t>期初数（或上期</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数）</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1022" w:hRule="exact"/>
        </w:trPr>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734,292,536.26</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92,553,052.47</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693.37%</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single" w:sz="4" w:space="0" w:color="000000"/>
              <w:left w:val="nil" w:sz="6" w:space="0" w:color="auto"/>
              <w:bottom w:val="nil" w:sz="6" w:space="0" w:color="auto"/>
              <w:right w:val="nil" w:sz="6" w:space="0" w:color="auto"/>
            </w:tcBorders>
          </w:tcPr>
          <w:p>
            <w:pPr>
              <w:pStyle w:val="TableParagraph"/>
              <w:spacing w:line="236" w:lineRule="exact" w:before="29"/>
              <w:ind w:left="26" w:right="24"/>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日向社会公众公开发 行普通股（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万股，每股面值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元，每股发行价人民币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43.33</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元，募集资金</w:t>
            </w:r>
          </w:p>
          <w:p>
            <w:pPr>
              <w:pStyle w:val="TableParagraph"/>
              <w:spacing w:line="223" w:lineRule="exact"/>
              <w:ind w:left="26" w:right="0"/>
              <w:jc w:val="both"/>
              <w:rPr>
                <w:rFonts w:ascii="宋体" w:hAnsi="宋体" w:cs="宋体" w:eastAsia="宋体" w:hint="default"/>
                <w:sz w:val="18"/>
                <w:szCs w:val="18"/>
              </w:rPr>
            </w:pPr>
            <w:r>
              <w:rPr>
                <w:rFonts w:ascii="宋体" w:hAnsi="宋体" w:cs="宋体" w:eastAsia="宋体" w:hint="default"/>
                <w:sz w:val="18"/>
                <w:szCs w:val="18"/>
              </w:rPr>
              <w:t>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646,334,934.33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242"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70,525,269.50</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30,229,882.91</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133.30%</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30" w:lineRule="auto" w:before="15"/>
              <w:ind w:left="26" w:right="26"/>
              <w:jc w:val="both"/>
              <w:rPr>
                <w:rFonts w:ascii="宋体" w:hAnsi="宋体" w:cs="宋体" w:eastAsia="宋体" w:hint="default"/>
                <w:sz w:val="18"/>
                <w:szCs w:val="18"/>
              </w:rPr>
            </w:pPr>
            <w:r>
              <w:rPr>
                <w:rFonts w:ascii="宋体" w:hAnsi="宋体" w:cs="宋体" w:eastAsia="宋体" w:hint="default"/>
                <w:spacing w:val="2"/>
                <w:sz w:val="18"/>
                <w:szCs w:val="18"/>
              </w:rPr>
              <w:t>本期销售规模扩大；受行业主要客户招标期间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的影响，</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年中标期间为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月份，本公司 </w:t>
            </w:r>
            <w:r>
              <w:rPr>
                <w:rFonts w:ascii="宋体" w:hAnsi="宋体" w:cs="宋体" w:eastAsia="宋体" w:hint="default"/>
                <w:spacing w:val="2"/>
                <w:sz w:val="18"/>
                <w:szCs w:val="18"/>
              </w:rPr>
              <w:t>的销售大部分集中在下半年，同时对主要客户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合同约定销售回款有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月的账期，使得应收 账款期末余额增加。</w:t>
            </w:r>
          </w:p>
        </w:tc>
      </w:tr>
      <w:tr>
        <w:trPr>
          <w:trHeight w:val="1247"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62,291,485.25</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38,010,158.95</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63.88%</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30" w:lineRule="auto" w:before="19"/>
              <w:ind w:left="26" w:right="27"/>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．原材料增加的主要原因为本期销售规模扩</w:t>
            </w:r>
            <w:r>
              <w:rPr>
                <w:rFonts w:ascii="宋体" w:hAnsi="宋体" w:cs="宋体" w:eastAsia="宋体" w:hint="default"/>
                <w:sz w:val="18"/>
                <w:szCs w:val="18"/>
              </w:rPr>
              <w:t> </w:t>
            </w:r>
            <w:r>
              <w:rPr>
                <w:rFonts w:ascii="宋体" w:hAnsi="宋体" w:cs="宋体" w:eastAsia="宋体" w:hint="default"/>
                <w:spacing w:val="2"/>
                <w:sz w:val="18"/>
                <w:szCs w:val="18"/>
              </w:rPr>
              <w:t>大，为保证供货及生产需要而增加了原材料储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备。</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．库存商品及发出商品增加的主要原因为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本期销售量较上期有较大增长，期末尚有部分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合同未完全执行完毕。</w:t>
            </w:r>
          </w:p>
        </w:tc>
      </w:tr>
      <w:tr>
        <w:trPr>
          <w:trHeight w:val="547"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27,784,653.19</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8,680,265.28</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220.09%</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6" w:right="33"/>
              <w:jc w:val="left"/>
              <w:rPr>
                <w:rFonts w:ascii="宋体" w:hAnsi="宋体" w:cs="宋体" w:eastAsia="宋体" w:hint="default"/>
                <w:sz w:val="18"/>
                <w:szCs w:val="18"/>
              </w:rPr>
            </w:pPr>
            <w:r>
              <w:rPr>
                <w:rFonts w:ascii="宋体" w:hAnsi="宋体" w:cs="宋体" w:eastAsia="宋体" w:hint="default"/>
                <w:spacing w:val="2"/>
                <w:sz w:val="18"/>
                <w:szCs w:val="18"/>
              </w:rPr>
              <w:t>本期销售规模扩大，为保证供货而增加了原材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料采购。</w:t>
            </w:r>
          </w:p>
        </w:tc>
      </w:tr>
      <w:tr>
        <w:trPr>
          <w:trHeight w:val="1253"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63,500,000.00</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47,500,000.00</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33.68%</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35" w:lineRule="exact" w:before="12"/>
              <w:ind w:left="26"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2"/>
                <w:sz w:val="18"/>
                <w:szCs w:val="18"/>
              </w:rPr>
              <w:t> </w:t>
            </w:r>
            <w:r>
              <w:rPr>
                <w:rFonts w:ascii="宋体" w:hAnsi="宋体" w:cs="宋体" w:eastAsia="宋体" w:hint="default"/>
                <w:sz w:val="18"/>
                <w:szCs w:val="18"/>
              </w:rPr>
              <w:t>中</w:t>
            </w:r>
            <w:r>
              <w:rPr>
                <w:rFonts w:ascii="宋体" w:hAnsi="宋体" w:cs="宋体" w:eastAsia="宋体" w:hint="default"/>
                <w:spacing w:val="-52"/>
                <w:sz w:val="18"/>
                <w:szCs w:val="18"/>
              </w:rPr>
              <w:t> </w:t>
            </w:r>
            <w:r>
              <w:rPr>
                <w:rFonts w:ascii="宋体" w:hAnsi="宋体" w:cs="宋体" w:eastAsia="宋体" w:hint="default"/>
                <w:sz w:val="18"/>
                <w:szCs w:val="18"/>
              </w:rPr>
              <w:t>国</w:t>
            </w:r>
            <w:r>
              <w:rPr>
                <w:rFonts w:ascii="宋体" w:hAnsi="宋体" w:cs="宋体" w:eastAsia="宋体" w:hint="default"/>
                <w:spacing w:val="-55"/>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券</w:t>
            </w:r>
            <w:r>
              <w:rPr>
                <w:rFonts w:ascii="宋体" w:hAnsi="宋体" w:cs="宋体" w:eastAsia="宋体" w:hint="default"/>
                <w:spacing w:val="-52"/>
                <w:sz w:val="18"/>
                <w:szCs w:val="18"/>
              </w:rPr>
              <w:t> </w:t>
            </w:r>
            <w:r>
              <w:rPr>
                <w:rFonts w:ascii="宋体" w:hAnsi="宋体" w:cs="宋体" w:eastAsia="宋体" w:hint="default"/>
                <w:sz w:val="18"/>
                <w:szCs w:val="18"/>
              </w:rPr>
              <w:t>监</w:t>
            </w:r>
            <w:r>
              <w:rPr>
                <w:rFonts w:ascii="宋体" w:hAnsi="宋体" w:cs="宋体" w:eastAsia="宋体" w:hint="default"/>
                <w:spacing w:val="-55"/>
                <w:sz w:val="18"/>
                <w:szCs w:val="18"/>
              </w:rPr>
              <w:t> </w:t>
            </w:r>
            <w:r>
              <w:rPr>
                <w:rFonts w:ascii="宋体" w:hAnsi="宋体" w:cs="宋体" w:eastAsia="宋体" w:hint="default"/>
                <w:sz w:val="18"/>
                <w:szCs w:val="18"/>
              </w:rPr>
              <w:t>督</w:t>
            </w:r>
            <w:r>
              <w:rPr>
                <w:rFonts w:ascii="宋体" w:hAnsi="宋体" w:cs="宋体" w:eastAsia="宋体" w:hint="default"/>
                <w:spacing w:val="-52"/>
                <w:sz w:val="18"/>
                <w:szCs w:val="18"/>
              </w:rPr>
              <w:t> </w:t>
            </w:r>
            <w:r>
              <w:rPr>
                <w:rFonts w:ascii="宋体" w:hAnsi="宋体" w:cs="宋体" w:eastAsia="宋体" w:hint="default"/>
                <w:sz w:val="18"/>
                <w:szCs w:val="18"/>
              </w:rPr>
              <w:t>管</w:t>
            </w:r>
            <w:r>
              <w:rPr>
                <w:rFonts w:ascii="宋体" w:hAnsi="宋体" w:cs="宋体" w:eastAsia="宋体" w:hint="default"/>
                <w:spacing w:val="-55"/>
                <w:sz w:val="18"/>
                <w:szCs w:val="18"/>
              </w:rPr>
              <w:t> </w:t>
            </w:r>
            <w:r>
              <w:rPr>
                <w:rFonts w:ascii="宋体" w:hAnsi="宋体" w:cs="宋体" w:eastAsia="宋体" w:hint="default"/>
                <w:sz w:val="18"/>
                <w:szCs w:val="18"/>
              </w:rPr>
              <w:t>理</w:t>
            </w:r>
            <w:r>
              <w:rPr>
                <w:rFonts w:ascii="宋体" w:hAnsi="宋体" w:cs="宋体" w:eastAsia="宋体" w:hint="default"/>
                <w:spacing w:val="-52"/>
                <w:sz w:val="18"/>
                <w:szCs w:val="18"/>
              </w:rPr>
              <w:t> </w:t>
            </w:r>
            <w:r>
              <w:rPr>
                <w:rFonts w:ascii="宋体" w:hAnsi="宋体" w:cs="宋体" w:eastAsia="宋体" w:hint="default"/>
                <w:sz w:val="18"/>
                <w:szCs w:val="18"/>
              </w:rPr>
              <w:t>委</w:t>
            </w:r>
            <w:r>
              <w:rPr>
                <w:rFonts w:ascii="宋体" w:hAnsi="宋体" w:cs="宋体" w:eastAsia="宋体" w:hint="default"/>
                <w:spacing w:val="-52"/>
                <w:sz w:val="18"/>
                <w:szCs w:val="18"/>
              </w:rPr>
              <w:t> </w:t>
            </w:r>
            <w:r>
              <w:rPr>
                <w:rFonts w:ascii="宋体" w:hAnsi="宋体" w:cs="宋体" w:eastAsia="宋体" w:hint="default"/>
                <w:sz w:val="18"/>
                <w:szCs w:val="18"/>
              </w:rPr>
              <w:t>员</w:t>
            </w:r>
            <w:r>
              <w:rPr>
                <w:rFonts w:ascii="宋体" w:hAnsi="宋体" w:cs="宋体" w:eastAsia="宋体" w:hint="default"/>
                <w:spacing w:val="-55"/>
                <w:sz w:val="18"/>
                <w:szCs w:val="18"/>
              </w:rPr>
              <w:t> </w:t>
            </w:r>
            <w:r>
              <w:rPr>
                <w:rFonts w:ascii="宋体" w:hAnsi="宋体" w:cs="宋体" w:eastAsia="宋体" w:hint="default"/>
                <w:sz w:val="18"/>
                <w:szCs w:val="18"/>
              </w:rPr>
              <w:t>会</w:t>
            </w:r>
            <w:r>
              <w:rPr>
                <w:rFonts w:ascii="宋体" w:hAnsi="宋体" w:cs="宋体" w:eastAsia="宋体" w:hint="default"/>
                <w:spacing w:val="-52"/>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监</w:t>
            </w:r>
            <w:r>
              <w:rPr>
                <w:rFonts w:ascii="宋体" w:hAnsi="宋体" w:cs="宋体" w:eastAsia="宋体" w:hint="default"/>
                <w:spacing w:val="-55"/>
                <w:sz w:val="18"/>
                <w:szCs w:val="18"/>
              </w:rPr>
              <w:t> </w:t>
            </w:r>
            <w:r>
              <w:rPr>
                <w:rFonts w:ascii="宋体" w:hAnsi="宋体" w:cs="宋体" w:eastAsia="宋体" w:hint="default"/>
                <w:sz w:val="18"/>
                <w:szCs w:val="18"/>
              </w:rPr>
              <w:t>发</w:t>
            </w:r>
            <w:r>
              <w:rPr>
                <w:rFonts w:ascii="宋体" w:hAnsi="宋体" w:cs="宋体" w:eastAsia="宋体" w:hint="default"/>
                <w:spacing w:val="-52"/>
                <w:sz w:val="18"/>
                <w:szCs w:val="18"/>
              </w:rPr>
              <w:t> </w:t>
            </w:r>
            <w:r>
              <w:rPr>
                <w:rFonts w:ascii="宋体" w:hAnsi="宋体" w:cs="宋体" w:eastAsia="宋体" w:hint="default"/>
                <w:sz w:val="18"/>
                <w:szCs w:val="18"/>
              </w:rPr>
              <w:t>行</w:t>
            </w:r>
            <w:r>
              <w:rPr>
                <w:rFonts w:ascii="宋体" w:hAnsi="宋体" w:cs="宋体" w:eastAsia="宋体" w:hint="default"/>
                <w:spacing w:val="-52"/>
                <w:sz w:val="18"/>
                <w:szCs w:val="18"/>
              </w:rPr>
              <w:t> </w:t>
            </w:r>
            <w:r>
              <w:rPr>
                <w:rFonts w:ascii="宋体" w:hAnsi="宋体" w:cs="宋体" w:eastAsia="宋体" w:hint="default"/>
                <w:sz w:val="18"/>
                <w:szCs w:val="18"/>
              </w:rPr>
              <w:t>字</w:t>
            </w:r>
          </w:p>
          <w:p>
            <w:pPr>
              <w:pStyle w:val="TableParagraph"/>
              <w:spacing w:line="241"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[2010]1292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号文核准，并经深圳证券交易所同</w:t>
            </w:r>
          </w:p>
          <w:p>
            <w:pPr>
              <w:pStyle w:val="TableParagraph"/>
              <w:spacing w:line="232" w:lineRule="exact" w:before="16"/>
              <w:ind w:left="26" w:right="24"/>
              <w:jc w:val="both"/>
              <w:rPr>
                <w:rFonts w:ascii="宋体" w:hAnsi="宋体" w:cs="宋体" w:eastAsia="宋体" w:hint="default"/>
                <w:sz w:val="18"/>
                <w:szCs w:val="18"/>
              </w:rPr>
            </w:pPr>
            <w:r>
              <w:rPr>
                <w:rFonts w:ascii="宋体" w:hAnsi="宋体" w:cs="宋体" w:eastAsia="宋体" w:hint="default"/>
                <w:sz w:val="18"/>
                <w:szCs w:val="18"/>
              </w:rPr>
              <w:t>意，</w:t>
            </w:r>
            <w:r>
              <w:rPr>
                <w:rFonts w:ascii="宋体" w:hAnsi="宋体" w:cs="宋体" w:eastAsia="宋体" w:hint="default"/>
                <w:spacing w:val="-31"/>
                <w:sz w:val="18"/>
                <w:szCs w:val="18"/>
              </w:rPr>
              <w:t> </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日向社会公众公 </w:t>
            </w:r>
            <w:r>
              <w:rPr>
                <w:rFonts w:ascii="宋体" w:hAnsi="宋体" w:cs="宋体" w:eastAsia="宋体" w:hint="default"/>
                <w:spacing w:val="-4"/>
                <w:sz w:val="18"/>
                <w:szCs w:val="18"/>
              </w:rPr>
              <w:t>开发行普通股（</w:t>
            </w:r>
            <w:r>
              <w:rPr>
                <w:rFonts w:ascii="Times New Roman" w:hAnsi="Times New Roman" w:cs="Times New Roman" w:eastAsia="Times New Roman" w:hint="default"/>
                <w:spacing w:val="-4"/>
                <w:sz w:val="18"/>
                <w:szCs w:val="18"/>
              </w:rPr>
              <w:t>A </w:t>
            </w:r>
            <w:r>
              <w:rPr>
                <w:rFonts w:ascii="宋体" w:hAnsi="宋体" w:cs="宋体" w:eastAsia="宋体" w:hint="default"/>
                <w:spacing w:val="-6"/>
                <w:sz w:val="18"/>
                <w:szCs w:val="18"/>
              </w:rPr>
              <w:t>股）股票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万股，每股面</w:t>
            </w:r>
            <w:r>
              <w:rPr>
                <w:rFonts w:ascii="宋体" w:hAnsi="宋体" w:cs="宋体" w:eastAsia="宋体" w:hint="default"/>
                <w:sz w:val="18"/>
                <w:szCs w:val="18"/>
              </w:rPr>
              <w:t> 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w:t>
            </w:r>
          </w:p>
        </w:tc>
      </w:tr>
      <w:tr>
        <w:trPr>
          <w:trHeight w:val="1714"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692,720,393.65</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62,385,459.32</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1010.39%</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35" w:lineRule="exact" w:before="6"/>
              <w:ind w:left="26"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2"/>
                <w:sz w:val="18"/>
                <w:szCs w:val="18"/>
              </w:rPr>
              <w:t> </w:t>
            </w:r>
            <w:r>
              <w:rPr>
                <w:rFonts w:ascii="宋体" w:hAnsi="宋体" w:cs="宋体" w:eastAsia="宋体" w:hint="default"/>
                <w:sz w:val="18"/>
                <w:szCs w:val="18"/>
              </w:rPr>
              <w:t>中</w:t>
            </w:r>
            <w:r>
              <w:rPr>
                <w:rFonts w:ascii="宋体" w:hAnsi="宋体" w:cs="宋体" w:eastAsia="宋体" w:hint="default"/>
                <w:spacing w:val="-52"/>
                <w:sz w:val="18"/>
                <w:szCs w:val="18"/>
              </w:rPr>
              <w:t> </w:t>
            </w:r>
            <w:r>
              <w:rPr>
                <w:rFonts w:ascii="宋体" w:hAnsi="宋体" w:cs="宋体" w:eastAsia="宋体" w:hint="default"/>
                <w:sz w:val="18"/>
                <w:szCs w:val="18"/>
              </w:rPr>
              <w:t>国</w:t>
            </w:r>
            <w:r>
              <w:rPr>
                <w:rFonts w:ascii="宋体" w:hAnsi="宋体" w:cs="宋体" w:eastAsia="宋体" w:hint="default"/>
                <w:spacing w:val="-55"/>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券</w:t>
            </w:r>
            <w:r>
              <w:rPr>
                <w:rFonts w:ascii="宋体" w:hAnsi="宋体" w:cs="宋体" w:eastAsia="宋体" w:hint="default"/>
                <w:spacing w:val="-52"/>
                <w:sz w:val="18"/>
                <w:szCs w:val="18"/>
              </w:rPr>
              <w:t> </w:t>
            </w:r>
            <w:r>
              <w:rPr>
                <w:rFonts w:ascii="宋体" w:hAnsi="宋体" w:cs="宋体" w:eastAsia="宋体" w:hint="default"/>
                <w:sz w:val="18"/>
                <w:szCs w:val="18"/>
              </w:rPr>
              <w:t>监</w:t>
            </w:r>
            <w:r>
              <w:rPr>
                <w:rFonts w:ascii="宋体" w:hAnsi="宋体" w:cs="宋体" w:eastAsia="宋体" w:hint="default"/>
                <w:spacing w:val="-55"/>
                <w:sz w:val="18"/>
                <w:szCs w:val="18"/>
              </w:rPr>
              <w:t> </w:t>
            </w:r>
            <w:r>
              <w:rPr>
                <w:rFonts w:ascii="宋体" w:hAnsi="宋体" w:cs="宋体" w:eastAsia="宋体" w:hint="default"/>
                <w:sz w:val="18"/>
                <w:szCs w:val="18"/>
              </w:rPr>
              <w:t>督</w:t>
            </w:r>
            <w:r>
              <w:rPr>
                <w:rFonts w:ascii="宋体" w:hAnsi="宋体" w:cs="宋体" w:eastAsia="宋体" w:hint="default"/>
                <w:spacing w:val="-52"/>
                <w:sz w:val="18"/>
                <w:szCs w:val="18"/>
              </w:rPr>
              <w:t> </w:t>
            </w:r>
            <w:r>
              <w:rPr>
                <w:rFonts w:ascii="宋体" w:hAnsi="宋体" w:cs="宋体" w:eastAsia="宋体" w:hint="default"/>
                <w:sz w:val="18"/>
                <w:szCs w:val="18"/>
              </w:rPr>
              <w:t>管</w:t>
            </w:r>
            <w:r>
              <w:rPr>
                <w:rFonts w:ascii="宋体" w:hAnsi="宋体" w:cs="宋体" w:eastAsia="宋体" w:hint="default"/>
                <w:spacing w:val="-55"/>
                <w:sz w:val="18"/>
                <w:szCs w:val="18"/>
              </w:rPr>
              <w:t> </w:t>
            </w:r>
            <w:r>
              <w:rPr>
                <w:rFonts w:ascii="宋体" w:hAnsi="宋体" w:cs="宋体" w:eastAsia="宋体" w:hint="default"/>
                <w:sz w:val="18"/>
                <w:szCs w:val="18"/>
              </w:rPr>
              <w:t>理</w:t>
            </w:r>
            <w:r>
              <w:rPr>
                <w:rFonts w:ascii="宋体" w:hAnsi="宋体" w:cs="宋体" w:eastAsia="宋体" w:hint="default"/>
                <w:spacing w:val="-52"/>
                <w:sz w:val="18"/>
                <w:szCs w:val="18"/>
              </w:rPr>
              <w:t> </w:t>
            </w:r>
            <w:r>
              <w:rPr>
                <w:rFonts w:ascii="宋体" w:hAnsi="宋体" w:cs="宋体" w:eastAsia="宋体" w:hint="default"/>
                <w:sz w:val="18"/>
                <w:szCs w:val="18"/>
              </w:rPr>
              <w:t>委</w:t>
            </w:r>
            <w:r>
              <w:rPr>
                <w:rFonts w:ascii="宋体" w:hAnsi="宋体" w:cs="宋体" w:eastAsia="宋体" w:hint="default"/>
                <w:spacing w:val="-52"/>
                <w:sz w:val="18"/>
                <w:szCs w:val="18"/>
              </w:rPr>
              <w:t> </w:t>
            </w:r>
            <w:r>
              <w:rPr>
                <w:rFonts w:ascii="宋体" w:hAnsi="宋体" w:cs="宋体" w:eastAsia="宋体" w:hint="default"/>
                <w:sz w:val="18"/>
                <w:szCs w:val="18"/>
              </w:rPr>
              <w:t>员</w:t>
            </w:r>
            <w:r>
              <w:rPr>
                <w:rFonts w:ascii="宋体" w:hAnsi="宋体" w:cs="宋体" w:eastAsia="宋体" w:hint="default"/>
                <w:spacing w:val="-55"/>
                <w:sz w:val="18"/>
                <w:szCs w:val="18"/>
              </w:rPr>
              <w:t> </w:t>
            </w:r>
            <w:r>
              <w:rPr>
                <w:rFonts w:ascii="宋体" w:hAnsi="宋体" w:cs="宋体" w:eastAsia="宋体" w:hint="default"/>
                <w:sz w:val="18"/>
                <w:szCs w:val="18"/>
              </w:rPr>
              <w:t>会</w:t>
            </w:r>
            <w:r>
              <w:rPr>
                <w:rFonts w:ascii="宋体" w:hAnsi="宋体" w:cs="宋体" w:eastAsia="宋体" w:hint="default"/>
                <w:spacing w:val="-52"/>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监</w:t>
            </w:r>
            <w:r>
              <w:rPr>
                <w:rFonts w:ascii="宋体" w:hAnsi="宋体" w:cs="宋体" w:eastAsia="宋体" w:hint="default"/>
                <w:spacing w:val="-55"/>
                <w:sz w:val="18"/>
                <w:szCs w:val="18"/>
              </w:rPr>
              <w:t> </w:t>
            </w:r>
            <w:r>
              <w:rPr>
                <w:rFonts w:ascii="宋体" w:hAnsi="宋体" w:cs="宋体" w:eastAsia="宋体" w:hint="default"/>
                <w:sz w:val="18"/>
                <w:szCs w:val="18"/>
              </w:rPr>
              <w:t>发</w:t>
            </w:r>
            <w:r>
              <w:rPr>
                <w:rFonts w:ascii="宋体" w:hAnsi="宋体" w:cs="宋体" w:eastAsia="宋体" w:hint="default"/>
                <w:spacing w:val="-52"/>
                <w:sz w:val="18"/>
                <w:szCs w:val="18"/>
              </w:rPr>
              <w:t> </w:t>
            </w:r>
            <w:r>
              <w:rPr>
                <w:rFonts w:ascii="宋体" w:hAnsi="宋体" w:cs="宋体" w:eastAsia="宋体" w:hint="default"/>
                <w:sz w:val="18"/>
                <w:szCs w:val="18"/>
              </w:rPr>
              <w:t>行</w:t>
            </w:r>
            <w:r>
              <w:rPr>
                <w:rFonts w:ascii="宋体" w:hAnsi="宋体" w:cs="宋体" w:eastAsia="宋体" w:hint="default"/>
                <w:spacing w:val="-52"/>
                <w:sz w:val="18"/>
                <w:szCs w:val="18"/>
              </w:rPr>
              <w:t> </w:t>
            </w:r>
            <w:r>
              <w:rPr>
                <w:rFonts w:ascii="宋体" w:hAnsi="宋体" w:cs="宋体" w:eastAsia="宋体" w:hint="default"/>
                <w:sz w:val="18"/>
                <w:szCs w:val="18"/>
              </w:rPr>
              <w:t>字</w:t>
            </w:r>
          </w:p>
          <w:p>
            <w:pPr>
              <w:pStyle w:val="TableParagraph"/>
              <w:spacing w:line="241"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[2010]1292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号文核准，并经深圳证券交易所同</w:t>
            </w:r>
          </w:p>
          <w:p>
            <w:pPr>
              <w:pStyle w:val="TableParagraph"/>
              <w:spacing w:line="232" w:lineRule="exact" w:before="16"/>
              <w:ind w:left="26" w:right="26"/>
              <w:jc w:val="both"/>
              <w:rPr>
                <w:rFonts w:ascii="宋体" w:hAnsi="宋体" w:cs="宋体" w:eastAsia="宋体" w:hint="default"/>
                <w:sz w:val="18"/>
                <w:szCs w:val="18"/>
              </w:rPr>
            </w:pPr>
            <w:r>
              <w:rPr>
                <w:rFonts w:ascii="宋体" w:hAnsi="宋体" w:cs="宋体" w:eastAsia="宋体" w:hint="default"/>
                <w:sz w:val="18"/>
                <w:szCs w:val="18"/>
              </w:rPr>
              <w:t>意，本公司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日向社会公众公开 发行普通股（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万股，每股面 值</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元，募集资金净额</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646,334,934.33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p>
            <w:pPr>
              <w:pStyle w:val="TableParagraph"/>
              <w:spacing w:line="230" w:lineRule="exact" w:before="4"/>
              <w:ind w:left="26" w:right="24"/>
              <w:jc w:val="both"/>
              <w:rPr>
                <w:rFonts w:ascii="宋体" w:hAnsi="宋体" w:cs="宋体" w:eastAsia="宋体" w:hint="default"/>
                <w:sz w:val="18"/>
                <w:szCs w:val="18"/>
              </w:rPr>
            </w:pPr>
            <w:r>
              <w:rPr>
                <w:rFonts w:ascii="宋体" w:hAnsi="宋体" w:cs="宋体" w:eastAsia="宋体" w:hint="default"/>
                <w:sz w:val="18"/>
                <w:szCs w:val="18"/>
              </w:rPr>
              <w:t>超过股本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万元部分</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630,334,934.33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元计入 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w:t>
            </w:r>
          </w:p>
        </w:tc>
      </w:tr>
      <w:tr>
        <w:trPr>
          <w:trHeight w:val="311"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Times New Roman" w:hAnsi="Times New Roman" w:cs="Times New Roman" w:eastAsia="Times New Roman" w:hint="default"/>
                <w:sz w:val="18"/>
                <w:szCs w:val="18"/>
              </w:rPr>
            </w:pPr>
            <w:r>
              <w:rPr>
                <w:rFonts w:ascii="Times New Roman"/>
                <w:sz w:val="18"/>
              </w:rPr>
              <w:t>208,527,076.74</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Times New Roman" w:hAnsi="Times New Roman" w:cs="Times New Roman" w:eastAsia="Times New Roman" w:hint="default"/>
                <w:sz w:val="18"/>
                <w:szCs w:val="18"/>
              </w:rPr>
            </w:pPr>
            <w:r>
              <w:rPr>
                <w:rFonts w:ascii="Times New Roman"/>
                <w:sz w:val="18"/>
              </w:rPr>
              <w:t>139,734,761.37</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Times New Roman" w:hAnsi="Times New Roman" w:cs="Times New Roman" w:eastAsia="Times New Roman" w:hint="default"/>
                <w:sz w:val="18"/>
                <w:szCs w:val="18"/>
              </w:rPr>
            </w:pPr>
            <w:r>
              <w:rPr>
                <w:rFonts w:ascii="Times New Roman"/>
                <w:sz w:val="18"/>
              </w:rPr>
              <w:t>49.23%</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本期销售量有较大增加。</w:t>
            </w:r>
          </w:p>
        </w:tc>
      </w:tr>
      <w:tr>
        <w:trPr>
          <w:trHeight w:val="251"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97,995,951.11</w:t>
            </w:r>
          </w:p>
        </w:tc>
        <w:tc>
          <w:tcPr>
            <w:tcW w:w="23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57,791,563.40</w:t>
            </w:r>
          </w:p>
        </w:tc>
        <w:tc>
          <w:tcPr>
            <w:tcW w:w="240"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Times New Roman" w:hAnsi="Times New Roman" w:cs="Times New Roman" w:eastAsia="Times New Roman" w:hint="default"/>
                <w:sz w:val="18"/>
                <w:szCs w:val="18"/>
              </w:rPr>
            </w:pPr>
            <w:r>
              <w:rPr>
                <w:rFonts w:ascii="Times New Roman"/>
                <w:sz w:val="18"/>
              </w:rPr>
              <w:t>69.57%</w:t>
            </w:r>
          </w:p>
        </w:tc>
        <w:tc>
          <w:tcPr>
            <w:tcW w:w="238" w:type="dxa"/>
            <w:tcBorders>
              <w:top w:val="nil" w:sz="6" w:space="0" w:color="auto"/>
              <w:left w:val="nil" w:sz="6" w:space="0" w:color="auto"/>
              <w:bottom w:val="nil" w:sz="6" w:space="0" w:color="auto"/>
              <w:right w:val="nil" w:sz="6" w:space="0" w:color="auto"/>
            </w:tcBorders>
          </w:tcPr>
          <w:p>
            <w:pPr/>
          </w:p>
        </w:tc>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收入增加导致成本相应增加。</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before="36"/>
        <w:ind w:left="602" w:right="0" w:firstLine="0"/>
        <w:jc w:val="left"/>
        <w:rPr>
          <w:rFonts w:ascii="宋体" w:hAnsi="宋体" w:cs="宋体" w:eastAsia="宋体" w:hint="default"/>
          <w:sz w:val="18"/>
          <w:szCs w:val="18"/>
        </w:rPr>
      </w:pPr>
      <w:r>
        <w:rPr>
          <w:rFonts w:ascii="宋体" w:hAnsi="宋体" w:cs="宋体" w:eastAsia="宋体" w:hint="default"/>
          <w:sz w:val="21"/>
          <w:szCs w:val="21"/>
        </w:rPr>
        <w:t>十三、</w:t>
      </w:r>
      <w:r>
        <w:rPr>
          <w:rFonts w:ascii="宋体" w:hAnsi="宋体" w:cs="宋体" w:eastAsia="宋体" w:hint="default"/>
          <w:b/>
          <w:bCs/>
          <w:sz w:val="18"/>
          <w:szCs w:val="18"/>
        </w:rPr>
        <w:t>财务报表的批准</w:t>
      </w:r>
      <w:r>
        <w:rPr>
          <w:rFonts w:ascii="宋体" w:hAnsi="宋体" w:cs="宋体" w:eastAsia="宋体" w:hint="default"/>
          <w:sz w:val="18"/>
          <w:szCs w:val="18"/>
        </w:rPr>
      </w:r>
    </w:p>
    <w:p>
      <w:pPr>
        <w:spacing w:before="38"/>
        <w:ind w:left="961" w:right="0" w:firstLine="0"/>
        <w:jc w:val="left"/>
        <w:rPr>
          <w:rFonts w:ascii="宋体" w:hAnsi="宋体" w:cs="宋体" w:eastAsia="宋体" w:hint="default"/>
          <w:sz w:val="18"/>
          <w:szCs w:val="18"/>
        </w:rPr>
      </w:pPr>
      <w:r>
        <w:rPr>
          <w:rFonts w:ascii="宋体" w:hAnsi="宋体" w:cs="宋体" w:eastAsia="宋体" w:hint="default"/>
          <w:sz w:val="18"/>
          <w:szCs w:val="18"/>
        </w:rPr>
        <w:t>本财务报表业经本公司董事会于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73" w:lineRule="auto" w:before="36"/>
        <w:ind w:left="6907" w:right="602" w:hanging="632"/>
        <w:jc w:val="right"/>
        <w:rPr>
          <w:rFonts w:ascii="宋体" w:hAnsi="宋体" w:cs="宋体" w:eastAsia="宋体" w:hint="default"/>
          <w:sz w:val="21"/>
          <w:szCs w:val="21"/>
        </w:rPr>
      </w:pPr>
      <w:r>
        <w:rPr>
          <w:rFonts w:ascii="宋体" w:hAnsi="宋体" w:cs="宋体" w:eastAsia="宋体" w:hint="default"/>
          <w:spacing w:val="-2"/>
          <w:sz w:val="21"/>
          <w:szCs w:val="21"/>
        </w:rPr>
        <w:t>深圳市新国都技术股份有限公司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二〇一一年三月二十九日</w:t>
      </w:r>
    </w:p>
    <w:p>
      <w:pPr>
        <w:spacing w:after="0" w:line="273" w:lineRule="auto"/>
        <w:jc w:val="right"/>
        <w:rPr>
          <w:rFonts w:ascii="宋体" w:hAnsi="宋体" w:cs="宋体" w:eastAsia="宋体" w:hint="default"/>
          <w:sz w:val="21"/>
          <w:szCs w:val="21"/>
        </w:rPr>
        <w:sectPr>
          <w:pgSz w:w="11910" w:h="16840"/>
          <w:pgMar w:header="877" w:footer="1226" w:top="1060" w:bottom="1420" w:left="11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4448" w:val="left" w:leader="none"/>
        </w:tabs>
        <w:spacing w:before="14"/>
        <w:ind w:left="3325" w:right="1334" w:firstLine="0"/>
        <w:jc w:val="left"/>
        <w:rPr>
          <w:rFonts w:ascii="宋体" w:hAnsi="宋体" w:cs="宋体" w:eastAsia="宋体" w:hint="default"/>
          <w:sz w:val="28"/>
          <w:szCs w:val="28"/>
        </w:rPr>
      </w:pPr>
      <w:r>
        <w:rPr>
          <w:rFonts w:ascii="宋体" w:hAnsi="宋体" w:cs="宋体" w:eastAsia="宋体" w:hint="default"/>
          <w:b/>
          <w:bCs/>
          <w:w w:val="95"/>
          <w:sz w:val="28"/>
          <w:szCs w:val="28"/>
        </w:rPr>
        <w:t>第十节</w:t>
        <w:tab/>
      </w:r>
      <w:r>
        <w:rPr>
          <w:rFonts w:ascii="宋体" w:hAnsi="宋体" w:cs="宋体" w:eastAsia="宋体" w:hint="default"/>
          <w:b/>
          <w:bCs/>
          <w:sz w:val="28"/>
          <w:szCs w:val="28"/>
        </w:rPr>
        <w:t>备查文件</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6"/>
          <w:szCs w:val="36"/>
        </w:rPr>
      </w:pPr>
    </w:p>
    <w:p>
      <w:pPr>
        <w:pStyle w:val="BodyText"/>
        <w:spacing w:line="338" w:lineRule="auto"/>
        <w:ind w:left="621" w:right="139"/>
        <w:jc w:val="left"/>
      </w:pPr>
      <w:r>
        <w:rPr/>
        <w:t>一、载有董事长刘祥先生签名的</w:t>
      </w:r>
      <w:r>
        <w:rPr>
          <w:rFonts w:ascii="Times New Roman" w:hAnsi="Times New Roman" w:cs="Times New Roman" w:eastAsia="Times New Roman" w:hint="default"/>
        </w:rPr>
        <w:t>2010</w:t>
      </w:r>
      <w:r>
        <w:rPr/>
        <w:t>年年度报告文件原件； </w:t>
      </w:r>
      <w:r>
        <w:rPr>
          <w:spacing w:val="-1"/>
        </w:rPr>
        <w:t>二、载有法定代表人刘祥先生，主管会计工作负责人、会计机构负责人赵辉先</w:t>
      </w:r>
    </w:p>
    <w:p>
      <w:pPr>
        <w:pStyle w:val="BodyText"/>
        <w:spacing w:line="357" w:lineRule="auto" w:before="53"/>
        <w:ind w:left="621" w:right="139" w:hanging="480"/>
        <w:jc w:val="left"/>
      </w:pPr>
      <w:r>
        <w:rPr/>
        <w:t>生签名并盖章的财务报告文本； </w:t>
      </w:r>
      <w:r>
        <w:rPr>
          <w:spacing w:val="-1"/>
        </w:rPr>
        <w:t>三、报告期内在中国证监会指定报纸上公开披露过的所有公司文件的正本及公</w:t>
      </w:r>
    </w:p>
    <w:p>
      <w:pPr>
        <w:pStyle w:val="BodyText"/>
        <w:spacing w:line="240" w:lineRule="auto" w:before="34"/>
        <w:ind w:right="1334"/>
        <w:jc w:val="left"/>
      </w:pPr>
      <w:r>
        <w:rPr/>
        <w:t>告的原稿；</w:t>
      </w:r>
    </w:p>
    <w:p>
      <w:pPr>
        <w:pStyle w:val="BodyText"/>
        <w:spacing w:line="355" w:lineRule="auto" w:before="154"/>
        <w:ind w:left="621" w:right="3465"/>
        <w:jc w:val="left"/>
      </w:pPr>
      <w:r>
        <w:rPr/>
        <w:t>四、其他相关资料。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Heading3"/>
        <w:spacing w:line="240" w:lineRule="auto" w:before="0"/>
        <w:ind w:left="4822" w:right="0"/>
        <w:jc w:val="left"/>
        <w:rPr>
          <w:b w:val="0"/>
          <w:bCs w:val="0"/>
        </w:rPr>
      </w:pPr>
      <w:r>
        <w:rPr/>
        <w:t>深圳市新国都技术股份有限公司</w:t>
      </w:r>
      <w:r>
        <w:rPr>
          <w:b w:val="0"/>
          <w:bCs w:val="0"/>
        </w:rPr>
      </w:r>
    </w:p>
    <w:p>
      <w:pPr>
        <w:spacing w:before="36"/>
        <w:ind w:left="0" w:right="1007" w:firstLine="0"/>
        <w:jc w:val="right"/>
        <w:rPr>
          <w:rFonts w:ascii="宋体" w:hAnsi="宋体" w:cs="宋体" w:eastAsia="宋体" w:hint="default"/>
          <w:sz w:val="28"/>
          <w:szCs w:val="28"/>
        </w:rPr>
      </w:pPr>
      <w:r>
        <w:rPr>
          <w:rFonts w:ascii="宋体" w:hAnsi="宋体" w:cs="宋体" w:eastAsia="宋体" w:hint="default"/>
          <w:b/>
          <w:bCs/>
          <w:sz w:val="28"/>
          <w:szCs w:val="28"/>
        </w:rPr>
        <w:t>董事长：刘祥</w:t>
      </w:r>
      <w:r>
        <w:rPr>
          <w:rFonts w:ascii="宋体" w:hAnsi="宋体" w:cs="宋体" w:eastAsia="宋体" w:hint="default"/>
          <w:sz w:val="28"/>
          <w:szCs w:val="28"/>
        </w:rPr>
      </w:r>
    </w:p>
    <w:p>
      <w:pPr>
        <w:spacing w:line="240" w:lineRule="auto" w:before="7"/>
        <w:rPr>
          <w:rFonts w:ascii="宋体" w:hAnsi="宋体" w:cs="宋体" w:eastAsia="宋体" w:hint="default"/>
          <w:b/>
          <w:bCs/>
          <w:sz w:val="28"/>
          <w:szCs w:val="28"/>
        </w:rPr>
      </w:pPr>
    </w:p>
    <w:p>
      <w:pPr>
        <w:spacing w:line="26" w:lineRule="exact"/>
        <w:ind w:left="5983" w:right="0" w:firstLine="0"/>
        <w:rPr>
          <w:rFonts w:ascii="宋体" w:hAnsi="宋体" w:cs="宋体" w:eastAsia="宋体" w:hint="default"/>
          <w:sz w:val="2"/>
          <w:szCs w:val="2"/>
        </w:rPr>
      </w:pPr>
      <w:r>
        <w:rPr>
          <w:rFonts w:ascii="宋体" w:hAnsi="宋体" w:cs="宋体" w:eastAsia="宋体" w:hint="default"/>
          <w:position w:val="0"/>
          <w:sz w:val="2"/>
          <w:szCs w:val="2"/>
        </w:rPr>
        <w:pict>
          <v:group style="width:111.5pt;height:1.35pt;mso-position-horizontal-relative:char;mso-position-vertical-relative:line" coordorigin="0,0" coordsize="2230,27">
            <v:group style="position:absolute;left:13;top:13;width:2204;height:2" coordorigin="13,13" coordsize="2204,2">
              <v:shape style="position:absolute;left:13;top:13;width:2204;height:2" coordorigin="13,13" coordsize="2204,0" path="m13,13l2217,13e" filled="false" stroked="true" strokeweight="1.32pt" strokecolor="#000000">
                <v:path arrowok="t"/>
              </v:shape>
            </v:group>
          </v:group>
        </w:pict>
      </w:r>
      <w:r>
        <w:rPr>
          <w:rFonts w:ascii="宋体" w:hAnsi="宋体" w:cs="宋体" w:eastAsia="宋体" w:hint="default"/>
          <w:position w:val="0"/>
          <w:sz w:val="2"/>
          <w:szCs w:val="2"/>
        </w:rPr>
      </w:r>
    </w:p>
    <w:p>
      <w:pPr>
        <w:spacing w:line="387" w:lineRule="exact" w:before="0"/>
        <w:ind w:left="0" w:right="771" w:firstLine="0"/>
        <w:jc w:val="righ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2011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29 </w:t>
      </w:r>
      <w:r>
        <w:rPr>
          <w:rFonts w:ascii="宋体" w:hAnsi="宋体" w:cs="宋体" w:eastAsia="宋体" w:hint="default"/>
          <w:b/>
          <w:bCs/>
          <w:sz w:val="28"/>
          <w:szCs w:val="28"/>
        </w:rPr>
        <w:t>日</w:t>
      </w:r>
      <w:r>
        <w:rPr>
          <w:rFonts w:ascii="宋体" w:hAnsi="宋体" w:cs="宋体" w:eastAsia="宋体" w:hint="default"/>
          <w:sz w:val="28"/>
          <w:szCs w:val="28"/>
        </w:rPr>
      </w:r>
    </w:p>
    <w:sectPr>
      <w:pgSz w:w="11910" w:h="16840"/>
      <w:pgMar w:header="877" w:footer="1226" w:top="1060" w:bottom="1420" w:left="15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5pt;margin-top:767.557922pt;width:6.5pt;height:11pt;mso-position-horizontal-relative:page;mso-position-vertical-relative:page;z-index:-681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67.557922pt;width:8.5pt;height:11pt;mso-position-horizontal-relative:page;mso-position-vertical-relative:page;z-index:-68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0.933960pt;width:13.15pt;height:11pt;mso-position-horizontal-relative:page;mso-position-vertical-relative:page;z-index:-681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3.683624pt;margin-top:739.028259pt;width:74.5pt;height:11.05pt;mso-position-horizontal-relative:page;mso-position-vertical-relative:page;z-index:-681280" type="#_x0000_t202" filled="false" stroked="false">
          <v:textbox inset="0,0,0,0">
            <w:txbxContent>
              <w:p>
                <w:pPr>
                  <w:spacing w:line="19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公司负责人：刘祥</w:t>
                </w:r>
              </w:p>
            </w:txbxContent>
          </v:textbox>
          <w10:wrap type="none"/>
        </v:shape>
      </w:pict>
    </w:r>
    <w:r>
      <w:rPr/>
      <w:pict>
        <v:shape style="position:absolute;margin-left:212.169052pt;margin-top:739.028259pt;width:110.75pt;height:11.05pt;mso-position-horizontal-relative:page;mso-position-vertical-relative:page;z-index:-681256" type="#_x0000_t202" filled="false" stroked="false">
          <v:textbox inset="0,0,0,0">
            <w:txbxContent>
              <w:p>
                <w:pPr>
                  <w:spacing w:line="19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主管会计工作负责人：赵辉</w:t>
                </w:r>
              </w:p>
            </w:txbxContent>
          </v:textbox>
          <w10:wrap type="none"/>
        </v:shape>
      </w:pict>
    </w:r>
    <w:r>
      <w:rPr/>
      <w:pict>
        <v:shape style="position:absolute;margin-left:387.341888pt;margin-top:739.028259pt;width:92.65pt;height:11.05pt;mso-position-horizontal-relative:page;mso-position-vertical-relative:page;z-index:-681232" type="#_x0000_t202" filled="false" stroked="false">
          <v:textbox inset="0,0,0,0">
            <w:txbxContent>
              <w:p>
                <w:pPr>
                  <w:spacing w:line="19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会计机构负责人：赵辉</w:t>
                </w:r>
              </w:p>
            </w:txbxContent>
          </v:textbox>
          <w10:wrap type="none"/>
        </v:shape>
      </w:pict>
    </w:r>
    <w:r>
      <w:rPr/>
      <w:pict>
        <v:shape style="position:absolute;margin-left:293.970001pt;margin-top:767.557922pt;width:13.15pt;height:11pt;mso-position-horizontal-relative:page;mso-position-vertical-relative:page;z-index:-681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67.557922pt;width:11.15pt;height:11pt;mso-position-horizontal-relative:page;mso-position-vertical-relative:page;z-index:-681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95</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610748pt;margin-top:490.302185pt;width:676.7pt;height:.8pt;mso-position-horizontal-relative:page;mso-position-vertical-relative:page;z-index:-681112" coordorigin="1652,9806" coordsize="13534,16">
          <v:group style="position:absolute;left:1661;top:9807;width:2671;height:2" coordorigin="1661,9807" coordsize="2671,2">
            <v:shape style="position:absolute;left:1661;top:9807;width:2671;height:2" coordorigin="1661,9807" coordsize="2671,0" path="m1661,9807l4331,9807e" filled="false" stroked="true" strokeweight=".114124pt" strokecolor="#000000">
              <v:path arrowok="t"/>
            </v:shape>
          </v:group>
          <v:group style="position:absolute;left:1660;top:9814;width:2673;height:2" coordorigin="1660,9814" coordsize="2673,2">
            <v:shape style="position:absolute;left:1660;top:9814;width:2673;height:2" coordorigin="1660,9814" coordsize="2673,0" path="m1660,9814l4332,9814e" filled="false" stroked="true" strokeweight=".782579pt" strokecolor="#000000">
              <v:path arrowok="t"/>
            </v:shape>
          </v:group>
          <v:group style="position:absolute;left:4333;top:9807;width:636;height:2" coordorigin="4333,9807" coordsize="636,2">
            <v:shape style="position:absolute;left:4333;top:9807;width:636;height:2" coordorigin="4333,9807" coordsize="636,0" path="m4333,9807l4968,9807e" filled="false" stroked="true" strokeweight=".114124pt" strokecolor="#000000">
              <v:path arrowok="t"/>
            </v:shape>
          </v:group>
          <v:group style="position:absolute;left:4332;top:9814;width:638;height:2" coordorigin="4332,9814" coordsize="638,2">
            <v:shape style="position:absolute;left:4332;top:9814;width:638;height:2" coordorigin="4332,9814" coordsize="638,0" path="m4332,9814l4969,9814e" filled="false" stroked="true" strokeweight=".782579pt" strokecolor="#000000">
              <v:path arrowok="t"/>
            </v:shape>
          </v:group>
          <v:group style="position:absolute;left:4970;top:9807;width:10207;height:2" coordorigin="4970,9807" coordsize="10207,2">
            <v:shape style="position:absolute;left:4970;top:9807;width:10207;height:2" coordorigin="4970,9807" coordsize="10207,0" path="m4970,9807l15176,9807e" filled="false" stroked="true" strokeweight=".114124pt" strokecolor="#000000">
              <v:path arrowok="t"/>
            </v:shape>
          </v:group>
          <v:group style="position:absolute;left:4969;top:9814;width:10209;height:2" coordorigin="4969,9814" coordsize="10209,2">
            <v:shape style="position:absolute;left:4969;top:9814;width:10209;height:2" coordorigin="4969,9814" coordsize="10209,0" path="m4969,9814l15177,9814e" filled="false" stroked="true" strokeweight=".782579pt" strokecolor="#000000">
              <v:path arrowok="t"/>
            </v:shape>
          </v:group>
          <w10:wrap type="none"/>
        </v:group>
      </w:pict>
    </w:r>
    <w:r>
      <w:rPr/>
      <w:pict>
        <v:shape style="position:absolute;margin-left:85.515671pt;margin-top:504.000305pt;width:60.85pt;height:9.35pt;mso-position-horizontal-relative:page;mso-position-vertical-relative:page;z-index:-681088" type="#_x0000_t202" filled="false" stroked="false">
          <v:textbox inset="0,0,0,0">
            <w:txbxContent>
              <w:p>
                <w:pPr>
                  <w:spacing w:line="157" w:lineRule="exact" w:before="0"/>
                  <w:ind w:left="20" w:right="0" w:firstLine="0"/>
                  <w:jc w:val="left"/>
                  <w:rPr>
                    <w:rFonts w:ascii="宋体" w:hAnsi="宋体" w:cs="宋体" w:eastAsia="宋体" w:hint="default"/>
                    <w:sz w:val="14"/>
                    <w:szCs w:val="14"/>
                  </w:rPr>
                </w:pPr>
                <w:r>
                  <w:rPr>
                    <w:rFonts w:ascii="宋体" w:hAnsi="宋体" w:cs="宋体" w:eastAsia="宋体" w:hint="default"/>
                    <w:w w:val="105"/>
                    <w:sz w:val="14"/>
                    <w:szCs w:val="14"/>
                  </w:rPr>
                  <w:t>公司负责人：刘祥</w:t>
                </w:r>
                <w:r>
                  <w:rPr>
                    <w:rFonts w:ascii="宋体" w:hAnsi="宋体" w:cs="宋体" w:eastAsia="宋体" w:hint="default"/>
                    <w:sz w:val="14"/>
                    <w:szCs w:val="14"/>
                  </w:rPr>
                </w:r>
              </w:p>
            </w:txbxContent>
          </v:textbox>
          <w10:wrap type="none"/>
        </v:shape>
      </w:pict>
    </w:r>
    <w:r>
      <w:rPr/>
      <w:pict>
        <v:shape style="position:absolute;margin-left:248.928131pt;margin-top:504.000305pt;width:90.25pt;height:9.35pt;mso-position-horizontal-relative:page;mso-position-vertical-relative:page;z-index:-681064" type="#_x0000_t202" filled="false" stroked="false">
          <v:textbox inset="0,0,0,0">
            <w:txbxContent>
              <w:p>
                <w:pPr>
                  <w:spacing w:line="157" w:lineRule="exact" w:before="0"/>
                  <w:ind w:left="20" w:right="0" w:firstLine="0"/>
                  <w:jc w:val="left"/>
                  <w:rPr>
                    <w:rFonts w:ascii="宋体" w:hAnsi="宋体" w:cs="宋体" w:eastAsia="宋体" w:hint="default"/>
                    <w:sz w:val="14"/>
                    <w:szCs w:val="14"/>
                  </w:rPr>
                </w:pPr>
                <w:r>
                  <w:rPr>
                    <w:rFonts w:ascii="宋体" w:hAnsi="宋体" w:cs="宋体" w:eastAsia="宋体" w:hint="default"/>
                    <w:w w:val="105"/>
                    <w:sz w:val="14"/>
                    <w:szCs w:val="14"/>
                  </w:rPr>
                  <w:t>主管会计工作负责人：赵辉</w:t>
                </w:r>
                <w:r>
                  <w:rPr>
                    <w:rFonts w:ascii="宋体" w:hAnsi="宋体" w:cs="宋体" w:eastAsia="宋体" w:hint="default"/>
                    <w:sz w:val="14"/>
                    <w:szCs w:val="14"/>
                  </w:rPr>
                </w:r>
              </w:p>
            </w:txbxContent>
          </v:textbox>
          <w10:wrap type="none"/>
        </v:shape>
      </w:pict>
    </w:r>
    <w:r>
      <w:rPr/>
      <w:pict>
        <v:shape style="position:absolute;margin-left:517.934143pt;margin-top:504.000305pt;width:75.55pt;height:9.35pt;mso-position-horizontal-relative:page;mso-position-vertical-relative:page;z-index:-681040" type="#_x0000_t202" filled="false" stroked="false">
          <v:textbox inset="0,0,0,0">
            <w:txbxContent>
              <w:p>
                <w:pPr>
                  <w:spacing w:line="157" w:lineRule="exact" w:before="0"/>
                  <w:ind w:left="20" w:right="0" w:firstLine="0"/>
                  <w:jc w:val="left"/>
                  <w:rPr>
                    <w:rFonts w:ascii="宋体" w:hAnsi="宋体" w:cs="宋体" w:eastAsia="宋体" w:hint="default"/>
                    <w:sz w:val="14"/>
                    <w:szCs w:val="14"/>
                  </w:rPr>
                </w:pPr>
                <w:r>
                  <w:rPr>
                    <w:rFonts w:ascii="宋体" w:hAnsi="宋体" w:cs="宋体" w:eastAsia="宋体" w:hint="default"/>
                    <w:w w:val="105"/>
                    <w:sz w:val="14"/>
                    <w:szCs w:val="14"/>
                  </w:rPr>
                  <w:t>会计机构负责人：赵辉</w:t>
                </w:r>
                <w:r>
                  <w:rPr>
                    <w:rFonts w:ascii="宋体" w:hAnsi="宋体" w:cs="宋体" w:eastAsia="宋体" w:hint="default"/>
                    <w:sz w:val="14"/>
                    <w:szCs w:val="14"/>
                  </w:rPr>
                </w:r>
              </w:p>
            </w:txbxContent>
          </v:textbox>
          <w10:wrap type="none"/>
        </v:shape>
      </w:pict>
    </w:r>
    <w:r>
      <w:rPr/>
      <w:pict>
        <v:shape style="position:absolute;margin-left:414.470001pt;margin-top:520.933960pt;width:13.15pt;height:11pt;mso-position-horizontal-relative:page;mso-position-vertical-relative:page;z-index:-681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0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90002pt;margin-top:767.557922pt;width:15.7pt;height:11pt;mso-position-horizontal-relative:page;mso-position-vertical-relative:page;z-index:-680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690002pt;margin-top:769.5979pt;width:17.7pt;height:11pt;mso-position-horizontal-relative:page;mso-position-vertical-relative:page;z-index:-68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929993pt;margin-top:769.5979pt;width:17.3pt;height:11pt;mso-position-horizontal-relative:page;mso-position-vertical-relative:page;z-index:-680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929993pt;margin-top:769.5979pt;width:17.3pt;height:11pt;mso-position-horizontal-relative:page;mso-position-vertical-relative:page;z-index:-680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67.557922pt;width:8.5pt;height:11pt;mso-position-horizontal-relative:page;mso-position-vertical-relative:page;z-index:-68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69.5979pt;width:17.7pt;height:11pt;mso-position-horizontal-relative:page;mso-position-vertical-relative:page;z-index:-680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69.5979pt;width:17.7pt;height:11pt;mso-position-horizontal-relative:page;mso-position-vertical-relative:page;z-index:-68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67.557922pt;width:13.15pt;height:11pt;mso-position-horizontal-relative:page;mso-position-vertical-relative:page;z-index:-681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3.664001pt;margin-top:55.559982pt;width:433.75pt;height:.1pt;mso-position-horizontal-relative:page;mso-position-vertical-relative:page;z-index:-681904" coordorigin="1673,1111" coordsize="8675,2">
          <v:shape style="position:absolute;left:1673;top:1111;width:8675;height:2" coordorigin="1673,1111" coordsize="8675,0" path="m1673,1111l10348,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1.390015pt;margin-top:42.865608pt;width:195.75pt;height:11.5pt;mso-position-horizontal-relative:page;mso-position-vertical-relative:page;z-index:-681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1.390015pt;margin-top:42.865608pt;width:195.75pt;height:11.5pt;mso-position-horizontal-relative:page;mso-position-vertical-relative:page;z-index:-681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60009pt;width:731.55pt;height:.1pt;mso-position-horizontal-relative:page;mso-position-vertical-relative:page;z-index:-681400" coordorigin="1104,1111" coordsize="14631,2">
          <v:shape style="position:absolute;left:1104;top:1111;width:14631;height:2" coordorigin="1104,1111" coordsize="14631,0" path="m1104,1111l15734,1111e" filled="false" stroked="true" strokeweight=".72pt" strokecolor="#000000">
            <v:path arrowok="t"/>
          </v:shape>
          <w10:wrap type="none"/>
        </v:group>
      </w:pict>
    </w:r>
    <w:r>
      <w:rPr/>
      <w:pict>
        <v:shape style="position:absolute;margin-left:590.700012pt;margin-top:42.865631pt;width:195.7pt;height:11.5pt;mso-position-horizontal-relative:page;mso-position-vertical-relative:page;z-index:-681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1.390015pt;margin-top:42.865608pt;width:195.75pt;height:11.5pt;mso-position-horizontal-relative:page;mso-position-vertical-relative:page;z-index:-681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60009pt;width:731.55pt;height:.1pt;mso-position-horizontal-relative:page;mso-position-vertical-relative:page;z-index:-681160" coordorigin="1104,1111" coordsize="14631,2">
          <v:shape style="position:absolute;left:1104;top:1111;width:14631;height:2" coordorigin="1104,1111" coordsize="14631,0" path="m1104,1111l15734,1111e" filled="false" stroked="true" strokeweight=".72pt" strokecolor="#000000">
            <v:path arrowok="t"/>
          </v:shape>
          <w10:wrap type="none"/>
        </v:group>
      </w:pict>
    </w:r>
    <w:r>
      <w:rPr/>
      <w:pict>
        <v:shape style="position:absolute;margin-left:590.700012pt;margin-top:42.865631pt;width:195.7pt;height:11.5pt;mso-position-horizontal-relative:page;mso-position-vertical-relative:page;z-index:-681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3.664001pt;margin-top:55.559982pt;width:433.75pt;height:.1pt;mso-position-horizontal-relative:page;mso-position-vertical-relative:page;z-index:-680992" coordorigin="1673,1111" coordsize="8675,2">
          <v:shape style="position:absolute;left:1673;top:1111;width:8675;height:2" coordorigin="1673,1111" coordsize="8675,0" path="m1673,1111l10348,1111e" filled="false" stroked="true" strokeweight=".72pt" strokecolor="#000000">
            <v:path arrowok="t"/>
          </v:shape>
          <w10:wrap type="none"/>
        </v:group>
      </w:pict>
    </w:r>
    <w:r>
      <w:rPr/>
      <w:pict>
        <v:shape style="position:absolute;margin-left:321.390015pt;margin-top:42.865608pt;width:195.75pt;height:11.5pt;mso-position-horizontal-relative:page;mso-position-vertical-relative:page;z-index:-680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sz w:val="34"/>
      <w:szCs w:val="34"/>
    </w:rPr>
  </w:style>
  <w:style w:styleId="Heading2" w:type="paragraph">
    <w:name w:val="Heading 2"/>
    <w:basedOn w:val="Normal"/>
    <w:uiPriority w:val="1"/>
    <w:qFormat/>
    <w:pPr>
      <w:ind w:left="3204"/>
      <w:outlineLvl w:val="2"/>
    </w:pPr>
    <w:rPr>
      <w:rFonts w:ascii="宋体" w:hAnsi="宋体" w:eastAsia="宋体"/>
      <w:sz w:val="33"/>
      <w:szCs w:val="33"/>
    </w:rPr>
  </w:style>
  <w:style w:styleId="Heading3" w:type="paragraph">
    <w:name w:val="Heading 3"/>
    <w:basedOn w:val="Normal"/>
    <w:uiPriority w:val="1"/>
    <w:qFormat/>
    <w:pPr>
      <w:spacing w:before="14"/>
      <w:outlineLvl w:val="3"/>
    </w:pPr>
    <w:rPr>
      <w:rFonts w:ascii="宋体" w:hAnsi="宋体" w:eastAsia="宋体"/>
      <w:b/>
      <w:bCs/>
      <w:sz w:val="28"/>
      <w:szCs w:val="28"/>
    </w:rPr>
  </w:style>
  <w:style w:styleId="Heading4" w:type="paragraph">
    <w:name w:val="Heading 4"/>
    <w:basedOn w:val="Normal"/>
    <w:uiPriority w:val="1"/>
    <w:qFormat/>
    <w:pPr>
      <w:ind w:left="142"/>
      <w:outlineLvl w:val="4"/>
    </w:pPr>
    <w:rPr>
      <w:rFonts w:ascii="宋体" w:hAnsi="宋体" w:eastAsia="宋体"/>
      <w:sz w:val="28"/>
      <w:szCs w:val="28"/>
    </w:rPr>
  </w:style>
  <w:style w:styleId="Heading5" w:type="paragraph">
    <w:name w:val="Heading 5"/>
    <w:basedOn w:val="Normal"/>
    <w:uiPriority w:val="1"/>
    <w:qFormat/>
    <w:pPr>
      <w:spacing w:before="180"/>
      <w:ind w:left="2299"/>
      <w:outlineLvl w:val="5"/>
    </w:pPr>
    <w:rPr>
      <w:rFonts w:ascii="宋体" w:hAnsi="宋体" w:eastAsia="宋体"/>
      <w:sz w:val="26"/>
      <w:szCs w:val="26"/>
    </w:rPr>
  </w:style>
  <w:style w:styleId="Heading6" w:type="paragraph">
    <w:name w:val="Heading 6"/>
    <w:basedOn w:val="Normal"/>
    <w:uiPriority w:val="1"/>
    <w:qFormat/>
    <w:pPr>
      <w:ind w:left="142"/>
      <w:outlineLvl w:val="6"/>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mailto:zhaohui@xinguodu.com" TargetMode="External"/><Relationship Id="rId10" Type="http://schemas.openxmlformats.org/officeDocument/2006/relationships/hyperlink" Target="mailto:liyanfang@xinguodu.com" TargetMode="External"/><Relationship Id="rId11" Type="http://schemas.openxmlformats.org/officeDocument/2006/relationships/hyperlink" Target="http://www.xinguodu.com/" TargetMode="External"/><Relationship Id="rId12" Type="http://schemas.openxmlformats.org/officeDocument/2006/relationships/hyperlink" Target="mailto:xgd-zqb@xinguodu.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footer" Target="footer5.xml"/><Relationship Id="rId20" Type="http://schemas.openxmlformats.org/officeDocument/2006/relationships/hyperlink" Target="http://baike.baidu.com/view/286685.htm" TargetMode="Externa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image" Target="media/image5.png"/><Relationship Id="rId37" Type="http://schemas.openxmlformats.org/officeDocument/2006/relationships/header" Target="header3.xml"/><Relationship Id="rId38" Type="http://schemas.openxmlformats.org/officeDocument/2006/relationships/footer" Target="footer20.xml"/><Relationship Id="rId39" Type="http://schemas.openxmlformats.org/officeDocument/2006/relationships/header" Target="header4.xml"/><Relationship Id="rId40" Type="http://schemas.openxmlformats.org/officeDocument/2006/relationships/footer" Target="footer21.xml"/><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footer" Target="footer22.xml"/><Relationship Id="rId46" Type="http://schemas.openxmlformats.org/officeDocument/2006/relationships/image" Target="media/image10.png"/><Relationship Id="rId47" Type="http://schemas.openxmlformats.org/officeDocument/2006/relationships/footer" Target="footer23.xml"/><Relationship Id="rId48" Type="http://schemas.openxmlformats.org/officeDocument/2006/relationships/header" Target="header5.xml"/><Relationship Id="rId49" Type="http://schemas.openxmlformats.org/officeDocument/2006/relationships/footer" Target="footer24.xml"/><Relationship Id="rId50" Type="http://schemas.openxmlformats.org/officeDocument/2006/relationships/header" Target="header6.xml"/><Relationship Id="rId51" Type="http://schemas.openxmlformats.org/officeDocument/2006/relationships/footer" Target="footer25.xml"/><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image" Target="media/image15.png"/><Relationship Id="rId61" Type="http://schemas.openxmlformats.org/officeDocument/2006/relationships/image" Target="media/image16.png"/><Relationship Id="rId62" Type="http://schemas.openxmlformats.org/officeDocument/2006/relationships/image" Target="media/image17.png"/><Relationship Id="rId63" Type="http://schemas.openxmlformats.org/officeDocument/2006/relationships/image" Target="media/image18.png"/><Relationship Id="rId64" Type="http://schemas.openxmlformats.org/officeDocument/2006/relationships/image" Target="media/image19.png"/><Relationship Id="rId65" Type="http://schemas.openxmlformats.org/officeDocument/2006/relationships/image" Target="media/image20.png"/><Relationship Id="rId66" Type="http://schemas.openxmlformats.org/officeDocument/2006/relationships/image" Target="media/image21.png"/><Relationship Id="rId67" Type="http://schemas.openxmlformats.org/officeDocument/2006/relationships/image" Target="media/image22.png"/><Relationship Id="rId68" Type="http://schemas.openxmlformats.org/officeDocument/2006/relationships/image" Target="media/image23.png"/><Relationship Id="rId69" Type="http://schemas.openxmlformats.org/officeDocument/2006/relationships/image" Target="media/image24.png"/><Relationship Id="rId70" Type="http://schemas.openxmlformats.org/officeDocument/2006/relationships/image" Target="media/image25.png"/><Relationship Id="rId71" Type="http://schemas.openxmlformats.org/officeDocument/2006/relationships/image" Target="media/image26.png"/><Relationship Id="rId72" Type="http://schemas.openxmlformats.org/officeDocument/2006/relationships/image" Target="media/image27.png"/><Relationship Id="rId73" Type="http://schemas.openxmlformats.org/officeDocument/2006/relationships/image" Target="media/image28.png"/><Relationship Id="rId74" Type="http://schemas.openxmlformats.org/officeDocument/2006/relationships/image" Target="media/image29.png"/><Relationship Id="rId75" Type="http://schemas.openxmlformats.org/officeDocument/2006/relationships/image" Target="media/image30.png"/><Relationship Id="rId76" Type="http://schemas.openxmlformats.org/officeDocument/2006/relationships/image" Target="media/image31.png"/><Relationship Id="rId77" Type="http://schemas.openxmlformats.org/officeDocument/2006/relationships/image" Target="media/image32.png"/><Relationship Id="rId78" Type="http://schemas.openxmlformats.org/officeDocument/2006/relationships/image" Target="media/image33.png"/><Relationship Id="rId79" Type="http://schemas.openxmlformats.org/officeDocument/2006/relationships/image" Target="media/image34.png"/><Relationship Id="rId80" Type="http://schemas.openxmlformats.org/officeDocument/2006/relationships/image" Target="media/image35.png"/><Relationship Id="rId81" Type="http://schemas.openxmlformats.org/officeDocument/2006/relationships/image" Target="media/image36.png"/><Relationship Id="rId82" Type="http://schemas.openxmlformats.org/officeDocument/2006/relationships/image" Target="media/image37.png"/><Relationship Id="rId83" Type="http://schemas.openxmlformats.org/officeDocument/2006/relationships/image" Target="media/image38.png"/><Relationship Id="rId84" Type="http://schemas.openxmlformats.org/officeDocument/2006/relationships/image" Target="media/image39.png"/><Relationship Id="rId85" Type="http://schemas.openxmlformats.org/officeDocument/2006/relationships/image" Target="media/image40.png"/><Relationship Id="rId86" Type="http://schemas.openxmlformats.org/officeDocument/2006/relationships/image" Target="media/image41.png"/><Relationship Id="rId87" Type="http://schemas.openxmlformats.org/officeDocument/2006/relationships/image" Target="media/image42.png"/><Relationship Id="rId88" Type="http://schemas.openxmlformats.org/officeDocument/2006/relationships/image" Target="media/image43.png"/><Relationship Id="rId89" Type="http://schemas.openxmlformats.org/officeDocument/2006/relationships/image" Target="media/image44.png"/><Relationship Id="rId90" Type="http://schemas.openxmlformats.org/officeDocument/2006/relationships/image" Target="media/image45.png"/><Relationship Id="rId91" Type="http://schemas.openxmlformats.org/officeDocument/2006/relationships/image" Target="media/image46.png"/><Relationship Id="rId92" Type="http://schemas.openxmlformats.org/officeDocument/2006/relationships/image" Target="media/image47.png"/><Relationship Id="rId93" Type="http://schemas.openxmlformats.org/officeDocument/2006/relationships/image" Target="media/image48.png"/><Relationship Id="rId94" Type="http://schemas.openxmlformats.org/officeDocument/2006/relationships/image" Target="media/image49.png"/><Relationship Id="rId95" Type="http://schemas.openxmlformats.org/officeDocument/2006/relationships/image" Target="media/image50.png"/><Relationship Id="rId96" Type="http://schemas.openxmlformats.org/officeDocument/2006/relationships/image" Target="media/image51.png"/><Relationship Id="rId97" Type="http://schemas.openxmlformats.org/officeDocument/2006/relationships/image" Target="media/image52.png"/><Relationship Id="rId98" Type="http://schemas.openxmlformats.org/officeDocument/2006/relationships/image" Target="media/image53.png"/><Relationship Id="rId99" Type="http://schemas.openxmlformats.org/officeDocument/2006/relationships/image" Target="media/image54.png"/><Relationship Id="rId100" Type="http://schemas.openxmlformats.org/officeDocument/2006/relationships/image" Target="media/image55.png"/><Relationship Id="rId101" Type="http://schemas.openxmlformats.org/officeDocument/2006/relationships/image" Target="media/image56.png"/><Relationship Id="rId102" Type="http://schemas.openxmlformats.org/officeDocument/2006/relationships/image" Target="media/image57.png"/><Relationship Id="rId103" Type="http://schemas.openxmlformats.org/officeDocument/2006/relationships/image" Target="media/image58.png"/><Relationship Id="rId104" Type="http://schemas.openxmlformats.org/officeDocument/2006/relationships/image" Target="media/image59.png"/><Relationship Id="rId105" Type="http://schemas.openxmlformats.org/officeDocument/2006/relationships/image" Target="media/image60.png"/><Relationship Id="rId106" Type="http://schemas.openxmlformats.org/officeDocument/2006/relationships/image" Target="media/image61.png"/><Relationship Id="rId107" Type="http://schemas.openxmlformats.org/officeDocument/2006/relationships/image" Target="media/image62.png"/><Relationship Id="rId108" Type="http://schemas.openxmlformats.org/officeDocument/2006/relationships/image" Target="media/image63.png"/><Relationship Id="rId109" Type="http://schemas.openxmlformats.org/officeDocument/2006/relationships/image" Target="media/image64.png"/><Relationship Id="rId110" Type="http://schemas.openxmlformats.org/officeDocument/2006/relationships/image" Target="media/image65.png"/><Relationship Id="rId111" Type="http://schemas.openxmlformats.org/officeDocument/2006/relationships/footer" Target="footer30.xml"/><Relationship Id="rId112" Type="http://schemas.openxmlformats.org/officeDocument/2006/relationships/image" Target="media/image66.png"/><Relationship Id="rId113" Type="http://schemas.openxmlformats.org/officeDocument/2006/relationships/image" Target="media/image67.png"/><Relationship Id="rId114" Type="http://schemas.openxmlformats.org/officeDocument/2006/relationships/image" Target="media/image68.png"/><Relationship Id="rId115" Type="http://schemas.openxmlformats.org/officeDocument/2006/relationships/image" Target="media/image69.png"/><Relationship Id="rId116" Type="http://schemas.openxmlformats.org/officeDocument/2006/relationships/image" Target="media/image70.png"/><Relationship Id="rId117" Type="http://schemas.openxmlformats.org/officeDocument/2006/relationships/image" Target="media/image71.png"/><Relationship Id="rId118" Type="http://schemas.openxmlformats.org/officeDocument/2006/relationships/image" Target="media/image72.png"/><Relationship Id="rId119" Type="http://schemas.openxmlformats.org/officeDocument/2006/relationships/image" Target="media/image73.png"/><Relationship Id="rId120" Type="http://schemas.openxmlformats.org/officeDocument/2006/relationships/image" Target="media/image74.png"/><Relationship Id="rId121" Type="http://schemas.openxmlformats.org/officeDocument/2006/relationships/image" Target="media/image75.png"/><Relationship Id="rId122" Type="http://schemas.openxmlformats.org/officeDocument/2006/relationships/image" Target="media/image76.png"/><Relationship Id="rId123" Type="http://schemas.openxmlformats.org/officeDocument/2006/relationships/image" Target="media/image77.png"/><Relationship Id="rId124" Type="http://schemas.openxmlformats.org/officeDocument/2006/relationships/image" Target="media/image78.png"/><Relationship Id="rId125" Type="http://schemas.openxmlformats.org/officeDocument/2006/relationships/footer" Target="footer31.xml"/><Relationship Id="rId126" Type="http://schemas.openxmlformats.org/officeDocument/2006/relationships/image" Target="media/image79.png"/><Relationship Id="rId127" Type="http://schemas.openxmlformats.org/officeDocument/2006/relationships/image" Target="media/image80.png"/><Relationship Id="rId128" Type="http://schemas.openxmlformats.org/officeDocument/2006/relationships/image" Target="media/image81.png"/><Relationship Id="rId129" Type="http://schemas.openxmlformats.org/officeDocument/2006/relationships/image" Target="media/image82.png"/><Relationship Id="rId130" Type="http://schemas.openxmlformats.org/officeDocument/2006/relationships/image" Target="media/image83.png"/><Relationship Id="rId131" Type="http://schemas.openxmlformats.org/officeDocument/2006/relationships/image" Target="media/image84.png"/><Relationship Id="rId132" Type="http://schemas.openxmlformats.org/officeDocument/2006/relationships/image" Target="media/image85.png"/><Relationship Id="rId133" Type="http://schemas.openxmlformats.org/officeDocument/2006/relationships/image" Target="media/image86.png"/><Relationship Id="rId134" Type="http://schemas.openxmlformats.org/officeDocument/2006/relationships/image" Target="media/image87.png"/><Relationship Id="rId135" Type="http://schemas.openxmlformats.org/officeDocument/2006/relationships/image" Target="media/image88.png"/><Relationship Id="rId136" Type="http://schemas.openxmlformats.org/officeDocument/2006/relationships/image" Target="media/image89.png"/><Relationship Id="rId137" Type="http://schemas.openxmlformats.org/officeDocument/2006/relationships/image" Target="media/image90.png"/><Relationship Id="rId138" Type="http://schemas.openxmlformats.org/officeDocument/2006/relationships/image" Target="media/image91.png"/><Relationship Id="rId139" Type="http://schemas.openxmlformats.org/officeDocument/2006/relationships/image" Target="media/image92.png"/><Relationship Id="rId140" Type="http://schemas.openxmlformats.org/officeDocument/2006/relationships/image" Target="media/image93.png"/><Relationship Id="rId141" Type="http://schemas.openxmlformats.org/officeDocument/2006/relationships/image" Target="media/image94.png"/><Relationship Id="rId142" Type="http://schemas.openxmlformats.org/officeDocument/2006/relationships/image" Target="media/image95.png"/><Relationship Id="rId143" Type="http://schemas.openxmlformats.org/officeDocument/2006/relationships/image" Target="media/image96.png"/><Relationship Id="rId144" Type="http://schemas.openxmlformats.org/officeDocument/2006/relationships/image" Target="media/image97.png"/><Relationship Id="rId145" Type="http://schemas.openxmlformats.org/officeDocument/2006/relationships/image" Target="media/image98.png"/><Relationship Id="rId146" Type="http://schemas.openxmlformats.org/officeDocument/2006/relationships/image" Target="media/image99.png"/><Relationship Id="rId147" Type="http://schemas.openxmlformats.org/officeDocument/2006/relationships/image" Target="media/image100.png"/><Relationship Id="rId148" Type="http://schemas.openxmlformats.org/officeDocument/2006/relationships/image" Target="media/image101.png"/><Relationship Id="rId149" Type="http://schemas.openxmlformats.org/officeDocument/2006/relationships/image" Target="media/image102.png"/><Relationship Id="rId150" Type="http://schemas.openxmlformats.org/officeDocument/2006/relationships/image" Target="media/image103.png"/><Relationship Id="rId151" Type="http://schemas.openxmlformats.org/officeDocument/2006/relationships/image" Target="media/image104.png"/><Relationship Id="rId152" Type="http://schemas.openxmlformats.org/officeDocument/2006/relationships/image" Target="media/image105.png"/><Relationship Id="rId153" Type="http://schemas.openxmlformats.org/officeDocument/2006/relationships/image" Target="media/image106.png"/><Relationship Id="rId154" Type="http://schemas.openxmlformats.org/officeDocument/2006/relationships/image" Target="media/image107.png"/><Relationship Id="rId155" Type="http://schemas.openxmlformats.org/officeDocument/2006/relationships/image" Target="media/image108.png"/><Relationship Id="rId156" Type="http://schemas.openxmlformats.org/officeDocument/2006/relationships/image" Target="media/image109.png"/><Relationship Id="rId157"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新国都</dc:creator>
  <dc:title>深圳市新国都技术股份有限公司2010年年度报告摘要</dc:title>
  <dcterms:created xsi:type="dcterms:W3CDTF">2020-04-29T04:12:29Z</dcterms:created>
  <dcterms:modified xsi:type="dcterms:W3CDTF">2020-04-29T04:12:29Z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2011-03-30T00:00:00Z</vt:filetime>
  </property>
  <property fmtid="{D5CDD505-2E9C-101B-9397-08002B2CF9AE}" pid="3" name="Creator">
    <vt:lpwstr>Microsoft® Office Word 2007</vt:lpwstr>
  </property>
  <property fmtid="{D5CDD505-2E9C-101B-9397-08002B2CF9AE}" pid="4" name="LastSaved">
    <vt:filetime>2020-04-28T00:00:00Z</vt:filetime>
  </property>
</Properties>
</file>