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spacing w:line="2404" w:lineRule="exact"/>
        <w:ind w:left="15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3427937" cy="15270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27937" cy="1527048"/>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621" w:lineRule="exact" w:before="0"/>
        <w:ind w:left="0" w:right="0" w:firstLine="0"/>
        <w:jc w:val="center"/>
        <w:rPr>
          <w:rFonts w:ascii="宋体" w:hAnsi="宋体" w:cs="宋体" w:eastAsia="宋体" w:hint="default"/>
          <w:sz w:val="52"/>
          <w:szCs w:val="52"/>
        </w:rPr>
      </w:pPr>
      <w:r>
        <w:rPr>
          <w:rFonts w:ascii="宋体" w:hAnsi="宋体" w:cs="宋体" w:eastAsia="宋体" w:hint="default"/>
          <w:b/>
          <w:bCs/>
          <w:sz w:val="52"/>
          <w:szCs w:val="52"/>
        </w:rPr>
        <w:t>深圳市新国都技术股份有限公司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8"/>
        <w:rPr>
          <w:rFonts w:ascii="宋体" w:hAnsi="宋体" w:cs="宋体" w:eastAsia="宋体" w:hint="default"/>
          <w:b/>
          <w:bCs/>
          <w:sz w:val="50"/>
          <w:szCs w:val="50"/>
        </w:rPr>
      </w:pPr>
    </w:p>
    <w:p>
      <w:pPr>
        <w:spacing w:before="0"/>
        <w:ind w:left="1" w:right="0" w:firstLine="0"/>
        <w:jc w:val="center"/>
        <w:rPr>
          <w:rFonts w:ascii="宋体" w:hAnsi="宋体" w:cs="宋体" w:eastAsia="宋体" w:hint="default"/>
          <w:sz w:val="52"/>
          <w:szCs w:val="52"/>
        </w:rPr>
      </w:pPr>
      <w:r>
        <w:rPr>
          <w:rFonts w:ascii="宋体" w:hAnsi="宋体" w:cs="宋体" w:eastAsia="宋体" w:hint="default"/>
          <w:b/>
          <w:bCs/>
          <w:sz w:val="52"/>
          <w:szCs w:val="52"/>
        </w:rPr>
        <w:t>2011</w:t>
      </w:r>
      <w:r>
        <w:rPr>
          <w:rFonts w:ascii="宋体" w:hAnsi="宋体" w:cs="宋体" w:eastAsia="宋体" w:hint="default"/>
          <w:b/>
          <w:bCs/>
          <w:spacing w:val="-133"/>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2"/>
        <w:rPr>
          <w:rFonts w:ascii="宋体" w:hAnsi="宋体" w:cs="宋体" w:eastAsia="宋体" w:hint="default"/>
          <w:b/>
          <w:bCs/>
          <w:sz w:val="68"/>
          <w:szCs w:val="68"/>
        </w:rPr>
      </w:pPr>
    </w:p>
    <w:p>
      <w:pPr>
        <w:pStyle w:val="Heading2"/>
        <w:spacing w:line="357" w:lineRule="auto"/>
        <w:ind w:left="2993" w:right="2991"/>
        <w:jc w:val="center"/>
        <w:rPr>
          <w:rFonts w:ascii="宋体" w:hAnsi="宋体" w:cs="宋体" w:eastAsia="宋体" w:hint="default"/>
        </w:rPr>
      </w:pPr>
      <w:r>
        <w:rPr>
          <w:rFonts w:ascii="宋体" w:hAnsi="宋体" w:cs="宋体" w:eastAsia="宋体" w:hint="default"/>
          <w:w w:val="95"/>
        </w:rPr>
        <w:t>股票代码：</w:t>
      </w:r>
      <w:r>
        <w:rPr>
          <w:rFonts w:ascii="宋体" w:hAnsi="宋体" w:cs="宋体" w:eastAsia="宋体" w:hint="default"/>
          <w:w w:val="95"/>
        </w:rPr>
        <w:t>300130</w:t>
      </w:r>
      <w:r>
        <w:rPr>
          <w:rFonts w:ascii="宋体" w:hAnsi="宋体" w:cs="宋体" w:eastAsia="宋体" w:hint="default"/>
          <w:spacing w:val="-37"/>
          <w:w w:val="95"/>
        </w:rPr>
        <w:t> </w:t>
      </w:r>
      <w:r>
        <w:rPr>
          <w:rFonts w:ascii="宋体" w:hAnsi="宋体" w:cs="宋体" w:eastAsia="宋体" w:hint="default"/>
          <w:spacing w:val="-37"/>
          <w:w w:val="95"/>
        </w:rPr>
      </w:r>
      <w:r>
        <w:rPr>
          <w:rFonts w:ascii="宋体" w:hAnsi="宋体" w:cs="宋体" w:eastAsia="宋体" w:hint="default"/>
        </w:rPr>
        <w:t>股票简称：新国都</w:t>
      </w:r>
    </w:p>
    <w:p>
      <w:pPr>
        <w:spacing w:after="0" w:line="357" w:lineRule="auto"/>
        <w:jc w:val="center"/>
        <w:rPr>
          <w:rFonts w:ascii="宋体" w:hAnsi="宋体" w:cs="宋体" w:eastAsia="宋体" w:hint="default"/>
        </w:rPr>
        <w:sectPr>
          <w:type w:val="continuous"/>
          <w:pgSz w:w="11910" w:h="16840"/>
          <w:pgMar w:top="1580" w:bottom="280" w:left="1680" w:right="1680"/>
        </w:sectPr>
      </w:pPr>
    </w:p>
    <w:p>
      <w:pPr>
        <w:spacing w:line="525" w:lineRule="exact" w:before="0"/>
        <w:ind w:left="3614" w:right="3245"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7"/>
        <w:rPr>
          <w:rFonts w:ascii="宋体" w:hAnsi="宋体" w:cs="宋体" w:eastAsia="宋体" w:hint="default"/>
          <w:b/>
          <w:bCs/>
          <w:sz w:val="65"/>
          <w:szCs w:val="65"/>
        </w:rPr>
      </w:pPr>
    </w:p>
    <w:p>
      <w:pPr>
        <w:pStyle w:val="BodyText"/>
        <w:spacing w:line="357" w:lineRule="auto"/>
        <w:ind w:right="237" w:firstLine="479"/>
        <w:jc w:val="both"/>
      </w:pPr>
      <w:r>
        <w:rPr>
          <w:spacing w:val="-3"/>
        </w:rPr>
        <w:t>１、本公司董事会、监事会及其董事、监事、高级管理人员保证本报告所载</w:t>
      </w:r>
      <w:r>
        <w:rPr/>
        <w:t> </w:t>
      </w:r>
      <w:r>
        <w:rPr>
          <w:spacing w:val="-3"/>
        </w:rPr>
        <w:t>资料不存在任何虚假记载、误导性陈述或者重大遗漏，并对其内容的真实性、准</w:t>
      </w:r>
      <w:r>
        <w:rPr>
          <w:spacing w:val="-111"/>
        </w:rPr>
        <w:t> </w:t>
      </w:r>
      <w:r>
        <w:rPr>
          <w:spacing w:val="-111"/>
        </w:rPr>
      </w:r>
      <w:r>
        <w:rPr>
          <w:spacing w:val="-3"/>
        </w:rPr>
        <w:t>确性和完整性负个别及连带责任。本年度报告摘要摘自年度报告全文，报告全文</w:t>
      </w:r>
      <w:r>
        <w:rPr>
          <w:spacing w:val="-111"/>
        </w:rPr>
        <w:t> </w:t>
      </w:r>
      <w:r>
        <w:rPr>
          <w:spacing w:val="-111"/>
        </w:rPr>
      </w:r>
      <w:r>
        <w:rPr>
          <w:spacing w:val="-3"/>
        </w:rPr>
        <w:t>同时刊载于证监会指定网站和公司网站。为全面了解本公司生产经营状况和财务</w:t>
      </w:r>
      <w:r>
        <w:rPr>
          <w:spacing w:val="-109"/>
        </w:rPr>
        <w:t> </w:t>
      </w:r>
      <w:r>
        <w:rPr>
          <w:spacing w:val="-109"/>
        </w:rPr>
      </w:r>
      <w:r>
        <w:rPr/>
        <w:t>成果及公司的未来发展规划，投资者应到指定网站仔细阅读年度报告全文。</w:t>
      </w:r>
    </w:p>
    <w:p>
      <w:pPr>
        <w:pStyle w:val="BodyText"/>
        <w:spacing w:line="357" w:lineRule="auto" w:before="36"/>
        <w:ind w:right="237" w:firstLine="479"/>
        <w:jc w:val="both"/>
      </w:pPr>
      <w:r>
        <w:rPr>
          <w:spacing w:val="-3"/>
        </w:rPr>
        <w:t>２、没有董事、监事、高级管理人员声明对年度报告内容的真实性、准确性</w:t>
      </w:r>
      <w:r>
        <w:rPr/>
        <w:t> 和完整性无法保证或存在异议。</w:t>
      </w:r>
    </w:p>
    <w:p>
      <w:pPr>
        <w:pStyle w:val="BodyText"/>
        <w:spacing w:line="357" w:lineRule="auto" w:before="36"/>
        <w:ind w:right="263" w:firstLine="479"/>
        <w:jc w:val="both"/>
      </w:pPr>
      <w:r>
        <w:rPr/>
        <w:t>３、公司</w:t>
      </w:r>
      <w:r>
        <w:rPr>
          <w:spacing w:val="-60"/>
        </w:rPr>
        <w:t> </w:t>
      </w:r>
      <w:r>
        <w:rPr>
          <w:rFonts w:ascii="宋体" w:hAnsi="宋体" w:cs="宋体" w:eastAsia="宋体" w:hint="default"/>
        </w:rPr>
        <w:t>2011</w:t>
      </w:r>
      <w:r>
        <w:rPr>
          <w:rFonts w:ascii="宋体" w:hAnsi="宋体" w:cs="宋体" w:eastAsia="宋体" w:hint="default"/>
          <w:spacing w:val="-60"/>
        </w:rPr>
        <w:t> </w:t>
      </w:r>
      <w:r>
        <w:rPr/>
        <w:t>年年度报告已经公司第二届董事会第五次会议审议通过，所 有董事均已参加审议本次年报的董事会会议。</w:t>
      </w:r>
    </w:p>
    <w:p>
      <w:pPr>
        <w:pStyle w:val="BodyText"/>
        <w:spacing w:line="357" w:lineRule="auto" w:before="36"/>
        <w:ind w:right="263" w:firstLine="479"/>
        <w:jc w:val="both"/>
      </w:pPr>
      <w:r>
        <w:rPr/>
        <w:t>４、大华会计师事务所有限公司为本公司</w:t>
      </w:r>
      <w:r>
        <w:rPr>
          <w:spacing w:val="-59"/>
        </w:rPr>
        <w:t> </w:t>
      </w:r>
      <w:r>
        <w:rPr>
          <w:rFonts w:ascii="宋体" w:hAnsi="宋体" w:cs="宋体" w:eastAsia="宋体" w:hint="default"/>
        </w:rPr>
        <w:t>2011</w:t>
      </w:r>
      <w:r>
        <w:rPr>
          <w:rFonts w:ascii="宋体" w:hAnsi="宋体" w:cs="宋体" w:eastAsia="宋体" w:hint="default"/>
          <w:spacing w:val="-60"/>
        </w:rPr>
        <w:t> </w:t>
      </w:r>
      <w:r>
        <w:rPr/>
        <w:t>年度财务报告出具了标准无 保留意见的审计报报告。</w:t>
      </w:r>
    </w:p>
    <w:p>
      <w:pPr>
        <w:pStyle w:val="BodyText"/>
        <w:spacing w:line="271" w:lineRule="exact"/>
        <w:ind w:left="600" w:right="0"/>
        <w:jc w:val="left"/>
      </w:pPr>
      <w:r>
        <w:rPr/>
        <w:t>５</w:t>
      </w:r>
      <w:r>
        <w:rPr>
          <w:spacing w:val="-108"/>
        </w:rPr>
        <w:t>、</w:t>
      </w:r>
      <w:r>
        <w:rPr/>
        <w:t>公司负责人刘祥</w:t>
      </w:r>
      <w:r>
        <w:rPr>
          <w:spacing w:val="-108"/>
        </w:rPr>
        <w:t>、</w:t>
      </w:r>
      <w:r>
        <w:rPr>
          <w:spacing w:val="2"/>
        </w:rPr>
        <w:t>主</w:t>
      </w:r>
      <w:r>
        <w:rPr/>
        <w:t>管会计工作负责人赵辉及会计机构负责</w:t>
      </w:r>
      <w:r>
        <w:rPr>
          <w:spacing w:val="1"/>
        </w:rPr>
        <w:t>人</w:t>
      </w:r>
      <w:r>
        <w:rPr/>
        <w:t>赵辉声明：</w:t>
      </w:r>
    </w:p>
    <w:p>
      <w:pPr>
        <w:pStyle w:val="BodyText"/>
        <w:spacing w:line="240" w:lineRule="auto" w:before="154"/>
        <w:ind w:right="0"/>
        <w:jc w:val="left"/>
      </w:pPr>
      <w:r>
        <w:rPr/>
        <w:t>保证年度报告中财务报告的真实、完整。</w:t>
      </w:r>
    </w:p>
    <w:p>
      <w:pPr>
        <w:spacing w:after="0" w:line="240" w:lineRule="auto"/>
        <w:jc w:val="left"/>
        <w:sectPr>
          <w:pgSz w:w="11910" w:h="16840"/>
          <w:pgMar w:top="1400" w:bottom="280" w:left="1680" w:right="1560"/>
        </w:sectPr>
      </w:pPr>
    </w:p>
    <w:p>
      <w:pPr>
        <w:spacing w:line="240" w:lineRule="auto" w:before="12"/>
        <w:rPr>
          <w:rFonts w:ascii="宋体" w:hAnsi="宋体" w:cs="宋体" w:eastAsia="宋体" w:hint="default"/>
          <w:sz w:val="20"/>
          <w:szCs w:val="20"/>
        </w:rPr>
      </w:pPr>
    </w:p>
    <w:p>
      <w:pPr>
        <w:tabs>
          <w:tab w:pos="1989" w:val="left" w:leader="none"/>
        </w:tabs>
        <w:spacing w:line="539" w:lineRule="exact" w:before="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8"/>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8422" w:val="right" w:leader="dot"/>
            </w:tabs>
            <w:spacing w:line="240" w:lineRule="auto" w:before="0"/>
            <w:ind w:right="0"/>
            <w:jc w:val="left"/>
            <w:rPr>
              <w:rFonts w:ascii="宋体" w:hAnsi="宋体" w:cs="宋体" w:eastAsia="宋体" w:hint="default"/>
              <w:b w:val="0"/>
              <w:bCs w:val="0"/>
            </w:rPr>
          </w:pPr>
          <w:hyperlink w:history="true" w:anchor="_TOC_250000">
            <w:r>
              <w:rPr/>
              <w:t>第一节</w:t>
            </w:r>
            <w:r>
              <w:rPr>
                <w:spacing w:val="66"/>
              </w:rPr>
              <w:t> </w:t>
            </w:r>
            <w:r>
              <w:rPr/>
              <w:t>公司基本情况简介</w:t>
            </w:r>
            <w:r>
              <w:rPr>
                <w:rFonts w:ascii="宋体" w:hAnsi="宋体" w:cs="宋体" w:eastAsia="宋体" w:hint="default"/>
              </w:rPr>
              <w:tab/>
              <w:t>1</w:t>
            </w:r>
            <w:r>
              <w:rPr>
                <w:rFonts w:ascii="宋体" w:hAnsi="宋体" w:cs="宋体" w:eastAsia="宋体" w:hint="default"/>
                <w:b w:val="0"/>
                <w:bCs w:val="0"/>
              </w:rPr>
            </w:r>
          </w:hyperlink>
        </w:p>
        <w:p>
          <w:pPr>
            <w:pStyle w:val="TOC1"/>
            <w:tabs>
              <w:tab w:pos="8422" w:val="right" w:leader="dot"/>
            </w:tabs>
            <w:spacing w:line="240" w:lineRule="auto" w:before="491"/>
            <w:ind w:right="0"/>
            <w:jc w:val="left"/>
            <w:rPr>
              <w:rFonts w:ascii="宋体" w:hAnsi="宋体" w:cs="宋体" w:eastAsia="宋体" w:hint="default"/>
              <w:b w:val="0"/>
              <w:bCs w:val="0"/>
            </w:rPr>
          </w:pPr>
          <w:hyperlink w:history="true" w:anchor="_bookmark0">
            <w:r>
              <w:rPr/>
              <w:t>第二节</w:t>
            </w:r>
            <w:r>
              <w:rPr>
                <w:spacing w:val="66"/>
              </w:rPr>
              <w:t> </w:t>
            </w:r>
            <w:r>
              <w:rPr/>
              <w:t>会计数据和业务数据摘要</w:t>
            </w:r>
            <w:r>
              <w:rPr>
                <w:rFonts w:ascii="宋体" w:hAnsi="宋体" w:cs="宋体" w:eastAsia="宋体" w:hint="default"/>
              </w:rPr>
              <w:tab/>
              <w:t>3</w:t>
            </w:r>
            <w:r>
              <w:rPr>
                <w:rFonts w:ascii="宋体" w:hAnsi="宋体" w:cs="宋体" w:eastAsia="宋体" w:hint="default"/>
                <w:b w:val="0"/>
                <w:bCs w:val="0"/>
              </w:rPr>
            </w:r>
          </w:hyperlink>
        </w:p>
        <w:p>
          <w:pPr>
            <w:pStyle w:val="TOC1"/>
            <w:tabs>
              <w:tab w:pos="8422" w:val="right" w:leader="dot"/>
            </w:tabs>
            <w:spacing w:line="240" w:lineRule="auto"/>
            <w:ind w:right="0"/>
            <w:jc w:val="left"/>
            <w:rPr>
              <w:rFonts w:ascii="宋体" w:hAnsi="宋体" w:cs="宋体" w:eastAsia="宋体" w:hint="default"/>
              <w:b w:val="0"/>
              <w:bCs w:val="0"/>
            </w:rPr>
          </w:pPr>
          <w:hyperlink w:history="true" w:anchor="_bookmark1">
            <w:r>
              <w:rPr/>
              <w:t>第三节</w:t>
            </w:r>
            <w:r>
              <w:rPr>
                <w:spacing w:val="66"/>
              </w:rPr>
              <w:t> </w:t>
            </w:r>
            <w:r>
              <w:rPr/>
              <w:t>董事会报告</w:t>
            </w:r>
            <w:r>
              <w:rPr>
                <w:rFonts w:ascii="宋体" w:hAnsi="宋体" w:cs="宋体" w:eastAsia="宋体" w:hint="default"/>
              </w:rPr>
              <w:tab/>
              <w:t>4</w:t>
            </w:r>
            <w:r>
              <w:rPr>
                <w:rFonts w:ascii="宋体" w:hAnsi="宋体" w:cs="宋体" w:eastAsia="宋体" w:hint="default"/>
                <w:b w:val="0"/>
                <w:bCs w:val="0"/>
              </w:rPr>
            </w:r>
          </w:hyperlink>
        </w:p>
        <w:p>
          <w:pPr>
            <w:pStyle w:val="TOC1"/>
            <w:tabs>
              <w:tab w:pos="8423" w:val="right" w:leader="dot"/>
            </w:tabs>
            <w:spacing w:line="240" w:lineRule="auto"/>
            <w:ind w:right="0"/>
            <w:jc w:val="left"/>
            <w:rPr>
              <w:rFonts w:ascii="宋体" w:hAnsi="宋体" w:cs="宋体" w:eastAsia="宋体" w:hint="default"/>
              <w:b w:val="0"/>
              <w:bCs w:val="0"/>
            </w:rPr>
          </w:pPr>
          <w:hyperlink w:history="true" w:anchor="_bookmark2">
            <w:r>
              <w:rPr/>
              <w:t>第四节</w:t>
            </w:r>
            <w:r>
              <w:rPr>
                <w:spacing w:val="67"/>
              </w:rPr>
              <w:t> </w:t>
            </w:r>
            <w:r>
              <w:rPr/>
              <w:t>重要事项</w:t>
            </w:r>
            <w:r>
              <w:rPr>
                <w:rFonts w:ascii="宋体" w:hAnsi="宋体" w:cs="宋体" w:eastAsia="宋体" w:hint="default"/>
              </w:rPr>
              <w:tab/>
              <w:t>47</w:t>
            </w:r>
            <w:r>
              <w:rPr>
                <w:rFonts w:ascii="宋体" w:hAnsi="宋体" w:cs="宋体" w:eastAsia="宋体" w:hint="default"/>
                <w:b w:val="0"/>
                <w:bCs w:val="0"/>
              </w:rPr>
            </w:r>
          </w:hyperlink>
        </w:p>
        <w:p>
          <w:pPr>
            <w:pStyle w:val="TOC1"/>
            <w:tabs>
              <w:tab w:pos="8423" w:val="right" w:leader="dot"/>
            </w:tabs>
            <w:spacing w:line="240" w:lineRule="auto"/>
            <w:ind w:right="0"/>
            <w:jc w:val="left"/>
            <w:rPr>
              <w:rFonts w:ascii="宋体" w:hAnsi="宋体" w:cs="宋体" w:eastAsia="宋体" w:hint="default"/>
              <w:b w:val="0"/>
              <w:bCs w:val="0"/>
            </w:rPr>
          </w:pPr>
          <w:hyperlink w:history="true" w:anchor="_bookmark3">
            <w:r>
              <w:rPr/>
              <w:t>第五节</w:t>
            </w:r>
            <w:r>
              <w:rPr>
                <w:spacing w:val="66"/>
              </w:rPr>
              <w:t> </w:t>
            </w:r>
            <w:r>
              <w:rPr/>
              <w:t>股本变动及股东情况</w:t>
            </w:r>
            <w:r>
              <w:rPr>
                <w:rFonts w:ascii="宋体" w:hAnsi="宋体" w:cs="宋体" w:eastAsia="宋体" w:hint="default"/>
              </w:rPr>
              <w:tab/>
              <w:t>54</w:t>
            </w:r>
            <w:r>
              <w:rPr>
                <w:rFonts w:ascii="宋体" w:hAnsi="宋体" w:cs="宋体" w:eastAsia="宋体" w:hint="default"/>
                <w:b w:val="0"/>
                <w:bCs w:val="0"/>
              </w:rPr>
            </w:r>
          </w:hyperlink>
        </w:p>
        <w:p>
          <w:pPr>
            <w:pStyle w:val="TOC1"/>
            <w:tabs>
              <w:tab w:pos="8423" w:val="right" w:leader="dot"/>
            </w:tabs>
            <w:spacing w:line="240" w:lineRule="auto"/>
            <w:ind w:right="0"/>
            <w:jc w:val="left"/>
            <w:rPr>
              <w:rFonts w:ascii="宋体" w:hAnsi="宋体" w:cs="宋体" w:eastAsia="宋体" w:hint="default"/>
              <w:b w:val="0"/>
              <w:bCs w:val="0"/>
            </w:rPr>
          </w:pPr>
          <w:hyperlink w:history="true" w:anchor="_bookmark4">
            <w:r>
              <w:rPr/>
              <w:t>第六节</w:t>
            </w:r>
            <w:r>
              <w:rPr>
                <w:spacing w:val="66"/>
              </w:rPr>
              <w:t> </w:t>
            </w:r>
            <w:r>
              <w:rPr/>
              <w:t>董事、监事、高级管理人员和员工情况</w:t>
            </w:r>
            <w:r>
              <w:rPr>
                <w:rFonts w:ascii="宋体" w:hAnsi="宋体" w:cs="宋体" w:eastAsia="宋体" w:hint="default"/>
              </w:rPr>
              <w:tab/>
              <w:t>58</w:t>
            </w:r>
            <w:r>
              <w:rPr>
                <w:rFonts w:ascii="宋体" w:hAnsi="宋体" w:cs="宋体" w:eastAsia="宋体" w:hint="default"/>
                <w:b w:val="0"/>
                <w:bCs w:val="0"/>
              </w:rPr>
            </w:r>
          </w:hyperlink>
        </w:p>
        <w:p>
          <w:pPr>
            <w:pStyle w:val="TOC1"/>
            <w:tabs>
              <w:tab w:pos="8423"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67"/>
              </w:rPr>
              <w:t> </w:t>
            </w:r>
            <w:r>
              <w:rPr/>
              <w:t>公司治理结构</w:t>
            </w:r>
            <w:r>
              <w:rPr>
                <w:rFonts w:ascii="宋体" w:hAnsi="宋体" w:cs="宋体" w:eastAsia="宋体" w:hint="default"/>
              </w:rPr>
              <w:tab/>
              <w:t>63</w:t>
            </w:r>
            <w:r>
              <w:rPr>
                <w:rFonts w:ascii="宋体" w:hAnsi="宋体" w:cs="宋体" w:eastAsia="宋体" w:hint="default"/>
                <w:b w:val="0"/>
                <w:bCs w:val="0"/>
              </w:rPr>
            </w:r>
          </w:hyperlink>
        </w:p>
        <w:p>
          <w:pPr>
            <w:pStyle w:val="TOC1"/>
            <w:tabs>
              <w:tab w:pos="8423"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67"/>
              </w:rPr>
              <w:t> </w:t>
            </w:r>
            <w:r>
              <w:rPr/>
              <w:t>监事会报告</w:t>
            </w:r>
            <w:r>
              <w:rPr>
                <w:rFonts w:ascii="宋体" w:hAnsi="宋体" w:cs="宋体" w:eastAsia="宋体" w:hint="default"/>
              </w:rPr>
              <w:tab/>
              <w:t>75</w:t>
            </w:r>
            <w:r>
              <w:rPr>
                <w:rFonts w:ascii="宋体" w:hAnsi="宋体" w:cs="宋体" w:eastAsia="宋体" w:hint="default"/>
                <w:b w:val="0"/>
                <w:bCs w:val="0"/>
              </w:rPr>
            </w:r>
          </w:hyperlink>
        </w:p>
        <w:p>
          <w:pPr>
            <w:pStyle w:val="TOC1"/>
            <w:tabs>
              <w:tab w:pos="8423" w:val="right" w:leader="dot"/>
            </w:tabs>
            <w:spacing w:line="240" w:lineRule="auto" w:before="491"/>
            <w:ind w:right="0"/>
            <w:jc w:val="left"/>
            <w:rPr>
              <w:rFonts w:ascii="宋体" w:hAnsi="宋体" w:cs="宋体" w:eastAsia="宋体" w:hint="default"/>
              <w:b w:val="0"/>
              <w:bCs w:val="0"/>
            </w:rPr>
          </w:pPr>
          <w:hyperlink w:history="true" w:anchor="_bookmark7">
            <w:r>
              <w:rPr/>
              <w:t>第九节</w:t>
            </w:r>
            <w:r>
              <w:rPr>
                <w:spacing w:val="67"/>
              </w:rPr>
              <w:t> </w:t>
            </w:r>
            <w:r>
              <w:rPr/>
              <w:t>财务报告</w:t>
            </w:r>
            <w:r>
              <w:rPr>
                <w:rFonts w:ascii="宋体" w:hAnsi="宋体" w:cs="宋体" w:eastAsia="宋体" w:hint="default"/>
              </w:rPr>
              <w:tab/>
              <w:t>79</w:t>
            </w:r>
            <w:r>
              <w:rPr>
                <w:rFonts w:ascii="宋体" w:hAnsi="宋体" w:cs="宋体" w:eastAsia="宋体" w:hint="default"/>
                <w:b w:val="0"/>
                <w:bCs w:val="0"/>
              </w:rPr>
            </w:r>
          </w:hyperlink>
        </w:p>
        <w:p>
          <w:pPr>
            <w:pStyle w:val="TOC1"/>
            <w:tabs>
              <w:tab w:pos="8425"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67"/>
              </w:rPr>
              <w:t> </w:t>
            </w:r>
            <w:r>
              <w:rPr/>
              <w:t>备查文件目录</w:t>
            </w:r>
            <w:r>
              <w:rPr>
                <w:rFonts w:ascii="宋体" w:hAnsi="宋体" w:cs="宋体" w:eastAsia="宋体" w:hint="default"/>
              </w:rPr>
              <w:tab/>
              <w:t>149</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top="1580" w:bottom="280" w:left="1680" w:right="1680"/>
        </w:sectPr>
      </w:pPr>
    </w:p>
    <w:p>
      <w:pPr>
        <w:pStyle w:val="Heading1"/>
        <w:tabs>
          <w:tab w:pos="4017" w:val="left" w:leader="none"/>
        </w:tabs>
        <w:spacing w:line="433" w:lineRule="exact"/>
        <w:ind w:left="2637" w:right="0"/>
        <w:jc w:val="left"/>
        <w:rPr>
          <w:b w:val="0"/>
          <w:bCs w:val="0"/>
        </w:rPr>
      </w:pPr>
      <w:bookmarkStart w:name="_TOC_250000" w:id="1"/>
      <w:r>
        <w:rPr>
          <w:w w:val="95"/>
        </w:rPr>
        <w:t>第一节</w:t>
        <w:tab/>
      </w:r>
      <w:r>
        <w:rPr/>
        <w:t>公司基本情况简介</w:t>
      </w:r>
      <w:bookmarkEnd w:id="1"/>
      <w:r>
        <w:rPr>
          <w:b w:val="0"/>
          <w:bCs w:val="0"/>
        </w:rPr>
      </w:r>
    </w:p>
    <w:p>
      <w:pPr>
        <w:pStyle w:val="Heading3"/>
        <w:tabs>
          <w:tab w:pos="1100" w:val="left" w:leader="none"/>
        </w:tabs>
        <w:spacing w:line="240" w:lineRule="auto" w:before="942"/>
        <w:ind w:left="118" w:right="0"/>
        <w:jc w:val="left"/>
        <w:rPr>
          <w:b w:val="0"/>
          <w:bCs w:val="0"/>
        </w:rPr>
      </w:pPr>
      <w:r>
        <w:rPr>
          <w:w w:val="95"/>
        </w:rPr>
        <w:t>一、</w:t>
        <w:tab/>
      </w:r>
      <w:r>
        <w:rPr/>
        <w:t>公司基本情况</w:t>
      </w:r>
      <w:r>
        <w:rPr>
          <w:b w:val="0"/>
          <w:bCs w:val="0"/>
        </w:rPr>
      </w:r>
    </w:p>
    <w:p>
      <w:pPr>
        <w:spacing w:line="240" w:lineRule="auto" w:before="5"/>
        <w:rPr>
          <w:rFonts w:ascii="宋体" w:hAnsi="宋体" w:cs="宋体" w:eastAsia="宋体" w:hint="default"/>
          <w:b/>
          <w:bCs/>
          <w:sz w:val="17"/>
          <w:szCs w:val="17"/>
        </w:rPr>
      </w:pPr>
    </w:p>
    <w:tbl>
      <w:tblPr>
        <w:tblW w:w="0" w:type="auto"/>
        <w:jc w:val="left"/>
        <w:tblInd w:w="147" w:type="dxa"/>
        <w:tblLayout w:type="fixed"/>
        <w:tblCellMar>
          <w:top w:w="0" w:type="dxa"/>
          <w:left w:w="0" w:type="dxa"/>
          <w:bottom w:w="0" w:type="dxa"/>
          <w:right w:w="0" w:type="dxa"/>
        </w:tblCellMar>
        <w:tblLook w:val="01E0"/>
      </w:tblPr>
      <w:tblGrid>
        <w:gridCol w:w="3130"/>
        <w:gridCol w:w="5394"/>
      </w:tblGrid>
      <w:tr>
        <w:trPr>
          <w:trHeight w:val="47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中文名称</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深圳市新国都技术股份有限公司</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英文名称</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SHENZHEN XINGUODU TECHNOLOGY CO.,LTD</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公司简称</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新国都</w:t>
            </w:r>
          </w:p>
        </w:tc>
      </w:tr>
      <w:tr>
        <w:trPr>
          <w:trHeight w:val="47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300130</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法人代表</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刘祥</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赵辉</w:t>
            </w:r>
          </w:p>
        </w:tc>
      </w:tr>
      <w:tr>
        <w:trPr>
          <w:trHeight w:val="94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注册地址</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深圳市福田区深南路车公庙工业区泰然劲松大厦</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r>
              <w:rPr>
                <w:rFonts w:ascii="宋体"/>
                <w:sz w:val="24"/>
              </w:rPr>
              <w:t>17A</w:t>
            </w:r>
          </w:p>
        </w:tc>
      </w:tr>
      <w:tr>
        <w:trPr>
          <w:trHeight w:val="94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办公地址</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深圳市福田区深南路车公庙工业区泰然劲松大厦</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r>
              <w:rPr>
                <w:rFonts w:ascii="宋体"/>
                <w:sz w:val="24"/>
              </w:rPr>
              <w:t>17A</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邮政编码</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518040</w:t>
            </w:r>
          </w:p>
        </w:tc>
      </w:tr>
      <w:tr>
        <w:trPr>
          <w:trHeight w:val="47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
              <w:r>
                <w:rPr>
                  <w:rFonts w:ascii="宋体"/>
                  <w:sz w:val="24"/>
                </w:rPr>
                <w:t>www.xinguodu.com</w:t>
              </w:r>
            </w:hyperlink>
          </w:p>
        </w:tc>
      </w:tr>
      <w:tr>
        <w:trPr>
          <w:trHeight w:val="47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
              <w:r>
                <w:rPr>
                  <w:rFonts w:ascii="宋体"/>
                  <w:sz w:val="24"/>
                </w:rPr>
                <w:t>xgd-zqb@xinguodu.com</w:t>
              </w:r>
            </w:hyperlink>
          </w:p>
        </w:tc>
      </w:tr>
    </w:tbl>
    <w:p>
      <w:pPr>
        <w:spacing w:line="240" w:lineRule="auto" w:before="1"/>
        <w:rPr>
          <w:rFonts w:ascii="宋体" w:hAnsi="宋体" w:cs="宋体" w:eastAsia="宋体" w:hint="default"/>
          <w:b/>
          <w:bCs/>
          <w:sz w:val="32"/>
          <w:szCs w:val="32"/>
        </w:rPr>
      </w:pPr>
    </w:p>
    <w:p>
      <w:pPr>
        <w:pStyle w:val="Heading3"/>
        <w:tabs>
          <w:tab w:pos="1100" w:val="left" w:leader="none"/>
        </w:tabs>
        <w:spacing w:line="240" w:lineRule="auto"/>
        <w:ind w:left="118" w:right="0"/>
        <w:jc w:val="left"/>
        <w:rPr>
          <w:b w:val="0"/>
          <w:bCs w:val="0"/>
        </w:rPr>
      </w:pPr>
      <w:r>
        <w:rPr>
          <w:w w:val="95"/>
        </w:rPr>
        <w:t>二、</w:t>
        <w:tab/>
      </w:r>
      <w:r>
        <w:rPr/>
        <w:t>董事会秘书和证券事务代表</w:t>
      </w:r>
      <w:r>
        <w:rPr>
          <w:b w:val="0"/>
          <w:bCs w:val="0"/>
        </w:rPr>
      </w:r>
    </w:p>
    <w:p>
      <w:pPr>
        <w:spacing w:line="240" w:lineRule="auto" w:before="5"/>
        <w:rPr>
          <w:rFonts w:ascii="宋体" w:hAnsi="宋体" w:cs="宋体" w:eastAsia="宋体" w:hint="default"/>
          <w:b/>
          <w:bCs/>
          <w:sz w:val="17"/>
          <w:szCs w:val="17"/>
        </w:rPr>
      </w:pPr>
    </w:p>
    <w:tbl>
      <w:tblPr>
        <w:tblW w:w="0" w:type="auto"/>
        <w:jc w:val="left"/>
        <w:tblInd w:w="150" w:type="dxa"/>
        <w:tblLayout w:type="fixed"/>
        <w:tblCellMar>
          <w:top w:w="0" w:type="dxa"/>
          <w:left w:w="0" w:type="dxa"/>
          <w:bottom w:w="0" w:type="dxa"/>
          <w:right w:w="0" w:type="dxa"/>
        </w:tblCellMar>
        <w:tblLook w:val="01E0"/>
      </w:tblPr>
      <w:tblGrid>
        <w:gridCol w:w="1301"/>
        <w:gridCol w:w="3632"/>
        <w:gridCol w:w="3587"/>
      </w:tblGrid>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6"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赵辉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李艳芳</w:t>
            </w:r>
          </w:p>
        </w:tc>
      </w:tr>
      <w:tr>
        <w:trPr>
          <w:trHeight w:val="94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深圳市福田区深南路车公庙工业</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区泰然劲松大厦</w:t>
            </w:r>
            <w:r>
              <w:rPr>
                <w:rFonts w:ascii="宋体" w:hAnsi="宋体" w:cs="宋体" w:eastAsia="宋体" w:hint="default"/>
                <w:spacing w:val="-60"/>
                <w:sz w:val="24"/>
                <w:szCs w:val="24"/>
              </w:rPr>
              <w:t> </w:t>
            </w:r>
            <w:r>
              <w:rPr>
                <w:rFonts w:ascii="宋体" w:hAnsi="宋体" w:cs="宋体" w:eastAsia="宋体" w:hint="default"/>
                <w:sz w:val="24"/>
                <w:szCs w:val="24"/>
              </w:rPr>
              <w:t>17A</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深圳市福田区深南路车公庙工业</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区泰然劲松大厦</w:t>
            </w:r>
            <w:r>
              <w:rPr>
                <w:rFonts w:ascii="宋体" w:hAnsi="宋体" w:cs="宋体" w:eastAsia="宋体" w:hint="default"/>
                <w:spacing w:val="-60"/>
                <w:sz w:val="24"/>
                <w:szCs w:val="24"/>
              </w:rPr>
              <w:t> </w:t>
            </w:r>
            <w:r>
              <w:rPr>
                <w:rFonts w:ascii="宋体" w:hAnsi="宋体" w:cs="宋体" w:eastAsia="宋体" w:hint="default"/>
                <w:sz w:val="24"/>
                <w:szCs w:val="24"/>
              </w:rPr>
              <w:t>17A</w:t>
            </w: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0755-83890390</w:t>
            </w:r>
            <w:r>
              <w:rPr>
                <w:rFonts w:ascii="宋体" w:hAnsi="宋体" w:cs="宋体" w:eastAsia="宋体" w:hint="default"/>
                <w:sz w:val="24"/>
                <w:szCs w:val="24"/>
              </w:rPr>
              <w:t>；</w:t>
            </w:r>
            <w:r>
              <w:rPr>
                <w:rFonts w:ascii="宋体" w:hAnsi="宋体" w:cs="宋体" w:eastAsia="宋体" w:hint="default"/>
                <w:sz w:val="24"/>
                <w:szCs w:val="24"/>
              </w:rPr>
              <w:t>0755-83899462</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0755-83890390</w:t>
            </w:r>
            <w:r>
              <w:rPr>
                <w:rFonts w:ascii="宋体" w:hAnsi="宋体" w:cs="宋体" w:eastAsia="宋体" w:hint="default"/>
                <w:sz w:val="24"/>
                <w:szCs w:val="24"/>
              </w:rPr>
              <w:t>；</w:t>
            </w:r>
            <w:r>
              <w:rPr>
                <w:rFonts w:ascii="宋体" w:hAnsi="宋体" w:cs="宋体" w:eastAsia="宋体" w:hint="default"/>
                <w:sz w:val="24"/>
                <w:szCs w:val="24"/>
              </w:rPr>
              <w:t>0755-83481391</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0755-86319990</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0755-86319990</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9">
              <w:r>
                <w:rPr>
                  <w:rFonts w:ascii="宋体"/>
                  <w:sz w:val="24"/>
                </w:rPr>
                <w:t>zhaohui@xinguodu.com</w:t>
              </w:r>
            </w:hyperlink>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liyanfang@xinguodu.com</w:t>
              </w:r>
            </w:hyperlink>
          </w:p>
        </w:tc>
      </w:tr>
    </w:tbl>
    <w:p>
      <w:pPr>
        <w:spacing w:line="240" w:lineRule="auto" w:before="0"/>
        <w:rPr>
          <w:rFonts w:ascii="宋体" w:hAnsi="宋体" w:cs="宋体" w:eastAsia="宋体" w:hint="default"/>
          <w:b/>
          <w:bCs/>
          <w:sz w:val="20"/>
          <w:szCs w:val="20"/>
        </w:rPr>
      </w:pPr>
    </w:p>
    <w:p>
      <w:pPr>
        <w:spacing w:before="155"/>
        <w:ind w:left="118" w:right="0" w:firstLine="0"/>
        <w:jc w:val="left"/>
        <w:rPr>
          <w:rFonts w:ascii="宋体" w:hAnsi="宋体" w:cs="宋体" w:eastAsia="宋体" w:hint="default"/>
          <w:sz w:val="28"/>
          <w:szCs w:val="28"/>
        </w:rPr>
      </w:pPr>
      <w:r>
        <w:rPr>
          <w:rFonts w:ascii="宋体" w:hAnsi="宋体" w:cs="宋体" w:eastAsia="宋体" w:hint="default"/>
          <w:b/>
          <w:bCs/>
          <w:sz w:val="24"/>
          <w:szCs w:val="24"/>
        </w:rPr>
        <w:t>三、</w:t>
      </w:r>
      <w:r>
        <w:rPr>
          <w:rFonts w:ascii="宋体" w:hAnsi="宋体" w:cs="宋体" w:eastAsia="宋体" w:hint="default"/>
          <w:b/>
          <w:bCs/>
          <w:spacing w:val="-44"/>
          <w:sz w:val="24"/>
          <w:szCs w:val="24"/>
        </w:rPr>
        <w:t> </w:t>
      </w:r>
      <w:r>
        <w:rPr>
          <w:rFonts w:ascii="宋体" w:hAnsi="宋体" w:cs="宋体" w:eastAsia="宋体" w:hint="default"/>
          <w:b/>
          <w:bCs/>
          <w:sz w:val="28"/>
          <w:szCs w:val="28"/>
        </w:rPr>
        <w:t>公司选定的披露信息渠道</w:t>
      </w:r>
      <w:r>
        <w:rPr>
          <w:rFonts w:ascii="宋体" w:hAnsi="宋体" w:cs="宋体" w:eastAsia="宋体" w:hint="default"/>
          <w:sz w:val="28"/>
          <w:szCs w:val="28"/>
        </w:rPr>
      </w:r>
    </w:p>
    <w:p>
      <w:pPr>
        <w:pStyle w:val="BodyText"/>
        <w:spacing w:line="240" w:lineRule="auto" w:before="186"/>
        <w:ind w:left="680" w:right="0"/>
        <w:jc w:val="left"/>
      </w:pPr>
      <w:r>
        <w:rPr/>
        <w:t>披露信息报纸名称：《中国证券报》、《证券时报》、《上海证券部》</w:t>
      </w:r>
    </w:p>
    <w:p>
      <w:pPr>
        <w:spacing w:after="0" w:line="240" w:lineRule="auto"/>
        <w:jc w:val="left"/>
        <w:sectPr>
          <w:footerReference w:type="default" r:id="rId6"/>
          <w:pgSz w:w="11910" w:h="16840"/>
          <w:pgMar w:footer="1195" w:header="0" w:top="1400" w:bottom="1380" w:left="1540" w:right="1560"/>
          <w:pgNumType w:start="1"/>
        </w:sectPr>
      </w:pPr>
    </w:p>
    <w:p>
      <w:pPr>
        <w:pStyle w:val="BodyText"/>
        <w:spacing w:line="357" w:lineRule="auto" w:before="1"/>
        <w:ind w:left="543" w:right="1867" w:firstLine="136"/>
        <w:jc w:val="left"/>
      </w:pPr>
      <w:bookmarkStart w:name="_bookmark0" w:id="2"/>
      <w:bookmarkEnd w:id="2"/>
      <w:r>
        <w:rPr/>
      </w:r>
      <w:r>
        <w:rPr/>
        <w:t>登载年度报告的中国证监会指定网站：</w:t>
      </w:r>
      <w:hyperlink r:id="rId11">
        <w:r>
          <w:rPr>
            <w:rFonts w:ascii="宋体" w:hAnsi="宋体" w:cs="宋体" w:eastAsia="宋体" w:hint="default"/>
          </w:rPr>
          <w:t>www.cninfo.com.cn</w:t>
        </w:r>
      </w:hyperlink>
      <w:r>
        <w:rPr>
          <w:rFonts w:ascii="宋体" w:hAnsi="宋体" w:cs="宋体" w:eastAsia="宋体" w:hint="default"/>
        </w:rPr>
        <w:t> </w:t>
      </w:r>
      <w:r>
        <w:rPr/>
        <w:t>公司年度报告备置地点：公司董事会办公室</w:t>
      </w:r>
    </w:p>
    <w:p>
      <w:pPr>
        <w:tabs>
          <w:tab w:pos="1100" w:val="left" w:leader="none"/>
        </w:tabs>
        <w:spacing w:line="357" w:lineRule="auto" w:before="25"/>
        <w:ind w:left="678" w:right="4883" w:hanging="560"/>
        <w:jc w:val="left"/>
        <w:rPr>
          <w:rFonts w:ascii="宋体" w:hAnsi="宋体" w:cs="宋体" w:eastAsia="宋体" w:hint="default"/>
          <w:sz w:val="24"/>
          <w:szCs w:val="24"/>
        </w:rPr>
      </w:pPr>
      <w:r>
        <w:rPr>
          <w:rFonts w:ascii="宋体" w:hAnsi="宋体" w:cs="宋体" w:eastAsia="宋体" w:hint="default"/>
          <w:b/>
          <w:bCs/>
          <w:w w:val="95"/>
          <w:sz w:val="28"/>
          <w:szCs w:val="28"/>
        </w:rPr>
        <w:t>四、</w:t>
        <w:tab/>
      </w:r>
      <w:r>
        <w:rPr>
          <w:rFonts w:ascii="宋体" w:hAnsi="宋体" w:cs="宋体" w:eastAsia="宋体" w:hint="default"/>
          <w:b/>
          <w:bCs/>
          <w:sz w:val="28"/>
          <w:szCs w:val="28"/>
        </w:rPr>
        <w:t>公司股票信息</w:t>
      </w:r>
      <w:r>
        <w:rPr>
          <w:rFonts w:ascii="宋体" w:hAnsi="宋体" w:cs="宋体" w:eastAsia="宋体" w:hint="default"/>
          <w:b/>
          <w:bCs/>
          <w:w w:val="99"/>
          <w:sz w:val="28"/>
          <w:szCs w:val="28"/>
        </w:rPr>
        <w:t> </w:t>
      </w:r>
      <w:r>
        <w:rPr>
          <w:rFonts w:ascii="宋体" w:hAnsi="宋体" w:cs="宋体" w:eastAsia="宋体" w:hint="default"/>
          <w:sz w:val="24"/>
          <w:szCs w:val="24"/>
        </w:rPr>
        <w:t>上市交易所：深圳证券交易所 股票简称：新国都 股票代码：</w:t>
      </w:r>
      <w:r>
        <w:rPr>
          <w:rFonts w:ascii="宋体" w:hAnsi="宋体" w:cs="宋体" w:eastAsia="宋体" w:hint="default"/>
          <w:sz w:val="24"/>
          <w:szCs w:val="24"/>
        </w:rPr>
        <w:t>300130</w:t>
      </w:r>
    </w:p>
    <w:p>
      <w:pPr>
        <w:spacing w:after="0" w:line="357" w:lineRule="auto"/>
        <w:jc w:val="left"/>
        <w:rPr>
          <w:rFonts w:ascii="宋体" w:hAnsi="宋体" w:cs="宋体" w:eastAsia="宋体" w:hint="default"/>
          <w:sz w:val="24"/>
          <w:szCs w:val="24"/>
        </w:rPr>
        <w:sectPr>
          <w:pgSz w:w="11910" w:h="16840"/>
          <w:pgMar w:header="0" w:footer="1195" w:top="1380" w:bottom="1380" w:left="1540" w:right="1680"/>
        </w:sectPr>
      </w:pPr>
    </w:p>
    <w:p>
      <w:pPr>
        <w:pStyle w:val="Heading1"/>
        <w:spacing w:line="433" w:lineRule="exact"/>
        <w:ind w:left="1865" w:right="0"/>
        <w:jc w:val="left"/>
        <w:rPr>
          <w:b w:val="0"/>
          <w:bCs w:val="0"/>
        </w:rPr>
      </w:pPr>
      <w:r>
        <w:rPr/>
        <w:t>第二节</w:t>
      </w:r>
      <w:r>
        <w:rPr>
          <w:spacing w:val="-9"/>
        </w:rPr>
        <w:t> </w:t>
      </w:r>
      <w:r>
        <w:rPr/>
        <w:t>会计数据和业务数据摘要</w:t>
      </w:r>
      <w:r>
        <w:rPr>
          <w:b w:val="0"/>
          <w:bCs w:val="0"/>
        </w:rPr>
      </w:r>
    </w:p>
    <w:p>
      <w:pPr>
        <w:spacing w:line="240" w:lineRule="auto" w:before="8"/>
        <w:rPr>
          <w:rFonts w:ascii="宋体" w:hAnsi="宋体" w:cs="宋体" w:eastAsia="宋体" w:hint="default"/>
          <w:b/>
          <w:bCs/>
          <w:sz w:val="49"/>
          <w:szCs w:val="49"/>
        </w:rPr>
      </w:pPr>
    </w:p>
    <w:p>
      <w:pPr>
        <w:pStyle w:val="Heading3"/>
        <w:tabs>
          <w:tab w:pos="960" w:val="left" w:leader="none"/>
        </w:tabs>
        <w:spacing w:line="240" w:lineRule="auto"/>
        <w:ind w:right="0"/>
        <w:jc w:val="left"/>
        <w:rPr>
          <w:b w:val="0"/>
          <w:bCs w:val="0"/>
        </w:rPr>
      </w:pPr>
      <w:r>
        <w:rPr>
          <w:w w:val="95"/>
        </w:rPr>
        <w:t>一、</w:t>
        <w:tab/>
      </w:r>
      <w:r>
        <w:rPr/>
        <w:t>主要会计数据</w:t>
      </w:r>
      <w:r>
        <w:rPr>
          <w:b w:val="0"/>
          <w:bCs w:val="0"/>
        </w:rPr>
      </w:r>
    </w:p>
    <w:p>
      <w:pPr>
        <w:pStyle w:val="BodyText"/>
        <w:spacing w:line="240" w:lineRule="auto" w:before="186"/>
        <w:ind w:left="0" w:right="116"/>
        <w:jc w:val="right"/>
      </w:pPr>
      <w:r>
        <w:rPr/>
        <w:t>单位：人民币（元）</w:t>
      </w:r>
    </w:p>
    <w:p>
      <w:pPr>
        <w:spacing w:line="240" w:lineRule="auto" w:before="10"/>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717"/>
        <w:gridCol w:w="1687"/>
        <w:gridCol w:w="1841"/>
        <w:gridCol w:w="1419"/>
        <w:gridCol w:w="1560"/>
      </w:tblGrid>
      <w:tr>
        <w:trPr>
          <w:trHeight w:val="162" w:hRule="exact"/>
        </w:trPr>
        <w:tc>
          <w:tcPr>
            <w:tcW w:w="17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85" w:right="70" w:hanging="212"/>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17" w:type="dxa"/>
            <w:tcBorders>
              <w:top w:val="nil" w:sz="6" w:space="0" w:color="auto"/>
              <w:left w:val="single" w:sz="4" w:space="0" w:color="000000"/>
              <w:bottom w:val="nil" w:sz="6" w:space="0" w:color="auto"/>
              <w:right w:val="single" w:sz="4" w:space="0" w:color="000000"/>
            </w:tcBorders>
            <w:shd w:val="clear" w:color="auto" w:fill="DCDCDC"/>
          </w:tcPr>
          <w:p>
            <w:pPr/>
          </w:p>
        </w:tc>
        <w:tc>
          <w:tcPr>
            <w:tcW w:w="16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17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9"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pacing w:val="-2"/>
                <w:sz w:val="21"/>
                <w:szCs w:val="21"/>
              </w:rPr>
              <w:t>营业总收入（元）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341,596,897.96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208,527,076.74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63.81%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139,734,761.37</w:t>
            </w: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58,942,921.95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48,487,816.85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z w:val="21"/>
              </w:rPr>
              <w:t>21.56%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34,767,739.92</w:t>
            </w: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83,978,636.54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59,606,397.10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40.89%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46,474,840.45</w:t>
            </w:r>
          </w:p>
        </w:tc>
      </w:tr>
      <w:tr>
        <w:trPr>
          <w:trHeight w:val="946"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7" w:right="11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75,741,882.80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57,894,445.26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30.83%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44,395,399.78</w:t>
            </w:r>
          </w:p>
        </w:tc>
      </w:tr>
      <w:tr>
        <w:trPr>
          <w:trHeight w:val="1258"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7" w:right="11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74,066,985.63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52,801,031.57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39,476,209.15</w:t>
            </w:r>
          </w:p>
        </w:tc>
      </w:tr>
      <w:tr>
        <w:trPr>
          <w:trHeight w:val="948"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7" w:right="113"/>
              <w:jc w:val="center"/>
              <w:rPr>
                <w:rFonts w:ascii="宋体" w:hAnsi="宋体" w:cs="宋体" w:eastAsia="宋体" w:hint="default"/>
                <w:sz w:val="21"/>
                <w:szCs w:val="21"/>
              </w:rPr>
            </w:pPr>
            <w:r>
              <w:rPr>
                <w:rFonts w:ascii="宋体" w:hAnsi="宋体" w:cs="宋体" w:eastAsia="宋体" w:hint="default"/>
                <w:spacing w:val="-1"/>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38,789,259.78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-3,004,624.04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29,959,944.44</w:t>
            </w:r>
          </w:p>
        </w:tc>
      </w:tr>
      <w:tr>
        <w:trPr>
          <w:trHeight w:val="161" w:hRule="exact"/>
        </w:trPr>
        <w:tc>
          <w:tcPr>
            <w:tcW w:w="17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74" w:right="70"/>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17" w:type="dxa"/>
            <w:tcBorders>
              <w:top w:val="nil" w:sz="6" w:space="0" w:color="auto"/>
              <w:left w:val="single" w:sz="4" w:space="0" w:color="000000"/>
              <w:bottom w:val="nil" w:sz="6" w:space="0" w:color="auto"/>
              <w:right w:val="single" w:sz="4" w:space="0" w:color="000000"/>
            </w:tcBorders>
            <w:shd w:val="clear" w:color="auto" w:fill="DCDCDC"/>
          </w:tcPr>
          <w:p>
            <w:pPr/>
          </w:p>
        </w:tc>
        <w:tc>
          <w:tcPr>
            <w:tcW w:w="16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6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9"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2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17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9"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7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7" w:type="dxa"/>
            <w:vMerge w:val="restart"/>
            <w:tcBorders>
              <w:top w:val="single" w:sz="4" w:space="0" w:color="000000"/>
              <w:left w:val="single" w:sz="10" w:space="0" w:color="DCDCDC"/>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1,113,335,401.3</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3"/>
              <w:ind w:left="338" w:right="0"/>
              <w:jc w:val="left"/>
              <w:rPr>
                <w:rFonts w:ascii="宋体" w:hAnsi="宋体" w:cs="宋体" w:eastAsia="宋体" w:hint="default"/>
                <w:sz w:val="21"/>
                <w:szCs w:val="21"/>
              </w:rPr>
            </w:pPr>
            <w:r>
              <w:rPr>
                <w:rFonts w:ascii="宋体"/>
                <w:sz w:val="21"/>
              </w:rPr>
              <w:t>933,469,788.64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3"/>
              <w:ind w:left="756" w:right="0"/>
              <w:jc w:val="left"/>
              <w:rPr>
                <w:rFonts w:ascii="宋体" w:hAnsi="宋体" w:cs="宋体" w:eastAsia="宋体" w:hint="default"/>
                <w:sz w:val="21"/>
                <w:szCs w:val="21"/>
              </w:rPr>
            </w:pPr>
            <w:r>
              <w:rPr>
                <w:rFonts w:ascii="宋体"/>
                <w:sz w:val="21"/>
              </w:rPr>
              <w:t>19.27%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43"/>
              <w:ind w:left="55" w:right="0"/>
              <w:jc w:val="left"/>
              <w:rPr>
                <w:rFonts w:ascii="宋体" w:hAnsi="宋体" w:cs="宋体" w:eastAsia="宋体" w:hint="default"/>
                <w:sz w:val="21"/>
                <w:szCs w:val="21"/>
              </w:rPr>
            </w:pPr>
            <w:r>
              <w:rPr>
                <w:rFonts w:ascii="宋体"/>
                <w:sz w:val="21"/>
              </w:rPr>
              <w:t>190,710,718.81</w:t>
            </w:r>
          </w:p>
        </w:tc>
      </w:tr>
      <w:tr>
        <w:trPr>
          <w:trHeight w:val="312" w:hRule="exact"/>
        </w:trPr>
        <w:tc>
          <w:tcPr>
            <w:tcW w:w="17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687" w:type="dxa"/>
            <w:vMerge/>
            <w:tcBorders>
              <w:left w:val="single" w:sz="10" w:space="0" w:color="DCDCDC"/>
              <w:right w:val="single" w:sz="4" w:space="0" w:color="000000"/>
            </w:tcBorders>
          </w:tcPr>
          <w:p>
            <w:pPr/>
          </w:p>
        </w:tc>
        <w:tc>
          <w:tcPr>
            <w:tcW w:w="1841"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61" w:hRule="exact"/>
        </w:trPr>
        <w:tc>
          <w:tcPr>
            <w:tcW w:w="17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7" w:type="dxa"/>
            <w:vMerge/>
            <w:tcBorders>
              <w:left w:val="single" w:sz="10" w:space="0" w:color="DCDCDC"/>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175,304,008.90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61,464,783.02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185.21%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22,935,092.78</w:t>
            </w:r>
          </w:p>
        </w:tc>
      </w:tr>
      <w:tr>
        <w:trPr>
          <w:trHeight w:val="946"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7" w:right="11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935,046,888.42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872,005,005.62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7.23%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167,775,626.03</w:t>
            </w:r>
          </w:p>
        </w:tc>
      </w:tr>
      <w:tr>
        <w:trPr>
          <w:trHeight w:val="324" w:hRule="exact"/>
        </w:trPr>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6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114,300,000.00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63,500,000.00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47,500,000.00</w:t>
            </w:r>
          </w:p>
        </w:tc>
      </w:tr>
    </w:tbl>
    <w:p>
      <w:pPr>
        <w:spacing w:line="240" w:lineRule="auto" w:before="0"/>
        <w:rPr>
          <w:rFonts w:ascii="宋体" w:hAnsi="宋体" w:cs="宋体" w:eastAsia="宋体" w:hint="default"/>
          <w:sz w:val="20"/>
          <w:szCs w:val="20"/>
        </w:rPr>
      </w:pPr>
    </w:p>
    <w:p>
      <w:pPr>
        <w:pStyle w:val="Heading3"/>
        <w:tabs>
          <w:tab w:pos="960" w:val="left" w:leader="none"/>
        </w:tabs>
        <w:spacing w:line="240" w:lineRule="auto" w:before="155"/>
        <w:ind w:right="0"/>
        <w:jc w:val="left"/>
        <w:rPr>
          <w:b w:val="0"/>
          <w:bCs w:val="0"/>
        </w:rPr>
      </w:pPr>
      <w:r>
        <w:rPr>
          <w:w w:val="95"/>
        </w:rPr>
        <w:t>二、</w:t>
        <w:tab/>
      </w:r>
      <w:r>
        <w:rPr/>
        <w:t>主要财务指标</w:t>
      </w:r>
      <w:r>
        <w:rPr>
          <w:b w:val="0"/>
          <w:bCs w:val="0"/>
        </w:rPr>
      </w:r>
    </w:p>
    <w:p>
      <w:pPr>
        <w:spacing w:line="240" w:lineRule="auto" w:before="4"/>
        <w:rPr>
          <w:rFonts w:ascii="宋体" w:hAnsi="宋体" w:cs="宋体" w:eastAsia="宋体" w:hint="default"/>
          <w:b/>
          <w:bCs/>
          <w:sz w:val="12"/>
          <w:szCs w:val="12"/>
        </w:rPr>
      </w:pPr>
    </w:p>
    <w:p>
      <w:pPr>
        <w:pStyle w:val="BodyText"/>
        <w:spacing w:line="240" w:lineRule="auto" w:before="26"/>
        <w:ind w:left="0" w:right="116"/>
        <w:jc w:val="right"/>
      </w:pPr>
      <w:r>
        <w:rPr/>
        <w:t>单位：人民币（元）</w:t>
      </w:r>
    </w:p>
    <w:p>
      <w:pPr>
        <w:spacing w:line="240" w:lineRule="auto" w:before="11"/>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2812"/>
        <w:gridCol w:w="1146"/>
        <w:gridCol w:w="1274"/>
        <w:gridCol w:w="1419"/>
        <w:gridCol w:w="1560"/>
      </w:tblGrid>
      <w:tr>
        <w:trPr>
          <w:trHeight w:val="161" w:hRule="exact"/>
        </w:trPr>
        <w:tc>
          <w:tcPr>
            <w:tcW w:w="2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85" w:right="70" w:hanging="212"/>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812" w:type="dxa"/>
            <w:tcBorders>
              <w:top w:val="nil" w:sz="6" w:space="0" w:color="auto"/>
              <w:left w:val="single" w:sz="4" w:space="0" w:color="000000"/>
              <w:bottom w:val="nil" w:sz="6" w:space="0" w:color="auto"/>
              <w:right w:val="single" w:sz="4" w:space="0" w:color="000000"/>
            </w:tcBorders>
            <w:shd w:val="clear" w:color="auto" w:fill="DCDCDC"/>
          </w:tcPr>
          <w:p>
            <w:pPr/>
          </w:p>
        </w:tc>
        <w:tc>
          <w:tcPr>
            <w:tcW w:w="11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9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9"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46"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0.52</w:t>
            </w:r>
          </w:p>
        </w:tc>
      </w:tr>
      <w:tr>
        <w:trPr>
          <w:trHeight w:val="32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46" w:type="dxa"/>
            <w:tcBorders>
              <w:top w:val="single" w:sz="4" w:space="0" w:color="000000"/>
              <w:left w:val="single" w:sz="9" w:space="0" w:color="DCDCDC"/>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z w:val="21"/>
              </w:rPr>
              <w:t>0.66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0.64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z w:val="21"/>
              </w:rPr>
              <w:t>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z w:val="21"/>
              </w:rPr>
              <w:t>0.52</w:t>
            </w:r>
          </w:p>
        </w:tc>
      </w:tr>
      <w:tr>
        <w:trPr>
          <w:trHeight w:val="63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4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12.07%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0.46</w:t>
            </w:r>
          </w:p>
        </w:tc>
      </w:tr>
      <w:tr>
        <w:trPr>
          <w:trHeight w:val="32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46"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19.02%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29.38%</w:t>
            </w:r>
          </w:p>
        </w:tc>
      </w:tr>
      <w:tr>
        <w:trPr>
          <w:trHeight w:val="324"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tc>
        <w:tc>
          <w:tcPr>
            <w:tcW w:w="1146" w:type="dxa"/>
            <w:tcBorders>
              <w:top w:val="single" w:sz="4" w:space="0" w:color="000000"/>
              <w:left w:val="single" w:sz="9" w:space="0" w:color="DCDCDC"/>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z w:val="21"/>
              </w:rPr>
              <w:t>8.41%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17.30%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-8.89%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z w:val="21"/>
              </w:rPr>
              <w:t>26.12%</w:t>
            </w:r>
          </w:p>
        </w:tc>
      </w:tr>
    </w:tbl>
    <w:p>
      <w:pPr>
        <w:spacing w:after="0" w:line="265" w:lineRule="exact"/>
        <w:jc w:val="right"/>
        <w:rPr>
          <w:rFonts w:ascii="宋体" w:hAnsi="宋体" w:cs="宋体" w:eastAsia="宋体" w:hint="default"/>
          <w:sz w:val="21"/>
          <w:szCs w:val="21"/>
        </w:rPr>
        <w:sectPr>
          <w:pgSz w:w="11910" w:h="16840"/>
          <w:pgMar w:header="0" w:footer="1195" w:top="1400" w:bottom="1380" w:left="1680" w:right="1680"/>
        </w:sectPr>
      </w:pPr>
    </w:p>
    <w:p>
      <w:pPr>
        <w:spacing w:line="240" w:lineRule="auto" w:before="3"/>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2823"/>
        <w:gridCol w:w="1136"/>
        <w:gridCol w:w="1274"/>
        <w:gridCol w:w="1419"/>
        <w:gridCol w:w="1560"/>
      </w:tblGrid>
      <w:tr>
        <w:trPr>
          <w:trHeight w:val="322" w:hRule="exact"/>
        </w:trPr>
        <w:tc>
          <w:tcPr>
            <w:tcW w:w="2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均净资产收益率（％）</w:t>
            </w:r>
          </w:p>
        </w:tc>
        <w:tc>
          <w:tcPr>
            <w:tcW w:w="1136" w:type="dxa"/>
            <w:tcBorders>
              <w:top w:val="single" w:sz="4" w:space="0" w:color="000000"/>
              <w:left w:val="single" w:sz="9"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5"/>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净额（元</w:t>
            </w:r>
            <w:r>
              <w:rPr>
                <w:rFonts w:ascii="宋体" w:hAnsi="宋体" w:cs="宋体" w:eastAsia="宋体" w:hint="default"/>
                <w:sz w:val="21"/>
                <w:szCs w:val="21"/>
              </w:rPr>
              <w:t>/</w:t>
            </w:r>
            <w:r>
              <w:rPr>
                <w:rFonts w:ascii="宋体" w:hAnsi="宋体" w:cs="宋体" w:eastAsia="宋体" w:hint="default"/>
                <w:sz w:val="21"/>
                <w:szCs w:val="21"/>
              </w:rPr>
              <w:t>股）</w:t>
            </w:r>
          </w:p>
        </w:tc>
        <w:tc>
          <w:tcPr>
            <w:tcW w:w="11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0.34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-0.047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0.63</w:t>
            </w:r>
          </w:p>
        </w:tc>
      </w:tr>
      <w:tr>
        <w:trPr>
          <w:trHeight w:val="161" w:hRule="exact"/>
        </w:trPr>
        <w:tc>
          <w:tcPr>
            <w:tcW w:w="28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74" w:right="70"/>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823" w:type="dxa"/>
            <w:tcBorders>
              <w:top w:val="nil" w:sz="6" w:space="0" w:color="auto"/>
              <w:left w:val="single" w:sz="4" w:space="0" w:color="000000"/>
              <w:bottom w:val="nil" w:sz="6" w:space="0" w:color="auto"/>
              <w:right w:val="single" w:sz="4" w:space="0" w:color="000000"/>
            </w:tcBorders>
            <w:shd w:val="clear" w:color="auto" w:fill="DCDCDC"/>
          </w:tcPr>
          <w:p>
            <w:pPr/>
          </w:p>
        </w:tc>
        <w:tc>
          <w:tcPr>
            <w:tcW w:w="11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9"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2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8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9"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6" w:hRule="exact"/>
        </w:trPr>
        <w:tc>
          <w:tcPr>
            <w:tcW w:w="2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资产（元</w:t>
            </w:r>
            <w:r>
              <w:rPr>
                <w:rFonts w:ascii="宋体" w:hAnsi="宋体" w:cs="宋体" w:eastAsia="宋体" w:hint="default"/>
                <w:sz w:val="21"/>
                <w:szCs w:val="21"/>
              </w:rPr>
              <w:t>/</w:t>
            </w:r>
            <w:r>
              <w:rPr>
                <w:rFonts w:ascii="宋体" w:hAnsi="宋体" w:cs="宋体" w:eastAsia="宋体" w:hint="default"/>
                <w:sz w:val="21"/>
                <w:szCs w:val="21"/>
              </w:rPr>
              <w:t>股）</w:t>
            </w:r>
          </w:p>
        </w:tc>
        <w:tc>
          <w:tcPr>
            <w:tcW w:w="11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z w:val="21"/>
              </w:rPr>
              <w:t>8.18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z w:val="21"/>
              </w:rPr>
              <w:t>13.73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-40.42%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z w:val="21"/>
              </w:rPr>
              <w:t>3.53</w:t>
            </w:r>
          </w:p>
        </w:tc>
      </w:tr>
      <w:tr>
        <w:trPr>
          <w:trHeight w:val="322" w:hRule="exact"/>
        </w:trPr>
        <w:tc>
          <w:tcPr>
            <w:tcW w:w="2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136"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15.75%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6.58%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12.03%</w:t>
            </w:r>
          </w:p>
        </w:tc>
      </w:tr>
    </w:tbl>
    <w:p>
      <w:pPr>
        <w:spacing w:line="240" w:lineRule="auto" w:before="0"/>
        <w:rPr>
          <w:rFonts w:ascii="宋体" w:hAnsi="宋体" w:cs="宋体" w:eastAsia="宋体" w:hint="default"/>
          <w:sz w:val="20"/>
          <w:szCs w:val="20"/>
        </w:rPr>
      </w:pPr>
    </w:p>
    <w:p>
      <w:pPr>
        <w:tabs>
          <w:tab w:pos="960" w:val="left" w:leader="none"/>
        </w:tabs>
        <w:spacing w:before="158"/>
        <w:ind w:left="120" w:right="0" w:firstLine="0"/>
        <w:jc w:val="left"/>
        <w:rPr>
          <w:rFonts w:ascii="宋体" w:hAnsi="宋体" w:cs="宋体" w:eastAsia="宋体" w:hint="default"/>
          <w:sz w:val="28"/>
          <w:szCs w:val="28"/>
        </w:rPr>
      </w:pPr>
      <w:r>
        <w:rPr>
          <w:rFonts w:ascii="宋体" w:hAnsi="宋体" w:cs="宋体" w:eastAsia="宋体" w:hint="default"/>
          <w:b/>
          <w:bCs/>
          <w:sz w:val="24"/>
          <w:szCs w:val="24"/>
        </w:rPr>
        <w:t>三、</w:t>
        <w:tab/>
      </w:r>
      <w:r>
        <w:rPr>
          <w:rFonts w:ascii="宋体" w:hAnsi="宋体" w:cs="宋体" w:eastAsia="宋体" w:hint="default"/>
          <w:b/>
          <w:bCs/>
          <w:sz w:val="28"/>
          <w:szCs w:val="28"/>
        </w:rPr>
        <w:t>非经常性损益项目</w:t>
      </w:r>
      <w:r>
        <w:rPr>
          <w:rFonts w:ascii="宋体" w:hAnsi="宋体" w:cs="宋体" w:eastAsia="宋体" w:hint="default"/>
          <w:sz w:val="28"/>
          <w:szCs w:val="28"/>
        </w:rPr>
      </w:r>
    </w:p>
    <w:p>
      <w:pPr>
        <w:spacing w:line="240" w:lineRule="auto" w:before="1"/>
        <w:rPr>
          <w:rFonts w:ascii="宋体" w:hAnsi="宋体" w:cs="宋体" w:eastAsia="宋体" w:hint="default"/>
          <w:b/>
          <w:bCs/>
          <w:sz w:val="12"/>
          <w:szCs w:val="12"/>
        </w:rPr>
      </w:pPr>
    </w:p>
    <w:p>
      <w:pPr>
        <w:pStyle w:val="BodyText"/>
        <w:spacing w:line="240" w:lineRule="auto" w:before="26"/>
        <w:ind w:left="0" w:right="142"/>
        <w:jc w:val="right"/>
      </w:pPr>
      <w:r>
        <w:rPr/>
        <w:t>单位：人民币（元）</w:t>
      </w: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562"/>
        <w:gridCol w:w="1402"/>
        <w:gridCol w:w="1558"/>
        <w:gridCol w:w="1702"/>
      </w:tblGrid>
      <w:tr>
        <w:trPr>
          <w:trHeight w:val="322"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935" w:right="0"/>
              <w:jc w:val="left"/>
              <w:rPr>
                <w:rFonts w:ascii="宋体" w:hAnsi="宋体" w:cs="宋体" w:eastAsia="宋体" w:hint="default"/>
                <w:sz w:val="21"/>
                <w:szCs w:val="21"/>
              </w:rPr>
            </w:pPr>
            <w:bookmarkStart w:name="_bookmark1" w:id="3"/>
            <w:bookmarkEnd w:id="3"/>
            <w:r>
              <w:rPr/>
            </w:r>
            <w:r>
              <w:rPr>
                <w:rFonts w:ascii="宋体" w:hAnsi="宋体" w:cs="宋体" w:eastAsia="宋体" w:hint="default"/>
                <w:sz w:val="21"/>
                <w:szCs w:val="21"/>
              </w:rPr>
              <w:t>非经常性损益项目</w:t>
            </w:r>
          </w:p>
        </w:tc>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4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-14,514.67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r>
      <w:tr>
        <w:trPr>
          <w:trHeight w:val="636"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性的税收返还、减免</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z w:val="21"/>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2,563,124.40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2,239,414.44</w:t>
            </w:r>
          </w:p>
        </w:tc>
      </w:tr>
      <w:tr>
        <w:trPr>
          <w:trHeight w:val="125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计入当期损益的政府补助，但与公司正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常经营业务密切相关，符合国家政策规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定、按照一定标准定额或定量持续享受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的政府补助除外</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sz w:val="21"/>
              </w:rPr>
              <w:t>2,054,085.00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2,841,700.00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3,096,678.15</w:t>
            </w:r>
          </w:p>
        </w:tc>
      </w:tr>
      <w:tr>
        <w:trPr>
          <w:trHeight w:val="63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除上述各项之外的其他营业外收入和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支出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-70,353.04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15,826.46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-119,149.06</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-308,834.79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-312,722.50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-297,752.90</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sz w:val="21"/>
              </w:rPr>
              <w:t>1,674,897.17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5,093,413.69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4,919,190.63</w:t>
            </w:r>
          </w:p>
        </w:tc>
      </w:tr>
    </w:tbl>
    <w:p>
      <w:pPr>
        <w:spacing w:after="0" w:line="262" w:lineRule="exact"/>
        <w:jc w:val="right"/>
        <w:rPr>
          <w:rFonts w:ascii="宋体" w:hAnsi="宋体" w:cs="宋体" w:eastAsia="宋体" w:hint="default"/>
          <w:sz w:val="21"/>
          <w:szCs w:val="21"/>
        </w:rPr>
        <w:sectPr>
          <w:pgSz w:w="11910" w:h="16840"/>
          <w:pgMar w:header="0" w:footer="1195" w:top="1340" w:bottom="1380" w:left="1680" w:right="1680"/>
        </w:sectPr>
      </w:pPr>
    </w:p>
    <w:p>
      <w:pPr>
        <w:pStyle w:val="Heading1"/>
        <w:spacing w:line="433" w:lineRule="exact"/>
        <w:ind w:left="2950" w:right="94"/>
        <w:jc w:val="left"/>
        <w:rPr>
          <w:b w:val="0"/>
          <w:bCs w:val="0"/>
        </w:rPr>
      </w:pPr>
      <w:r>
        <w:rPr/>
        <w:t>第三节</w:t>
      </w:r>
      <w:r>
        <w:rPr>
          <w:spacing w:val="-8"/>
        </w:rPr>
        <w:t> </w:t>
      </w:r>
      <w:r>
        <w:rPr/>
        <w:t>董事会报告</w:t>
      </w:r>
      <w:r>
        <w:rPr>
          <w:b w:val="0"/>
          <w:bCs w:val="0"/>
        </w:rPr>
      </w:r>
    </w:p>
    <w:p>
      <w:pPr>
        <w:spacing w:line="240" w:lineRule="auto" w:before="9"/>
        <w:rPr>
          <w:rFonts w:ascii="宋体" w:hAnsi="宋体" w:cs="宋体" w:eastAsia="宋体" w:hint="default"/>
          <w:b/>
          <w:bCs/>
          <w:sz w:val="40"/>
          <w:szCs w:val="40"/>
        </w:rPr>
      </w:pPr>
    </w:p>
    <w:p>
      <w:pPr>
        <w:pStyle w:val="Heading3"/>
        <w:spacing w:line="240" w:lineRule="auto"/>
        <w:ind w:right="94"/>
        <w:jc w:val="left"/>
        <w:rPr>
          <w:b w:val="0"/>
          <w:bCs w:val="0"/>
        </w:rPr>
      </w:pPr>
      <w:r>
        <w:rPr/>
        <w:t>一、报告期内公司经营情况回顾</w:t>
      </w:r>
      <w:r>
        <w:rPr>
          <w:b w:val="0"/>
          <w:bCs w:val="0"/>
        </w:rPr>
      </w:r>
    </w:p>
    <w:p>
      <w:pPr>
        <w:spacing w:line="240" w:lineRule="auto" w:before="0"/>
        <w:rPr>
          <w:rFonts w:ascii="宋体" w:hAnsi="宋体" w:cs="宋体" w:eastAsia="宋体" w:hint="default"/>
          <w:b/>
          <w:bCs/>
          <w:sz w:val="28"/>
          <w:szCs w:val="28"/>
        </w:rPr>
      </w:pPr>
    </w:p>
    <w:p>
      <w:pPr>
        <w:pStyle w:val="Heading7"/>
        <w:spacing w:line="477" w:lineRule="auto" w:before="0"/>
        <w:ind w:right="5374"/>
        <w:jc w:val="left"/>
        <w:rPr>
          <w:b w:val="0"/>
          <w:bCs w:val="0"/>
        </w:rPr>
      </w:pPr>
      <w:r>
        <w:rPr/>
        <w:t>（一）报告期内总体经营情况</w:t>
      </w:r>
      <w:r>
        <w:rPr>
          <w:w w:val="99"/>
        </w:rPr>
        <w:t> </w:t>
      </w:r>
      <w:r>
        <w:rPr>
          <w:rFonts w:ascii="宋体" w:hAnsi="宋体" w:cs="宋体" w:eastAsia="宋体" w:hint="default"/>
        </w:rPr>
        <w:t>1</w:t>
      </w:r>
      <w:r>
        <w:rPr/>
        <w:t>、总体经营情况概述</w:t>
      </w:r>
      <w:r>
        <w:rPr>
          <w:b w:val="0"/>
          <w:bCs w:val="0"/>
        </w:rPr>
      </w:r>
    </w:p>
    <w:p>
      <w:pPr>
        <w:pStyle w:val="BodyText"/>
        <w:spacing w:line="357" w:lineRule="auto" w:before="73"/>
        <w:ind w:right="94" w:firstLine="479"/>
        <w:jc w:val="left"/>
      </w:pPr>
      <w:r>
        <w:rPr>
          <w:rFonts w:ascii="宋体" w:hAnsi="宋体" w:cs="宋体" w:eastAsia="宋体" w:hint="default"/>
          <w:spacing w:val="-3"/>
        </w:rPr>
        <w:t>2011</w:t>
      </w:r>
      <w:r>
        <w:rPr>
          <w:spacing w:val="-3"/>
        </w:rPr>
        <w:t>年，作为公司成功上市后第一个完整运行的年度，经过一年的学习和调</w:t>
      </w:r>
      <w:r>
        <w:rPr/>
        <w:t> </w:t>
      </w:r>
      <w:r>
        <w:rPr>
          <w:spacing w:val="-3"/>
        </w:rPr>
        <w:t>整，公司较好的适应了从非上市公司向上市公众公司的转变，在遵守上市公司范</w:t>
      </w:r>
      <w:r>
        <w:rPr>
          <w:spacing w:val="-111"/>
        </w:rPr>
        <w:t> </w:t>
      </w:r>
      <w:r>
        <w:rPr>
          <w:spacing w:val="-111"/>
        </w:rPr>
      </w:r>
      <w:r>
        <w:rPr>
          <w:spacing w:val="-3"/>
        </w:rPr>
        <w:t>治理的相关规定的基础上，充分尊重并积极配合各方面的监督，继续做好公司的</w:t>
      </w:r>
      <w:r>
        <w:rPr>
          <w:spacing w:val="-112"/>
        </w:rPr>
        <w:t> </w:t>
      </w:r>
      <w:r>
        <w:rPr>
          <w:spacing w:val="-112"/>
        </w:rPr>
      </w:r>
      <w:r>
        <w:rPr>
          <w:spacing w:val="-6"/>
        </w:rPr>
        <w:t>经营管理工作。按照</w:t>
      </w:r>
      <w:r>
        <w:rPr>
          <w:rFonts w:ascii="宋体" w:hAnsi="宋体" w:cs="宋体" w:eastAsia="宋体" w:hint="default"/>
          <w:spacing w:val="-6"/>
        </w:rPr>
        <w:t>2011</w:t>
      </w:r>
      <w:r>
        <w:rPr>
          <w:spacing w:val="-6"/>
        </w:rPr>
        <w:t>年的经营计划，公司继续专注于电子支付技术服务领域，</w:t>
      </w:r>
      <w:r>
        <w:rPr>
          <w:spacing w:val="-108"/>
        </w:rPr>
        <w:t> </w:t>
      </w:r>
      <w:r>
        <w:rPr>
          <w:spacing w:val="-108"/>
        </w:rPr>
      </w:r>
      <w:r>
        <w:rPr>
          <w:spacing w:val="-3"/>
        </w:rPr>
        <w:t>紧跟行业发展动向，以市场需求为导向，不断提升研发创新能力，加大软件开发</w:t>
      </w:r>
      <w:r>
        <w:rPr>
          <w:spacing w:val="-111"/>
        </w:rPr>
        <w:t> </w:t>
      </w:r>
      <w:r>
        <w:rPr>
          <w:spacing w:val="-111"/>
        </w:rPr>
      </w:r>
      <w:r>
        <w:rPr>
          <w:spacing w:val="-3"/>
        </w:rPr>
        <w:t>投入，以软件开发项目带动销售，以软件服务绑定客户，提升客户依存度，巩固</w:t>
      </w:r>
      <w:r>
        <w:rPr>
          <w:spacing w:val="-111"/>
        </w:rPr>
        <w:t> </w:t>
      </w:r>
      <w:r>
        <w:rPr>
          <w:spacing w:val="-111"/>
        </w:rPr>
      </w:r>
      <w:r>
        <w:rPr>
          <w:spacing w:val="-3"/>
        </w:rPr>
        <w:t>公司行业地位。同时，进一步加强产品管理体系、营销体系建设，调整绩效管理</w:t>
      </w:r>
      <w:r>
        <w:rPr>
          <w:spacing w:val="-111"/>
        </w:rPr>
        <w:t> </w:t>
      </w:r>
      <w:r>
        <w:rPr>
          <w:spacing w:val="-111"/>
        </w:rPr>
      </w:r>
      <w:r>
        <w:rPr>
          <w:spacing w:val="-3"/>
        </w:rPr>
        <w:t>制度，加大市场开拓力度，提升公司整体运营的效率与质量，使公司综合竞争力</w:t>
      </w:r>
      <w:r>
        <w:rPr>
          <w:spacing w:val="-109"/>
        </w:rPr>
        <w:t> </w:t>
      </w:r>
      <w:r>
        <w:rPr>
          <w:spacing w:val="-109"/>
        </w:rPr>
      </w:r>
      <w:r>
        <w:rPr/>
        <w:t>得到进一步提升，公司规模进一步扩大，品牌影响力进一步提高。</w:t>
      </w:r>
    </w:p>
    <w:p>
      <w:pPr>
        <w:pStyle w:val="BodyText"/>
        <w:spacing w:line="357" w:lineRule="auto" w:before="192"/>
        <w:ind w:right="106" w:firstLine="479"/>
        <w:jc w:val="left"/>
      </w:pPr>
      <w:r>
        <w:rPr>
          <w:spacing w:val="-3"/>
        </w:rPr>
        <w:t>公司在董事会的领导下，积极落实股东大会和董事会各项决议，通过提高研</w:t>
      </w:r>
      <w:r>
        <w:rPr/>
        <w:t> </w:t>
      </w:r>
      <w:r>
        <w:rPr>
          <w:spacing w:val="-3"/>
        </w:rPr>
        <w:t>发效率、提升服务质量、优化客户结构，实现了业绩稳定、较快增长的目标。报</w:t>
      </w:r>
      <w:r>
        <w:rPr>
          <w:spacing w:val="-115"/>
        </w:rPr>
        <w:t> </w:t>
      </w:r>
      <w:r>
        <w:rPr>
          <w:spacing w:val="-115"/>
        </w:rPr>
      </w:r>
      <w:r>
        <w:rPr/>
        <w:t>告期内，公司实现营业收入</w:t>
      </w:r>
      <w:r>
        <w:rPr>
          <w:rFonts w:ascii="宋体" w:hAnsi="宋体" w:cs="宋体" w:eastAsia="宋体" w:hint="default"/>
        </w:rPr>
        <w:t>34,159.69</w:t>
      </w:r>
      <w:r>
        <w:rPr/>
        <w:t>万元，同比增长</w:t>
      </w:r>
      <w:r>
        <w:rPr>
          <w:rFonts w:ascii="宋体" w:hAnsi="宋体" w:cs="宋体" w:eastAsia="宋体" w:hint="default"/>
        </w:rPr>
        <w:t>63.81%</w:t>
      </w:r>
      <w:r>
        <w:rPr/>
        <w:t>，实现利润总额 </w:t>
      </w:r>
      <w:r>
        <w:rPr>
          <w:rFonts w:ascii="宋体" w:hAnsi="宋体" w:cs="宋体" w:eastAsia="宋体" w:hint="default"/>
        </w:rPr>
        <w:t>8,397.86</w:t>
      </w:r>
      <w:r>
        <w:rPr/>
        <w:t>万元，同比增长</w:t>
      </w:r>
      <w:r>
        <w:rPr>
          <w:rFonts w:ascii="宋体" w:hAnsi="宋体" w:cs="宋体" w:eastAsia="宋体" w:hint="default"/>
        </w:rPr>
        <w:t>40.89%</w:t>
      </w:r>
      <w:r>
        <w:rPr/>
        <w:t>，实现净利润</w:t>
      </w:r>
      <w:r>
        <w:rPr>
          <w:rFonts w:ascii="宋体" w:hAnsi="宋体" w:cs="宋体" w:eastAsia="宋体" w:hint="default"/>
        </w:rPr>
        <w:t>7,572.64</w:t>
      </w:r>
      <w:r>
        <w:rPr/>
        <w:t>万元，同比增长</w:t>
      </w:r>
      <w:r>
        <w:rPr>
          <w:rFonts w:ascii="宋体" w:hAnsi="宋体" w:cs="宋体" w:eastAsia="宋体" w:hint="default"/>
        </w:rPr>
        <w:t>30.80%</w:t>
      </w:r>
      <w:r>
        <w:rPr/>
        <w:t>。</w:t>
      </w:r>
    </w:p>
    <w:p>
      <w:pPr>
        <w:pStyle w:val="BodyText"/>
        <w:spacing w:line="357" w:lineRule="auto" w:before="193"/>
        <w:ind w:right="94" w:firstLine="479"/>
        <w:jc w:val="left"/>
      </w:pPr>
      <w:r>
        <w:rPr/>
        <w:t>（</w:t>
      </w:r>
      <w:r>
        <w:rPr>
          <w:rFonts w:ascii="宋体" w:hAnsi="宋体" w:cs="宋体" w:eastAsia="宋体" w:hint="default"/>
        </w:rPr>
        <w:t>1</w:t>
      </w:r>
      <w:r>
        <w:rPr/>
        <w:t>）在商业银行方面，公司继续致力于商业银行客户的开拓，报告期内， </w:t>
      </w:r>
      <w:r>
        <w:rPr>
          <w:spacing w:val="-3"/>
        </w:rPr>
        <w:t>公司连续成功中标了中国邮储银行、中国建设银行、交通银行、招商银行、光大</w:t>
      </w:r>
      <w:r>
        <w:rPr>
          <w:spacing w:val="-111"/>
        </w:rPr>
        <w:t> </w:t>
      </w:r>
      <w:r>
        <w:rPr>
          <w:spacing w:val="-111"/>
        </w:rPr>
      </w:r>
      <w:r>
        <w:rPr>
          <w:spacing w:val="-3"/>
        </w:rPr>
        <w:t>银行、中信银行、浦发银行、民生银行、昆仑银行等商业银行，全年商业银行实</w:t>
      </w:r>
      <w:r>
        <w:rPr>
          <w:spacing w:val="-115"/>
        </w:rPr>
        <w:t> </w:t>
      </w:r>
      <w:r>
        <w:rPr>
          <w:spacing w:val="-115"/>
        </w:rPr>
      </w:r>
      <w:r>
        <w:rPr/>
        <w:t>现营业收入</w:t>
      </w:r>
      <w:r>
        <w:rPr>
          <w:rFonts w:ascii="宋体" w:hAnsi="宋体" w:cs="宋体" w:eastAsia="宋体" w:hint="default"/>
        </w:rPr>
        <w:t>11</w:t>
      </w:r>
      <w:r>
        <w:rPr/>
        <w:t>，</w:t>
      </w:r>
      <w:r>
        <w:rPr>
          <w:rFonts w:ascii="宋体" w:hAnsi="宋体" w:cs="宋体" w:eastAsia="宋体" w:hint="default"/>
        </w:rPr>
        <w:t>655.87</w:t>
      </w:r>
      <w:r>
        <w:rPr/>
        <w:t>万元，占比</w:t>
      </w:r>
      <w:r>
        <w:rPr>
          <w:rFonts w:ascii="宋体" w:hAnsi="宋体" w:cs="宋体" w:eastAsia="宋体" w:hint="default"/>
        </w:rPr>
        <w:t>34.12%</w:t>
      </w:r>
      <w:r>
        <w:rPr/>
        <w:t>，较去年同期增长</w:t>
      </w:r>
      <w:r>
        <w:rPr>
          <w:rFonts w:ascii="宋体" w:hAnsi="宋体" w:cs="宋体" w:eastAsia="宋体" w:hint="default"/>
        </w:rPr>
        <w:t>183.01%</w:t>
      </w:r>
      <w:r>
        <w:rPr/>
        <w:t>。在第三方 </w:t>
      </w:r>
      <w:r>
        <w:rPr>
          <w:spacing w:val="-3"/>
        </w:rPr>
        <w:t>社会服务机构方面，报告期内，公司继续向第三方社会服务机构实现销售收入</w:t>
      </w:r>
      <w:r>
        <w:rPr>
          <w:rFonts w:ascii="宋体" w:hAnsi="宋体" w:cs="宋体" w:eastAsia="宋体" w:hint="default"/>
          <w:spacing w:val="-3"/>
        </w:rPr>
        <w:t>5</w:t>
      </w:r>
      <w:r>
        <w:rPr>
          <w:spacing w:val="-3"/>
        </w:rPr>
        <w:t>，</w:t>
      </w:r>
      <w:r>
        <w:rPr>
          <w:spacing w:val="-107"/>
        </w:rPr>
        <w:t> </w:t>
      </w:r>
      <w:r>
        <w:rPr>
          <w:rFonts w:ascii="宋体" w:hAnsi="宋体" w:cs="宋体" w:eastAsia="宋体" w:hint="default"/>
        </w:rPr>
        <w:t>606.61</w:t>
      </w:r>
      <w:r>
        <w:rPr/>
        <w:t>万元，占比</w:t>
      </w:r>
      <w:r>
        <w:rPr>
          <w:rFonts w:ascii="宋体" w:hAnsi="宋体" w:cs="宋体" w:eastAsia="宋体" w:hint="default"/>
        </w:rPr>
        <w:t>16.41%</w:t>
      </w:r>
      <w:r>
        <w:rPr/>
        <w:t>，较去年同期增长</w:t>
      </w:r>
      <w:r>
        <w:rPr>
          <w:rFonts w:ascii="宋体" w:hAnsi="宋体" w:cs="宋体" w:eastAsia="宋体" w:hint="default"/>
        </w:rPr>
        <w:t>62.60%</w:t>
      </w:r>
      <w:r>
        <w:rPr/>
        <w:t>。</w:t>
      </w:r>
    </w:p>
    <w:p>
      <w:pPr>
        <w:pStyle w:val="BodyText"/>
        <w:spacing w:line="357" w:lineRule="auto" w:before="192"/>
        <w:ind w:right="219" w:firstLine="479"/>
        <w:jc w:val="both"/>
      </w:pPr>
      <w:r>
        <w:rPr>
          <w:spacing w:val="-3"/>
        </w:rPr>
        <w:t>在银联体系方面，报告期内，公司向银联商务、广州好易联、深圳银联等实</w:t>
      </w:r>
      <w:r>
        <w:rPr/>
        <w:t> 现销售收入</w:t>
      </w:r>
      <w:r>
        <w:rPr>
          <w:rFonts w:ascii="宋体" w:hAnsi="宋体" w:cs="宋体" w:eastAsia="宋体" w:hint="default"/>
        </w:rPr>
        <w:t>15,111.87</w:t>
      </w:r>
      <w:r>
        <w:rPr/>
        <w:t>万元，占比</w:t>
      </w:r>
      <w:r>
        <w:rPr>
          <w:rFonts w:ascii="宋体" w:hAnsi="宋体" w:cs="宋体" w:eastAsia="宋体" w:hint="default"/>
        </w:rPr>
        <w:t>44.24%</w:t>
      </w:r>
      <w:r>
        <w:rPr/>
        <w:t>，较去年同期增长</w:t>
      </w:r>
      <w:r>
        <w:rPr>
          <w:rFonts w:ascii="宋体" w:hAnsi="宋体" w:cs="宋体" w:eastAsia="宋体" w:hint="default"/>
        </w:rPr>
        <w:t>77.78%</w:t>
      </w:r>
      <w:r>
        <w:rPr/>
        <w:t>。</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5 </w:t>
      </w:r>
      <w:r>
        <w:rPr>
          <w:spacing w:val="-3"/>
        </w:rPr>
        <w:t>日，公司收到上海国际招标公司发出的《中选通知书》，通知书表明，经过商务</w:t>
      </w:r>
    </w:p>
    <w:p>
      <w:pPr>
        <w:spacing w:after="0" w:line="357" w:lineRule="auto"/>
        <w:jc w:val="both"/>
        <w:sectPr>
          <w:pgSz w:w="11910" w:h="16840"/>
          <w:pgMar w:header="0" w:footer="1195" w:top="1400" w:bottom="1380" w:left="1680" w:right="1580"/>
        </w:sectPr>
      </w:pPr>
    </w:p>
    <w:p>
      <w:pPr>
        <w:pStyle w:val="BodyText"/>
        <w:spacing w:line="357" w:lineRule="auto" w:before="1"/>
        <w:ind w:right="226"/>
        <w:jc w:val="left"/>
      </w:pPr>
      <w:r>
        <w:rPr/>
        <w:t>和技术评审，确定公司为银联商务有限公司</w:t>
      </w:r>
      <w:r>
        <w:rPr>
          <w:rFonts w:ascii="宋体" w:hAnsi="宋体" w:cs="宋体" w:eastAsia="宋体" w:hint="default"/>
        </w:rPr>
        <w:t>2012</w:t>
      </w:r>
      <w:r>
        <w:rPr/>
        <w:t>年</w:t>
      </w:r>
      <w:r>
        <w:rPr>
          <w:rFonts w:ascii="宋体" w:hAnsi="宋体" w:cs="宋体" w:eastAsia="宋体" w:hint="default"/>
        </w:rPr>
        <w:t>POS</w:t>
      </w:r>
      <w:r>
        <w:rPr/>
        <w:t>终端设备集中采购项目供 应商。</w:t>
      </w:r>
    </w:p>
    <w:p>
      <w:pPr>
        <w:pStyle w:val="BodyText"/>
        <w:spacing w:line="357" w:lineRule="auto" w:before="192"/>
        <w:ind w:right="211" w:firstLine="479"/>
        <w:jc w:val="left"/>
      </w:pPr>
      <w:r>
        <w:rPr>
          <w:spacing w:val="-3"/>
        </w:rPr>
        <w:t>在海外市场方面，</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月，公司首次携全系列产品参与了由全球最大的</w:t>
      </w:r>
      <w:r>
        <w:rPr/>
        <w:t> 电子支付行业协会“智能卡与支付产业协会”在法国巴黎举办的“</w:t>
      </w:r>
      <w:r>
        <w:rPr>
          <w:rFonts w:ascii="宋体" w:hAnsi="宋体" w:cs="宋体" w:eastAsia="宋体" w:hint="default"/>
        </w:rPr>
        <w:t>Cartes and Payment</w:t>
      </w:r>
      <w:r>
        <w:rPr/>
        <w:t>”智能卡与支付产业展览会，取得了良好的市场品牌宣传效应。公司与 </w:t>
      </w:r>
      <w:r>
        <w:rPr>
          <w:spacing w:val="-3"/>
        </w:rPr>
        <w:t>美国设备供应商合作定制开发的产品已完成产品测试认证工作，达到批量生产要</w:t>
      </w:r>
      <w:r>
        <w:rPr>
          <w:spacing w:val="-109"/>
        </w:rPr>
        <w:t> </w:t>
      </w:r>
      <w:r>
        <w:rPr>
          <w:spacing w:val="-109"/>
        </w:rPr>
      </w:r>
      <w:r>
        <w:rPr>
          <w:spacing w:val="-3"/>
        </w:rPr>
        <w:t>求。公司与中东地区、东南亚地区客户保持积极接触，了解客户需求与信息，为</w:t>
      </w:r>
      <w:r>
        <w:rPr>
          <w:spacing w:val="-111"/>
        </w:rPr>
        <w:t> </w:t>
      </w:r>
      <w:r>
        <w:rPr>
          <w:spacing w:val="-111"/>
        </w:rPr>
      </w:r>
      <w:r>
        <w:rPr/>
        <w:t>产品实现批量销售做好积极准备。</w:t>
      </w:r>
    </w:p>
    <w:p>
      <w:pPr>
        <w:pStyle w:val="BodyText"/>
        <w:spacing w:line="357" w:lineRule="auto" w:before="192"/>
        <w:ind w:right="82" w:firstLine="479"/>
        <w:jc w:val="left"/>
      </w:pPr>
      <w:r>
        <w:rPr/>
        <w:t>（</w:t>
      </w:r>
      <w:r>
        <w:rPr>
          <w:rFonts w:ascii="宋体" w:hAnsi="宋体" w:cs="宋体" w:eastAsia="宋体" w:hint="default"/>
        </w:rPr>
        <w:t>2</w:t>
      </w:r>
      <w:r>
        <w:rPr/>
        <w:t>）推行精细化管理，优化企业管理流程，提升企业资源的使用效率。报 </w:t>
      </w:r>
      <w:r>
        <w:rPr>
          <w:spacing w:val="-3"/>
        </w:rPr>
        <w:t>告期内，公司通过进一步优化营销管理、研发管理、生产管理、产品和项目管理</w:t>
      </w:r>
      <w:r>
        <w:rPr>
          <w:spacing w:val="-111"/>
        </w:rPr>
        <w:t> </w:t>
      </w:r>
      <w:r>
        <w:rPr>
          <w:spacing w:val="-111"/>
        </w:rPr>
      </w:r>
      <w:r>
        <w:rPr>
          <w:spacing w:val="-3"/>
        </w:rPr>
        <w:t>工作，提升了企业整体运营效率和水平，建成了</w:t>
      </w:r>
      <w:r>
        <w:rPr>
          <w:rFonts w:ascii="宋体" w:hAnsi="宋体" w:cs="宋体" w:eastAsia="宋体" w:hint="default"/>
          <w:spacing w:val="-3"/>
        </w:rPr>
        <w:t>45</w:t>
      </w:r>
      <w:r>
        <w:rPr>
          <w:spacing w:val="-3"/>
        </w:rPr>
        <w:t>个网点组成的覆盖全国各省市</w:t>
      </w:r>
      <w:r>
        <w:rPr>
          <w:spacing w:val="-108"/>
        </w:rPr>
        <w:t> </w:t>
      </w:r>
      <w:r>
        <w:rPr>
          <w:spacing w:val="-3"/>
        </w:rPr>
        <w:t>的营销服务网络，搭建了以市场招标为导向，全面支撑银联体系、全国性商业银</w:t>
      </w:r>
      <w:r>
        <w:rPr>
          <w:spacing w:val="-111"/>
        </w:rPr>
        <w:t> </w:t>
      </w:r>
      <w:r>
        <w:rPr>
          <w:spacing w:val="-111"/>
        </w:rPr>
      </w:r>
      <w:r>
        <w:rPr>
          <w:spacing w:val="-3"/>
        </w:rPr>
        <w:t>行、重要行业客户的营销服务体系，在各大区配备了增值技术开发服务团队，实</w:t>
      </w:r>
      <w:r>
        <w:rPr>
          <w:spacing w:val="-111"/>
        </w:rPr>
        <w:t> </w:t>
      </w:r>
      <w:r>
        <w:rPr>
          <w:spacing w:val="-111"/>
        </w:rPr>
      </w:r>
      <w:r>
        <w:rPr>
          <w:spacing w:val="-3"/>
        </w:rPr>
        <w:t>现增值开发服务与营销服务体系配套的方案，初步形成了售前技术开发带动产品</w:t>
      </w:r>
      <w:r>
        <w:rPr>
          <w:spacing w:val="-109"/>
        </w:rPr>
        <w:t> </w:t>
      </w:r>
      <w:r>
        <w:rPr>
          <w:spacing w:val="-109"/>
        </w:rPr>
      </w:r>
      <w:r>
        <w:rPr>
          <w:spacing w:val="-6"/>
        </w:rPr>
        <w:t>销售、产品销售结合售后增值应用服务，技术服务与销售服务联动的一体化模式，</w:t>
      </w:r>
      <w:r>
        <w:rPr/>
        <w:t> 为公司进一步开展市场工作打下坚实基础。</w:t>
      </w:r>
    </w:p>
    <w:p>
      <w:pPr>
        <w:pStyle w:val="BodyText"/>
        <w:spacing w:line="357" w:lineRule="auto" w:before="192"/>
        <w:ind w:right="216" w:firstLine="479"/>
        <w:jc w:val="both"/>
      </w:pPr>
      <w:r>
        <w:rPr/>
        <w:t>（</w:t>
      </w:r>
      <w:r>
        <w:rPr>
          <w:rFonts w:ascii="宋体" w:hAnsi="宋体" w:cs="宋体" w:eastAsia="宋体" w:hint="default"/>
        </w:rPr>
        <w:t>3</w:t>
      </w:r>
      <w:r>
        <w:rPr/>
        <w:t>）在产能建设方面，为满足不断增长的市场需求，工厂适时扩充了产能 </w:t>
      </w:r>
      <w:r>
        <w:rPr>
          <w:spacing w:val="-3"/>
        </w:rPr>
        <w:t>规模，增设了包装车间和成品仓库，共增加生产面积</w:t>
      </w:r>
      <w:r>
        <w:rPr>
          <w:rFonts w:ascii="宋体" w:hAnsi="宋体" w:cs="宋体" w:eastAsia="宋体" w:hint="default"/>
          <w:spacing w:val="-3"/>
        </w:rPr>
        <w:t>3000</w:t>
      </w:r>
      <w:r>
        <w:rPr>
          <w:spacing w:val="-3"/>
        </w:rPr>
        <w:t>平方米，引进了自动化</w:t>
      </w:r>
      <w:r>
        <w:rPr>
          <w:spacing w:val="-105"/>
        </w:rPr>
        <w:t> </w:t>
      </w:r>
      <w:r>
        <w:rPr>
          <w:spacing w:val="-105"/>
        </w:rPr>
      </w:r>
      <w:r>
        <w:rPr>
          <w:spacing w:val="-3"/>
        </w:rPr>
        <w:t>包装流水线，不仅有效的提升了生产效率，更有效保证了产品品质，提升了工厂</w:t>
      </w:r>
      <w:r>
        <w:rPr>
          <w:spacing w:val="-111"/>
        </w:rPr>
        <w:t> </w:t>
      </w:r>
      <w:r>
        <w:rPr>
          <w:spacing w:val="-111"/>
        </w:rPr>
      </w:r>
      <w:r>
        <w:rPr/>
        <w:t>的供货能力，保障了客户的订单供应。</w:t>
      </w:r>
    </w:p>
    <w:p>
      <w:pPr>
        <w:pStyle w:val="BodyText"/>
        <w:spacing w:line="357" w:lineRule="auto" w:before="192"/>
        <w:ind w:right="106" w:firstLine="479"/>
        <w:jc w:val="left"/>
      </w:pPr>
      <w:r>
        <w:rPr/>
        <w:t>（</w:t>
      </w:r>
      <w:r>
        <w:rPr>
          <w:rFonts w:ascii="宋体" w:hAnsi="宋体" w:cs="宋体" w:eastAsia="宋体" w:hint="default"/>
        </w:rPr>
        <w:t>4</w:t>
      </w:r>
      <w:r>
        <w:rPr/>
        <w:t>）在人力资源建设方面，为适应业务拓展和规模扩张带来的人才需求， </w:t>
      </w:r>
      <w:r>
        <w:rPr>
          <w:spacing w:val="-3"/>
        </w:rPr>
        <w:t>公司通过校园招聘和社会招聘，积极引进研发、生产、营销、管理等方面的专业</w:t>
      </w:r>
      <w:r>
        <w:rPr>
          <w:spacing w:val="-109"/>
        </w:rPr>
        <w:t> </w:t>
      </w:r>
      <w:r>
        <w:rPr>
          <w:spacing w:val="-109"/>
        </w:rPr>
      </w:r>
      <w:r>
        <w:rPr/>
        <w:t>人才，加强人才梯队培养和人才储备。公司重点加强对技术和业务骨干的培养， </w:t>
      </w:r>
      <w:r>
        <w:rPr>
          <w:spacing w:val="-3"/>
        </w:rPr>
        <w:t>加强人力资源开发，优化人力资源配置，有针对性地开展了研发、营销、管理体</w:t>
      </w:r>
      <w:r>
        <w:rPr>
          <w:spacing w:val="-111"/>
        </w:rPr>
        <w:t> </w:t>
      </w:r>
      <w:r>
        <w:rPr>
          <w:spacing w:val="-111"/>
        </w:rPr>
      </w:r>
      <w:r>
        <w:rPr>
          <w:spacing w:val="-3"/>
        </w:rPr>
        <w:t>系的专项拓展训练和培训，员工技能得以提升的同时，进一步增强了员工间的交</w:t>
      </w:r>
      <w:r>
        <w:rPr>
          <w:spacing w:val="-111"/>
        </w:rPr>
        <w:t> </w:t>
      </w:r>
      <w:r>
        <w:rPr>
          <w:spacing w:val="-111"/>
        </w:rPr>
      </w:r>
      <w:r>
        <w:rPr>
          <w:spacing w:val="-3"/>
        </w:rPr>
        <w:t>流。公司人员规模从年初的</w:t>
      </w:r>
      <w:r>
        <w:rPr>
          <w:rFonts w:ascii="宋体" w:hAnsi="宋体" w:cs="宋体" w:eastAsia="宋体" w:hint="default"/>
          <w:spacing w:val="-3"/>
        </w:rPr>
        <w:t>531</w:t>
      </w:r>
      <w:r>
        <w:rPr>
          <w:spacing w:val="-3"/>
        </w:rPr>
        <w:t>人发展到</w:t>
      </w:r>
      <w:r>
        <w:rPr>
          <w:rFonts w:ascii="宋体" w:hAnsi="宋体" w:cs="宋体" w:eastAsia="宋体" w:hint="default"/>
          <w:spacing w:val="-3"/>
        </w:rPr>
        <w:t>853</w:t>
      </w:r>
      <w:r>
        <w:rPr>
          <w:spacing w:val="-3"/>
        </w:rPr>
        <w:t>人，员工队伍在能力和规模上进一步</w:t>
      </w:r>
      <w:r>
        <w:rPr>
          <w:spacing w:val="-103"/>
        </w:rPr>
        <w:t> </w:t>
      </w:r>
      <w:r>
        <w:rPr>
          <w:spacing w:val="-103"/>
        </w:rPr>
      </w:r>
      <w:r>
        <w:rPr/>
        <w:t>加强及壮大。</w:t>
      </w:r>
    </w:p>
    <w:p>
      <w:pPr>
        <w:pStyle w:val="BodyText"/>
        <w:spacing w:line="240" w:lineRule="auto" w:before="192"/>
        <w:ind w:left="718" w:right="94"/>
        <w:jc w:val="left"/>
      </w:pPr>
      <w:r>
        <w:rPr/>
        <w:t>（</w:t>
      </w:r>
      <w:r>
        <w:rPr>
          <w:rFonts w:ascii="宋体" w:hAnsi="宋体" w:cs="宋体" w:eastAsia="宋体" w:hint="default"/>
        </w:rPr>
        <w:t>5</w:t>
      </w:r>
      <w:r>
        <w:rPr/>
        <w:t>）募集资金项目进展情况</w:t>
      </w:r>
    </w:p>
    <w:p>
      <w:pPr>
        <w:spacing w:after="0" w:line="240" w:lineRule="auto"/>
        <w:jc w:val="left"/>
        <w:sectPr>
          <w:pgSz w:w="11910" w:h="16840"/>
          <w:pgMar w:header="0" w:footer="1195" w:top="1460" w:bottom="1380" w:left="1680" w:right="1580"/>
        </w:sectPr>
      </w:pPr>
    </w:p>
    <w:p>
      <w:pPr>
        <w:pStyle w:val="BodyText"/>
        <w:spacing w:line="357" w:lineRule="auto" w:before="1"/>
        <w:ind w:right="94" w:firstLine="597"/>
        <w:jc w:val="left"/>
      </w:pPr>
      <w:r>
        <w:rPr/>
        <w:t>截止本报告公布之日，公司招股书中披露的计划募集资金使用项目三个， 新增其他与主营业务相关的运营资金项目三个，具体情况如下：</w:t>
      </w:r>
    </w:p>
    <w:p>
      <w:pPr>
        <w:pStyle w:val="BodyText"/>
        <w:spacing w:line="240" w:lineRule="auto" w:before="192"/>
        <w:ind w:left="600" w:right="94"/>
        <w:jc w:val="left"/>
      </w:pPr>
      <w:r>
        <w:rPr>
          <w:rFonts w:ascii="宋体" w:hAnsi="宋体" w:cs="宋体" w:eastAsia="宋体" w:hint="default"/>
        </w:rPr>
        <w:t>1</w:t>
      </w:r>
      <w:r>
        <w:rPr/>
        <w:t>）电子支付技术产研基地项目：</w:t>
      </w:r>
    </w:p>
    <w:p>
      <w:pPr>
        <w:spacing w:line="240" w:lineRule="auto" w:before="9"/>
        <w:rPr>
          <w:rFonts w:ascii="宋体" w:hAnsi="宋体" w:cs="宋体" w:eastAsia="宋体" w:hint="default"/>
          <w:sz w:val="23"/>
          <w:szCs w:val="23"/>
        </w:rPr>
      </w:pPr>
    </w:p>
    <w:p>
      <w:pPr>
        <w:pStyle w:val="BodyText"/>
        <w:spacing w:line="357" w:lineRule="auto"/>
        <w:ind w:right="106" w:firstLine="479"/>
        <w:jc w:val="left"/>
      </w:pPr>
      <w:r>
        <w:rPr>
          <w:spacing w:val="-3"/>
        </w:rPr>
        <w:t>电子支付技术产研基地项目以南京市新国都技术有限公司（以下简称“南京</w:t>
      </w:r>
      <w:r>
        <w:rPr/>
        <w:t> </w:t>
      </w:r>
      <w:r>
        <w:rPr>
          <w:spacing w:val="-3"/>
        </w:rPr>
        <w:t>新国都”）为项目实施主体，以公司为投资主体，定于南京市栖霞区马群街道办</w:t>
      </w:r>
      <w:r>
        <w:rPr>
          <w:spacing w:val="-111"/>
        </w:rPr>
        <w:t> </w:t>
      </w:r>
      <w:r>
        <w:rPr>
          <w:spacing w:val="-111"/>
        </w:rPr>
      </w:r>
      <w:r>
        <w:rPr/>
        <w:t>辖区内投资实施。</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20</w:t>
      </w:r>
      <w:r>
        <w:rPr/>
        <w:t>日，南京新国都经“招拍挂”程序，成功取得地 块编号为</w:t>
      </w:r>
      <w:r>
        <w:rPr>
          <w:rFonts w:ascii="宋体" w:hAnsi="宋体" w:cs="宋体" w:eastAsia="宋体" w:hint="default"/>
        </w:rPr>
        <w:t>NO.</w:t>
      </w:r>
      <w:r>
        <w:rPr/>
        <w:t>宁</w:t>
      </w:r>
      <w:r>
        <w:rPr>
          <w:rFonts w:ascii="宋体" w:hAnsi="宋体" w:cs="宋体" w:eastAsia="宋体" w:hint="default"/>
        </w:rPr>
        <w:t>2009GY30</w:t>
      </w:r>
      <w:r>
        <w:rPr/>
        <w:t>的栖霞区马群科技园</w:t>
      </w:r>
      <w:r>
        <w:rPr>
          <w:rFonts w:ascii="宋体" w:hAnsi="宋体" w:cs="宋体" w:eastAsia="宋体" w:hint="default"/>
        </w:rPr>
        <w:t>B</w:t>
      </w:r>
      <w:r>
        <w:rPr/>
        <w:t>地块，项目土地出让面积</w:t>
      </w:r>
      <w:r>
        <w:rPr>
          <w:rFonts w:ascii="宋体" w:hAnsi="宋体" w:cs="宋体" w:eastAsia="宋体" w:hint="default"/>
        </w:rPr>
        <w:t>22983.2 </w:t>
      </w:r>
      <w:r>
        <w:rPr/>
        <w:t>平方米。</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24</w:t>
      </w:r>
      <w:r>
        <w:rPr/>
        <w:t>日，双方签署《国家土地使用权出让合同》，合同规定项 目建设规划要点为建筑容积率</w:t>
      </w:r>
      <w:r>
        <w:rPr>
          <w:rFonts w:ascii="宋体" w:hAnsi="宋体" w:cs="宋体" w:eastAsia="宋体" w:hint="default"/>
        </w:rPr>
        <w:t>0.7</w:t>
      </w:r>
      <w:r>
        <w:rPr/>
        <w:t>≤</w:t>
      </w:r>
      <w:r>
        <w:rPr>
          <w:rFonts w:ascii="宋体" w:hAnsi="宋体" w:cs="宋体" w:eastAsia="宋体" w:hint="default"/>
        </w:rPr>
        <w:t>R</w:t>
      </w:r>
      <w:r>
        <w:rPr/>
        <w:t>≤</w:t>
      </w:r>
      <w:r>
        <w:rPr>
          <w:rFonts w:ascii="宋体" w:hAnsi="宋体" w:cs="宋体" w:eastAsia="宋体" w:hint="default"/>
        </w:rPr>
        <w:t>1.2</w:t>
      </w:r>
      <w:r>
        <w:rPr/>
        <w:t>，建筑密度≤</w:t>
      </w:r>
      <w:r>
        <w:rPr>
          <w:rFonts w:ascii="宋体" w:hAnsi="宋体" w:cs="宋体" w:eastAsia="宋体" w:hint="default"/>
        </w:rPr>
        <w:t>30%</w:t>
      </w:r>
      <w:r>
        <w:rPr/>
        <w:t>，建筑高度≤</w:t>
      </w:r>
      <w:r>
        <w:rPr>
          <w:rFonts w:ascii="宋体" w:hAnsi="宋体" w:cs="宋体" w:eastAsia="宋体" w:hint="default"/>
        </w:rPr>
        <w:t>15</w:t>
      </w:r>
      <w:r>
        <w:rPr/>
        <w:t>米， 绿地率≥</w:t>
      </w:r>
      <w:r>
        <w:rPr>
          <w:rFonts w:ascii="宋体" w:hAnsi="宋体" w:cs="宋体" w:eastAsia="宋体" w:hint="default"/>
        </w:rPr>
        <w:t>45%</w:t>
      </w:r>
      <w:r>
        <w:rPr/>
        <w:t>。</w:t>
      </w:r>
    </w:p>
    <w:p>
      <w:pPr>
        <w:pStyle w:val="BodyText"/>
        <w:spacing w:line="357" w:lineRule="auto" w:before="192"/>
        <w:ind w:right="216" w:firstLine="479"/>
        <w:jc w:val="both"/>
      </w:pPr>
      <w:r>
        <w:rPr>
          <w:rFonts w:ascii="宋体" w:hAnsi="宋体" w:cs="宋体" w:eastAsia="宋体" w:hint="default"/>
          <w:spacing w:val="-3"/>
        </w:rPr>
        <w:t>2010</w:t>
      </w:r>
      <w:r>
        <w:rPr>
          <w:spacing w:val="-3"/>
        </w:rPr>
        <w:t>年</w:t>
      </w:r>
      <w:r>
        <w:rPr>
          <w:rFonts w:ascii="宋体" w:hAnsi="宋体" w:cs="宋体" w:eastAsia="宋体" w:hint="default"/>
          <w:spacing w:val="-3"/>
        </w:rPr>
        <w:t>11</w:t>
      </w:r>
      <w:r>
        <w:rPr>
          <w:spacing w:val="-3"/>
        </w:rPr>
        <w:t>月，当地政府部门通知南京新国都，项目土地规划发生变化，原定</w:t>
      </w:r>
      <w:r>
        <w:rPr/>
        <w:t> </w:t>
      </w:r>
      <w:r>
        <w:rPr>
          <w:spacing w:val="-3"/>
        </w:rPr>
        <w:t>于项目土地上的建筑高度可达到</w:t>
      </w:r>
      <w:r>
        <w:rPr>
          <w:rFonts w:ascii="宋体" w:hAnsi="宋体" w:cs="宋体" w:eastAsia="宋体" w:hint="default"/>
          <w:spacing w:val="-3"/>
        </w:rPr>
        <w:t>15</w:t>
      </w:r>
      <w:r>
        <w:rPr>
          <w:spacing w:val="-3"/>
        </w:rPr>
        <w:t>米，现已更改为建筑高度必须为</w:t>
      </w:r>
      <w:r>
        <w:rPr>
          <w:rFonts w:ascii="宋体" w:hAnsi="宋体" w:cs="宋体" w:eastAsia="宋体" w:hint="default"/>
          <w:spacing w:val="-3"/>
        </w:rPr>
        <w:t>10</w:t>
      </w:r>
      <w:r>
        <w:rPr>
          <w:spacing w:val="-3"/>
        </w:rPr>
        <w:t>米以下，导</w:t>
      </w:r>
      <w:r>
        <w:rPr>
          <w:spacing w:val="-104"/>
        </w:rPr>
        <w:t> </w:t>
      </w:r>
      <w:r>
        <w:rPr>
          <w:spacing w:val="-104"/>
        </w:rPr>
      </w:r>
      <w:r>
        <w:rPr>
          <w:spacing w:val="-3"/>
        </w:rPr>
        <w:t>致公司的建设方案无法实施，且已无法满足公司的用地需求。经南京新国都和公</w:t>
      </w:r>
      <w:r>
        <w:rPr>
          <w:spacing w:val="-111"/>
        </w:rPr>
        <w:t> </w:t>
      </w:r>
      <w:r>
        <w:rPr>
          <w:spacing w:val="-111"/>
        </w:rPr>
      </w:r>
      <w:r>
        <w:rPr>
          <w:spacing w:val="-3"/>
        </w:rPr>
        <w:t>司与南京当地政府多次沟通与协商，均无法改变新的建设规划要点，为了不拖延</w:t>
      </w:r>
      <w:r>
        <w:rPr>
          <w:spacing w:val="-110"/>
        </w:rPr>
        <w:t> </w:t>
      </w:r>
      <w:r>
        <w:rPr>
          <w:spacing w:val="-110"/>
        </w:rPr>
      </w:r>
      <w:r>
        <w:rPr/>
        <w:t>项目实施进度，公司于</w:t>
      </w:r>
      <w:r>
        <w:rPr>
          <w:rFonts w:ascii="宋体" w:hAnsi="宋体" w:cs="宋体" w:eastAsia="宋体" w:hint="default"/>
        </w:rPr>
        <w:t>2011</w:t>
      </w:r>
      <w:r>
        <w:rPr/>
        <w:t>年</w:t>
      </w:r>
      <w:r>
        <w:rPr>
          <w:rFonts w:ascii="宋体" w:hAnsi="宋体" w:cs="宋体" w:eastAsia="宋体" w:hint="default"/>
        </w:rPr>
        <w:t>8</w:t>
      </w:r>
      <w:r>
        <w:rPr/>
        <w:t>月在苏州获得新的土地，由于苏州土地不能用于 </w:t>
      </w:r>
      <w:r>
        <w:rPr>
          <w:spacing w:val="-3"/>
        </w:rPr>
        <w:t>生产，公司拟计划建设研发中心。根据上述实际情况，公司拟将本项目的研发中</w:t>
      </w:r>
      <w:r>
        <w:rPr>
          <w:spacing w:val="-111"/>
        </w:rPr>
        <w:t> </w:t>
      </w:r>
      <w:r>
        <w:rPr>
          <w:spacing w:val="-111"/>
        </w:rPr>
      </w:r>
      <w:r>
        <w:rPr>
          <w:spacing w:val="-3"/>
        </w:rPr>
        <w:t>心和客服中心迁往苏州实施，将项目的生产部分则迁往深圳实施，原以募集资金</w:t>
      </w:r>
      <w:r>
        <w:rPr>
          <w:spacing w:val="-111"/>
        </w:rPr>
        <w:t> </w:t>
      </w:r>
      <w:r>
        <w:rPr>
          <w:spacing w:val="-111"/>
        </w:rPr>
      </w:r>
      <w:r>
        <w:rPr>
          <w:rFonts w:ascii="宋体" w:hAnsi="宋体" w:cs="宋体" w:eastAsia="宋体" w:hint="default"/>
          <w:spacing w:val="-3"/>
        </w:rPr>
        <w:t>1475.7123</w:t>
      </w:r>
      <w:r>
        <w:rPr>
          <w:spacing w:val="-3"/>
        </w:rPr>
        <w:t>万元（含以募集资金置换的</w:t>
      </w:r>
      <w:r>
        <w:rPr>
          <w:rFonts w:ascii="宋体" w:hAnsi="宋体" w:cs="宋体" w:eastAsia="宋体" w:hint="default"/>
          <w:spacing w:val="-3"/>
        </w:rPr>
        <w:t>1293.7123</w:t>
      </w:r>
      <w:r>
        <w:rPr>
          <w:spacing w:val="-3"/>
        </w:rPr>
        <w:t>万元和后续用于支付建筑方案设</w:t>
      </w:r>
      <w:r>
        <w:rPr>
          <w:spacing w:val="-82"/>
        </w:rPr>
        <w:t> </w:t>
      </w:r>
      <w:r>
        <w:rPr/>
        <w:t>计费的</w:t>
      </w:r>
      <w:r>
        <w:rPr>
          <w:rFonts w:ascii="宋体" w:hAnsi="宋体" w:cs="宋体" w:eastAsia="宋体" w:hint="default"/>
        </w:rPr>
        <w:t>182</w:t>
      </w:r>
      <w:r>
        <w:rPr/>
        <w:t>万元，由于建筑设计方案无法实施，建筑方案设计费未支付）全部退 </w:t>
      </w:r>
      <w:r>
        <w:rPr>
          <w:spacing w:val="-3"/>
        </w:rPr>
        <w:t>回该项目的募集资金管理专户。该项目实施地点的迁移还需公司董事会、股东大</w:t>
      </w:r>
      <w:r>
        <w:rPr>
          <w:spacing w:val="-111"/>
        </w:rPr>
        <w:t> </w:t>
      </w:r>
      <w:r>
        <w:rPr>
          <w:spacing w:val="-111"/>
        </w:rPr>
      </w:r>
      <w:r>
        <w:rPr/>
        <w:t>会审议通过方可实施。</w:t>
      </w:r>
    </w:p>
    <w:p>
      <w:pPr>
        <w:pStyle w:val="BodyText"/>
        <w:spacing w:line="240" w:lineRule="auto" w:before="192"/>
        <w:ind w:left="600" w:right="94"/>
        <w:jc w:val="left"/>
      </w:pPr>
      <w:r>
        <w:rPr>
          <w:rFonts w:ascii="宋体" w:hAnsi="宋体" w:cs="宋体" w:eastAsia="宋体" w:hint="default"/>
        </w:rPr>
        <w:t>2</w:t>
      </w:r>
      <w:r>
        <w:rPr/>
        <w:t>）电子支付终端设备运营项目：</w:t>
      </w:r>
    </w:p>
    <w:p>
      <w:pPr>
        <w:spacing w:line="240" w:lineRule="auto" w:before="9"/>
        <w:rPr>
          <w:rFonts w:ascii="宋体" w:hAnsi="宋体" w:cs="宋体" w:eastAsia="宋体" w:hint="default"/>
          <w:sz w:val="23"/>
          <w:szCs w:val="23"/>
        </w:rPr>
      </w:pPr>
    </w:p>
    <w:p>
      <w:pPr>
        <w:pStyle w:val="BodyText"/>
        <w:spacing w:line="357" w:lineRule="auto"/>
        <w:ind w:right="94" w:firstLine="479"/>
        <w:jc w:val="left"/>
      </w:pPr>
      <w:r>
        <w:rPr>
          <w:spacing w:val="-3"/>
        </w:rPr>
        <w:t>随着收单服务市场的发展，公司募集资金使用项目中，电子支付终端设备运</w:t>
      </w:r>
      <w:r>
        <w:rPr/>
        <w:t> </w:t>
      </w:r>
      <w:r>
        <w:rPr>
          <w:spacing w:val="-3"/>
        </w:rPr>
        <w:t>营项目持续推进中。由于社会第三方收单机构的资金实力不同，部分社会第三方</w:t>
      </w:r>
      <w:r>
        <w:rPr>
          <w:spacing w:val="-111"/>
        </w:rPr>
        <w:t> </w:t>
      </w:r>
      <w:r>
        <w:rPr>
          <w:spacing w:val="-111"/>
        </w:rPr>
      </w:r>
      <w:r>
        <w:rPr>
          <w:spacing w:val="-3"/>
        </w:rPr>
        <w:t>以设备租赁的形式向公司租赁设备，截止</w:t>
      </w:r>
      <w:r>
        <w:rPr>
          <w:rFonts w:ascii="宋体" w:hAnsi="宋体" w:cs="宋体" w:eastAsia="宋体" w:hint="default"/>
          <w:spacing w:val="-3"/>
        </w:rPr>
        <w:t>2011</w:t>
      </w:r>
      <w:r>
        <w:rPr>
          <w:spacing w:val="-3"/>
        </w:rPr>
        <w:t>年年底，公司共租赁设备</w:t>
      </w:r>
      <w:r>
        <w:rPr>
          <w:rFonts w:ascii="宋体" w:hAnsi="宋体" w:cs="宋体" w:eastAsia="宋体" w:hint="default"/>
          <w:spacing w:val="-3"/>
        </w:rPr>
        <w:t>12669</w:t>
      </w:r>
      <w:r>
        <w:rPr>
          <w:spacing w:val="-3"/>
        </w:rPr>
        <w:t>台，</w:t>
      </w:r>
      <w:r>
        <w:rPr>
          <w:spacing w:val="-96"/>
        </w:rPr>
        <w:t> </w:t>
      </w:r>
      <w:r>
        <w:rPr/>
        <w:t>实现租赁收入</w:t>
      </w:r>
      <w:r>
        <w:rPr>
          <w:rFonts w:ascii="宋体" w:hAnsi="宋体" w:cs="宋体" w:eastAsia="宋体" w:hint="default"/>
        </w:rPr>
        <w:t>1108.68</w:t>
      </w:r>
      <w:r>
        <w:rPr/>
        <w:t>万元，较去年同期增长</w:t>
      </w:r>
      <w:r>
        <w:rPr>
          <w:rFonts w:ascii="宋体" w:hAnsi="宋体" w:cs="宋体" w:eastAsia="宋体" w:hint="default"/>
        </w:rPr>
        <w:t>14.94%</w:t>
      </w:r>
      <w:r>
        <w:rPr/>
        <w:t>。除了设备租赁，公司与广 </w:t>
      </w:r>
      <w:r>
        <w:rPr>
          <w:spacing w:val="-3"/>
        </w:rPr>
        <w:t>州羊城通有限公司合作的“羊城通小额支付合作运营项目”，也是电子支付终端</w:t>
      </w:r>
      <w:r>
        <w:rPr>
          <w:spacing w:val="-111"/>
        </w:rPr>
        <w:t> </w:t>
      </w:r>
      <w:r>
        <w:rPr>
          <w:spacing w:val="-111"/>
        </w:rPr>
      </w:r>
      <w:r>
        <w:rPr/>
        <w:t>设备运营项目的重要内容。由于广州羊城通有限公司的后台交易系统技术升级，</w:t>
      </w:r>
    </w:p>
    <w:p>
      <w:pPr>
        <w:spacing w:after="0" w:line="357" w:lineRule="auto"/>
        <w:jc w:val="left"/>
        <w:sectPr>
          <w:pgSz w:w="11910" w:h="16840"/>
          <w:pgMar w:header="0" w:footer="1195" w:top="1460" w:bottom="1380" w:left="1680" w:right="1580"/>
        </w:sectPr>
      </w:pPr>
    </w:p>
    <w:p>
      <w:pPr>
        <w:pStyle w:val="BodyText"/>
        <w:spacing w:line="357" w:lineRule="auto" w:before="1"/>
        <w:ind w:right="237"/>
        <w:jc w:val="both"/>
      </w:pPr>
      <w:r>
        <w:rPr>
          <w:spacing w:val="-3"/>
        </w:rPr>
        <w:t>双方合作的设备运营业务需要双方密切配合，导致公司在该部分业务的进展较原</w:t>
      </w:r>
      <w:r>
        <w:rPr>
          <w:spacing w:val="-109"/>
        </w:rPr>
        <w:t> </w:t>
      </w:r>
      <w:r>
        <w:rPr>
          <w:spacing w:val="-109"/>
        </w:rPr>
      </w:r>
      <w:r>
        <w:rPr>
          <w:spacing w:val="-3"/>
        </w:rPr>
        <w:t>本预计的进度严重滞后。但，公司仍将积极推动相关业务的进展，加大商户开拓</w:t>
      </w:r>
      <w:r>
        <w:rPr>
          <w:spacing w:val="-112"/>
        </w:rPr>
        <w:t> </w:t>
      </w:r>
      <w:r>
        <w:rPr>
          <w:spacing w:val="-112"/>
        </w:rPr>
      </w:r>
      <w:r>
        <w:rPr/>
        <w:t>力度，持续保持对该部分业务的投入。</w:t>
      </w:r>
    </w:p>
    <w:p>
      <w:pPr>
        <w:pStyle w:val="BodyText"/>
        <w:spacing w:line="240" w:lineRule="auto" w:before="192"/>
        <w:ind w:left="600" w:right="0"/>
        <w:jc w:val="left"/>
      </w:pPr>
      <w:r>
        <w:rPr>
          <w:rFonts w:ascii="宋体" w:hAnsi="宋体" w:cs="宋体" w:eastAsia="宋体" w:hint="default"/>
        </w:rPr>
        <w:t>3</w:t>
      </w:r>
      <w:r>
        <w:rPr/>
        <w:t>）运营销售服务网络建设项目：</w:t>
      </w:r>
    </w:p>
    <w:p>
      <w:pPr>
        <w:spacing w:line="240" w:lineRule="auto" w:before="9"/>
        <w:rPr>
          <w:rFonts w:ascii="宋体" w:hAnsi="宋体" w:cs="宋体" w:eastAsia="宋体" w:hint="default"/>
          <w:sz w:val="23"/>
          <w:szCs w:val="23"/>
        </w:rPr>
      </w:pPr>
    </w:p>
    <w:p>
      <w:pPr>
        <w:pStyle w:val="BodyText"/>
        <w:spacing w:line="357" w:lineRule="auto"/>
        <w:ind w:right="102" w:firstLine="479"/>
        <w:jc w:val="left"/>
      </w:pPr>
      <w:r>
        <w:rPr>
          <w:spacing w:val="-3"/>
        </w:rPr>
        <w:t>根据公司业务发展规划，</w:t>
      </w:r>
      <w:r>
        <w:rPr>
          <w:rFonts w:ascii="宋体" w:hAnsi="宋体" w:cs="宋体" w:eastAsia="宋体" w:hint="default"/>
          <w:spacing w:val="-3"/>
        </w:rPr>
        <w:t>2011</w:t>
      </w:r>
      <w:r>
        <w:rPr>
          <w:spacing w:val="-3"/>
        </w:rPr>
        <w:t>年，公司加强了运营销售服务网络建设，公司</w:t>
      </w:r>
      <w:r>
        <w:rPr/>
        <w:t> </w:t>
      </w:r>
      <w:r>
        <w:rPr>
          <w:spacing w:val="-3"/>
        </w:rPr>
        <w:t>已经在全国共设立办事处</w:t>
      </w:r>
      <w:r>
        <w:rPr>
          <w:rFonts w:ascii="宋体" w:hAnsi="宋体" w:cs="宋体" w:eastAsia="宋体" w:hint="default"/>
          <w:spacing w:val="-3"/>
        </w:rPr>
        <w:t>45</w:t>
      </w:r>
      <w:r>
        <w:rPr>
          <w:spacing w:val="-3"/>
        </w:rPr>
        <w:t>个，已覆盖全国</w:t>
      </w:r>
      <w:r>
        <w:rPr>
          <w:rFonts w:ascii="宋体" w:hAnsi="宋体" w:cs="宋体" w:eastAsia="宋体" w:hint="default"/>
          <w:spacing w:val="-3"/>
        </w:rPr>
        <w:t>34</w:t>
      </w:r>
      <w:r>
        <w:rPr>
          <w:spacing w:val="-3"/>
        </w:rPr>
        <w:t>个省级行政区，完成了项目预定的</w:t>
      </w:r>
      <w:r>
        <w:rPr>
          <w:spacing w:val="-105"/>
        </w:rPr>
        <w:t> </w:t>
      </w:r>
      <w:r>
        <w:rPr>
          <w:spacing w:val="-105"/>
        </w:rPr>
      </w:r>
      <w:r>
        <w:rPr>
          <w:spacing w:val="-3"/>
        </w:rPr>
        <w:t>运营销售服务网点建设内容。根据项目规划，原计划在市场重点布局的城市购置</w:t>
      </w:r>
      <w:r>
        <w:rPr>
          <w:spacing w:val="-109"/>
        </w:rPr>
        <w:t> </w:t>
      </w:r>
      <w:r>
        <w:rPr>
          <w:spacing w:val="-109"/>
        </w:rPr>
      </w:r>
      <w:r>
        <w:rPr>
          <w:spacing w:val="-3"/>
        </w:rPr>
        <w:t>办公场地，由于房地产市场调控原因，房价走势不明朗，暂未购买，而暂以租赁</w:t>
      </w:r>
      <w:r>
        <w:rPr>
          <w:spacing w:val="-111"/>
        </w:rPr>
        <w:t> </w:t>
      </w:r>
      <w:r>
        <w:rPr>
          <w:spacing w:val="-111"/>
        </w:rPr>
      </w:r>
      <w:r>
        <w:rPr>
          <w:spacing w:val="-6"/>
        </w:rPr>
        <w:t>房屋形式进行使用。公司将根据实际情况，秉着合理、有效使用募集资金的原则，</w:t>
      </w:r>
      <w:r>
        <w:rPr/>
        <w:t> 使用该项目剩余的募集资金。</w:t>
      </w:r>
    </w:p>
    <w:p>
      <w:pPr>
        <w:pStyle w:val="BodyText"/>
        <w:spacing w:line="240" w:lineRule="auto" w:before="192"/>
        <w:ind w:left="600" w:right="0"/>
        <w:jc w:val="left"/>
      </w:pPr>
      <w:r>
        <w:rPr>
          <w:rFonts w:ascii="宋体" w:hAnsi="宋体" w:cs="宋体" w:eastAsia="宋体" w:hint="default"/>
        </w:rPr>
        <w:t>4</w:t>
      </w:r>
      <w:r>
        <w:rPr/>
        <w:t>）电子支付服务项目</w:t>
      </w:r>
    </w:p>
    <w:p>
      <w:pPr>
        <w:spacing w:line="240" w:lineRule="auto" w:before="9"/>
        <w:rPr>
          <w:rFonts w:ascii="宋体" w:hAnsi="宋体" w:cs="宋体" w:eastAsia="宋体" w:hint="default"/>
          <w:sz w:val="23"/>
          <w:szCs w:val="23"/>
        </w:rPr>
      </w:pPr>
    </w:p>
    <w:p>
      <w:pPr>
        <w:pStyle w:val="BodyText"/>
        <w:spacing w:line="357" w:lineRule="auto"/>
        <w:ind w:right="114" w:firstLine="479"/>
        <w:jc w:val="left"/>
      </w:pPr>
      <w:r>
        <w:rPr/>
        <w:t>根据</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21</w:t>
      </w:r>
      <w:r>
        <w:rPr/>
        <w:t>日，公司</w:t>
      </w:r>
      <w:r>
        <w:rPr>
          <w:rFonts w:ascii="宋体" w:hAnsi="宋体" w:cs="宋体" w:eastAsia="宋体" w:hint="default"/>
        </w:rPr>
        <w:t>2011</w:t>
      </w:r>
      <w:r>
        <w:rPr/>
        <w:t>年第一次临时股东大会审议通过《关于审议 使用部分其他与主营业务相关的营运资金对全资子公司深圳市新国都软件技术 有限公司增资的议案》，公司从超募资金中投资人民币</w:t>
      </w:r>
      <w:r>
        <w:rPr>
          <w:rFonts w:ascii="宋体" w:hAnsi="宋体" w:cs="宋体" w:eastAsia="宋体" w:hint="default"/>
        </w:rPr>
        <w:t>1</w:t>
      </w:r>
      <w:r>
        <w:rPr/>
        <w:t>亿元向深圳市新国都软 </w:t>
      </w:r>
      <w:r>
        <w:rPr>
          <w:spacing w:val="-3"/>
        </w:rPr>
        <w:t>件技术有限公司（现名“深圳市易联技术有限公司”，下同）增资，用于支持深</w:t>
      </w:r>
      <w:r>
        <w:rPr>
          <w:spacing w:val="-109"/>
        </w:rPr>
        <w:t> </w:t>
      </w:r>
      <w:r>
        <w:rPr>
          <w:spacing w:val="-109"/>
        </w:rPr>
      </w:r>
      <w:r>
        <w:rPr>
          <w:spacing w:val="-3"/>
        </w:rPr>
        <w:t>圳市新国都软件技术有限公司申领电子支付服务牌照，预计申领范围为预付卡发</w:t>
      </w:r>
      <w:r>
        <w:rPr>
          <w:spacing w:val="-109"/>
        </w:rPr>
        <w:t> </w:t>
      </w:r>
      <w:r>
        <w:rPr>
          <w:spacing w:val="-109"/>
        </w:rPr>
      </w:r>
      <w:r>
        <w:rPr>
          <w:spacing w:val="-3"/>
        </w:rPr>
        <w:t>行与受理业务，以配合小额支付运营项目的开展和实施，而不涉及银行卡收单业</w:t>
      </w:r>
      <w:r>
        <w:rPr>
          <w:spacing w:val="-112"/>
        </w:rPr>
        <w:t> </w:t>
      </w:r>
      <w:r>
        <w:rPr>
          <w:spacing w:val="-112"/>
        </w:rPr>
      </w:r>
      <w:r>
        <w:rPr>
          <w:spacing w:val="-3"/>
        </w:rPr>
        <w:t>务和第三方收单服务业务。由于中国人民银行审核标准的原因，深圳易联技术有</w:t>
      </w:r>
      <w:r>
        <w:rPr>
          <w:spacing w:val="-110"/>
        </w:rPr>
        <w:t> </w:t>
      </w:r>
      <w:r>
        <w:rPr>
          <w:spacing w:val="-110"/>
        </w:rPr>
      </w:r>
      <w:r>
        <w:rPr>
          <w:spacing w:val="-6"/>
        </w:rPr>
        <w:t>限公司牌照申领工作进展非常缓慢。</w:t>
      </w:r>
      <w:r>
        <w:rPr>
          <w:rFonts w:ascii="宋体" w:hAnsi="宋体" w:cs="宋体" w:eastAsia="宋体" w:hint="default"/>
          <w:spacing w:val="-6"/>
        </w:rPr>
        <w:t>2012</w:t>
      </w:r>
      <w:r>
        <w:rPr>
          <w:spacing w:val="-6"/>
        </w:rPr>
        <w:t>年，公司将本着提高募集资金使用效率、</w:t>
      </w:r>
      <w:r>
        <w:rPr>
          <w:spacing w:val="-106"/>
        </w:rPr>
        <w:t> </w:t>
      </w:r>
      <w:r>
        <w:rPr>
          <w:spacing w:val="-106"/>
        </w:rPr>
      </w:r>
      <w:r>
        <w:rPr/>
        <w:t>支持公司主营业务发展的原则，适时调整该项目的资金使用用途。</w:t>
      </w:r>
    </w:p>
    <w:p>
      <w:pPr>
        <w:pStyle w:val="BodyText"/>
        <w:spacing w:line="240" w:lineRule="auto" w:before="192"/>
        <w:ind w:left="600" w:right="0"/>
        <w:jc w:val="left"/>
      </w:pPr>
      <w:r>
        <w:rPr>
          <w:rFonts w:ascii="宋体" w:hAnsi="宋体" w:cs="宋体" w:eastAsia="宋体" w:hint="default"/>
        </w:rPr>
        <w:t>5</w:t>
      </w:r>
      <w:r>
        <w:rPr/>
        <w:t>）电子支付技术苏州研发基地项目</w:t>
      </w:r>
    </w:p>
    <w:p>
      <w:pPr>
        <w:spacing w:line="240" w:lineRule="auto" w:before="9"/>
        <w:rPr>
          <w:rFonts w:ascii="宋体" w:hAnsi="宋体" w:cs="宋体" w:eastAsia="宋体" w:hint="default"/>
          <w:sz w:val="23"/>
          <w:szCs w:val="23"/>
        </w:rPr>
      </w:pPr>
    </w:p>
    <w:p>
      <w:pPr>
        <w:pStyle w:val="BodyText"/>
        <w:spacing w:line="357" w:lineRule="auto"/>
        <w:ind w:right="126" w:firstLine="479"/>
        <w:jc w:val="left"/>
      </w:pPr>
      <w:r>
        <w:rPr>
          <w:spacing w:val="-3"/>
        </w:rPr>
        <w:t>由于电子支付技术产研基地项目无法实施，公司拟将原计划在南京实施的研</w:t>
      </w:r>
      <w:r>
        <w:rPr/>
        <w:t> 发中心和客服中心的投入迁移到苏州实施，以整合资源，加快项目的实施进程。 根据</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5"/>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t>日，公司</w:t>
      </w:r>
      <w:r>
        <w:rPr>
          <w:spacing w:val="-58"/>
        </w:rPr>
        <w:t> </w:t>
      </w:r>
      <w:r>
        <w:rPr>
          <w:rFonts w:ascii="宋体" w:hAnsi="宋体" w:cs="宋体" w:eastAsia="宋体" w:hint="default"/>
        </w:rPr>
        <w:t>2011</w:t>
      </w:r>
      <w:r>
        <w:rPr>
          <w:rFonts w:ascii="宋体" w:hAnsi="宋体" w:cs="宋体" w:eastAsia="宋体" w:hint="default"/>
          <w:spacing w:val="-58"/>
        </w:rPr>
        <w:t> </w:t>
      </w:r>
      <w:r>
        <w:rPr/>
        <w:t>年度第二次临时股东大会审议通过《关于投 </w:t>
      </w:r>
      <w:r>
        <w:rPr>
          <w:spacing w:val="-3"/>
        </w:rPr>
        <w:t>资建设电子支付技术苏州研发基地项目的议案》，公司已经同意实施电子支付技</w:t>
      </w:r>
      <w:r>
        <w:rPr>
          <w:spacing w:val="-109"/>
        </w:rPr>
        <w:t> </w:t>
      </w:r>
      <w:r>
        <w:rPr>
          <w:spacing w:val="-109"/>
        </w:rPr>
      </w:r>
      <w:r>
        <w:rPr>
          <w:spacing w:val="-4"/>
        </w:rPr>
        <w:t>术苏州研发基地项目，该项目原本计划分两期建设，第一期总投资为</w:t>
      </w:r>
      <w:r>
        <w:rPr>
          <w:spacing w:val="-54"/>
        </w:rPr>
        <w:t> </w:t>
      </w:r>
      <w:r>
        <w:rPr>
          <w:rFonts w:ascii="宋体" w:hAnsi="宋体" w:cs="宋体" w:eastAsia="宋体" w:hint="default"/>
        </w:rPr>
        <w:t>21808</w:t>
      </w:r>
      <w:r>
        <w:rPr>
          <w:rFonts w:ascii="宋体" w:hAnsi="宋体" w:cs="宋体" w:eastAsia="宋体" w:hint="default"/>
          <w:spacing w:val="-54"/>
        </w:rPr>
        <w:t> </w:t>
      </w:r>
      <w:r>
        <w:rPr/>
        <w:t>万元</w:t>
      </w:r>
      <w:r>
        <w:rPr>
          <w:spacing w:val="-109"/>
        </w:rPr>
        <w:t> </w:t>
      </w:r>
      <w:r>
        <w:rPr>
          <w:spacing w:val="-3"/>
        </w:rPr>
        <w:t>人民币。如果公司股东大会审议通过电子支付技术产研基地项目的研发中心、客</w:t>
      </w:r>
    </w:p>
    <w:p>
      <w:pPr>
        <w:spacing w:after="0" w:line="357" w:lineRule="auto"/>
        <w:jc w:val="left"/>
        <w:sectPr>
          <w:pgSz w:w="11910" w:h="16840"/>
          <w:pgMar w:header="0" w:footer="1195" w:top="1460" w:bottom="1380" w:left="1680" w:right="1560"/>
        </w:sectPr>
      </w:pPr>
    </w:p>
    <w:p>
      <w:pPr>
        <w:pStyle w:val="BodyText"/>
        <w:spacing w:line="357" w:lineRule="auto" w:before="1"/>
        <w:ind w:left="140" w:right="211"/>
        <w:jc w:val="left"/>
      </w:pPr>
      <w:r>
        <w:rPr>
          <w:spacing w:val="-3"/>
        </w:rPr>
        <w:t>服中心部分由南京迁移至苏州实施，则苏州研发基地项目将由分期建设改为全面</w:t>
      </w:r>
      <w:r>
        <w:rPr>
          <w:spacing w:val="-109"/>
        </w:rPr>
        <w:t> </w:t>
      </w:r>
      <w:r>
        <w:rPr>
          <w:spacing w:val="-109"/>
        </w:rPr>
      </w:r>
      <w:r>
        <w:rPr/>
        <w:t>动工，以加快项目实施进度，早日为公司产生效益。</w:t>
      </w:r>
    </w:p>
    <w:p>
      <w:pPr>
        <w:pStyle w:val="BodyText"/>
        <w:spacing w:line="240" w:lineRule="auto" w:before="194"/>
        <w:ind w:left="620" w:right="0"/>
        <w:jc w:val="left"/>
      </w:pPr>
      <w:r>
        <w:rPr>
          <w:rFonts w:ascii="宋体" w:hAnsi="宋体" w:cs="宋体" w:eastAsia="宋体" w:hint="default"/>
        </w:rPr>
        <w:t>6</w:t>
      </w:r>
      <w:r>
        <w:rPr/>
        <w:t>）永久补充流动资金项目</w:t>
      </w:r>
    </w:p>
    <w:p>
      <w:pPr>
        <w:spacing w:line="240" w:lineRule="auto" w:before="7"/>
        <w:rPr>
          <w:rFonts w:ascii="宋体" w:hAnsi="宋体" w:cs="宋体" w:eastAsia="宋体" w:hint="default"/>
          <w:sz w:val="23"/>
          <w:szCs w:val="23"/>
        </w:rPr>
      </w:pPr>
    </w:p>
    <w:p>
      <w:pPr>
        <w:pStyle w:val="BodyText"/>
        <w:spacing w:line="357" w:lineRule="auto"/>
        <w:ind w:left="140" w:right="82" w:firstLine="479"/>
        <w:jc w:val="left"/>
      </w:pP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24</w:t>
      </w:r>
      <w:r>
        <w:rPr>
          <w:spacing w:val="-3"/>
        </w:rPr>
        <w:t>日，公司第二届董事会第三次会议审议通过《关于审议使用部</w:t>
      </w:r>
      <w:r>
        <w:rPr/>
        <w:t> 分超募资金永久补充流通资金的议案》，同意公司使用</w:t>
      </w:r>
      <w:r>
        <w:rPr>
          <w:rFonts w:ascii="宋体" w:hAnsi="宋体" w:cs="宋体" w:eastAsia="宋体" w:hint="default"/>
        </w:rPr>
        <w:t>4,500</w:t>
      </w:r>
      <w:r>
        <w:rPr/>
        <w:t>万元超募资金永久 </w:t>
      </w:r>
      <w:r>
        <w:rPr>
          <w:spacing w:val="-6"/>
        </w:rPr>
        <w:t>性补充流通资金，缓解公司流动资金不足。目前该项目已完成相关银行划转工作，</w:t>
      </w:r>
      <w:r>
        <w:rPr/>
        <w:t> 满足公司日常经营所需流动资金。</w:t>
      </w:r>
    </w:p>
    <w:p>
      <w:pPr>
        <w:spacing w:line="240" w:lineRule="auto" w:before="2"/>
        <w:rPr>
          <w:rFonts w:ascii="宋体" w:hAnsi="宋体" w:cs="宋体" w:eastAsia="宋体" w:hint="default"/>
          <w:sz w:val="25"/>
          <w:szCs w:val="25"/>
        </w:rPr>
      </w:pPr>
    </w:p>
    <w:p>
      <w:pPr>
        <w:pStyle w:val="Heading7"/>
        <w:spacing w:line="240" w:lineRule="auto" w:before="0"/>
        <w:ind w:left="140" w:right="0"/>
        <w:jc w:val="left"/>
        <w:rPr>
          <w:b w:val="0"/>
          <w:bCs w:val="0"/>
        </w:rPr>
      </w:pPr>
      <w:r>
        <w:rPr>
          <w:rFonts w:ascii="宋体" w:hAnsi="宋体" w:cs="宋体" w:eastAsia="宋体" w:hint="default"/>
        </w:rPr>
        <w:t>2</w:t>
      </w:r>
      <w:r>
        <w:rPr/>
        <w:t>、主营业务及其经营情况</w:t>
      </w:r>
      <w:r>
        <w:rPr>
          <w:b w:val="0"/>
          <w:bCs w:val="0"/>
        </w:rPr>
      </w:r>
    </w:p>
    <w:p>
      <w:pPr>
        <w:spacing w:line="760" w:lineRule="atLeast" w:before="17"/>
        <w:ind w:left="620" w:right="22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）公司主营业务</w:t>
      </w:r>
      <w:r>
        <w:rPr>
          <w:rFonts w:ascii="宋体" w:hAnsi="宋体" w:cs="宋体" w:eastAsia="宋体" w:hint="default"/>
          <w:b/>
          <w:bCs/>
          <w:w w:val="99"/>
          <w:sz w:val="24"/>
          <w:szCs w:val="24"/>
        </w:rPr>
        <w:t> </w:t>
      </w:r>
      <w:r>
        <w:rPr>
          <w:rFonts w:ascii="宋体" w:hAnsi="宋体" w:cs="宋体" w:eastAsia="宋体" w:hint="default"/>
          <w:sz w:val="24"/>
          <w:szCs w:val="24"/>
        </w:rPr>
        <w:t>公司自成立以来一直专注于电子支付技术领域的发展，以金融</w:t>
      </w:r>
      <w:r>
        <w:rPr>
          <w:rFonts w:ascii="宋体" w:hAnsi="宋体" w:cs="宋体" w:eastAsia="宋体" w:hint="default"/>
          <w:sz w:val="24"/>
          <w:szCs w:val="24"/>
        </w:rPr>
        <w:t>POS</w:t>
      </w:r>
      <w:r>
        <w:rPr>
          <w:rFonts w:ascii="宋体" w:hAnsi="宋体" w:cs="宋体" w:eastAsia="宋体" w:hint="default"/>
          <w:sz w:val="24"/>
          <w:szCs w:val="24"/>
        </w:rPr>
        <w:t>终端软硬</w:t>
      </w:r>
    </w:p>
    <w:p>
      <w:pPr>
        <w:pStyle w:val="BodyText"/>
        <w:spacing w:line="357" w:lineRule="auto" w:before="154"/>
        <w:ind w:left="140" w:right="106"/>
        <w:jc w:val="left"/>
      </w:pPr>
      <w:r>
        <w:rPr/>
        <w:t>件的设计和研发为核心，从事金融</w:t>
      </w:r>
      <w:r>
        <w:rPr>
          <w:rFonts w:ascii="宋体" w:hAnsi="宋体" w:cs="宋体" w:eastAsia="宋体" w:hint="default"/>
        </w:rPr>
        <w:t>POS</w:t>
      </w:r>
      <w:r>
        <w:rPr/>
        <w:t>机的生产、研发、销售和租赁，同时以金 融</w:t>
      </w:r>
      <w:r>
        <w:rPr>
          <w:rFonts w:ascii="宋体" w:hAnsi="宋体" w:cs="宋体" w:eastAsia="宋体" w:hint="default"/>
        </w:rPr>
        <w:t>POS</w:t>
      </w:r>
      <w:r>
        <w:rPr/>
        <w:t>机为技术载体，向商业银行、中国银联、社会第三方收单服务机构提供电 </w:t>
      </w:r>
      <w:r>
        <w:rPr>
          <w:spacing w:val="-3"/>
        </w:rPr>
        <w:t>子支付技术服务，现已成为国内主要收单机构的重要供应商。公司依托研发优势</w:t>
      </w:r>
      <w:r>
        <w:rPr>
          <w:spacing w:val="-110"/>
        </w:rPr>
        <w:t> </w:t>
      </w:r>
      <w:r>
        <w:rPr>
          <w:spacing w:val="-110"/>
        </w:rPr>
      </w:r>
      <w:r>
        <w:rPr/>
        <w:t>和生产管控能力，不断提升产品质量，扩大增值应用服务，建设综合服务网络，</w:t>
      </w:r>
      <w:r>
        <w:rPr/>
        <w:t> </w:t>
      </w:r>
      <w:r>
        <w:rPr>
          <w:spacing w:val="-3"/>
        </w:rPr>
        <w:t>积极拓展可受理磁条卡、接触式或非接触式</w:t>
      </w:r>
      <w:r>
        <w:rPr>
          <w:rFonts w:ascii="宋体" w:hAnsi="宋体" w:cs="宋体" w:eastAsia="宋体" w:hint="default"/>
          <w:spacing w:val="-3"/>
        </w:rPr>
        <w:t>IC</w:t>
      </w:r>
      <w:r>
        <w:rPr>
          <w:spacing w:val="-3"/>
        </w:rPr>
        <w:t>卡、</w:t>
      </w:r>
      <w:r>
        <w:rPr>
          <w:rFonts w:ascii="宋体" w:hAnsi="宋体" w:cs="宋体" w:eastAsia="宋体" w:hint="default"/>
          <w:spacing w:val="-3"/>
        </w:rPr>
        <w:t>NFC</w:t>
      </w:r>
      <w:r>
        <w:rPr>
          <w:spacing w:val="-3"/>
        </w:rPr>
        <w:t>手机</w:t>
      </w:r>
      <w:r>
        <w:rPr>
          <w:rFonts w:ascii="宋体" w:hAnsi="宋体" w:cs="宋体" w:eastAsia="宋体" w:hint="default"/>
          <w:spacing w:val="-3"/>
        </w:rPr>
        <w:t>SIM</w:t>
      </w:r>
      <w:r>
        <w:rPr>
          <w:spacing w:val="-3"/>
        </w:rPr>
        <w:t>卡等卡基受理设备</w:t>
      </w:r>
      <w:r>
        <w:rPr>
          <w:spacing w:val="-99"/>
        </w:rPr>
        <w:t> </w:t>
      </w:r>
      <w:r>
        <w:rPr/>
        <w:t>的电子支付技术服务业务。</w:t>
      </w:r>
    </w:p>
    <w:p>
      <w:pPr>
        <w:spacing w:line="240" w:lineRule="auto" w:before="3"/>
        <w:rPr>
          <w:rFonts w:ascii="宋体" w:hAnsi="宋体" w:cs="宋体" w:eastAsia="宋体" w:hint="default"/>
          <w:sz w:val="25"/>
          <w:szCs w:val="25"/>
        </w:rPr>
      </w:pPr>
    </w:p>
    <w:p>
      <w:pPr>
        <w:pStyle w:val="Heading7"/>
        <w:spacing w:line="240" w:lineRule="auto" w:before="0"/>
        <w:ind w:left="140" w:right="0"/>
        <w:jc w:val="left"/>
        <w:rPr>
          <w:b w:val="0"/>
          <w:bCs w:val="0"/>
        </w:rPr>
      </w:pPr>
      <w:r>
        <w:rPr/>
        <w:t>（</w:t>
      </w:r>
      <w:r>
        <w:rPr>
          <w:rFonts w:ascii="宋体" w:hAnsi="宋体" w:cs="宋体" w:eastAsia="宋体" w:hint="default"/>
        </w:rPr>
        <w:t>2</w:t>
      </w:r>
      <w:r>
        <w:rPr/>
        <w:t>）主营业务分产品和地区构成情况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ind w:left="140" w:right="0"/>
        <w:jc w:val="left"/>
      </w:pPr>
      <w:r>
        <w:rPr>
          <w:rFonts w:ascii="宋体" w:hAnsi="宋体" w:cs="宋体" w:eastAsia="宋体" w:hint="default"/>
        </w:rPr>
        <w:t>1</w:t>
      </w:r>
      <w:r>
        <w:rPr/>
        <w:t>）按业务和产品构成情况</w:t>
      </w:r>
    </w:p>
    <w:p>
      <w:pPr>
        <w:spacing w:line="240" w:lineRule="auto" w:before="8"/>
        <w:rPr>
          <w:rFonts w:ascii="宋体" w:hAnsi="宋体" w:cs="宋体" w:eastAsia="宋体" w:hint="default"/>
          <w:sz w:val="25"/>
          <w:szCs w:val="25"/>
        </w:rPr>
      </w:pPr>
    </w:p>
    <w:p>
      <w:pPr>
        <w:spacing w:before="0"/>
        <w:ind w:left="0" w:right="213"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1282"/>
        <w:gridCol w:w="1162"/>
        <w:gridCol w:w="1166"/>
        <w:gridCol w:w="1035"/>
        <w:gridCol w:w="1258"/>
        <w:gridCol w:w="1277"/>
        <w:gridCol w:w="1222"/>
      </w:tblGrid>
      <w:tr>
        <w:trPr>
          <w:trHeight w:val="955"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3"/>
              <w:ind w:left="525" w:right="101" w:hanging="420"/>
              <w:jc w:val="left"/>
              <w:rPr>
                <w:rFonts w:ascii="宋体" w:hAnsi="宋体" w:cs="宋体" w:eastAsia="宋体" w:hint="default"/>
                <w:sz w:val="21"/>
                <w:szCs w:val="21"/>
              </w:rPr>
            </w:pPr>
            <w:r>
              <w:rPr>
                <w:rFonts w:ascii="宋体" w:hAnsi="宋体" w:cs="宋体" w:eastAsia="宋体" w:hint="default"/>
                <w:sz w:val="21"/>
                <w:szCs w:val="21"/>
              </w:rPr>
              <w:t>分产品或服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3"/>
              <w:ind w:left="348" w:right="191" w:hanging="159"/>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 w:hanging="106"/>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pacing w:val="-3"/>
                <w:sz w:val="21"/>
                <w:szCs w:val="21"/>
              </w:rPr>
              <w:t>期增减（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27" w:right="125" w:firstLine="52"/>
              <w:jc w:val="both"/>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31"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POS</w:t>
            </w:r>
            <w:r>
              <w:rPr>
                <w:rFonts w:ascii="宋体" w:hAnsi="宋体" w:cs="宋体" w:eastAsia="宋体" w:hint="default"/>
                <w:spacing w:val="-51"/>
                <w:sz w:val="21"/>
                <w:szCs w:val="21"/>
              </w:rPr>
              <w:t> </w:t>
            </w:r>
            <w:r>
              <w:rPr>
                <w:rFonts w:ascii="宋体" w:hAnsi="宋体" w:cs="宋体" w:eastAsia="宋体" w:hint="default"/>
                <w:sz w:val="21"/>
                <w:szCs w:val="21"/>
              </w:rPr>
              <w:t>机销售</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32,483.73</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15,635.78</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91"/>
              <w:jc w:val="right"/>
              <w:rPr>
                <w:rFonts w:ascii="宋体" w:hAnsi="宋体" w:cs="宋体" w:eastAsia="宋体" w:hint="default"/>
                <w:sz w:val="21"/>
                <w:szCs w:val="21"/>
              </w:rPr>
            </w:pPr>
            <w:r>
              <w:rPr>
                <w:rFonts w:ascii="宋体"/>
                <w:sz w:val="21"/>
              </w:rPr>
              <w:t>51.87%</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68.27%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66.44%</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0.53%</w:t>
            </w:r>
          </w:p>
        </w:tc>
      </w:tr>
      <w:tr>
        <w:trPr>
          <w:trHeight w:val="334"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POS</w:t>
            </w:r>
            <w:r>
              <w:rPr>
                <w:rFonts w:ascii="宋体" w:hAnsi="宋体" w:cs="宋体" w:eastAsia="宋体" w:hint="default"/>
                <w:spacing w:val="-51"/>
                <w:sz w:val="21"/>
                <w:szCs w:val="21"/>
              </w:rPr>
              <w:t> </w:t>
            </w:r>
            <w:r>
              <w:rPr>
                <w:rFonts w:ascii="宋体" w:hAnsi="宋体" w:cs="宋体" w:eastAsia="宋体" w:hint="default"/>
                <w:sz w:val="21"/>
                <w:szCs w:val="21"/>
              </w:rPr>
              <w:t>机出租</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sz w:val="21"/>
              </w:rPr>
              <w:t>1,108.68</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223.65</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91"/>
              <w:jc w:val="right"/>
              <w:rPr>
                <w:rFonts w:ascii="宋体" w:hAnsi="宋体" w:cs="宋体" w:eastAsia="宋体" w:hint="default"/>
                <w:sz w:val="21"/>
                <w:szCs w:val="21"/>
              </w:rPr>
            </w:pPr>
            <w:r>
              <w:rPr>
                <w:rFonts w:ascii="宋体"/>
                <w:sz w:val="21"/>
              </w:rPr>
              <w:t>79.83%</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14.94%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16.16%</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-0.21%</w:t>
            </w:r>
          </w:p>
        </w:tc>
      </w:tr>
      <w:tr>
        <w:trPr>
          <w:trHeight w:val="331"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读卡器</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5" w:right="0"/>
              <w:jc w:val="left"/>
              <w:rPr>
                <w:rFonts w:ascii="宋体" w:hAnsi="宋体" w:cs="宋体" w:eastAsia="宋体" w:hint="default"/>
                <w:sz w:val="21"/>
                <w:szCs w:val="21"/>
              </w:rPr>
            </w:pPr>
            <w:r>
              <w:rPr>
                <w:rFonts w:ascii="宋体"/>
                <w:sz w:val="21"/>
              </w:rPr>
              <w:t>486.74</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158.07</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91"/>
              <w:jc w:val="right"/>
              <w:rPr>
                <w:rFonts w:ascii="宋体" w:hAnsi="宋体" w:cs="宋体" w:eastAsia="宋体" w:hint="default"/>
                <w:sz w:val="21"/>
                <w:szCs w:val="21"/>
              </w:rPr>
            </w:pPr>
            <w:r>
              <w:rPr>
                <w:rFonts w:ascii="宋体"/>
                <w:sz w:val="21"/>
              </w:rPr>
              <w:t>67.53%</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-17.50%</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5.27%</w:t>
            </w:r>
          </w:p>
        </w:tc>
      </w:tr>
      <w:tr>
        <w:trPr>
          <w:trHeight w:val="331"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sz w:val="21"/>
              </w:rPr>
              <w:t>71.55</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9.43</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91"/>
              <w:jc w:val="right"/>
              <w:rPr>
                <w:rFonts w:ascii="宋体" w:hAnsi="宋体" w:cs="宋体" w:eastAsia="宋体" w:hint="default"/>
                <w:sz w:val="21"/>
                <w:szCs w:val="21"/>
              </w:rPr>
            </w:pPr>
            <w:r>
              <w:rPr>
                <w:rFonts w:ascii="宋体"/>
                <w:sz w:val="21"/>
              </w:rPr>
              <w:t>86.82%</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-5.86%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-54.98%</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14.39%</w:t>
            </w:r>
          </w:p>
        </w:tc>
      </w:tr>
      <w:tr>
        <w:trPr>
          <w:trHeight w:val="334" w:hRule="exact"/>
        </w:trPr>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34,150.70</w:t>
            </w:r>
          </w:p>
        </w:tc>
        <w:tc>
          <w:tcPr>
            <w:tcW w:w="11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16,026.94</w:t>
            </w:r>
          </w:p>
        </w:tc>
        <w:tc>
          <w:tcPr>
            <w:tcW w:w="10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91"/>
              <w:jc w:val="right"/>
              <w:rPr>
                <w:rFonts w:ascii="宋体" w:hAnsi="宋体" w:cs="宋体" w:eastAsia="宋体" w:hint="default"/>
                <w:sz w:val="21"/>
                <w:szCs w:val="21"/>
              </w:rPr>
            </w:pPr>
            <w:r>
              <w:rPr>
                <w:rFonts w:ascii="宋体"/>
                <w:sz w:val="21"/>
              </w:rPr>
              <w:t>53.07%</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63.77%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63.55%</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0.06%</w:t>
            </w:r>
          </w:p>
        </w:tc>
      </w:tr>
    </w:tbl>
    <w:p>
      <w:pPr>
        <w:spacing w:after="0" w:line="265" w:lineRule="exact"/>
        <w:jc w:val="center"/>
        <w:rPr>
          <w:rFonts w:ascii="宋体" w:hAnsi="宋体" w:cs="宋体" w:eastAsia="宋体" w:hint="default"/>
          <w:sz w:val="21"/>
          <w:szCs w:val="21"/>
        </w:rPr>
        <w:sectPr>
          <w:pgSz w:w="11910" w:h="16840"/>
          <w:pgMar w:header="0" w:footer="1195" w:top="1460" w:bottom="1380" w:left="1660" w:right="1580"/>
        </w:sectPr>
      </w:pPr>
    </w:p>
    <w:p>
      <w:pPr>
        <w:pStyle w:val="BodyText"/>
        <w:spacing w:line="357" w:lineRule="auto" w:before="1"/>
        <w:ind w:right="99" w:firstLine="479"/>
        <w:jc w:val="left"/>
      </w:pPr>
      <w:r>
        <w:rPr/>
        <w:t>报告期，公司营业收入主要来源于</w:t>
      </w:r>
      <w:r>
        <w:rPr>
          <w:spacing w:val="-70"/>
        </w:rPr>
        <w:t> </w:t>
      </w:r>
      <w:r>
        <w:rPr>
          <w:rFonts w:ascii="宋体" w:hAnsi="宋体" w:cs="宋体" w:eastAsia="宋体" w:hint="default"/>
        </w:rPr>
        <w:t>POS</w:t>
      </w:r>
      <w:r>
        <w:rPr>
          <w:rFonts w:ascii="宋体" w:hAnsi="宋体" w:cs="宋体" w:eastAsia="宋体" w:hint="default"/>
          <w:spacing w:val="-71"/>
        </w:rPr>
        <w:t> </w:t>
      </w:r>
      <w:r>
        <w:rPr/>
        <w:t>机销售收入，占全部收入的</w:t>
      </w:r>
      <w:r>
        <w:rPr>
          <w:spacing w:val="-71"/>
        </w:rPr>
        <w:t> </w:t>
      </w:r>
      <w:r>
        <w:rPr>
          <w:rFonts w:ascii="宋体" w:hAnsi="宋体" w:cs="宋体" w:eastAsia="宋体" w:hint="default"/>
        </w:rPr>
        <w:t>95.12%</w:t>
      </w:r>
      <w:r>
        <w:rPr/>
        <w:t>， 因此</w:t>
      </w:r>
      <w:r>
        <w:rPr>
          <w:spacing w:val="-54"/>
        </w:rPr>
        <w:t> </w:t>
      </w:r>
      <w:r>
        <w:rPr>
          <w:rFonts w:ascii="宋体" w:hAnsi="宋体" w:cs="宋体" w:eastAsia="宋体" w:hint="default"/>
        </w:rPr>
        <w:t>POS</w:t>
      </w:r>
      <w:r>
        <w:rPr>
          <w:rFonts w:ascii="宋体" w:hAnsi="宋体" w:cs="宋体" w:eastAsia="宋体" w:hint="default"/>
          <w:spacing w:val="-53"/>
        </w:rPr>
        <w:t> </w:t>
      </w:r>
      <w:r>
        <w:rPr>
          <w:spacing w:val="-4"/>
        </w:rPr>
        <w:t>机销售的毛利率增减变动会直接影响公司报告期的综合毛利率。报告期</w:t>
      </w:r>
      <w:r>
        <w:rPr>
          <w:spacing w:val="-105"/>
        </w:rPr>
        <w:t> </w:t>
      </w:r>
      <w:r>
        <w:rPr>
          <w:spacing w:val="-105"/>
        </w:rPr>
      </w:r>
      <w:r>
        <w:rPr/>
        <w:t>公司</w:t>
      </w:r>
      <w:r>
        <w:rPr>
          <w:spacing w:val="-61"/>
        </w:rPr>
        <w:t> </w:t>
      </w:r>
      <w:r>
        <w:rPr>
          <w:rFonts w:ascii="宋体" w:hAnsi="宋体" w:cs="宋体" w:eastAsia="宋体" w:hint="default"/>
        </w:rPr>
        <w:t>POS</w:t>
      </w:r>
      <w:r>
        <w:rPr>
          <w:rFonts w:ascii="宋体" w:hAnsi="宋体" w:cs="宋体" w:eastAsia="宋体" w:hint="default"/>
          <w:spacing w:val="-60"/>
        </w:rPr>
        <w:t> </w:t>
      </w:r>
      <w:r>
        <w:rPr/>
        <w:t>机销售毛利率较去年同期下降</w:t>
      </w:r>
      <w:r>
        <w:rPr>
          <w:spacing w:val="-59"/>
        </w:rPr>
        <w:t> </w:t>
      </w:r>
      <w:r>
        <w:rPr>
          <w:rFonts w:ascii="宋体" w:hAnsi="宋体" w:cs="宋体" w:eastAsia="宋体" w:hint="default"/>
        </w:rPr>
        <w:t>0.53 %</w:t>
      </w:r>
      <w:r>
        <w:rPr/>
        <w:t>。</w:t>
      </w:r>
    </w:p>
    <w:p>
      <w:pPr>
        <w:pStyle w:val="BodyText"/>
        <w:spacing w:line="357" w:lineRule="auto" w:before="192"/>
        <w:ind w:right="224" w:firstLine="479"/>
        <w:jc w:val="left"/>
      </w:pPr>
      <w:r>
        <w:rPr>
          <w:spacing w:val="-7"/>
        </w:rPr>
        <w:t>报告期，</w:t>
      </w:r>
      <w:r>
        <w:rPr>
          <w:rFonts w:ascii="宋体" w:hAnsi="宋体" w:cs="宋体" w:eastAsia="宋体" w:hint="default"/>
          <w:spacing w:val="-7"/>
        </w:rPr>
        <w:t>POS</w:t>
      </w:r>
      <w:r>
        <w:rPr>
          <w:rFonts w:ascii="宋体" w:hAnsi="宋体" w:cs="宋体" w:eastAsia="宋体" w:hint="default"/>
          <w:spacing w:val="-60"/>
        </w:rPr>
        <w:t> </w:t>
      </w:r>
      <w:r>
        <w:rPr/>
        <w:t>机销售收入比去年同期增长</w:t>
      </w:r>
      <w:r>
        <w:rPr>
          <w:spacing w:val="-60"/>
        </w:rPr>
        <w:t> </w:t>
      </w:r>
      <w:r>
        <w:rPr>
          <w:rFonts w:ascii="宋体" w:hAnsi="宋体" w:cs="宋体" w:eastAsia="宋体" w:hint="default"/>
          <w:spacing w:val="-4"/>
        </w:rPr>
        <w:t>68.27%</w:t>
      </w:r>
      <w:r>
        <w:rPr>
          <w:spacing w:val="-4"/>
        </w:rPr>
        <w:t>，主要系公司</w:t>
      </w:r>
      <w:r>
        <w:rPr>
          <w:spacing w:val="-60"/>
        </w:rPr>
        <w:t> </w:t>
      </w:r>
      <w:r>
        <w:rPr>
          <w:rFonts w:ascii="宋体" w:hAnsi="宋体" w:cs="宋体" w:eastAsia="宋体" w:hint="default"/>
        </w:rPr>
        <w:t>K320A</w:t>
      </w:r>
      <w:r>
        <w:rPr>
          <w:rFonts w:ascii="宋体" w:hAnsi="宋体" w:cs="宋体" w:eastAsia="宋体" w:hint="default"/>
          <w:spacing w:val="-60"/>
        </w:rPr>
        <w:t> </w:t>
      </w:r>
      <w:r>
        <w:rPr/>
        <w:t>系列产 品的销售收入较去年同期增长</w:t>
      </w:r>
      <w:r>
        <w:rPr>
          <w:spacing w:val="-60"/>
        </w:rPr>
        <w:t> </w:t>
      </w:r>
      <w:r>
        <w:rPr>
          <w:rFonts w:ascii="宋体" w:hAnsi="宋体" w:cs="宋体" w:eastAsia="宋体" w:hint="default"/>
        </w:rPr>
        <w:t>180.00%</w:t>
      </w:r>
      <w:r>
        <w:rPr/>
        <w:t>。</w:t>
      </w:r>
    </w:p>
    <w:p>
      <w:pPr>
        <w:pStyle w:val="BodyText"/>
        <w:spacing w:line="357" w:lineRule="auto" w:before="192"/>
        <w:ind w:right="221" w:firstLine="479"/>
        <w:jc w:val="left"/>
      </w:pPr>
      <w:r>
        <w:rPr/>
        <w:t>报告期，公司</w:t>
      </w:r>
      <w:r>
        <w:rPr>
          <w:spacing w:val="-31"/>
        </w:rPr>
        <w:t> </w:t>
      </w:r>
      <w:r>
        <w:rPr>
          <w:rFonts w:ascii="宋体" w:hAnsi="宋体" w:cs="宋体" w:eastAsia="宋体" w:hint="default"/>
        </w:rPr>
        <w:t>POS</w:t>
      </w:r>
      <w:r>
        <w:rPr>
          <w:rFonts w:ascii="宋体" w:hAnsi="宋体" w:cs="宋体" w:eastAsia="宋体" w:hint="default"/>
          <w:spacing w:val="-32"/>
        </w:rPr>
        <w:t> </w:t>
      </w:r>
      <w:r>
        <w:rPr/>
        <w:t>机出租业务毛利率</w:t>
      </w:r>
      <w:r>
        <w:rPr>
          <w:spacing w:val="-31"/>
        </w:rPr>
        <w:t> </w:t>
      </w:r>
      <w:r>
        <w:rPr>
          <w:rFonts w:ascii="宋体" w:hAnsi="宋体" w:cs="宋体" w:eastAsia="宋体" w:hint="default"/>
        </w:rPr>
        <w:t>79.83%</w:t>
      </w:r>
      <w:r>
        <w:rPr/>
        <w:t>，与上期基本持平，继续保持 较高的毛利率，其收入占公司总收入的</w:t>
      </w:r>
      <w:r>
        <w:rPr>
          <w:spacing w:val="-60"/>
        </w:rPr>
        <w:t> </w:t>
      </w:r>
      <w:r>
        <w:rPr>
          <w:rFonts w:ascii="宋体" w:hAnsi="宋体" w:cs="宋体" w:eastAsia="宋体" w:hint="default"/>
        </w:rPr>
        <w:t>3.25%</w:t>
      </w:r>
      <w:r>
        <w:rPr/>
        <w:t>。</w:t>
      </w:r>
    </w:p>
    <w:p>
      <w:pPr>
        <w:pStyle w:val="BodyText"/>
        <w:spacing w:line="357" w:lineRule="auto" w:before="192"/>
        <w:ind w:right="225" w:firstLine="479"/>
        <w:jc w:val="left"/>
      </w:pPr>
      <w:r>
        <w:rPr/>
        <w:t>报告期，公司读卡器销售业务毛利率</w:t>
      </w:r>
      <w:r>
        <w:rPr>
          <w:spacing w:val="22"/>
        </w:rPr>
        <w:t> </w:t>
      </w:r>
      <w:r>
        <w:rPr>
          <w:rFonts w:ascii="宋体" w:hAnsi="宋体" w:cs="宋体" w:eastAsia="宋体" w:hint="default"/>
        </w:rPr>
        <w:t>67.53%</w:t>
      </w:r>
      <w:r>
        <w:rPr/>
        <w:t>，其销售收入占公司总收入的 </w:t>
      </w:r>
      <w:r>
        <w:rPr>
          <w:rFonts w:ascii="宋体" w:hAnsi="宋体" w:cs="宋体" w:eastAsia="宋体" w:hint="default"/>
        </w:rPr>
        <w:t>1.43%</w:t>
      </w:r>
      <w:r>
        <w:rPr/>
        <w:t>。</w:t>
      </w:r>
    </w:p>
    <w:p>
      <w:pPr>
        <w:pStyle w:val="BodyText"/>
        <w:spacing w:line="477" w:lineRule="auto" w:before="192"/>
        <w:ind w:right="126" w:firstLine="479"/>
        <w:jc w:val="left"/>
      </w:pPr>
      <w:r>
        <w:rPr/>
        <w:t>报告期，其他收入毛利率较去年同期上升</w:t>
      </w:r>
      <w:r>
        <w:rPr>
          <w:spacing w:val="-59"/>
        </w:rPr>
        <w:t> </w:t>
      </w:r>
      <w:r>
        <w:rPr>
          <w:rFonts w:ascii="宋体" w:hAnsi="宋体" w:cs="宋体" w:eastAsia="宋体" w:hint="default"/>
        </w:rPr>
        <w:t>14.39%</w:t>
      </w:r>
      <w:r>
        <w:rPr/>
        <w:t>，占公司总收入的</w:t>
      </w:r>
      <w:r>
        <w:rPr>
          <w:spacing w:val="-60"/>
        </w:rPr>
        <w:t> </w:t>
      </w:r>
      <w:r>
        <w:rPr>
          <w:rFonts w:ascii="宋体" w:hAnsi="宋体" w:cs="宋体" w:eastAsia="宋体" w:hint="default"/>
        </w:rPr>
        <w:t>0.21%</w:t>
      </w:r>
      <w:r>
        <w:rPr/>
        <w:t>。 </w:t>
      </w:r>
      <w:r>
        <w:rPr>
          <w:rFonts w:ascii="宋体" w:hAnsi="宋体" w:cs="宋体" w:eastAsia="宋体" w:hint="default"/>
        </w:rPr>
        <w:t>2</w:t>
      </w:r>
      <w:r>
        <w:rPr/>
        <w:t>）主营业务分地区情况：</w:t>
      </w:r>
    </w:p>
    <w:p>
      <w:pPr>
        <w:spacing w:before="98"/>
        <w:ind w:left="0" w:right="454"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858"/>
        <w:gridCol w:w="3120"/>
        <w:gridCol w:w="3119"/>
      </w:tblGrid>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73"/>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同比增长（</w:t>
            </w:r>
            <w:r>
              <w:rPr>
                <w:rFonts w:ascii="宋体" w:hAnsi="宋体" w:cs="宋体" w:eastAsia="宋体" w:hint="default"/>
                <w:sz w:val="24"/>
                <w:szCs w:val="24"/>
              </w:rPr>
              <w:t>%</w:t>
            </w:r>
            <w:r>
              <w:rPr>
                <w:rFonts w:ascii="宋体" w:hAnsi="宋体" w:cs="宋体" w:eastAsia="宋体" w:hint="default"/>
                <w:sz w:val="24"/>
                <w:szCs w:val="24"/>
              </w:rPr>
              <w:t>）</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13"/>
              <w:jc w:val="right"/>
              <w:rPr>
                <w:rFonts w:ascii="宋体" w:hAnsi="宋体" w:cs="宋体" w:eastAsia="宋体" w:hint="default"/>
                <w:sz w:val="24"/>
                <w:szCs w:val="24"/>
              </w:rPr>
            </w:pPr>
            <w:r>
              <w:rPr>
                <w:rFonts w:ascii="宋体"/>
                <w:sz w:val="24"/>
              </w:rPr>
              <w:t>14,074.44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70.72%</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73"/>
              <w:jc w:val="right"/>
              <w:rPr>
                <w:rFonts w:ascii="宋体" w:hAnsi="宋体" w:cs="宋体" w:eastAsia="宋体" w:hint="default"/>
                <w:sz w:val="24"/>
                <w:szCs w:val="24"/>
              </w:rPr>
            </w:pPr>
            <w:r>
              <w:rPr>
                <w:rFonts w:ascii="宋体"/>
                <w:sz w:val="24"/>
              </w:rPr>
              <w:t>7,682.55</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78.25%</w:t>
            </w:r>
          </w:p>
        </w:tc>
      </w:tr>
      <w:tr>
        <w:trPr>
          <w:trHeight w:val="7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hAnsi="宋体" w:cs="宋体" w:eastAsia="宋体" w:hint="default"/>
                <w:sz w:val="24"/>
                <w:szCs w:val="24"/>
              </w:rPr>
              <w:t>华北地区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1073"/>
              <w:jc w:val="right"/>
              <w:rPr>
                <w:rFonts w:ascii="宋体" w:hAnsi="宋体" w:cs="宋体" w:eastAsia="宋体" w:hint="default"/>
                <w:sz w:val="24"/>
                <w:szCs w:val="24"/>
              </w:rPr>
            </w:pPr>
            <w:r>
              <w:rPr>
                <w:rFonts w:ascii="宋体"/>
                <w:sz w:val="24"/>
              </w:rPr>
              <w:t>5,507.30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sz w:val="24"/>
              </w:rPr>
              <w:t>73.66%</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华中地区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73"/>
              <w:jc w:val="right"/>
              <w:rPr>
                <w:rFonts w:ascii="宋体" w:hAnsi="宋体" w:cs="宋体" w:eastAsia="宋体" w:hint="default"/>
                <w:sz w:val="24"/>
                <w:szCs w:val="24"/>
              </w:rPr>
            </w:pPr>
            <w:r>
              <w:rPr>
                <w:rFonts w:ascii="宋体"/>
                <w:sz w:val="24"/>
              </w:rPr>
              <w:t>3,798.92</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36.21%</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西北地区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73"/>
              <w:jc w:val="right"/>
              <w:rPr>
                <w:rFonts w:ascii="宋体" w:hAnsi="宋体" w:cs="宋体" w:eastAsia="宋体" w:hint="default"/>
                <w:sz w:val="24"/>
                <w:szCs w:val="24"/>
              </w:rPr>
            </w:pPr>
            <w:r>
              <w:rPr>
                <w:rFonts w:ascii="宋体"/>
                <w:sz w:val="24"/>
              </w:rPr>
              <w:t>1,169.99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78.73%</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东北地区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73"/>
              <w:jc w:val="right"/>
              <w:rPr>
                <w:rFonts w:ascii="宋体" w:hAnsi="宋体" w:cs="宋体" w:eastAsia="宋体" w:hint="default"/>
                <w:sz w:val="24"/>
                <w:szCs w:val="24"/>
              </w:rPr>
            </w:pPr>
            <w:r>
              <w:rPr>
                <w:rFonts w:ascii="宋体"/>
                <w:sz w:val="24"/>
              </w:rPr>
              <w:t>1,068.73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13.15%</w:t>
            </w:r>
          </w:p>
        </w:tc>
      </w:tr>
      <w:tr>
        <w:trPr>
          <w:trHeight w:val="7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848.76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14.84%</w:t>
            </w:r>
          </w:p>
        </w:tc>
      </w:tr>
      <w:tr>
        <w:trPr>
          <w:trHeight w:val="79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13"/>
              <w:jc w:val="right"/>
              <w:rPr>
                <w:rFonts w:ascii="宋体" w:hAnsi="宋体" w:cs="宋体" w:eastAsia="宋体" w:hint="default"/>
                <w:sz w:val="24"/>
                <w:szCs w:val="24"/>
              </w:rPr>
            </w:pPr>
            <w:r>
              <w:rPr>
                <w:rFonts w:ascii="宋体"/>
                <w:sz w:val="24"/>
              </w:rPr>
              <w:t>34,150.70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63.77%</w:t>
            </w:r>
          </w:p>
        </w:tc>
      </w:tr>
    </w:tbl>
    <w:p>
      <w:pPr>
        <w:spacing w:after="0" w:line="240" w:lineRule="auto"/>
        <w:jc w:val="center"/>
        <w:rPr>
          <w:rFonts w:ascii="宋体" w:hAnsi="宋体" w:cs="宋体" w:eastAsia="宋体" w:hint="default"/>
          <w:sz w:val="24"/>
          <w:szCs w:val="24"/>
        </w:rPr>
        <w:sectPr>
          <w:footerReference w:type="default" r:id="rId12"/>
          <w:pgSz w:w="11910" w:h="16840"/>
          <w:pgMar w:footer="1195" w:header="0" w:top="1460" w:bottom="1380" w:left="1680" w:right="1560"/>
        </w:sectPr>
      </w:pPr>
    </w:p>
    <w:p>
      <w:pPr>
        <w:pStyle w:val="BodyText"/>
        <w:spacing w:line="357" w:lineRule="auto" w:before="1"/>
        <w:ind w:left="220" w:right="226" w:firstLine="479"/>
        <w:jc w:val="left"/>
      </w:pPr>
      <w:r>
        <w:rPr>
          <w:spacing w:val="-3"/>
        </w:rPr>
        <w:t>报告期内，公司各主要销售区域业绩稳步的增长，主要是公司加大了各地区</w:t>
      </w:r>
      <w:r>
        <w:rPr/>
        <w:t> 的销售工作力度所致。</w:t>
      </w:r>
    </w:p>
    <w:p>
      <w:pPr>
        <w:spacing w:line="240" w:lineRule="auto" w:before="2"/>
        <w:rPr>
          <w:rFonts w:ascii="宋体" w:hAnsi="宋体" w:cs="宋体" w:eastAsia="宋体" w:hint="default"/>
          <w:sz w:val="25"/>
          <w:szCs w:val="25"/>
        </w:rPr>
      </w:pPr>
    </w:p>
    <w:p>
      <w:pPr>
        <w:spacing w:line="585" w:lineRule="auto" w:before="0"/>
        <w:ind w:left="220" w:right="5273" w:firstLine="0"/>
        <w:jc w:val="left"/>
        <w:rPr>
          <w:rFonts w:ascii="宋体" w:hAnsi="宋体" w:cs="宋体" w:eastAsia="宋体" w:hint="default"/>
          <w:sz w:val="24"/>
          <w:szCs w:val="24"/>
        </w:rPr>
      </w:pPr>
      <w:r>
        <w:rPr/>
        <w:pict>
          <v:shape style="position:absolute;margin-left:84.384003pt;margin-top:67.535622pt;width:426.95pt;height:79.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3"/>
                    <w:gridCol w:w="2136"/>
                    <w:gridCol w:w="2161"/>
                    <w:gridCol w:w="2115"/>
                  </w:tblGrid>
                  <w:tr>
                    <w:trPr>
                      <w:trHeight w:val="790"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年度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67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同比增减</w:t>
                        </w:r>
                      </w:p>
                    </w:tc>
                  </w:tr>
                  <w:tr>
                    <w:trPr>
                      <w:trHeight w:val="792"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综合毛利率</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703" w:right="0"/>
                          <w:jc w:val="left"/>
                          <w:rPr>
                            <w:rFonts w:ascii="宋体" w:hAnsi="宋体" w:cs="宋体" w:eastAsia="宋体" w:hint="default"/>
                            <w:sz w:val="24"/>
                            <w:szCs w:val="24"/>
                          </w:rPr>
                        </w:pPr>
                        <w:r>
                          <w:rPr>
                            <w:rFonts w:ascii="宋体"/>
                            <w:sz w:val="24"/>
                          </w:rPr>
                          <w:t>53.07%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53.01%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0.06%</w:t>
                        </w:r>
                      </w:p>
                    </w:tc>
                  </w:tr>
                </w:tbl>
                <w:p>
                  <w:pPr/>
                </w:p>
              </w:txbxContent>
            </v:textbox>
            <w10:wrap type="none"/>
          </v:shape>
        </w:pict>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）报告期内公司毛利率情况</w:t>
      </w:r>
      <w:r>
        <w:rPr>
          <w:rFonts w:ascii="宋体" w:hAnsi="宋体" w:cs="宋体" w:eastAsia="宋体" w:hint="default"/>
          <w:b/>
          <w:bCs/>
          <w:w w:val="99"/>
          <w:sz w:val="24"/>
          <w:szCs w:val="24"/>
        </w:rPr>
        <w:t> </w:t>
      </w:r>
      <w:r>
        <w:rPr>
          <w:rFonts w:ascii="宋体" w:hAnsi="宋体" w:cs="宋体" w:eastAsia="宋体" w:hint="default"/>
          <w:sz w:val="24"/>
          <w:szCs w:val="24"/>
        </w:rPr>
        <w:t>公司综合毛利率情况如下：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26"/>
        <w:ind w:left="700" w:right="226"/>
        <w:jc w:val="left"/>
      </w:pPr>
      <w:r>
        <w:rPr/>
        <w:t>报告期公司综合毛利率较去年同期基本持平。</w:t>
      </w:r>
    </w:p>
    <w:p>
      <w:pPr>
        <w:spacing w:line="766" w:lineRule="exact" w:before="114"/>
        <w:ind w:left="220" w:right="366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）公司主要客户和供应商情况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）报告期内单一销售比例超过</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z w:val="24"/>
          <w:szCs w:val="24"/>
        </w:rPr>
        <w:t>的客户情况</w:t>
      </w:r>
    </w:p>
    <w:p>
      <w:pPr>
        <w:pStyle w:val="BodyText"/>
        <w:spacing w:line="240" w:lineRule="auto" w:before="190"/>
        <w:ind w:left="700" w:right="226"/>
        <w:jc w:val="left"/>
      </w:pPr>
      <w:r>
        <w:rPr/>
        <w:t>公司主要客户情况：</w:t>
      </w:r>
    </w:p>
    <w:p>
      <w:pPr>
        <w:spacing w:line="240" w:lineRule="auto" w:before="11"/>
        <w:rPr>
          <w:rFonts w:ascii="宋体" w:hAnsi="宋体" w:cs="宋体" w:eastAsia="宋体" w:hint="default"/>
          <w:sz w:val="22"/>
          <w:szCs w:val="22"/>
        </w:rPr>
      </w:pPr>
    </w:p>
    <w:p>
      <w:pPr>
        <w:spacing w:before="36"/>
        <w:ind w:left="0" w:right="665"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21"/>
          <w:szCs w:val="21"/>
        </w:rPr>
      </w:pPr>
    </w:p>
    <w:tbl>
      <w:tblPr>
        <w:tblW w:w="0" w:type="auto"/>
        <w:jc w:val="left"/>
        <w:tblInd w:w="438" w:type="dxa"/>
        <w:tblLayout w:type="fixed"/>
        <w:tblCellMar>
          <w:top w:w="0" w:type="dxa"/>
          <w:left w:w="0" w:type="dxa"/>
          <w:bottom w:w="0" w:type="dxa"/>
          <w:right w:w="0" w:type="dxa"/>
        </w:tblCellMar>
        <w:tblLook w:val="01E0"/>
      </w:tblPr>
      <w:tblGrid>
        <w:gridCol w:w="3322"/>
        <w:gridCol w:w="1558"/>
        <w:gridCol w:w="1702"/>
        <w:gridCol w:w="1280"/>
      </w:tblGrid>
      <w:tr>
        <w:trPr>
          <w:trHeight w:val="790"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年度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r>
      <w:tr>
        <w:trPr>
          <w:trHeight w:val="790"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前五名客户合计销售金额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sz w:val="21"/>
              </w:rPr>
              <w:t>26,286.95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14,647.96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15"/>
              <w:jc w:val="right"/>
              <w:rPr>
                <w:rFonts w:ascii="宋体" w:hAnsi="宋体" w:cs="宋体" w:eastAsia="宋体" w:hint="default"/>
                <w:sz w:val="21"/>
                <w:szCs w:val="21"/>
              </w:rPr>
            </w:pPr>
            <w:r>
              <w:rPr>
                <w:rFonts w:ascii="宋体"/>
                <w:sz w:val="21"/>
              </w:rPr>
              <w:t>79.46%</w:t>
            </w:r>
          </w:p>
        </w:tc>
      </w:tr>
      <w:tr>
        <w:trPr>
          <w:trHeight w:val="790"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占年度销售总金额的比例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76.96%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70.24%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71" w:right="0"/>
              <w:jc w:val="left"/>
              <w:rPr>
                <w:rFonts w:ascii="宋体" w:hAnsi="宋体" w:cs="宋体" w:eastAsia="宋体" w:hint="default"/>
                <w:sz w:val="21"/>
                <w:szCs w:val="21"/>
              </w:rPr>
            </w:pPr>
            <w:r>
              <w:rPr>
                <w:rFonts w:ascii="宋体"/>
                <w:sz w:val="21"/>
              </w:rPr>
              <w:t>6.72%</w:t>
            </w:r>
          </w:p>
        </w:tc>
      </w:tr>
      <w:tr>
        <w:trPr>
          <w:trHeight w:val="790"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应收账款的余额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sz w:val="21"/>
              </w:rPr>
              <w:t>11,260.65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5,684.43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64"/>
              <w:jc w:val="right"/>
              <w:rPr>
                <w:rFonts w:ascii="宋体" w:hAnsi="宋体" w:cs="宋体" w:eastAsia="宋体" w:hint="default"/>
                <w:sz w:val="21"/>
                <w:szCs w:val="21"/>
              </w:rPr>
            </w:pPr>
            <w:r>
              <w:rPr>
                <w:rFonts w:ascii="宋体"/>
                <w:spacing w:val="-1"/>
                <w:sz w:val="21"/>
              </w:rPr>
              <w:t>104.63%</w:t>
            </w:r>
          </w:p>
        </w:tc>
      </w:tr>
      <w:tr>
        <w:trPr>
          <w:trHeight w:val="792"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5"/>
              <w:jc w:val="center"/>
              <w:rPr>
                <w:rFonts w:ascii="宋体" w:hAnsi="宋体" w:cs="宋体" w:eastAsia="宋体" w:hint="default"/>
                <w:sz w:val="21"/>
                <w:szCs w:val="21"/>
              </w:rPr>
            </w:pPr>
            <w:r>
              <w:rPr>
                <w:rFonts w:ascii="宋体" w:hAnsi="宋体" w:cs="宋体" w:eastAsia="宋体" w:hint="default"/>
                <w:spacing w:val="-4"/>
                <w:sz w:val="21"/>
                <w:szCs w:val="21"/>
              </w:rPr>
              <w:t>占公司应收账款总余额的比例（</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74.22%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76.31%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15"/>
              <w:jc w:val="right"/>
              <w:rPr>
                <w:rFonts w:ascii="宋体" w:hAnsi="宋体" w:cs="宋体" w:eastAsia="宋体" w:hint="default"/>
                <w:sz w:val="21"/>
                <w:szCs w:val="21"/>
              </w:rPr>
            </w:pPr>
            <w:r>
              <w:rPr>
                <w:rFonts w:ascii="宋体"/>
                <w:sz w:val="21"/>
              </w:rPr>
              <w:t>-2.09%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26"/>
        <w:ind w:left="700" w:right="226"/>
        <w:jc w:val="left"/>
      </w:pPr>
      <w:r>
        <w:rPr/>
        <w:t>中国银联体系、商业银行和社会第三方收单服务机构销售占比情况</w:t>
      </w:r>
    </w:p>
    <w:p>
      <w:pPr>
        <w:spacing w:line="240" w:lineRule="auto" w:before="8"/>
        <w:rPr>
          <w:rFonts w:ascii="宋体" w:hAnsi="宋体" w:cs="宋体" w:eastAsia="宋体" w:hint="default"/>
          <w:sz w:val="25"/>
          <w:szCs w:val="25"/>
        </w:rPr>
      </w:pPr>
    </w:p>
    <w:p>
      <w:pPr>
        <w:spacing w:before="0"/>
        <w:ind w:left="0" w:right="233"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after="0"/>
        <w:jc w:val="right"/>
        <w:rPr>
          <w:rFonts w:ascii="宋体" w:hAnsi="宋体" w:cs="宋体" w:eastAsia="宋体" w:hint="default"/>
          <w:sz w:val="21"/>
          <w:szCs w:val="21"/>
        </w:rPr>
        <w:sectPr>
          <w:footerReference w:type="default" r:id="rId13"/>
          <w:pgSz w:w="11910" w:h="16840"/>
          <w:pgMar w:footer="1175" w:header="0" w:top="1460" w:bottom="1360" w:left="1580" w:right="1560"/>
          <w:pgNumType w:start="11"/>
        </w:sectPr>
      </w:pPr>
    </w:p>
    <w:p>
      <w:pPr>
        <w:spacing w:line="240" w:lineRule="auto" w:before="3"/>
        <w:rPr>
          <w:rFonts w:ascii="宋体" w:hAnsi="宋体" w:cs="宋体" w:eastAsia="宋体" w:hint="default"/>
          <w:sz w:val="6"/>
          <w:szCs w:val="6"/>
        </w:rPr>
      </w:pPr>
    </w:p>
    <w:tbl>
      <w:tblPr>
        <w:tblW w:w="0" w:type="auto"/>
        <w:jc w:val="left"/>
        <w:tblInd w:w="387" w:type="dxa"/>
        <w:tblLayout w:type="fixed"/>
        <w:tblCellMar>
          <w:top w:w="0" w:type="dxa"/>
          <w:left w:w="0" w:type="dxa"/>
          <w:bottom w:w="0" w:type="dxa"/>
          <w:right w:w="0" w:type="dxa"/>
        </w:tblCellMar>
        <w:tblLook w:val="01E0"/>
      </w:tblPr>
      <w:tblGrid>
        <w:gridCol w:w="1705"/>
        <w:gridCol w:w="1704"/>
        <w:gridCol w:w="1704"/>
        <w:gridCol w:w="1705"/>
        <w:gridCol w:w="1707"/>
      </w:tblGrid>
      <w:tr>
        <w:trPr>
          <w:trHeight w:val="125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同比增减幅度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427" w:right="108" w:hanging="317"/>
              <w:jc w:val="left"/>
              <w:rPr>
                <w:rFonts w:ascii="宋体" w:hAnsi="宋体" w:cs="宋体" w:eastAsia="宋体" w:hint="default"/>
                <w:sz w:val="21"/>
                <w:szCs w:val="21"/>
              </w:rPr>
            </w:pPr>
            <w:r>
              <w:rPr>
                <w:rFonts w:ascii="宋体" w:hAnsi="宋体" w:cs="宋体" w:eastAsia="宋体" w:hint="default"/>
                <w:sz w:val="21"/>
                <w:szCs w:val="21"/>
              </w:rPr>
              <w:t>占年度销售总金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额的比例</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同比增减幅度</w:t>
            </w:r>
          </w:p>
        </w:tc>
      </w:tr>
      <w:tr>
        <w:trPr>
          <w:trHeight w:val="79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中国银联体系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111.87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77.78%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44</w:t>
            </w:r>
            <w:r>
              <w:rPr>
                <w:rFonts w:ascii="宋体" w:hAnsi="宋体" w:cs="宋体" w:eastAsia="宋体" w:hint="default"/>
                <w:sz w:val="21"/>
                <w:szCs w:val="21"/>
              </w:rPr>
              <w:t>．</w:t>
            </w:r>
            <w:r>
              <w:rPr>
                <w:rFonts w:ascii="宋体" w:hAnsi="宋体" w:cs="宋体" w:eastAsia="宋体" w:hint="default"/>
                <w:sz w:val="21"/>
                <w:szCs w:val="21"/>
              </w:rPr>
              <w:t>24%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3.48%</w:t>
            </w:r>
          </w:p>
        </w:tc>
      </w:tr>
      <w:tr>
        <w:trPr>
          <w:trHeight w:val="79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商业银行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655.87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183.01%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34.12%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14.37%</w:t>
            </w:r>
          </w:p>
        </w:tc>
      </w:tr>
      <w:tr>
        <w:trPr>
          <w:trHeight w:val="126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408" w:lineRule="auto"/>
              <w:ind w:left="427" w:right="108" w:hanging="317"/>
              <w:jc w:val="left"/>
              <w:rPr>
                <w:rFonts w:ascii="宋体" w:hAnsi="宋体" w:cs="宋体" w:eastAsia="宋体" w:hint="default"/>
                <w:sz w:val="21"/>
                <w:szCs w:val="21"/>
              </w:rPr>
            </w:pPr>
            <w:r>
              <w:rPr>
                <w:rFonts w:ascii="宋体" w:hAnsi="宋体" w:cs="宋体" w:eastAsia="宋体" w:hint="default"/>
                <w:sz w:val="21"/>
                <w:szCs w:val="21"/>
              </w:rPr>
              <w:t>社会第三方收单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服务机构</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606.61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62.60%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16.41%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-0.12%</w:t>
            </w:r>
          </w:p>
        </w:tc>
      </w:tr>
    </w:tbl>
    <w:p>
      <w:pPr>
        <w:spacing w:line="240" w:lineRule="auto" w:before="1"/>
        <w:rPr>
          <w:rFonts w:ascii="宋体" w:hAnsi="宋体" w:cs="宋体" w:eastAsia="宋体" w:hint="default"/>
          <w:sz w:val="14"/>
          <w:szCs w:val="14"/>
        </w:rPr>
      </w:pPr>
    </w:p>
    <w:p>
      <w:pPr>
        <w:spacing w:line="408" w:lineRule="auto" w:before="36"/>
        <w:ind w:left="500" w:right="507" w:firstLine="0"/>
        <w:jc w:val="left"/>
        <w:rPr>
          <w:rFonts w:ascii="宋体" w:hAnsi="宋体" w:cs="宋体" w:eastAsia="宋体" w:hint="default"/>
          <w:sz w:val="21"/>
          <w:szCs w:val="21"/>
        </w:rPr>
      </w:pPr>
      <w:r>
        <w:rPr>
          <w:rFonts w:ascii="宋体" w:hAnsi="宋体" w:cs="宋体" w:eastAsia="宋体" w:hint="default"/>
          <w:spacing w:val="-4"/>
          <w:sz w:val="21"/>
          <w:szCs w:val="21"/>
        </w:rPr>
        <w:t>注：“中国银联体系”是指银联商务、广州好易联、深圳银联商务三个采购主体，由于该三</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个客户均为中国银联下属控股公司，因此合并计算。</w:t>
      </w:r>
    </w:p>
    <w:p>
      <w:pPr>
        <w:pStyle w:val="BodyText"/>
        <w:spacing w:line="357" w:lineRule="auto" w:before="176"/>
        <w:ind w:left="500" w:right="507" w:firstLine="479"/>
        <w:jc w:val="left"/>
      </w:pPr>
      <w:r>
        <w:rPr/>
        <w:t>报告期内，公司单一销售比例超过</w:t>
      </w:r>
      <w:r>
        <w:rPr>
          <w:rFonts w:ascii="宋体" w:hAnsi="宋体" w:cs="宋体" w:eastAsia="宋体" w:hint="default"/>
        </w:rPr>
        <w:t>30%</w:t>
      </w:r>
      <w:r>
        <w:rPr/>
        <w:t>的客户为中国银联，来自中国银联的 营业收入为</w:t>
      </w:r>
      <w:r>
        <w:rPr>
          <w:rFonts w:ascii="宋体" w:hAnsi="宋体" w:cs="宋体" w:eastAsia="宋体" w:hint="default"/>
        </w:rPr>
        <w:t>15,111.87</w:t>
      </w:r>
      <w:r>
        <w:rPr/>
        <w:t>万元，占营业收入的</w:t>
      </w:r>
      <w:r>
        <w:rPr>
          <w:rFonts w:ascii="宋体" w:hAnsi="宋体" w:cs="宋体" w:eastAsia="宋体" w:hint="default"/>
        </w:rPr>
        <w:t>44.24%</w:t>
      </w:r>
      <w:r>
        <w:rPr/>
        <w:t>。</w:t>
      </w:r>
    </w:p>
    <w:p>
      <w:pPr>
        <w:pStyle w:val="BodyText"/>
        <w:spacing w:line="357" w:lineRule="auto" w:before="192"/>
        <w:ind w:left="500" w:right="387" w:firstLine="479"/>
        <w:jc w:val="left"/>
      </w:pPr>
      <w:r>
        <w:rPr/>
        <w:t>报告期，公司加大了商业银行、社会第三方收单服务机构的市场推广力度， 共实现营业收入</w:t>
      </w:r>
      <w:r>
        <w:rPr>
          <w:rFonts w:ascii="宋体" w:hAnsi="宋体" w:cs="宋体" w:eastAsia="宋体" w:hint="default"/>
        </w:rPr>
        <w:t>17</w:t>
      </w:r>
      <w:r>
        <w:rPr/>
        <w:t>，</w:t>
      </w:r>
      <w:r>
        <w:rPr>
          <w:rFonts w:ascii="宋体" w:hAnsi="宋体" w:cs="宋体" w:eastAsia="宋体" w:hint="default"/>
        </w:rPr>
        <w:t>262.48</w:t>
      </w:r>
      <w:r>
        <w:rPr/>
        <w:t>万元，比去年增长</w:t>
      </w:r>
      <w:r>
        <w:rPr>
          <w:rFonts w:ascii="宋体" w:hAnsi="宋体" w:cs="宋体" w:eastAsia="宋体" w:hint="default"/>
        </w:rPr>
        <w:t>128.14%</w:t>
      </w:r>
      <w:r>
        <w:rPr/>
        <w:t>，占营业收入的</w:t>
      </w:r>
      <w:r>
        <w:rPr>
          <w:rFonts w:ascii="宋体" w:hAnsi="宋体" w:cs="宋体" w:eastAsia="宋体" w:hint="default"/>
        </w:rPr>
        <w:t>50.53%</w:t>
      </w:r>
      <w:r>
        <w:rPr/>
        <w:t>。</w:t>
      </w:r>
    </w:p>
    <w:p>
      <w:pPr>
        <w:pStyle w:val="BodyText"/>
        <w:spacing w:line="240" w:lineRule="auto" w:before="192"/>
        <w:ind w:left="500" w:right="507"/>
        <w:jc w:val="left"/>
      </w:pPr>
      <w:r>
        <w:rPr>
          <w:rFonts w:ascii="宋体" w:hAnsi="宋体" w:cs="宋体" w:eastAsia="宋体" w:hint="default"/>
        </w:rPr>
        <w:t>2</w:t>
      </w:r>
      <w:r>
        <w:rPr/>
        <w:t>）报告期内单一采购比例超过</w:t>
      </w:r>
      <w:r>
        <w:rPr>
          <w:spacing w:val="-60"/>
        </w:rPr>
        <w:t> </w:t>
      </w:r>
      <w:r>
        <w:rPr>
          <w:rFonts w:ascii="宋体" w:hAnsi="宋体" w:cs="宋体" w:eastAsia="宋体" w:hint="default"/>
        </w:rPr>
        <w:t>30%</w:t>
      </w:r>
      <w:r>
        <w:rPr/>
        <w:t>的供应商情况</w:t>
      </w:r>
    </w:p>
    <w:p>
      <w:pPr>
        <w:spacing w:line="240" w:lineRule="auto" w:before="8"/>
        <w:rPr>
          <w:rFonts w:ascii="宋体" w:hAnsi="宋体" w:cs="宋体" w:eastAsia="宋体" w:hint="default"/>
          <w:sz w:val="25"/>
          <w:szCs w:val="25"/>
        </w:rPr>
      </w:pPr>
    </w:p>
    <w:p>
      <w:pPr>
        <w:spacing w:before="0"/>
        <w:ind w:left="0" w:right="493"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835"/>
        <w:gridCol w:w="2112"/>
        <w:gridCol w:w="2115"/>
        <w:gridCol w:w="2019"/>
      </w:tblGrid>
      <w:tr>
        <w:trPr>
          <w:trHeight w:val="790"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81"/>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r>
      <w:tr>
        <w:trPr>
          <w:trHeight w:val="125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3" w:right="104"/>
              <w:jc w:val="left"/>
              <w:rPr>
                <w:rFonts w:ascii="宋体" w:hAnsi="宋体" w:cs="宋体" w:eastAsia="宋体" w:hint="default"/>
                <w:sz w:val="21"/>
                <w:szCs w:val="21"/>
              </w:rPr>
            </w:pPr>
            <w:r>
              <w:rPr>
                <w:rFonts w:ascii="宋体" w:hAnsi="宋体" w:cs="宋体" w:eastAsia="宋体" w:hint="default"/>
                <w:spacing w:val="5"/>
                <w:sz w:val="21"/>
                <w:szCs w:val="21"/>
              </w:rPr>
              <w:t>前五名供应商合计采购售金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27"/>
              <w:jc w:val="right"/>
              <w:rPr>
                <w:rFonts w:ascii="宋体" w:hAnsi="宋体" w:cs="宋体" w:eastAsia="宋体" w:hint="default"/>
                <w:sz w:val="21"/>
                <w:szCs w:val="21"/>
              </w:rPr>
            </w:pPr>
            <w:r>
              <w:rPr>
                <w:rFonts w:ascii="宋体"/>
                <w:spacing w:val="-1"/>
                <w:sz w:val="21"/>
              </w:rPr>
              <w:t>6,571.01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3" w:right="0"/>
              <w:jc w:val="left"/>
              <w:rPr>
                <w:rFonts w:ascii="宋体" w:hAnsi="宋体" w:cs="宋体" w:eastAsia="宋体" w:hint="default"/>
                <w:sz w:val="21"/>
                <w:szCs w:val="21"/>
              </w:rPr>
            </w:pPr>
            <w:r>
              <w:rPr>
                <w:rFonts w:ascii="宋体"/>
                <w:sz w:val="21"/>
              </w:rPr>
              <w:t>4632.13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21"/>
                <w:szCs w:val="21"/>
              </w:rPr>
            </w:pPr>
            <w:r>
              <w:rPr>
                <w:rFonts w:ascii="宋体"/>
                <w:sz w:val="21"/>
              </w:rPr>
              <w:t>41.86%</w:t>
            </w:r>
          </w:p>
        </w:tc>
      </w:tr>
      <w:tr>
        <w:trPr>
          <w:trHeight w:val="790"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占年度采购总金额的比例</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34.52%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21"/>
                <w:szCs w:val="21"/>
              </w:rPr>
            </w:pPr>
            <w:r>
              <w:rPr>
                <w:rFonts w:ascii="宋体"/>
                <w:sz w:val="21"/>
              </w:rPr>
              <w:t>35.73%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87"/>
              <w:jc w:val="right"/>
              <w:rPr>
                <w:rFonts w:ascii="宋体" w:hAnsi="宋体" w:cs="宋体" w:eastAsia="宋体" w:hint="default"/>
                <w:sz w:val="21"/>
                <w:szCs w:val="21"/>
              </w:rPr>
            </w:pPr>
            <w:r>
              <w:rPr>
                <w:rFonts w:ascii="宋体"/>
                <w:sz w:val="21"/>
              </w:rPr>
              <w:t>-1.21%</w:t>
            </w:r>
          </w:p>
        </w:tc>
      </w:tr>
      <w:tr>
        <w:trPr>
          <w:trHeight w:val="125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3" w:right="104"/>
              <w:jc w:val="left"/>
              <w:rPr>
                <w:rFonts w:ascii="宋体" w:hAnsi="宋体" w:cs="宋体" w:eastAsia="宋体" w:hint="default"/>
                <w:sz w:val="21"/>
                <w:szCs w:val="21"/>
              </w:rPr>
            </w:pPr>
            <w:r>
              <w:rPr>
                <w:rFonts w:ascii="宋体" w:hAnsi="宋体" w:cs="宋体" w:eastAsia="宋体" w:hint="default"/>
                <w:spacing w:val="5"/>
                <w:sz w:val="21"/>
                <w:szCs w:val="21"/>
              </w:rPr>
              <w:t>前五名供应商合计应付账款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7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1"/>
                <w:sz w:val="21"/>
                <w:szCs w:val="21"/>
              </w:rPr>
              <w:t>331.80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3" w:right="0"/>
              <w:jc w:val="left"/>
              <w:rPr>
                <w:rFonts w:ascii="宋体" w:hAnsi="宋体" w:cs="宋体" w:eastAsia="宋体" w:hint="default"/>
                <w:sz w:val="21"/>
                <w:szCs w:val="21"/>
              </w:rPr>
            </w:pPr>
            <w:r>
              <w:rPr>
                <w:rFonts w:ascii="宋体"/>
                <w:sz w:val="21"/>
              </w:rPr>
              <w:t>1345.29</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21"/>
                <w:szCs w:val="21"/>
              </w:rPr>
            </w:pPr>
            <w:r>
              <w:rPr>
                <w:rFonts w:ascii="宋体"/>
                <w:sz w:val="21"/>
              </w:rPr>
              <w:t>-0.01%</w:t>
            </w:r>
          </w:p>
        </w:tc>
      </w:tr>
      <w:tr>
        <w:trPr>
          <w:trHeight w:val="79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5"/>
                <w:sz w:val="21"/>
                <w:szCs w:val="21"/>
              </w:rPr>
              <w:t>占公司应付账款总余额的比</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37.18%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36" w:right="0"/>
              <w:jc w:val="left"/>
              <w:rPr>
                <w:rFonts w:ascii="宋体" w:hAnsi="宋体" w:cs="宋体" w:eastAsia="宋体" w:hint="default"/>
                <w:sz w:val="21"/>
                <w:szCs w:val="21"/>
              </w:rPr>
            </w:pPr>
            <w:r>
              <w:rPr>
                <w:rFonts w:ascii="宋体"/>
                <w:sz w:val="21"/>
              </w:rPr>
              <w:t>48.42%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634"/>
              <w:jc w:val="right"/>
              <w:rPr>
                <w:rFonts w:ascii="宋体" w:hAnsi="宋体" w:cs="宋体" w:eastAsia="宋体" w:hint="default"/>
                <w:sz w:val="21"/>
                <w:szCs w:val="21"/>
              </w:rPr>
            </w:pPr>
            <w:r>
              <w:rPr>
                <w:rFonts w:ascii="宋体"/>
                <w:spacing w:val="-1"/>
                <w:sz w:val="21"/>
              </w:rPr>
              <w:t>-11.24%</w:t>
            </w:r>
          </w:p>
        </w:tc>
      </w:tr>
    </w:tbl>
    <w:p>
      <w:pPr>
        <w:spacing w:after="0" w:line="240" w:lineRule="auto"/>
        <w:jc w:val="right"/>
        <w:rPr>
          <w:rFonts w:ascii="宋体" w:hAnsi="宋体" w:cs="宋体" w:eastAsia="宋体" w:hint="default"/>
          <w:sz w:val="21"/>
          <w:szCs w:val="21"/>
        </w:rPr>
        <w:sectPr>
          <w:pgSz w:w="11910" w:h="16840"/>
          <w:pgMar w:header="0" w:footer="1175" w:top="1340" w:bottom="1380" w:left="1300" w:right="1300"/>
        </w:sectPr>
      </w:pPr>
    </w:p>
    <w:p>
      <w:pPr>
        <w:spacing w:line="240" w:lineRule="auto" w:before="3"/>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2835"/>
        <w:gridCol w:w="2112"/>
        <w:gridCol w:w="2115"/>
        <w:gridCol w:w="2019"/>
      </w:tblGrid>
      <w:tr>
        <w:trPr>
          <w:trHeight w:val="64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980" w:right="966" w:firstLine="479"/>
        <w:jc w:val="left"/>
      </w:pPr>
      <w:r>
        <w:rPr>
          <w:spacing w:val="-3"/>
        </w:rPr>
        <w:t>公司不存在依赖单一供应商的情况，公司未出现向单一供应商采购金额超过</w:t>
      </w:r>
      <w:r>
        <w:rPr/>
        <w:t> 总采购金额的</w:t>
      </w:r>
      <w:r>
        <w:rPr>
          <w:rFonts w:ascii="宋体" w:hAnsi="宋体" w:cs="宋体" w:eastAsia="宋体" w:hint="default"/>
        </w:rPr>
        <w:t>30%</w:t>
      </w:r>
      <w:r>
        <w:rPr/>
        <w:t>以上的情况。</w:t>
      </w:r>
    </w:p>
    <w:p>
      <w:pPr>
        <w:pStyle w:val="BodyText"/>
        <w:spacing w:line="357" w:lineRule="auto" w:before="192"/>
        <w:ind w:left="980" w:right="966" w:firstLine="479"/>
        <w:jc w:val="left"/>
      </w:pPr>
      <w:r>
        <w:rPr>
          <w:rFonts w:ascii="宋体" w:hAnsi="宋体" w:cs="宋体" w:eastAsia="宋体" w:hint="default"/>
        </w:rPr>
        <w:t>3</w:t>
      </w:r>
      <w:r>
        <w:rPr/>
        <w:t>）公司董事、监事、高级管理人员、核心技术人员及主要关联方或持有公 司</w:t>
      </w:r>
      <w:r>
        <w:rPr>
          <w:spacing w:val="-61"/>
        </w:rPr>
        <w:t> </w:t>
      </w:r>
      <w:r>
        <w:rPr>
          <w:rFonts w:ascii="宋体" w:hAnsi="宋体" w:cs="宋体" w:eastAsia="宋体" w:hint="default"/>
        </w:rPr>
        <w:t>5%</w:t>
      </w:r>
      <w:r>
        <w:rPr/>
        <w:t>以上股份的股东在公司前五名供应商、销售客户中未占有任何权益。</w:t>
      </w:r>
    </w:p>
    <w:p>
      <w:pPr>
        <w:spacing w:line="477" w:lineRule="auto" w:before="193"/>
        <w:ind w:left="980" w:right="3266" w:firstLine="0"/>
        <w:jc w:val="left"/>
        <w:rPr>
          <w:rFonts w:ascii="宋体" w:hAnsi="宋体" w:cs="宋体" w:eastAsia="宋体" w:hint="default"/>
          <w:sz w:val="24"/>
          <w:szCs w:val="24"/>
        </w:rPr>
      </w:pPr>
      <w:r>
        <w:rPr>
          <w:rFonts w:ascii="宋体" w:hAnsi="宋体" w:cs="宋体" w:eastAsia="宋体" w:hint="default"/>
          <w:b/>
          <w:bCs/>
          <w:sz w:val="24"/>
          <w:szCs w:val="24"/>
        </w:rPr>
        <w:t>（二）报告期公司资产构成分析</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、公司资产构成变动情况分析</w:t>
      </w:r>
      <w:r>
        <w:rPr>
          <w:rFonts w:ascii="宋体" w:hAnsi="宋体" w:cs="宋体" w:eastAsia="宋体" w:hint="default"/>
          <w:b/>
          <w:bCs/>
          <w:w w:val="99"/>
          <w:sz w:val="24"/>
          <w:szCs w:val="24"/>
        </w:rPr>
        <w:t> </w:t>
      </w:r>
      <w:r>
        <w:rPr>
          <w:rFonts w:ascii="宋体" w:hAnsi="宋体" w:cs="宋体" w:eastAsia="宋体" w:hint="default"/>
          <w:sz w:val="24"/>
          <w:szCs w:val="24"/>
        </w:rPr>
        <w:t>报告期内本公司各类资产金额及其占总资产的比例如下：</w:t>
      </w:r>
    </w:p>
    <w:p>
      <w:pPr>
        <w:pStyle w:val="BodyText"/>
        <w:spacing w:line="240" w:lineRule="auto" w:before="72"/>
        <w:ind w:left="0" w:right="976"/>
        <w:jc w:val="right"/>
      </w:pPr>
      <w:r>
        <w:rPr/>
        <w:t>单位：元</w:t>
      </w:r>
    </w:p>
    <w:p>
      <w:pPr>
        <w:spacing w:line="240" w:lineRule="auto" w:before="9"/>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714"/>
        <w:gridCol w:w="1897"/>
        <w:gridCol w:w="1628"/>
        <w:gridCol w:w="1897"/>
        <w:gridCol w:w="1577"/>
        <w:gridCol w:w="1316"/>
      </w:tblGrid>
      <w:tr>
        <w:trPr>
          <w:trHeight w:val="790" w:hRule="exact"/>
        </w:trPr>
        <w:tc>
          <w:tcPr>
            <w:tcW w:w="17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3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792" w:hRule="exact"/>
        </w:trPr>
        <w:tc>
          <w:tcPr>
            <w:tcW w:w="171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c>
          <w:tcPr>
            <w:tcW w:w="1316" w:type="dxa"/>
            <w:vMerge/>
            <w:tcBorders>
              <w:left w:val="single" w:sz="4" w:space="0" w:color="000000"/>
              <w:bottom w:val="single" w:sz="4" w:space="0" w:color="000000"/>
              <w:right w:val="single" w:sz="4" w:space="0" w:color="000000"/>
            </w:tcBorders>
          </w:tcPr>
          <w:p>
            <w:pP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754,915,045.66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67.81%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734,292,536.26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78.66%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2.81%</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143,079,478.65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70,525,269.50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7.56%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102.88%</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2,266,379.19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3,335,666.92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-32.06%</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7,073,950.52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0.64%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3,842,824.23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84.08%</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105,999,252.56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9.52%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62,291,485.25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6.67%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70.17%</w:t>
            </w:r>
          </w:p>
        </w:tc>
      </w:tr>
      <w:tr>
        <w:trPr>
          <w:trHeight w:val="79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1,058,703,049.02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95.09%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906,294,502.43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97.09%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16.82%</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11,758,942.97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9,222,218.25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27.51%</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1910" w:h="16840"/>
          <w:pgMar w:header="0" w:footer="1175" w:top="1340" w:bottom="1380" w:left="820" w:right="82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714"/>
        <w:gridCol w:w="1897"/>
        <w:gridCol w:w="1628"/>
        <w:gridCol w:w="1897"/>
        <w:gridCol w:w="1577"/>
        <w:gridCol w:w="1316"/>
      </w:tblGrid>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2,640,774.10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1,309,139.02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sz w:val="21"/>
              </w:rPr>
              <w:t>101.72%</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4,390,587.86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1,192,658.45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sz w:val="21"/>
              </w:rPr>
              <w:t>268.13%</w:t>
            </w:r>
          </w:p>
        </w:tc>
      </w:tr>
      <w:tr>
        <w:trPr>
          <w:trHeight w:val="79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54,632,352.36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4.91%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27,175,286.21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sz w:val="21"/>
              </w:rPr>
              <w:t>101.04%</w:t>
            </w:r>
          </w:p>
        </w:tc>
      </w:tr>
      <w:tr>
        <w:trPr>
          <w:trHeight w:val="7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1,113,335,401.38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933,469,788.64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21"/>
                <w:szCs w:val="21"/>
              </w:rPr>
            </w:pPr>
            <w:r>
              <w:rPr>
                <w:rFonts w:ascii="宋体"/>
                <w:sz w:val="21"/>
              </w:rPr>
              <w:t>19.27%</w:t>
            </w:r>
          </w:p>
        </w:tc>
      </w:tr>
    </w:tbl>
    <w:p>
      <w:pPr>
        <w:spacing w:line="240" w:lineRule="auto" w:before="12"/>
        <w:rPr>
          <w:rFonts w:ascii="宋体" w:hAnsi="宋体" w:cs="宋体" w:eastAsia="宋体" w:hint="default"/>
          <w:sz w:val="12"/>
          <w:szCs w:val="12"/>
        </w:rPr>
      </w:pPr>
    </w:p>
    <w:p>
      <w:pPr>
        <w:pStyle w:val="BodyText"/>
        <w:spacing w:line="240" w:lineRule="auto" w:before="26"/>
        <w:ind w:left="1400" w:right="0"/>
        <w:jc w:val="left"/>
      </w:pPr>
      <w:r>
        <w:rPr>
          <w:spacing w:val="-6"/>
        </w:rPr>
        <w:t>报告期末，公司应收账款同比增长 </w:t>
      </w:r>
      <w:r>
        <w:rPr>
          <w:rFonts w:ascii="宋体" w:hAnsi="宋体" w:cs="宋体" w:eastAsia="宋体" w:hint="default"/>
        </w:rPr>
        <w:t>102.88</w:t>
      </w:r>
      <w:r>
        <w:rPr>
          <w:rFonts w:ascii="宋体" w:hAnsi="宋体" w:cs="宋体" w:eastAsia="宋体" w:hint="default"/>
          <w:spacing w:val="-97"/>
        </w:rPr>
        <w:t> </w:t>
      </w:r>
      <w:r>
        <w:rPr>
          <w:rFonts w:ascii="宋体" w:hAnsi="宋体" w:cs="宋体" w:eastAsia="宋体" w:hint="default"/>
          <w:spacing w:val="-5"/>
        </w:rPr>
        <w:t>%</w:t>
      </w:r>
      <w:r>
        <w:rPr>
          <w:spacing w:val="-5"/>
        </w:rPr>
        <w:t>，主要是因为公司销售规模扩大，</w:t>
      </w:r>
    </w:p>
    <w:p>
      <w:pPr>
        <w:pStyle w:val="BodyText"/>
        <w:spacing w:line="357" w:lineRule="auto" w:before="154"/>
        <w:ind w:left="980" w:right="961"/>
        <w:jc w:val="left"/>
      </w:pPr>
      <w:r>
        <w:rPr>
          <w:spacing w:val="-4"/>
        </w:rPr>
        <w:t>本公司的销售大部分集中下半年，同时对主要客户合同约定销售回款有 </w:t>
      </w:r>
      <w:r>
        <w:rPr>
          <w:rFonts w:ascii="宋体" w:hAnsi="宋体" w:cs="宋体" w:eastAsia="宋体" w:hint="default"/>
        </w:rPr>
        <w:t>3-6</w:t>
      </w:r>
      <w:r>
        <w:rPr>
          <w:rFonts w:ascii="宋体" w:hAnsi="宋体" w:cs="宋体" w:eastAsia="宋体" w:hint="default"/>
          <w:spacing w:val="-87"/>
        </w:rPr>
        <w:t> </w:t>
      </w:r>
      <w:r>
        <w:rPr/>
        <w:t>月的 账期，使用得公司期末应收账款余额增加。</w:t>
      </w:r>
    </w:p>
    <w:p>
      <w:pPr>
        <w:pStyle w:val="BodyText"/>
        <w:spacing w:line="357" w:lineRule="auto" w:before="192"/>
        <w:ind w:left="980" w:right="976" w:firstLine="479"/>
        <w:jc w:val="both"/>
      </w:pPr>
      <w:r>
        <w:rPr/>
        <w:t>公司其他应收款同比增长</w:t>
      </w:r>
      <w:r>
        <w:rPr>
          <w:rFonts w:ascii="宋体" w:hAnsi="宋体" w:cs="宋体" w:eastAsia="宋体" w:hint="default"/>
        </w:rPr>
        <w:t>84.08 %</w:t>
      </w:r>
      <w:r>
        <w:rPr/>
        <w:t>，主要是因为公司加大销售力度，增加派 出机构和业务人员，增加了相关业务备用金；公司存货同比增长</w:t>
      </w:r>
      <w:r>
        <w:rPr>
          <w:rFonts w:ascii="宋体" w:hAnsi="宋体" w:cs="宋体" w:eastAsia="宋体" w:hint="default"/>
        </w:rPr>
        <w:t>70.17 %</w:t>
      </w:r>
      <w:r>
        <w:rPr/>
        <w:t>，主要 </w:t>
      </w:r>
      <w:r>
        <w:rPr>
          <w:spacing w:val="-3"/>
        </w:rPr>
        <w:t>是因为公司销售市场的扩大而储备的原材料和产成品；公司递延所得税资产同比</w:t>
      </w:r>
      <w:r>
        <w:rPr>
          <w:spacing w:val="-108"/>
        </w:rPr>
        <w:t> </w:t>
      </w:r>
      <w:r>
        <w:rPr>
          <w:spacing w:val="-108"/>
        </w:rPr>
      </w:r>
      <w:r>
        <w:rPr/>
        <w:t>增长</w:t>
      </w:r>
      <w:r>
        <w:rPr>
          <w:rFonts w:ascii="宋体" w:hAnsi="宋体" w:cs="宋体" w:eastAsia="宋体" w:hint="default"/>
        </w:rPr>
        <w:t>268.13</w:t>
      </w:r>
      <w:r>
        <w:rPr>
          <w:rFonts w:ascii="宋体" w:hAnsi="宋体" w:cs="宋体" w:eastAsia="宋体" w:hint="default"/>
          <w:spacing w:val="-91"/>
        </w:rPr>
        <w:t> </w:t>
      </w:r>
      <w:r>
        <w:rPr>
          <w:rFonts w:ascii="宋体" w:hAnsi="宋体" w:cs="宋体" w:eastAsia="宋体" w:hint="default"/>
        </w:rPr>
        <w:t>%</w:t>
      </w:r>
      <w:r>
        <w:rPr/>
        <w:t>，主要是因为公司收到的政府补贴递延收益及购入子公司产品库存 期末未实现利润所致。</w:t>
      </w:r>
    </w:p>
    <w:p>
      <w:pPr>
        <w:pStyle w:val="Heading7"/>
        <w:spacing w:line="240" w:lineRule="auto"/>
        <w:ind w:left="980" w:right="966"/>
        <w:jc w:val="left"/>
        <w:rPr>
          <w:b w:val="0"/>
          <w:bCs w:val="0"/>
        </w:rPr>
      </w:pPr>
      <w:r>
        <w:rPr>
          <w:rFonts w:ascii="宋体" w:hAnsi="宋体" w:cs="宋体" w:eastAsia="宋体" w:hint="default"/>
        </w:rPr>
        <w:t>2</w:t>
      </w:r>
      <w:r>
        <w:rPr/>
        <w:t>、公司偿债能力分析</w:t>
      </w:r>
      <w:r>
        <w:rPr>
          <w:b w:val="0"/>
          <w:bCs w:val="0"/>
        </w:rPr>
      </w:r>
    </w:p>
    <w:p>
      <w:pPr>
        <w:spacing w:line="240" w:lineRule="auto" w:before="9"/>
        <w:rPr>
          <w:rFonts w:ascii="宋体" w:hAnsi="宋体" w:cs="宋体" w:eastAsia="宋体" w:hint="default"/>
          <w:b/>
          <w:bCs/>
          <w:sz w:val="20"/>
          <w:szCs w:val="20"/>
        </w:rPr>
      </w:pPr>
    </w:p>
    <w:tbl>
      <w:tblPr>
        <w:tblW w:w="0" w:type="auto"/>
        <w:jc w:val="left"/>
        <w:tblInd w:w="867" w:type="dxa"/>
        <w:tblLayout w:type="fixed"/>
        <w:tblCellMar>
          <w:top w:w="0" w:type="dxa"/>
          <w:left w:w="0" w:type="dxa"/>
          <w:bottom w:w="0" w:type="dxa"/>
          <w:right w:w="0" w:type="dxa"/>
        </w:tblCellMar>
        <w:tblLook w:val="01E0"/>
      </w:tblPr>
      <w:tblGrid>
        <w:gridCol w:w="2377"/>
        <w:gridCol w:w="1985"/>
        <w:gridCol w:w="2127"/>
        <w:gridCol w:w="2036"/>
      </w:tblGrid>
      <w:tr>
        <w:trPr>
          <w:trHeight w:val="79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79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6.25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794" w:right="0"/>
              <w:jc w:val="left"/>
              <w:rPr>
                <w:rFonts w:ascii="宋体" w:hAnsi="宋体" w:cs="宋体" w:eastAsia="宋体" w:hint="default"/>
                <w:sz w:val="21"/>
                <w:szCs w:val="21"/>
              </w:rPr>
            </w:pPr>
            <w:r>
              <w:rPr>
                <w:rFonts w:ascii="宋体"/>
                <w:sz w:val="21"/>
              </w:rPr>
              <w:t>15.84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-60.57%</w:t>
            </w:r>
          </w:p>
        </w:tc>
      </w:tr>
      <w:tr>
        <w:trPr>
          <w:trHeight w:val="79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5.62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794" w:right="0"/>
              <w:jc w:val="left"/>
              <w:rPr>
                <w:rFonts w:ascii="宋体" w:hAnsi="宋体" w:cs="宋体" w:eastAsia="宋体" w:hint="default"/>
                <w:sz w:val="21"/>
                <w:szCs w:val="21"/>
              </w:rPr>
            </w:pPr>
            <w:r>
              <w:rPr>
                <w:rFonts w:ascii="宋体"/>
                <w:sz w:val="21"/>
              </w:rPr>
              <w:t>14.75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-61.90%</w:t>
            </w:r>
          </w:p>
        </w:tc>
      </w:tr>
      <w:tr>
        <w:trPr>
          <w:trHeight w:val="79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资产负债率（</w:t>
            </w:r>
            <w:r>
              <w:rPr>
                <w:rFonts w:ascii="宋体" w:hAnsi="宋体" w:cs="宋体" w:eastAsia="宋体" w:hint="default"/>
                <w:spacing w:val="-6"/>
                <w:sz w:val="21"/>
                <w:szCs w:val="21"/>
              </w:rPr>
              <w:t>%</w:t>
            </w:r>
            <w:r>
              <w:rPr>
                <w:rFonts w:ascii="宋体" w:hAnsi="宋体" w:cs="宋体" w:eastAsia="宋体" w:hint="default"/>
                <w:spacing w:val="-6"/>
                <w:sz w:val="21"/>
                <w:szCs w:val="21"/>
              </w:rPr>
              <w:t>）母公司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25.25%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741" w:right="0"/>
              <w:jc w:val="left"/>
              <w:rPr>
                <w:rFonts w:ascii="宋体" w:hAnsi="宋体" w:cs="宋体" w:eastAsia="宋体" w:hint="default"/>
                <w:sz w:val="21"/>
                <w:szCs w:val="21"/>
              </w:rPr>
            </w:pPr>
            <w:r>
              <w:rPr>
                <w:rFonts w:ascii="宋体"/>
                <w:sz w:val="21"/>
              </w:rPr>
              <w:t>12.33%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12.92%</w:t>
            </w:r>
          </w:p>
        </w:tc>
      </w:tr>
      <w:tr>
        <w:trPr>
          <w:trHeight w:val="79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）合并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15.74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794" w:right="0"/>
              <w:jc w:val="left"/>
              <w:rPr>
                <w:rFonts w:ascii="宋体" w:hAnsi="宋体" w:cs="宋体" w:eastAsia="宋体" w:hint="default"/>
                <w:sz w:val="21"/>
                <w:szCs w:val="21"/>
              </w:rPr>
            </w:pPr>
            <w:r>
              <w:rPr>
                <w:rFonts w:ascii="宋体"/>
                <w:sz w:val="21"/>
              </w:rPr>
              <w:t>6.58%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9.16%</w:t>
            </w:r>
          </w:p>
        </w:tc>
      </w:tr>
    </w:tbl>
    <w:p>
      <w:pPr>
        <w:spacing w:line="240" w:lineRule="auto" w:before="12"/>
        <w:rPr>
          <w:rFonts w:ascii="宋体" w:hAnsi="宋体" w:cs="宋体" w:eastAsia="宋体" w:hint="default"/>
          <w:b/>
          <w:bCs/>
          <w:sz w:val="12"/>
          <w:szCs w:val="12"/>
        </w:rPr>
      </w:pPr>
    </w:p>
    <w:p>
      <w:pPr>
        <w:pStyle w:val="BodyText"/>
        <w:spacing w:line="357" w:lineRule="auto" w:before="26"/>
        <w:ind w:left="980" w:right="976" w:firstLine="479"/>
        <w:jc w:val="both"/>
      </w:pPr>
      <w:r>
        <w:rPr>
          <w:spacing w:val="-3"/>
        </w:rPr>
        <w:t>报告期内，公司流动比率和速动比率同比存在一定幅度的下降，主要系公司</w:t>
      </w:r>
      <w:r>
        <w:rPr/>
        <w:t> </w:t>
      </w:r>
      <w:r>
        <w:rPr>
          <w:spacing w:val="-3"/>
        </w:rPr>
        <w:t>原材料采购增大，票据支付货款增加，加上部分客户预收账款的大幅增加，导致</w:t>
      </w:r>
      <w:r>
        <w:rPr>
          <w:spacing w:val="-111"/>
        </w:rPr>
        <w:t> </w:t>
      </w:r>
      <w:r>
        <w:rPr>
          <w:spacing w:val="-111"/>
        </w:rPr>
      </w:r>
      <w:r>
        <w:rPr/>
        <w:t>报告期流动负债增加，但公司资金充足，短期偿债风险小。</w:t>
      </w:r>
    </w:p>
    <w:p>
      <w:pPr>
        <w:spacing w:after="0" w:line="357" w:lineRule="auto"/>
        <w:jc w:val="both"/>
        <w:sectPr>
          <w:pgSz w:w="11910" w:h="16840"/>
          <w:pgMar w:header="0" w:footer="1175" w:top="1340" w:bottom="1380" w:left="820" w:right="820"/>
        </w:sectPr>
      </w:pPr>
    </w:p>
    <w:p>
      <w:pPr>
        <w:pStyle w:val="BodyText"/>
        <w:spacing w:line="357" w:lineRule="auto" w:before="1"/>
        <w:ind w:left="220" w:right="226" w:firstLine="479"/>
        <w:jc w:val="left"/>
      </w:pPr>
      <w:r>
        <w:rPr>
          <w:spacing w:val="-3"/>
        </w:rPr>
        <w:t>报告期末，公司资产负债率同比有上升，但依然维持较低水平，长期偿债风</w:t>
      </w:r>
      <w:r>
        <w:rPr/>
        <w:t> 险低。</w:t>
      </w:r>
    </w:p>
    <w:p>
      <w:pPr>
        <w:pStyle w:val="Heading7"/>
        <w:spacing w:line="240" w:lineRule="auto"/>
        <w:ind w:left="220" w:right="226"/>
        <w:jc w:val="left"/>
        <w:rPr>
          <w:b w:val="0"/>
          <w:bCs w:val="0"/>
        </w:rPr>
      </w:pPr>
      <w:r>
        <w:rPr>
          <w:rFonts w:ascii="宋体" w:hAnsi="宋体" w:cs="宋体" w:eastAsia="宋体" w:hint="default"/>
        </w:rPr>
        <w:t>3</w:t>
      </w:r>
      <w:r>
        <w:rPr/>
        <w:t>、公司资产营运能力分析</w:t>
      </w:r>
      <w:r>
        <w:rPr>
          <w:b w:val="0"/>
          <w:bCs w:val="0"/>
        </w:rPr>
      </w:r>
    </w:p>
    <w:p>
      <w:pPr>
        <w:spacing w:line="240" w:lineRule="auto" w:before="9"/>
        <w:rPr>
          <w:rFonts w:ascii="宋体" w:hAnsi="宋体" w:cs="宋体" w:eastAsia="宋体" w:hint="default"/>
          <w:b/>
          <w:bCs/>
          <w:sz w:val="20"/>
          <w:szCs w:val="20"/>
        </w:rPr>
      </w:pPr>
    </w:p>
    <w:tbl>
      <w:tblPr>
        <w:tblW w:w="0" w:type="auto"/>
        <w:jc w:val="left"/>
        <w:tblInd w:w="107" w:type="dxa"/>
        <w:tblLayout w:type="fixed"/>
        <w:tblCellMar>
          <w:top w:w="0" w:type="dxa"/>
          <w:left w:w="0" w:type="dxa"/>
          <w:bottom w:w="0" w:type="dxa"/>
          <w:right w:w="0" w:type="dxa"/>
        </w:tblCellMar>
        <w:tblLook w:val="01E0"/>
      </w:tblPr>
      <w:tblGrid>
        <w:gridCol w:w="2132"/>
        <w:gridCol w:w="2129"/>
        <w:gridCol w:w="2132"/>
        <w:gridCol w:w="2132"/>
      </w:tblGrid>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636"/>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3.20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4.14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689"/>
              <w:jc w:val="right"/>
              <w:rPr>
                <w:rFonts w:ascii="宋体" w:hAnsi="宋体" w:cs="宋体" w:eastAsia="宋体" w:hint="default"/>
                <w:sz w:val="21"/>
                <w:szCs w:val="21"/>
              </w:rPr>
            </w:pPr>
            <w:r>
              <w:rPr>
                <w:rFonts w:ascii="宋体"/>
                <w:spacing w:val="-1"/>
                <w:sz w:val="21"/>
              </w:rPr>
              <w:t>-22.74%</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1.90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1.95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-2.31%</w:t>
            </w:r>
          </w:p>
        </w:tc>
      </w:tr>
      <w:tr>
        <w:trPr>
          <w:trHeight w:val="79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流动资产周转率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0.16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0.39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689"/>
              <w:jc w:val="right"/>
              <w:rPr>
                <w:rFonts w:ascii="宋体" w:hAnsi="宋体" w:cs="宋体" w:eastAsia="宋体" w:hint="default"/>
                <w:sz w:val="21"/>
                <w:szCs w:val="21"/>
              </w:rPr>
            </w:pPr>
            <w:r>
              <w:rPr>
                <w:rFonts w:ascii="宋体"/>
                <w:spacing w:val="-1"/>
                <w:sz w:val="21"/>
              </w:rPr>
              <w:t>-58.17%</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非流动资产周转率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8.35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8.32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0.38%</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总资产周转率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0.33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0.37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-9.79%</w:t>
            </w:r>
          </w:p>
        </w:tc>
      </w:tr>
    </w:tbl>
    <w:p>
      <w:pPr>
        <w:pStyle w:val="BodyText"/>
        <w:spacing w:line="357" w:lineRule="auto" w:before="39"/>
        <w:ind w:left="220" w:right="226" w:firstLine="359"/>
        <w:jc w:val="left"/>
      </w:pPr>
      <w:r>
        <w:rPr/>
        <w:t>报告期内应收账款周转率与上年相比相差不大，公司应继续加大应收账款回 收力度，降低坏帐风险。</w:t>
      </w:r>
    </w:p>
    <w:p>
      <w:pPr>
        <w:pStyle w:val="Heading7"/>
        <w:spacing w:line="240" w:lineRule="auto"/>
        <w:ind w:left="220" w:right="226"/>
        <w:jc w:val="left"/>
        <w:rPr>
          <w:b w:val="0"/>
          <w:bCs w:val="0"/>
        </w:rPr>
      </w:pPr>
      <w:r>
        <w:rPr>
          <w:rFonts w:ascii="宋体" w:hAnsi="宋体" w:cs="宋体" w:eastAsia="宋体" w:hint="default"/>
        </w:rPr>
        <w:t>4</w:t>
      </w:r>
      <w:r>
        <w:rPr/>
        <w:t>、报告期内费用情况分析</w:t>
      </w:r>
      <w:r>
        <w:rPr>
          <w:b w:val="0"/>
          <w:bCs w:val="0"/>
        </w:rPr>
      </w:r>
    </w:p>
    <w:p>
      <w:pPr>
        <w:spacing w:line="240" w:lineRule="auto" w:before="8"/>
        <w:rPr>
          <w:rFonts w:ascii="宋体" w:hAnsi="宋体" w:cs="宋体" w:eastAsia="宋体" w:hint="default"/>
          <w:b/>
          <w:bCs/>
          <w:sz w:val="25"/>
          <w:szCs w:val="25"/>
        </w:rPr>
      </w:pPr>
    </w:p>
    <w:p>
      <w:pPr>
        <w:spacing w:before="0"/>
        <w:ind w:left="0" w:right="23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21"/>
          <w:szCs w:val="21"/>
        </w:rPr>
      </w:pPr>
    </w:p>
    <w:tbl>
      <w:tblPr>
        <w:tblW w:w="0" w:type="auto"/>
        <w:jc w:val="left"/>
        <w:tblInd w:w="359" w:type="dxa"/>
        <w:tblLayout w:type="fixed"/>
        <w:tblCellMar>
          <w:top w:w="0" w:type="dxa"/>
          <w:left w:w="0" w:type="dxa"/>
          <w:bottom w:w="0" w:type="dxa"/>
          <w:right w:w="0" w:type="dxa"/>
        </w:tblCellMar>
        <w:tblLook w:val="01E0"/>
      </w:tblPr>
      <w:tblGrid>
        <w:gridCol w:w="1640"/>
        <w:gridCol w:w="1709"/>
        <w:gridCol w:w="1695"/>
        <w:gridCol w:w="1558"/>
        <w:gridCol w:w="1419"/>
      </w:tblGrid>
      <w:tr>
        <w:trPr>
          <w:trHeight w:val="1258"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408" w:lineRule="auto"/>
              <w:ind w:left="355" w:right="96" w:hanging="252"/>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64"/>
                <w:sz w:val="21"/>
                <w:szCs w:val="21"/>
              </w:rPr>
              <w:t> </w:t>
            </w: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年营业</w:t>
            </w:r>
            <w:r>
              <w:rPr>
                <w:rFonts w:ascii="宋体" w:hAnsi="宋体" w:cs="宋体" w:eastAsia="宋体" w:hint="default"/>
                <w:w w:val="100"/>
                <w:sz w:val="21"/>
                <w:szCs w:val="21"/>
              </w:rPr>
              <w:t> </w:t>
            </w:r>
            <w:r>
              <w:rPr>
                <w:rFonts w:ascii="宋体" w:hAnsi="宋体" w:cs="宋体" w:eastAsia="宋体" w:hint="default"/>
                <w:sz w:val="21"/>
                <w:szCs w:val="21"/>
              </w:rPr>
              <w:t>收入比例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r>
      <w:tr>
        <w:trPr>
          <w:trHeight w:val="790"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59,969,577.45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25,932,478.44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17.56%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84"/>
              <w:jc w:val="right"/>
              <w:rPr>
                <w:rFonts w:ascii="宋体" w:hAnsi="宋体" w:cs="宋体" w:eastAsia="宋体" w:hint="default"/>
                <w:sz w:val="21"/>
                <w:szCs w:val="21"/>
              </w:rPr>
            </w:pPr>
            <w:r>
              <w:rPr>
                <w:rFonts w:ascii="宋体"/>
                <w:sz w:val="21"/>
              </w:rPr>
              <w:t>96.44%</w:t>
            </w:r>
          </w:p>
        </w:tc>
      </w:tr>
      <w:tr>
        <w:trPr>
          <w:trHeight w:val="792"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66,023,224.05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35,892,764.55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19.33%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34"/>
              <w:jc w:val="right"/>
              <w:rPr>
                <w:rFonts w:ascii="宋体" w:hAnsi="宋体" w:cs="宋体" w:eastAsia="宋体" w:hint="default"/>
                <w:sz w:val="21"/>
                <w:szCs w:val="21"/>
              </w:rPr>
            </w:pPr>
            <w:r>
              <w:rPr>
                <w:rFonts w:ascii="宋体"/>
                <w:spacing w:val="-1"/>
                <w:sz w:val="21"/>
              </w:rPr>
              <w:t>110.96%</w:t>
            </w:r>
          </w:p>
        </w:tc>
      </w:tr>
      <w:tr>
        <w:trPr>
          <w:trHeight w:val="790"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-13,470,870.21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-3,135,496.74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-3.94%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4"/>
              <w:jc w:val="right"/>
              <w:rPr>
                <w:rFonts w:ascii="宋体" w:hAnsi="宋体" w:cs="宋体" w:eastAsia="宋体" w:hint="default"/>
                <w:sz w:val="21"/>
                <w:szCs w:val="21"/>
              </w:rPr>
            </w:pPr>
            <w:r>
              <w:rPr>
                <w:rFonts w:ascii="宋体"/>
                <w:spacing w:val="-1"/>
                <w:sz w:val="21"/>
              </w:rPr>
              <w:t>329.62%</w:t>
            </w:r>
          </w:p>
        </w:tc>
      </w:tr>
      <w:tr>
        <w:trPr>
          <w:trHeight w:val="790"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8,208,998.24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1,711,951.84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2.40%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4"/>
              <w:jc w:val="right"/>
              <w:rPr>
                <w:rFonts w:ascii="宋体" w:hAnsi="宋体" w:cs="宋体" w:eastAsia="宋体" w:hint="default"/>
                <w:sz w:val="21"/>
                <w:szCs w:val="21"/>
              </w:rPr>
            </w:pPr>
            <w:r>
              <w:rPr>
                <w:rFonts w:ascii="宋体"/>
                <w:spacing w:val="-1"/>
                <w:sz w:val="21"/>
              </w:rPr>
              <w:t>379.51%</w:t>
            </w:r>
          </w:p>
        </w:tc>
      </w:tr>
    </w:tbl>
    <w:p>
      <w:pPr>
        <w:spacing w:after="0" w:line="240" w:lineRule="auto"/>
        <w:jc w:val="right"/>
        <w:rPr>
          <w:rFonts w:ascii="宋体" w:hAnsi="宋体" w:cs="宋体" w:eastAsia="宋体" w:hint="default"/>
          <w:sz w:val="21"/>
          <w:szCs w:val="21"/>
        </w:rPr>
        <w:sectPr>
          <w:pgSz w:w="11910" w:h="16840"/>
          <w:pgMar w:header="0" w:footer="1175" w:top="1460" w:bottom="1380" w:left="1580" w:right="1560"/>
        </w:sectPr>
      </w:pPr>
    </w:p>
    <w:p>
      <w:pPr>
        <w:spacing w:line="240" w:lineRule="auto" w:before="3"/>
        <w:rPr>
          <w:rFonts w:ascii="宋体" w:hAnsi="宋体" w:cs="宋体" w:eastAsia="宋体" w:hint="default"/>
          <w:sz w:val="6"/>
          <w:szCs w:val="6"/>
        </w:rPr>
      </w:pPr>
    </w:p>
    <w:tbl>
      <w:tblPr>
        <w:tblW w:w="0" w:type="auto"/>
        <w:jc w:val="left"/>
        <w:tblInd w:w="259" w:type="dxa"/>
        <w:tblLayout w:type="fixed"/>
        <w:tblCellMar>
          <w:top w:w="0" w:type="dxa"/>
          <w:left w:w="0" w:type="dxa"/>
          <w:bottom w:w="0" w:type="dxa"/>
          <w:right w:w="0" w:type="dxa"/>
        </w:tblCellMar>
        <w:tblLook w:val="01E0"/>
      </w:tblPr>
      <w:tblGrid>
        <w:gridCol w:w="1640"/>
        <w:gridCol w:w="1709"/>
        <w:gridCol w:w="1695"/>
        <w:gridCol w:w="1558"/>
        <w:gridCol w:w="1419"/>
      </w:tblGrid>
      <w:tr>
        <w:trPr>
          <w:trHeight w:val="790"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21"/>
                <w:szCs w:val="21"/>
              </w:rPr>
            </w:pPr>
            <w:r>
              <w:rPr>
                <w:rFonts w:ascii="宋体"/>
                <w:sz w:val="21"/>
              </w:rPr>
              <w:t>120,730,929.53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21"/>
                <w:szCs w:val="21"/>
              </w:rPr>
            </w:pPr>
            <w:r>
              <w:rPr>
                <w:rFonts w:ascii="宋体"/>
                <w:sz w:val="21"/>
              </w:rPr>
              <w:t>60,401,698.09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21"/>
                <w:szCs w:val="21"/>
              </w:rPr>
            </w:pPr>
            <w:r>
              <w:rPr>
                <w:rFonts w:ascii="宋体"/>
                <w:sz w:val="21"/>
              </w:rPr>
              <w:t>35.34%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21"/>
                <w:szCs w:val="21"/>
              </w:rPr>
            </w:pPr>
            <w:r>
              <w:rPr>
                <w:rFonts w:ascii="宋体"/>
                <w:sz w:val="21"/>
              </w:rPr>
              <w:t>99.88%</w:t>
            </w:r>
          </w:p>
        </w:tc>
      </w:tr>
    </w:tbl>
    <w:p>
      <w:pPr>
        <w:spacing w:line="240" w:lineRule="auto" w:before="12"/>
        <w:rPr>
          <w:rFonts w:ascii="宋体" w:hAnsi="宋体" w:cs="宋体" w:eastAsia="宋体" w:hint="default"/>
          <w:sz w:val="12"/>
          <w:szCs w:val="12"/>
        </w:rPr>
      </w:pPr>
    </w:p>
    <w:p>
      <w:pPr>
        <w:pStyle w:val="BodyText"/>
        <w:spacing w:line="357" w:lineRule="auto" w:before="26"/>
        <w:ind w:right="217" w:firstLine="479"/>
        <w:jc w:val="left"/>
      </w:pPr>
      <w:r>
        <w:rPr/>
        <w:t>报告期公司销售费用同比增长</w:t>
      </w:r>
      <w:r>
        <w:rPr>
          <w:spacing w:val="-90"/>
        </w:rPr>
        <w:t> </w:t>
      </w:r>
      <w:r>
        <w:rPr>
          <w:rFonts w:ascii="宋体" w:hAnsi="宋体" w:cs="宋体" w:eastAsia="宋体" w:hint="default"/>
        </w:rPr>
        <w:t>96.44</w:t>
      </w:r>
      <w:r>
        <w:rPr/>
        <w:t>％，是公司销售增长，公司加大市场开 发力度加大投入所致；管理费用同比增长 </w:t>
      </w:r>
      <w:r>
        <w:rPr>
          <w:rFonts w:ascii="宋体" w:hAnsi="宋体" w:cs="宋体" w:eastAsia="宋体" w:hint="default"/>
        </w:rPr>
        <w:t>110.96</w:t>
      </w:r>
      <w:r>
        <w:rPr>
          <w:rFonts w:ascii="宋体" w:hAnsi="宋体" w:cs="宋体" w:eastAsia="宋体" w:hint="default"/>
          <w:spacing w:val="-31"/>
        </w:rPr>
        <w:t> </w:t>
      </w:r>
      <w:r>
        <w:rPr>
          <w:spacing w:val="-5"/>
        </w:rPr>
        <w:t>％，是公司规模扩大，人员增</w:t>
      </w:r>
    </w:p>
    <w:p>
      <w:pPr>
        <w:pStyle w:val="BodyText"/>
        <w:spacing w:line="357" w:lineRule="auto" w:before="36"/>
        <w:ind w:right="143"/>
        <w:jc w:val="both"/>
      </w:pPr>
      <w:r>
        <w:rPr/>
        <w:t>加及加大研发的投入；财务费用同比大幅下降</w:t>
      </w:r>
      <w:r>
        <w:rPr>
          <w:spacing w:val="9"/>
        </w:rPr>
        <w:t> </w:t>
      </w:r>
      <w:r>
        <w:rPr>
          <w:rFonts w:ascii="宋体" w:hAnsi="宋体" w:cs="宋体" w:eastAsia="宋体" w:hint="default"/>
        </w:rPr>
        <w:t>329.62</w:t>
      </w:r>
      <w:r>
        <w:rPr>
          <w:rFonts w:ascii="宋体" w:hAnsi="宋体" w:cs="宋体" w:eastAsia="宋体" w:hint="default"/>
          <w:spacing w:val="7"/>
        </w:rPr>
        <w:t> </w:t>
      </w:r>
      <w:r>
        <w:rPr>
          <w:rFonts w:ascii="宋体" w:hAnsi="宋体" w:cs="宋体" w:eastAsia="宋体" w:hint="default"/>
        </w:rPr>
        <w:t>%</w:t>
      </w:r>
      <w:r>
        <w:rPr/>
        <w:t>，是募集资金计提利息</w:t>
      </w:r>
      <w:r>
        <w:rPr>
          <w:spacing w:val="-114"/>
        </w:rPr>
        <w:t> </w:t>
      </w:r>
      <w:r>
        <w:rPr>
          <w:spacing w:val="-114"/>
        </w:rPr>
      </w:r>
      <w:r>
        <w:rPr/>
        <w:t>收入所得，所得税费用同比上升 </w:t>
      </w:r>
      <w:r>
        <w:rPr>
          <w:rFonts w:ascii="宋体" w:hAnsi="宋体" w:cs="宋体" w:eastAsia="宋体" w:hint="default"/>
        </w:rPr>
        <w:t>382.04</w:t>
      </w:r>
      <w:r>
        <w:rPr/>
        <w:t>％，主要是盈利增长及子公司深圳市易</w:t>
      </w:r>
      <w:r>
        <w:rPr>
          <w:spacing w:val="-99"/>
        </w:rPr>
        <w:t> </w:t>
      </w:r>
      <w:r>
        <w:rPr>
          <w:spacing w:val="-99"/>
        </w:rPr>
      </w:r>
      <w:r>
        <w:rPr/>
        <w:t>联技术有限公司“两免三减半”政策免税期结束，执行第一年减半征收所得税。</w:t>
      </w:r>
    </w:p>
    <w:p>
      <w:pPr>
        <w:pStyle w:val="Heading7"/>
        <w:spacing w:line="240" w:lineRule="auto" w:before="193"/>
        <w:ind w:right="0"/>
        <w:jc w:val="both"/>
        <w:rPr>
          <w:b w:val="0"/>
          <w:bCs w:val="0"/>
        </w:rPr>
      </w:pPr>
      <w:r>
        <w:rPr/>
        <w:t>（三）主要无形资产情况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102" w:firstLine="479"/>
        <w:jc w:val="left"/>
      </w:pPr>
      <w:r>
        <w:rPr>
          <w:spacing w:val="-3"/>
        </w:rPr>
        <w:t>报告期内，公司账面无形资产账面余额为</w:t>
      </w:r>
      <w:r>
        <w:rPr>
          <w:rFonts w:ascii="宋体" w:hAnsi="宋体" w:cs="宋体" w:eastAsia="宋体" w:hint="default"/>
          <w:spacing w:val="-3"/>
        </w:rPr>
        <w:t>3,258.79</w:t>
      </w:r>
      <w:r>
        <w:rPr>
          <w:spacing w:val="-3"/>
        </w:rPr>
        <w:t>万元，主要为公司全资子</w:t>
      </w:r>
      <w:r>
        <w:rPr/>
        <w:t> 公司南京新国都拥有的位于南京市的土地使用权和公司控股子公司苏州新国都 </w:t>
      </w:r>
      <w:r>
        <w:rPr>
          <w:spacing w:val="-3"/>
        </w:rPr>
        <w:t>拥有的位于苏州市的土地使用权，其中，苏州的土地使用权证正在办理中。公司</w:t>
      </w:r>
      <w:r>
        <w:rPr>
          <w:spacing w:val="-111"/>
        </w:rPr>
        <w:t> </w:t>
      </w:r>
      <w:r>
        <w:rPr>
          <w:spacing w:val="-111"/>
        </w:rPr>
      </w:r>
      <w:r>
        <w:rPr>
          <w:spacing w:val="-6"/>
        </w:rPr>
        <w:t>拥有的著作权、专利、商标均未作为无形资产入账，公司无形资产具体情况如下：</w:t>
      </w:r>
    </w:p>
    <w:p>
      <w:pPr>
        <w:pStyle w:val="Heading7"/>
        <w:spacing w:line="240" w:lineRule="auto"/>
        <w:ind w:right="0"/>
        <w:jc w:val="both"/>
        <w:rPr>
          <w:b w:val="0"/>
          <w:bCs w:val="0"/>
        </w:rPr>
      </w:pPr>
      <w:r>
        <w:rPr>
          <w:rFonts w:ascii="宋体" w:hAnsi="宋体" w:cs="宋体" w:eastAsia="宋体" w:hint="default"/>
        </w:rPr>
        <w:t>1</w:t>
      </w:r>
      <w:r>
        <w:rPr/>
        <w:t>、商标</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367" w:firstLine="479"/>
        <w:jc w:val="left"/>
      </w:pPr>
      <w:r>
        <w:rPr/>
        <w:t>本公司使用的商标均已在国家工商行政管理总局商标局注册，具体情况如 下：</w:t>
      </w:r>
    </w:p>
    <w:p>
      <w:pPr>
        <w:pStyle w:val="BodyText"/>
        <w:spacing w:line="240" w:lineRule="auto" w:before="192"/>
        <w:ind w:right="0"/>
        <w:jc w:val="both"/>
      </w:pPr>
      <w:r>
        <w:rPr/>
        <w:t>（</w:t>
      </w:r>
      <w:r>
        <w:rPr>
          <w:rFonts w:ascii="宋体" w:hAnsi="宋体" w:cs="宋体" w:eastAsia="宋体" w:hint="default"/>
        </w:rPr>
        <w:t>1</w:t>
      </w:r>
      <w:r>
        <w:rPr/>
        <w:t>）已注册商标</w:t>
      </w:r>
    </w:p>
    <w:p>
      <w:pPr>
        <w:spacing w:line="240" w:lineRule="auto" w:before="1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505"/>
        <w:gridCol w:w="953"/>
        <w:gridCol w:w="1318"/>
        <w:gridCol w:w="938"/>
        <w:gridCol w:w="3603"/>
      </w:tblGrid>
      <w:tr>
        <w:trPr>
          <w:trHeight w:val="803" w:hRule="exact"/>
        </w:trPr>
        <w:tc>
          <w:tcPr>
            <w:tcW w:w="1505"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9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31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93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3603"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62" w:right="0"/>
              <w:jc w:val="left"/>
              <w:rPr>
                <w:rFonts w:ascii="宋体" w:hAnsi="宋体" w:cs="宋体" w:eastAsia="宋体" w:hint="default"/>
                <w:sz w:val="21"/>
                <w:szCs w:val="21"/>
              </w:rPr>
            </w:pPr>
            <w:r>
              <w:rPr>
                <w:rFonts w:ascii="宋体" w:hAnsi="宋体" w:cs="宋体" w:eastAsia="宋体" w:hint="default"/>
                <w:b/>
                <w:bCs/>
                <w:sz w:val="21"/>
                <w:szCs w:val="21"/>
              </w:rPr>
              <w:t>核定使用商品</w:t>
            </w:r>
            <w:r>
              <w:rPr>
                <w:rFonts w:ascii="宋体" w:hAnsi="宋体" w:cs="宋体" w:eastAsia="宋体" w:hint="default"/>
                <w:sz w:val="21"/>
                <w:szCs w:val="21"/>
              </w:rPr>
            </w:r>
          </w:p>
        </w:tc>
      </w:tr>
      <w:tr>
        <w:trPr>
          <w:trHeight w:val="2208" w:hRule="exact"/>
        </w:trPr>
        <w:tc>
          <w:tcPr>
            <w:tcW w:w="15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1170" w:lineRule="exact"/>
              <w:ind w:left="92" w:right="0"/>
              <w:jc w:val="left"/>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819084" cy="7429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819084" cy="742950"/>
                          </a:xfrm>
                          <a:prstGeom prst="rect">
                            <a:avLst/>
                          </a:prstGeom>
                        </pic:spPr>
                      </pic:pic>
                    </a:graphicData>
                  </a:graphic>
                </wp:inline>
              </w:drawing>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sz w:val="21"/>
              </w:rPr>
              <w:t>4353456</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2007.5.28</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80" w:right="173" w:hanging="3"/>
              <w:jc w:val="center"/>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2017.5.27</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新国都</w:t>
            </w:r>
          </w:p>
        </w:tc>
        <w:tc>
          <w:tcPr>
            <w:tcW w:w="36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0" w:right="87"/>
              <w:jc w:val="both"/>
              <w:rPr>
                <w:rFonts w:ascii="宋体" w:hAnsi="宋体" w:cs="宋体" w:eastAsia="宋体" w:hint="default"/>
                <w:sz w:val="21"/>
                <w:szCs w:val="21"/>
              </w:rPr>
            </w:pPr>
            <w:r>
              <w:rPr>
                <w:rFonts w:ascii="宋体" w:hAnsi="宋体" w:cs="宋体" w:eastAsia="宋体" w:hint="default"/>
                <w:sz w:val="21"/>
                <w:szCs w:val="21"/>
              </w:rPr>
              <w:t>第 </w:t>
            </w:r>
            <w:r>
              <w:rPr>
                <w:rFonts w:ascii="宋体" w:hAnsi="宋体" w:cs="宋体" w:eastAsia="宋体" w:hint="default"/>
                <w:sz w:val="21"/>
                <w:szCs w:val="21"/>
              </w:rPr>
              <w:t>9</w:t>
            </w:r>
            <w:r>
              <w:rPr>
                <w:rFonts w:ascii="宋体" w:hAnsi="宋体" w:cs="宋体" w:eastAsia="宋体" w:hint="default"/>
                <w:spacing w:val="-79"/>
                <w:sz w:val="21"/>
                <w:szCs w:val="21"/>
              </w:rPr>
              <w:t> </w:t>
            </w:r>
            <w:r>
              <w:rPr>
                <w:rFonts w:ascii="宋体" w:hAnsi="宋体" w:cs="宋体" w:eastAsia="宋体" w:hint="default"/>
                <w:sz w:val="21"/>
                <w:szCs w:val="21"/>
              </w:rPr>
              <w:t>类：计数器；数量显示器；钱点</w:t>
            </w:r>
            <w:r>
              <w:rPr>
                <w:rFonts w:ascii="宋体" w:hAnsi="宋体" w:cs="宋体" w:eastAsia="宋体" w:hint="default"/>
                <w:w w:val="100"/>
                <w:sz w:val="21"/>
                <w:szCs w:val="21"/>
              </w:rPr>
              <w:t> </w:t>
            </w:r>
            <w:r>
              <w:rPr>
                <w:rFonts w:ascii="宋体" w:hAnsi="宋体" w:cs="宋体" w:eastAsia="宋体" w:hint="default"/>
                <w:sz w:val="21"/>
                <w:szCs w:val="21"/>
              </w:rPr>
              <w:t>数和分检机；现金收入记录机；现金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收讫机；支票记录计；电子支付密码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器；销售点终端机；移动终端机。</w:t>
            </w:r>
          </w:p>
        </w:tc>
      </w:tr>
    </w:tbl>
    <w:p>
      <w:pPr>
        <w:spacing w:line="240" w:lineRule="auto" w:before="12"/>
        <w:rPr>
          <w:rFonts w:ascii="宋体" w:hAnsi="宋体" w:cs="宋体" w:eastAsia="宋体" w:hint="default"/>
          <w:sz w:val="12"/>
          <w:szCs w:val="12"/>
        </w:rPr>
      </w:pPr>
    </w:p>
    <w:p>
      <w:pPr>
        <w:pStyle w:val="BodyText"/>
        <w:spacing w:line="240" w:lineRule="auto" w:before="26"/>
        <w:ind w:right="0"/>
        <w:jc w:val="left"/>
      </w:pPr>
      <w:r>
        <w:rPr/>
        <w:t>（</w:t>
      </w:r>
      <w:r>
        <w:rPr>
          <w:rFonts w:ascii="宋体" w:hAnsi="宋体" w:cs="宋体" w:eastAsia="宋体" w:hint="default"/>
        </w:rPr>
        <w:t>2</w:t>
      </w:r>
      <w:r>
        <w:rPr/>
        <w:t>）已申请并获公示的商标</w:t>
      </w:r>
    </w:p>
    <w:p>
      <w:pPr>
        <w:spacing w:line="240" w:lineRule="auto" w:before="11"/>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940"/>
        <w:gridCol w:w="1171"/>
        <w:gridCol w:w="1973"/>
        <w:gridCol w:w="3212"/>
      </w:tblGrid>
      <w:tr>
        <w:trPr>
          <w:trHeight w:val="725" w:hRule="exact"/>
        </w:trPr>
        <w:tc>
          <w:tcPr>
            <w:tcW w:w="1940" w:type="dxa"/>
            <w:tcBorders>
              <w:top w:val="single" w:sz="12" w:space="0" w:color="000000"/>
              <w:left w:val="single" w:sz="12" w:space="0" w:color="000000"/>
              <w:bottom w:val="single" w:sz="4" w:space="0" w:color="000000"/>
              <w:right w:val="single" w:sz="4" w:space="0" w:color="000000"/>
            </w:tcBorders>
            <w:shd w:val="clear" w:color="auto" w:fill="E6E6E6"/>
          </w:tcPr>
          <w:p>
            <w:pPr>
              <w:pStyle w:val="TableParagraph"/>
              <w:spacing w:line="240" w:lineRule="auto" w:before="108"/>
              <w:ind w:left="535"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1171"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8"/>
              <w:ind w:left="369"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73"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3212" w:type="dxa"/>
            <w:tcBorders>
              <w:top w:val="single" w:sz="12" w:space="0" w:color="000000"/>
              <w:left w:val="single" w:sz="4" w:space="0" w:color="000000"/>
              <w:bottom w:val="single" w:sz="4" w:space="0" w:color="000000"/>
              <w:right w:val="single" w:sz="12" w:space="0" w:color="000000"/>
            </w:tcBorders>
            <w:shd w:val="clear" w:color="auto" w:fill="E6E6E6"/>
          </w:tcPr>
          <w:p>
            <w:pPr>
              <w:pStyle w:val="TableParagraph"/>
              <w:spacing w:line="240" w:lineRule="auto" w:before="108"/>
              <w:ind w:left="967" w:right="0"/>
              <w:jc w:val="left"/>
              <w:rPr>
                <w:rFonts w:ascii="宋体" w:hAnsi="宋体" w:cs="宋体" w:eastAsia="宋体" w:hint="default"/>
                <w:sz w:val="21"/>
                <w:szCs w:val="21"/>
              </w:rPr>
            </w:pPr>
            <w:r>
              <w:rPr>
                <w:rFonts w:ascii="宋体" w:hAnsi="宋体" w:cs="宋体" w:eastAsia="宋体" w:hint="default"/>
                <w:b/>
                <w:bCs/>
                <w:sz w:val="21"/>
                <w:szCs w:val="21"/>
              </w:rPr>
              <w:t>受理发文日期</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1175" w:top="1340" w:bottom="1380" w:left="1680" w:right="1560"/>
        </w:sectPr>
      </w:pPr>
    </w:p>
    <w:p>
      <w:pPr>
        <w:spacing w:line="240" w:lineRule="auto" w:before="3"/>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1940"/>
        <w:gridCol w:w="1171"/>
        <w:gridCol w:w="1973"/>
        <w:gridCol w:w="3212"/>
      </w:tblGrid>
      <w:tr>
        <w:trPr>
          <w:trHeight w:val="1059"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597" w:lineRule="exact"/>
              <w:ind w:left="7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116600" cy="3794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1116600" cy="379475"/>
                          </a:xfrm>
                          <a:prstGeom prst="rect">
                            <a:avLst/>
                          </a:prstGeom>
                        </pic:spPr>
                      </pic:pic>
                    </a:graphicData>
                  </a:graphic>
                </wp:inline>
              </w:drawing>
            </w:r>
            <w:r>
              <w:rPr>
                <w:rFonts w:ascii="宋体" w:hAnsi="宋体" w:cs="宋体" w:eastAsia="宋体" w:hint="default"/>
                <w:position w:val="-11"/>
                <w:sz w:val="20"/>
                <w:szCs w:val="20"/>
              </w:rPr>
            </w:r>
          </w:p>
          <w:p>
            <w:pPr>
              <w:pStyle w:val="TableParagraph"/>
              <w:spacing w:line="240" w:lineRule="auto" w:before="10"/>
              <w:ind w:right="0"/>
              <w:jc w:val="left"/>
              <w:rPr>
                <w:rFonts w:ascii="宋体" w:hAnsi="宋体" w:cs="宋体" w:eastAsia="宋体" w:hint="default"/>
                <w:sz w:val="22"/>
                <w:szCs w:val="22"/>
              </w:rPr>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36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7211057</w:t>
            </w:r>
          </w:p>
        </w:tc>
        <w:tc>
          <w:tcPr>
            <w:tcW w:w="32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sz w:val="21"/>
              </w:rPr>
              <w:t>2009.3.12</w:t>
            </w:r>
          </w:p>
        </w:tc>
      </w:tr>
      <w:tr>
        <w:trPr>
          <w:trHeight w:val="919" w:hRule="exact"/>
        </w:trPr>
        <w:tc>
          <w:tcPr>
            <w:tcW w:w="194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446" w:lineRule="exact"/>
              <w:ind w:left="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109425" cy="28346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1109425" cy="283464"/>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11"/>
              <w:ind w:right="0"/>
              <w:jc w:val="left"/>
              <w:rPr>
                <w:rFonts w:ascii="宋体" w:hAnsi="宋体" w:cs="宋体" w:eastAsia="宋体" w:hint="default"/>
                <w:sz w:val="22"/>
                <w:szCs w:val="22"/>
              </w:rPr>
            </w:pP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7211058</w:t>
            </w:r>
          </w:p>
        </w:tc>
        <w:tc>
          <w:tcPr>
            <w:tcW w:w="32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sz w:val="21"/>
              </w:rPr>
              <w:t>2009.3.12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7"/>
        <w:spacing w:line="240" w:lineRule="auto" w:before="26"/>
        <w:ind w:left="220" w:right="226"/>
        <w:jc w:val="left"/>
        <w:rPr>
          <w:b w:val="0"/>
          <w:bCs w:val="0"/>
        </w:rPr>
      </w:pPr>
      <w:r>
        <w:rPr>
          <w:rFonts w:ascii="宋体" w:hAnsi="宋体" w:cs="宋体" w:eastAsia="宋体" w:hint="default"/>
        </w:rPr>
        <w:t>2</w:t>
      </w:r>
      <w:r>
        <w:rPr/>
        <w:t>、土地使用权</w:t>
      </w:r>
      <w:r>
        <w:rPr>
          <w:b w:val="0"/>
          <w:bCs w:val="0"/>
        </w:rPr>
      </w:r>
    </w:p>
    <w:p>
      <w:pPr>
        <w:spacing w:line="240" w:lineRule="auto" w:before="10"/>
        <w:rPr>
          <w:rFonts w:ascii="宋体" w:hAnsi="宋体" w:cs="宋体" w:eastAsia="宋体" w:hint="default"/>
          <w:b/>
          <w:bCs/>
          <w:sz w:val="20"/>
          <w:szCs w:val="20"/>
        </w:rPr>
      </w:pPr>
    </w:p>
    <w:tbl>
      <w:tblPr>
        <w:tblW w:w="0" w:type="auto"/>
        <w:jc w:val="left"/>
        <w:tblInd w:w="117" w:type="dxa"/>
        <w:tblLayout w:type="fixed"/>
        <w:tblCellMar>
          <w:top w:w="0" w:type="dxa"/>
          <w:left w:w="0" w:type="dxa"/>
          <w:bottom w:w="0" w:type="dxa"/>
          <w:right w:w="0" w:type="dxa"/>
        </w:tblCellMar>
        <w:tblLook w:val="01E0"/>
      </w:tblPr>
      <w:tblGrid>
        <w:gridCol w:w="982"/>
        <w:gridCol w:w="1472"/>
        <w:gridCol w:w="1102"/>
        <w:gridCol w:w="1589"/>
        <w:gridCol w:w="1275"/>
        <w:gridCol w:w="1099"/>
        <w:gridCol w:w="984"/>
      </w:tblGrid>
      <w:tr>
        <w:trPr>
          <w:trHeight w:val="1258"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b/>
                <w:bCs/>
                <w:sz w:val="21"/>
                <w:szCs w:val="21"/>
              </w:rPr>
              <w:t>所有权人</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b/>
                <w:bCs/>
                <w:sz w:val="21"/>
                <w:szCs w:val="21"/>
              </w:rPr>
              <w:t>使用权证号</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408" w:lineRule="auto"/>
              <w:ind w:left="439" w:right="120" w:hanging="315"/>
              <w:jc w:val="left"/>
              <w:rPr>
                <w:rFonts w:ascii="宋体" w:hAnsi="宋体" w:cs="宋体" w:eastAsia="宋体" w:hint="default"/>
                <w:sz w:val="21"/>
                <w:szCs w:val="21"/>
              </w:rPr>
            </w:pPr>
            <w:r>
              <w:rPr>
                <w:rFonts w:ascii="宋体" w:hAnsi="宋体" w:cs="宋体" w:eastAsia="宋体" w:hint="default"/>
                <w:b/>
                <w:bCs/>
                <w:sz w:val="21"/>
                <w:szCs w:val="21"/>
              </w:rPr>
              <w:t>使用权来</w:t>
            </w:r>
            <w:r>
              <w:rPr>
                <w:rFonts w:ascii="宋体" w:hAnsi="宋体" w:cs="宋体" w:eastAsia="宋体" w:hint="default"/>
                <w:b/>
                <w:bCs/>
                <w:w w:val="100"/>
                <w:sz w:val="21"/>
                <w:szCs w:val="21"/>
              </w:rPr>
              <w:t> </w:t>
            </w:r>
            <w:r>
              <w:rPr>
                <w:rFonts w:ascii="宋体" w:hAnsi="宋体" w:cs="宋体" w:eastAsia="宋体" w:hint="default"/>
                <w:b/>
                <w:bCs/>
                <w:sz w:val="21"/>
                <w:szCs w:val="21"/>
              </w:rPr>
              <w:t>源</w:t>
            </w:r>
            <w:r>
              <w:rPr>
                <w:rFonts w:ascii="宋体" w:hAnsi="宋体" w:cs="宋体" w:eastAsia="宋体" w:hint="default"/>
                <w:sz w:val="21"/>
                <w:szCs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408" w:lineRule="auto"/>
              <w:ind w:left="684" w:right="155" w:hanging="529"/>
              <w:jc w:val="left"/>
              <w:rPr>
                <w:rFonts w:ascii="宋体" w:hAnsi="宋体" w:cs="宋体" w:eastAsia="宋体" w:hint="default"/>
                <w:sz w:val="21"/>
                <w:szCs w:val="21"/>
              </w:rPr>
            </w:pPr>
            <w:r>
              <w:rPr>
                <w:rFonts w:ascii="宋体" w:hAnsi="宋体" w:cs="宋体" w:eastAsia="宋体" w:hint="default"/>
                <w:b/>
                <w:bCs/>
                <w:sz w:val="21"/>
                <w:szCs w:val="21"/>
              </w:rPr>
              <w:t>使用权终止日</w:t>
            </w:r>
            <w:r>
              <w:rPr>
                <w:rFonts w:ascii="宋体" w:hAnsi="宋体" w:cs="宋体" w:eastAsia="宋体" w:hint="default"/>
                <w:b/>
                <w:bCs/>
                <w:spacing w:val="-104"/>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土地位置</w:t>
            </w:r>
            <w:r>
              <w:rPr>
                <w:rFonts w:ascii="宋体" w:hAnsi="宋体" w:cs="宋体" w:eastAsia="宋体" w:hint="default"/>
                <w:sz w:val="21"/>
                <w:szCs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土地面积</w:t>
            </w:r>
            <w:r>
              <w:rPr>
                <w:rFonts w:ascii="宋体" w:hAnsi="宋体" w:cs="宋体" w:eastAsia="宋体" w:hint="default"/>
                <w:sz w:val="21"/>
                <w:szCs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408" w:lineRule="auto"/>
              <w:ind w:left="381" w:right="168" w:hanging="212"/>
              <w:jc w:val="left"/>
              <w:rPr>
                <w:rFonts w:ascii="宋体" w:hAnsi="宋体" w:cs="宋体" w:eastAsia="宋体" w:hint="default"/>
                <w:sz w:val="21"/>
                <w:szCs w:val="21"/>
              </w:rPr>
            </w:pPr>
            <w:r>
              <w:rPr>
                <w:rFonts w:ascii="宋体" w:hAnsi="宋体" w:cs="宋体" w:eastAsia="宋体" w:hint="default"/>
                <w:b/>
                <w:bCs/>
                <w:sz w:val="21"/>
                <w:szCs w:val="21"/>
              </w:rPr>
              <w:t>他项权</w:t>
            </w:r>
            <w:r>
              <w:rPr>
                <w:rFonts w:ascii="宋体" w:hAnsi="宋体" w:cs="宋体" w:eastAsia="宋体" w:hint="default"/>
                <w:b/>
                <w:bCs/>
                <w:w w:val="100"/>
                <w:sz w:val="21"/>
                <w:szCs w:val="21"/>
              </w:rPr>
              <w:t> </w:t>
            </w:r>
            <w:r>
              <w:rPr>
                <w:rFonts w:ascii="宋体" w:hAnsi="宋体" w:cs="宋体" w:eastAsia="宋体" w:hint="default"/>
                <w:b/>
                <w:bCs/>
                <w:sz w:val="21"/>
                <w:szCs w:val="21"/>
              </w:rPr>
              <w:t>利</w:t>
            </w:r>
            <w:r>
              <w:rPr>
                <w:rFonts w:ascii="宋体" w:hAnsi="宋体" w:cs="宋体" w:eastAsia="宋体" w:hint="default"/>
                <w:sz w:val="21"/>
                <w:szCs w:val="21"/>
              </w:rPr>
            </w:r>
          </w:p>
        </w:tc>
      </w:tr>
      <w:tr>
        <w:trPr>
          <w:trHeight w:val="17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408" w:lineRule="auto"/>
              <w:ind w:left="379" w:right="62" w:hanging="315"/>
              <w:jc w:val="left"/>
              <w:rPr>
                <w:rFonts w:ascii="宋体" w:hAnsi="宋体" w:cs="宋体" w:eastAsia="宋体" w:hint="default"/>
                <w:sz w:val="21"/>
                <w:szCs w:val="21"/>
              </w:rPr>
            </w:pPr>
            <w:r>
              <w:rPr>
                <w:rFonts w:ascii="宋体" w:hAnsi="宋体" w:cs="宋体" w:eastAsia="宋体" w:hint="default"/>
                <w:sz w:val="21"/>
                <w:szCs w:val="21"/>
              </w:rPr>
              <w:t>南京新国</w:t>
            </w:r>
            <w:r>
              <w:rPr>
                <w:rFonts w:ascii="宋体" w:hAnsi="宋体" w:cs="宋体" w:eastAsia="宋体" w:hint="default"/>
                <w:w w:val="100"/>
                <w:sz w:val="21"/>
                <w:szCs w:val="21"/>
              </w:rPr>
              <w:t> </w:t>
            </w:r>
            <w:r>
              <w:rPr>
                <w:rFonts w:ascii="宋体" w:hAnsi="宋体" w:cs="宋体" w:eastAsia="宋体" w:hint="default"/>
                <w:sz w:val="21"/>
                <w:szCs w:val="21"/>
              </w:rPr>
              <w:t>都</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宁栖国用</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408" w:lineRule="auto"/>
              <w:ind w:left="335" w:right="307" w:hanging="2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15197</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336" w:right="0"/>
              <w:jc w:val="left"/>
              <w:rPr>
                <w:rFonts w:ascii="宋体" w:hAnsi="宋体" w:cs="宋体" w:eastAsia="宋体" w:hint="default"/>
                <w:sz w:val="21"/>
                <w:szCs w:val="21"/>
              </w:rPr>
            </w:pPr>
            <w:r>
              <w:rPr>
                <w:rFonts w:ascii="宋体" w:hAnsi="宋体" w:cs="宋体" w:eastAsia="宋体" w:hint="default"/>
                <w:sz w:val="21"/>
                <w:szCs w:val="21"/>
              </w:rPr>
              <w:t>受让</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2059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408" w:lineRule="auto"/>
              <w:ind w:left="105" w:right="104"/>
              <w:jc w:val="center"/>
              <w:rPr>
                <w:rFonts w:ascii="宋体" w:hAnsi="宋体" w:cs="宋体" w:eastAsia="宋体" w:hint="default"/>
                <w:sz w:val="21"/>
                <w:szCs w:val="21"/>
              </w:rPr>
            </w:pPr>
            <w:r>
              <w:rPr>
                <w:rFonts w:ascii="宋体" w:hAnsi="宋体" w:cs="宋体" w:eastAsia="宋体" w:hint="default"/>
                <w:sz w:val="21"/>
                <w:szCs w:val="21"/>
              </w:rPr>
              <w:t>南京市栖霞</w:t>
            </w:r>
            <w:r>
              <w:rPr>
                <w:rFonts w:ascii="宋体" w:hAnsi="宋体" w:cs="宋体" w:eastAsia="宋体" w:hint="default"/>
                <w:w w:val="100"/>
                <w:sz w:val="21"/>
                <w:szCs w:val="21"/>
              </w:rPr>
              <w:t> </w:t>
            </w:r>
            <w:r>
              <w:rPr>
                <w:rFonts w:ascii="宋体" w:hAnsi="宋体" w:cs="宋体" w:eastAsia="宋体" w:hint="default"/>
                <w:sz w:val="21"/>
                <w:szCs w:val="21"/>
              </w:rPr>
              <w:t>区马群科技</w:t>
            </w:r>
            <w:r>
              <w:rPr>
                <w:rFonts w:ascii="宋体" w:hAnsi="宋体" w:cs="宋体" w:eastAsia="宋体" w:hint="default"/>
                <w:w w:val="100"/>
                <w:sz w:val="21"/>
                <w:szCs w:val="21"/>
              </w:rPr>
              <w:t> </w:t>
            </w:r>
            <w:r>
              <w:rPr>
                <w:rFonts w:ascii="宋体" w:hAnsi="宋体" w:cs="宋体" w:eastAsia="宋体" w:hint="default"/>
                <w:sz w:val="21"/>
                <w:szCs w:val="21"/>
              </w:rPr>
              <w:t>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22983.1</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2"/>
          <w:szCs w:val="12"/>
        </w:rPr>
      </w:pPr>
    </w:p>
    <w:p>
      <w:pPr>
        <w:pStyle w:val="Heading7"/>
        <w:spacing w:line="240" w:lineRule="auto" w:before="26"/>
        <w:ind w:left="220" w:right="226"/>
        <w:jc w:val="left"/>
        <w:rPr>
          <w:b w:val="0"/>
          <w:bCs w:val="0"/>
        </w:rPr>
      </w:pPr>
      <w:r>
        <w:rPr>
          <w:rFonts w:ascii="宋体" w:hAnsi="宋体" w:cs="宋体" w:eastAsia="宋体" w:hint="default"/>
        </w:rPr>
        <w:t>3</w:t>
      </w:r>
      <w:r>
        <w:rPr/>
        <w:t>、软件著作权</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220" w:right="226" w:firstLine="479"/>
        <w:jc w:val="left"/>
      </w:pPr>
      <w:r>
        <w:rPr>
          <w:spacing w:val="-3"/>
        </w:rPr>
        <w:t>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日，公司获得国家版权局计算机软件著作权登记</w:t>
      </w:r>
      <w:r>
        <w:rPr>
          <w:rFonts w:ascii="宋体" w:hAnsi="宋体" w:cs="宋体" w:eastAsia="宋体" w:hint="default"/>
          <w:spacing w:val="-3"/>
        </w:rPr>
        <w:t>58</w:t>
      </w:r>
      <w:r>
        <w:rPr>
          <w:spacing w:val="-3"/>
        </w:rPr>
        <w:t>项，其</w:t>
      </w:r>
      <w:r>
        <w:rPr/>
        <w:t> 中报告期内新增</w:t>
      </w:r>
      <w:r>
        <w:rPr>
          <w:rFonts w:ascii="宋体" w:hAnsi="宋体" w:cs="宋体" w:eastAsia="宋体" w:hint="default"/>
        </w:rPr>
        <w:t>14</w:t>
      </w:r>
      <w:r>
        <w:rPr/>
        <w:t>个如下表：</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96"/>
        <w:gridCol w:w="1779"/>
        <w:gridCol w:w="1085"/>
        <w:gridCol w:w="1740"/>
        <w:gridCol w:w="1825"/>
        <w:gridCol w:w="888"/>
        <w:gridCol w:w="826"/>
      </w:tblGrid>
      <w:tr>
        <w:trPr>
          <w:trHeight w:val="1258"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86" w:right="86"/>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tabs>
                <w:tab w:pos="988" w:val="left" w:leader="none"/>
              </w:tabs>
              <w:spacing w:line="240" w:lineRule="auto"/>
              <w:ind w:left="566" w:right="0"/>
              <w:jc w:val="left"/>
              <w:rPr>
                <w:rFonts w:ascii="宋体" w:hAnsi="宋体" w:cs="宋体" w:eastAsia="宋体" w:hint="default"/>
                <w:sz w:val="21"/>
                <w:szCs w:val="21"/>
              </w:rPr>
            </w:pPr>
            <w:r>
              <w:rPr>
                <w:rFonts w:ascii="宋体" w:hAnsi="宋体" w:cs="宋体" w:eastAsia="宋体" w:hint="default"/>
                <w:b/>
                <w:bCs/>
                <w:sz w:val="21"/>
                <w:szCs w:val="21"/>
              </w:rPr>
              <w:t>名</w:t>
              <w:tab/>
              <w:t>称</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发证机关</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333" w:right="120" w:hanging="212"/>
              <w:jc w:val="left"/>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302" w:right="195" w:hanging="106"/>
              <w:jc w:val="left"/>
              <w:rPr>
                <w:rFonts w:ascii="宋体" w:hAnsi="宋体" w:cs="宋体" w:eastAsia="宋体" w:hint="default"/>
                <w:sz w:val="21"/>
                <w:szCs w:val="21"/>
              </w:rPr>
            </w:pPr>
            <w:r>
              <w:rPr>
                <w:rFonts w:ascii="宋体" w:hAnsi="宋体" w:cs="宋体" w:eastAsia="宋体" w:hint="default"/>
                <w:b/>
                <w:bCs/>
                <w:sz w:val="21"/>
                <w:szCs w:val="21"/>
              </w:rPr>
              <w:t>权利</w:t>
            </w:r>
            <w:r>
              <w:rPr>
                <w:rFonts w:ascii="宋体" w:hAnsi="宋体" w:cs="宋体" w:eastAsia="宋体" w:hint="default"/>
                <w:b/>
                <w:bCs/>
                <w:w w:val="100"/>
                <w:sz w:val="21"/>
                <w:szCs w:val="21"/>
              </w:rPr>
              <w:t> </w:t>
            </w:r>
            <w:r>
              <w:rPr>
                <w:rFonts w:ascii="宋体" w:hAnsi="宋体" w:cs="宋体" w:eastAsia="宋体" w:hint="default"/>
                <w:b/>
                <w:bCs/>
                <w:sz w:val="21"/>
                <w:szCs w:val="21"/>
              </w:rPr>
              <w:t>人</w:t>
            </w:r>
            <w:r>
              <w:rPr>
                <w:rFonts w:ascii="宋体" w:hAnsi="宋体" w:cs="宋体" w:eastAsia="宋体" w:hint="default"/>
                <w:sz w:val="21"/>
                <w:szCs w:val="21"/>
              </w:rPr>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63" w:right="164"/>
              <w:jc w:val="both"/>
              <w:rPr>
                <w:rFonts w:ascii="宋体" w:hAnsi="宋体" w:cs="宋体" w:eastAsia="宋体" w:hint="default"/>
                <w:sz w:val="24"/>
                <w:szCs w:val="24"/>
              </w:rPr>
            </w:pPr>
            <w:r>
              <w:rPr>
                <w:rFonts w:ascii="宋体" w:hAnsi="宋体" w:cs="宋体" w:eastAsia="宋体" w:hint="default"/>
                <w:sz w:val="24"/>
                <w:szCs w:val="24"/>
              </w:rPr>
              <w:t>面向物联网的 第三方交易平 台系统</w:t>
            </w:r>
            <w:r>
              <w:rPr>
                <w:rFonts w:ascii="宋体" w:hAnsi="宋体" w:cs="宋体" w:eastAsia="宋体" w:hint="default"/>
                <w:spacing w:val="-60"/>
                <w:sz w:val="24"/>
                <w:szCs w:val="24"/>
              </w:rPr>
              <w:t> </w:t>
            </w:r>
            <w:r>
              <w:rPr>
                <w:rFonts w:ascii="宋体" w:hAnsi="宋体" w:cs="宋体" w:eastAsia="宋体" w:hint="default"/>
                <w:sz w:val="24"/>
                <w:szCs w:val="24"/>
              </w:rPr>
              <w:t>V2.6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0297120</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端通用软件 </w:t>
            </w:r>
            <w:r>
              <w:rPr>
                <w:rFonts w:ascii="宋体" w:hAnsi="宋体" w:cs="宋体" w:eastAsia="宋体" w:hint="default"/>
                <w:sz w:val="24"/>
                <w:szCs w:val="24"/>
              </w:rPr>
              <w:t>V1.10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0346271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bl>
    <w:p>
      <w:pPr>
        <w:spacing w:after="0" w:line="357" w:lineRule="auto"/>
        <w:jc w:val="both"/>
        <w:rPr>
          <w:rFonts w:ascii="宋体" w:hAnsi="宋体" w:cs="宋体" w:eastAsia="宋体" w:hint="default"/>
          <w:sz w:val="24"/>
          <w:szCs w:val="24"/>
        </w:rPr>
        <w:sectPr>
          <w:pgSz w:w="11910" w:h="16840"/>
          <w:pgMar w:header="0" w:footer="1175" w:top="1340" w:bottom="1380" w:left="1580" w:right="156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6"/>
        <w:gridCol w:w="1779"/>
        <w:gridCol w:w="1085"/>
        <w:gridCol w:w="1740"/>
        <w:gridCol w:w="1825"/>
        <w:gridCol w:w="888"/>
        <w:gridCol w:w="826"/>
      </w:tblGrid>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端通用软件 </w:t>
            </w:r>
            <w:r>
              <w:rPr>
                <w:rFonts w:ascii="宋体" w:hAnsi="宋体" w:cs="宋体" w:eastAsia="宋体" w:hint="default"/>
                <w:sz w:val="24"/>
                <w:szCs w:val="24"/>
              </w:rPr>
              <w:t>V1.20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0346261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端通用软件 </w:t>
            </w:r>
            <w:r>
              <w:rPr>
                <w:rFonts w:ascii="宋体" w:hAnsi="宋体" w:cs="宋体" w:eastAsia="宋体" w:hint="default"/>
                <w:sz w:val="24"/>
                <w:szCs w:val="24"/>
              </w:rPr>
              <w:t>V1.30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0346263</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端通用软件 </w:t>
            </w:r>
            <w:r>
              <w:rPr>
                <w:rFonts w:ascii="宋体" w:hAnsi="宋体" w:cs="宋体" w:eastAsia="宋体" w:hint="default"/>
                <w:sz w:val="24"/>
                <w:szCs w:val="24"/>
              </w:rPr>
              <w:t>V1.40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0346259</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端通用软件 </w:t>
            </w:r>
            <w:r>
              <w:rPr>
                <w:rFonts w:ascii="宋体" w:hAnsi="宋体" w:cs="宋体" w:eastAsia="宋体" w:hint="default"/>
                <w:sz w:val="24"/>
                <w:szCs w:val="24"/>
              </w:rPr>
              <w:t>V1.50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0346265</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端基础软件 </w:t>
            </w:r>
            <w:r>
              <w:rPr>
                <w:rFonts w:ascii="宋体" w:hAnsi="宋体" w:cs="宋体" w:eastAsia="宋体" w:hint="default"/>
                <w:sz w:val="24"/>
                <w:szCs w:val="24"/>
              </w:rPr>
              <w:t>V2.01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0346256</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7"/>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端专用软件 </w:t>
            </w:r>
            <w:r>
              <w:rPr>
                <w:rFonts w:ascii="宋体" w:hAnsi="宋体" w:cs="宋体" w:eastAsia="宋体" w:hint="default"/>
                <w:sz w:val="24"/>
                <w:szCs w:val="24"/>
              </w:rPr>
              <w:t>V3.0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0346268</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7"/>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w w:val="100"/>
                <w:sz w:val="21"/>
              </w:rPr>
              <w:t>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终 端专用软件 </w:t>
            </w:r>
            <w:r>
              <w:rPr>
                <w:rFonts w:ascii="宋体" w:hAnsi="宋体" w:cs="宋体" w:eastAsia="宋体" w:hint="default"/>
                <w:sz w:val="24"/>
                <w:szCs w:val="24"/>
              </w:rPr>
              <w:t>V4.0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0346253</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7" w:right="166"/>
              <w:jc w:val="both"/>
              <w:rPr>
                <w:rFonts w:ascii="宋体" w:hAnsi="宋体" w:cs="宋体" w:eastAsia="宋体" w:hint="default"/>
                <w:sz w:val="24"/>
                <w:szCs w:val="24"/>
              </w:rPr>
            </w:pPr>
            <w:r>
              <w:rPr>
                <w:rFonts w:ascii="宋体" w:hAnsi="宋体" w:cs="宋体" w:eastAsia="宋体" w:hint="default"/>
                <w:sz w:val="24"/>
                <w:szCs w:val="24"/>
              </w:rPr>
              <w:t>新国 都股 份</w:t>
            </w:r>
          </w:p>
        </w:tc>
      </w:tr>
    </w:tbl>
    <w:p>
      <w:pPr>
        <w:spacing w:after="0" w:line="357" w:lineRule="auto"/>
        <w:jc w:val="both"/>
        <w:rPr>
          <w:rFonts w:ascii="宋体" w:hAnsi="宋体" w:cs="宋体" w:eastAsia="宋体" w:hint="default"/>
          <w:sz w:val="24"/>
          <w:szCs w:val="24"/>
        </w:rPr>
        <w:sectPr>
          <w:pgSz w:w="11910" w:h="16840"/>
          <w:pgMar w:header="0" w:footer="1175" w:top="1340" w:bottom="1360" w:left="1580" w:right="156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6"/>
        <w:gridCol w:w="1779"/>
        <w:gridCol w:w="1085"/>
        <w:gridCol w:w="1740"/>
        <w:gridCol w:w="1825"/>
        <w:gridCol w:w="888"/>
        <w:gridCol w:w="826"/>
      </w:tblGrid>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z w:val="21"/>
              </w:rPr>
              <w:t>10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3" w:right="134" w:hanging="29"/>
              <w:jc w:val="both"/>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K301FZ </w:t>
            </w:r>
            <w:r>
              <w:rPr>
                <w:rFonts w:ascii="宋体" w:hAnsi="宋体" w:cs="宋体" w:eastAsia="宋体" w:hint="default"/>
                <w:sz w:val="24"/>
                <w:szCs w:val="24"/>
              </w:rPr>
              <w:t>金融</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标准 程序邮储专用 版软件</w:t>
            </w:r>
            <w:r>
              <w:rPr>
                <w:rFonts w:ascii="宋体" w:hAnsi="宋体" w:cs="宋体" w:eastAsia="宋体" w:hint="default"/>
                <w:spacing w:val="-60"/>
                <w:sz w:val="24"/>
                <w:szCs w:val="24"/>
              </w:rPr>
              <w:t> </w:t>
            </w:r>
            <w:r>
              <w:rPr>
                <w:rFonts w:ascii="宋体" w:hAnsi="宋体" w:cs="宋体" w:eastAsia="宋体" w:hint="default"/>
                <w:sz w:val="24"/>
                <w:szCs w:val="24"/>
              </w:rPr>
              <w:t>V2.0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0264937</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167" w:right="166"/>
              <w:jc w:val="left"/>
              <w:rPr>
                <w:rFonts w:ascii="宋体" w:hAnsi="宋体" w:cs="宋体" w:eastAsia="宋体" w:hint="default"/>
                <w:sz w:val="24"/>
                <w:szCs w:val="24"/>
              </w:rPr>
            </w:pPr>
            <w:r>
              <w:rPr>
                <w:rFonts w:ascii="宋体" w:hAnsi="宋体" w:cs="宋体" w:eastAsia="宋体" w:hint="default"/>
                <w:sz w:val="24"/>
                <w:szCs w:val="24"/>
              </w:rPr>
              <w:t>易联 技术</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z w:val="21"/>
              </w:rPr>
              <w:t>11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03" w:right="10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K360</w:t>
            </w:r>
            <w:r>
              <w:rPr>
                <w:rFonts w:ascii="宋体" w:hAnsi="宋体" w:cs="宋体" w:eastAsia="宋体" w:hint="default"/>
                <w:spacing w:val="-60"/>
                <w:sz w:val="24"/>
                <w:szCs w:val="24"/>
              </w:rPr>
              <w:t> </w:t>
            </w:r>
            <w:r>
              <w:rPr>
                <w:rFonts w:ascii="宋体" w:hAnsi="宋体" w:cs="宋体" w:eastAsia="宋体" w:hint="default"/>
                <w:sz w:val="24"/>
                <w:szCs w:val="24"/>
              </w:rPr>
              <w:t>金 融</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应用软 件</w:t>
            </w:r>
            <w:r>
              <w:rPr>
                <w:rFonts w:ascii="宋体" w:hAnsi="宋体" w:cs="宋体" w:eastAsia="宋体" w:hint="default"/>
                <w:spacing w:val="-60"/>
                <w:sz w:val="24"/>
                <w:szCs w:val="24"/>
              </w:rPr>
              <w:t> </w:t>
            </w:r>
            <w:r>
              <w:rPr>
                <w:rFonts w:ascii="宋体" w:hAnsi="宋体" w:cs="宋体" w:eastAsia="宋体" w:hint="default"/>
                <w:sz w:val="24"/>
                <w:szCs w:val="24"/>
              </w:rPr>
              <w:t>V2.0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0264938</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167" w:right="166"/>
              <w:jc w:val="left"/>
              <w:rPr>
                <w:rFonts w:ascii="宋体" w:hAnsi="宋体" w:cs="宋体" w:eastAsia="宋体" w:hint="default"/>
                <w:sz w:val="24"/>
                <w:szCs w:val="24"/>
              </w:rPr>
            </w:pPr>
            <w:r>
              <w:rPr>
                <w:rFonts w:ascii="宋体" w:hAnsi="宋体" w:cs="宋体" w:eastAsia="宋体" w:hint="default"/>
                <w:sz w:val="24"/>
                <w:szCs w:val="24"/>
              </w:rPr>
              <w:t>易联 技术</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z w:val="21"/>
              </w:rPr>
              <w:t>12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03" w:right="10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K350</w:t>
            </w:r>
            <w:r>
              <w:rPr>
                <w:rFonts w:ascii="宋体" w:hAnsi="宋体" w:cs="宋体" w:eastAsia="宋体" w:hint="default"/>
                <w:spacing w:val="-60"/>
                <w:sz w:val="24"/>
                <w:szCs w:val="24"/>
              </w:rPr>
              <w:t> </w:t>
            </w:r>
            <w:r>
              <w:rPr>
                <w:rFonts w:ascii="宋体" w:hAnsi="宋体" w:cs="宋体" w:eastAsia="宋体" w:hint="default"/>
                <w:sz w:val="24"/>
                <w:szCs w:val="24"/>
              </w:rPr>
              <w:t>金 融</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标准程 序邮储专用版 软件</w:t>
            </w:r>
            <w:r>
              <w:rPr>
                <w:rFonts w:ascii="宋体" w:hAnsi="宋体" w:cs="宋体" w:eastAsia="宋体" w:hint="default"/>
                <w:spacing w:val="-60"/>
                <w:sz w:val="24"/>
                <w:szCs w:val="24"/>
              </w:rPr>
              <w:t> </w:t>
            </w:r>
            <w:r>
              <w:rPr>
                <w:rFonts w:ascii="宋体" w:hAnsi="宋体" w:cs="宋体" w:eastAsia="宋体" w:hint="default"/>
                <w:sz w:val="24"/>
                <w:szCs w:val="24"/>
              </w:rPr>
              <w:t>V2.0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0266627</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167" w:right="166"/>
              <w:jc w:val="left"/>
              <w:rPr>
                <w:rFonts w:ascii="宋体" w:hAnsi="宋体" w:cs="宋体" w:eastAsia="宋体" w:hint="default"/>
                <w:sz w:val="24"/>
                <w:szCs w:val="24"/>
              </w:rPr>
            </w:pPr>
            <w:r>
              <w:rPr>
                <w:rFonts w:ascii="宋体" w:hAnsi="宋体" w:cs="宋体" w:eastAsia="宋体" w:hint="default"/>
                <w:sz w:val="24"/>
                <w:szCs w:val="24"/>
              </w:rPr>
              <w:t>易联 技术</w:t>
            </w:r>
          </w:p>
        </w:tc>
      </w:tr>
      <w:tr>
        <w:trPr>
          <w:trHeight w:val="188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z w:val="21"/>
              </w:rPr>
              <w:t>13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57" w:lineRule="auto"/>
              <w:ind w:left="163" w:right="164" w:firstLine="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K501A </w:t>
            </w:r>
            <w:r>
              <w:rPr>
                <w:rFonts w:ascii="宋体" w:hAnsi="宋体" w:cs="宋体" w:eastAsia="宋体" w:hint="default"/>
                <w:sz w:val="24"/>
                <w:szCs w:val="24"/>
              </w:rPr>
              <w:t>电话</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应用 软件</w:t>
            </w:r>
            <w:r>
              <w:rPr>
                <w:rFonts w:ascii="宋体" w:hAnsi="宋体" w:cs="宋体" w:eastAsia="宋体" w:hint="default"/>
                <w:spacing w:val="-60"/>
                <w:sz w:val="24"/>
                <w:szCs w:val="24"/>
              </w:rPr>
              <w:t> </w:t>
            </w:r>
            <w:r>
              <w:rPr>
                <w:rFonts w:ascii="宋体" w:hAnsi="宋体" w:cs="宋体" w:eastAsia="宋体" w:hint="default"/>
                <w:sz w:val="24"/>
                <w:szCs w:val="24"/>
              </w:rPr>
              <w:t>V2.0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57" w:lineRule="auto"/>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0266651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57" w:lineRule="auto"/>
              <w:ind w:left="167" w:right="166"/>
              <w:jc w:val="left"/>
              <w:rPr>
                <w:rFonts w:ascii="宋体" w:hAnsi="宋体" w:cs="宋体" w:eastAsia="宋体" w:hint="default"/>
                <w:sz w:val="24"/>
                <w:szCs w:val="24"/>
              </w:rPr>
            </w:pPr>
            <w:r>
              <w:rPr>
                <w:rFonts w:ascii="宋体" w:hAnsi="宋体" w:cs="宋体" w:eastAsia="宋体" w:hint="default"/>
                <w:sz w:val="24"/>
                <w:szCs w:val="24"/>
              </w:rPr>
              <w:t>易联 技术</w:t>
            </w:r>
          </w:p>
        </w:tc>
      </w:tr>
      <w:tr>
        <w:trPr>
          <w:trHeight w:val="188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z w:val="21"/>
              </w:rPr>
              <w:t>14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57" w:lineRule="auto"/>
              <w:ind w:left="103" w:right="10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K350</w:t>
            </w:r>
            <w:r>
              <w:rPr>
                <w:rFonts w:ascii="宋体" w:hAnsi="宋体" w:cs="宋体" w:eastAsia="宋体" w:hint="default"/>
                <w:spacing w:val="-60"/>
                <w:sz w:val="24"/>
                <w:szCs w:val="24"/>
              </w:rPr>
              <w:t> </w:t>
            </w:r>
            <w:r>
              <w:rPr>
                <w:rFonts w:ascii="宋体" w:hAnsi="宋体" w:cs="宋体" w:eastAsia="宋体" w:hint="default"/>
                <w:sz w:val="24"/>
                <w:szCs w:val="24"/>
              </w:rPr>
              <w:t>金 融</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应用软 件</w:t>
            </w:r>
            <w:r>
              <w:rPr>
                <w:rFonts w:ascii="宋体" w:hAnsi="宋体" w:cs="宋体" w:eastAsia="宋体" w:hint="default"/>
                <w:spacing w:val="-60"/>
                <w:sz w:val="24"/>
                <w:szCs w:val="24"/>
              </w:rPr>
              <w:t> </w:t>
            </w:r>
            <w:r>
              <w:rPr>
                <w:rFonts w:ascii="宋体" w:hAnsi="宋体" w:cs="宋体" w:eastAsia="宋体" w:hint="default"/>
                <w:sz w:val="24"/>
                <w:szCs w:val="24"/>
              </w:rPr>
              <w:t>V2.0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295" w:right="264" w:hanging="32"/>
              <w:jc w:val="left"/>
              <w:rPr>
                <w:rFonts w:ascii="宋体" w:hAnsi="宋体" w:cs="宋体" w:eastAsia="宋体" w:hint="default"/>
                <w:sz w:val="24"/>
                <w:szCs w:val="24"/>
              </w:rPr>
            </w:pPr>
            <w:r>
              <w:rPr>
                <w:rFonts w:ascii="宋体" w:hAnsi="宋体" w:cs="宋体" w:eastAsia="宋体" w:hint="default"/>
                <w:sz w:val="24"/>
                <w:szCs w:val="24"/>
              </w:rPr>
              <w:t>软著登字第 </w:t>
            </w:r>
            <w:r>
              <w:rPr>
                <w:rFonts w:ascii="宋体" w:hAnsi="宋体" w:cs="宋体" w:eastAsia="宋体" w:hint="default"/>
                <w:sz w:val="24"/>
                <w:szCs w:val="24"/>
              </w:rPr>
              <w:t>0266836</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7"/>
              <w:ind w:left="307" w:right="0"/>
              <w:jc w:val="left"/>
              <w:rPr>
                <w:rFonts w:ascii="宋体" w:hAnsi="宋体" w:cs="宋体" w:eastAsia="宋体" w:hint="default"/>
                <w:sz w:val="24"/>
                <w:szCs w:val="24"/>
              </w:rPr>
            </w:pPr>
            <w:r>
              <w:rPr>
                <w:rFonts w:ascii="宋体" w:hAnsi="宋体" w:cs="宋体" w:eastAsia="宋体" w:hint="default"/>
                <w:sz w:val="24"/>
                <w:szCs w:val="24"/>
              </w:rPr>
              <w:t>国家版权局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8" w:right="168" w:firstLine="31"/>
              <w:jc w:val="both"/>
              <w:rPr>
                <w:rFonts w:ascii="宋体" w:hAnsi="宋体" w:cs="宋体" w:eastAsia="宋体" w:hint="default"/>
                <w:sz w:val="24"/>
                <w:szCs w:val="24"/>
              </w:rPr>
            </w:pPr>
            <w:r>
              <w:rPr>
                <w:rFonts w:ascii="宋体" w:hAnsi="宋体" w:cs="宋体" w:eastAsia="宋体" w:hint="default"/>
                <w:sz w:val="24"/>
                <w:szCs w:val="24"/>
              </w:rPr>
              <w:t>首次 发表 后</w:t>
            </w:r>
            <w:r>
              <w:rPr>
                <w:rFonts w:ascii="宋体" w:hAnsi="宋体" w:cs="宋体" w:eastAsia="宋体" w:hint="default"/>
                <w:spacing w:val="-60"/>
                <w:sz w:val="24"/>
                <w:szCs w:val="24"/>
              </w:rPr>
              <w:t> </w:t>
            </w:r>
            <w:r>
              <w:rPr>
                <w:rFonts w:ascii="宋体" w:hAnsi="宋体" w:cs="宋体" w:eastAsia="宋体" w:hint="default"/>
                <w:sz w:val="24"/>
                <w:szCs w:val="24"/>
              </w:rPr>
              <w:t>50 </w:t>
            </w:r>
            <w:r>
              <w:rPr>
                <w:rFonts w:ascii="宋体" w:hAnsi="宋体" w:cs="宋体" w:eastAsia="宋体" w:hint="default"/>
                <w:sz w:val="24"/>
                <w:szCs w:val="24"/>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7" w:lineRule="auto"/>
              <w:ind w:left="167" w:right="166"/>
              <w:jc w:val="left"/>
              <w:rPr>
                <w:rFonts w:ascii="宋体" w:hAnsi="宋体" w:cs="宋体" w:eastAsia="宋体" w:hint="default"/>
                <w:sz w:val="24"/>
                <w:szCs w:val="24"/>
              </w:rPr>
            </w:pPr>
            <w:r>
              <w:rPr>
                <w:rFonts w:ascii="宋体" w:hAnsi="宋体" w:cs="宋体" w:eastAsia="宋体" w:hint="default"/>
                <w:sz w:val="24"/>
                <w:szCs w:val="24"/>
              </w:rPr>
              <w:t>易联 技术</w:t>
            </w:r>
          </w:p>
        </w:tc>
      </w:tr>
    </w:tbl>
    <w:p>
      <w:pPr>
        <w:spacing w:line="240" w:lineRule="auto" w:before="8"/>
        <w:rPr>
          <w:rFonts w:ascii="Times New Roman" w:hAnsi="Times New Roman" w:cs="Times New Roman" w:eastAsia="Times New Roman" w:hint="default"/>
          <w:sz w:val="14"/>
          <w:szCs w:val="14"/>
        </w:rPr>
      </w:pPr>
    </w:p>
    <w:p>
      <w:pPr>
        <w:pStyle w:val="Heading7"/>
        <w:spacing w:line="240" w:lineRule="auto" w:before="26"/>
        <w:ind w:left="220" w:right="226"/>
        <w:jc w:val="left"/>
        <w:rPr>
          <w:b w:val="0"/>
          <w:bCs w:val="0"/>
        </w:rPr>
      </w:pPr>
      <w:r>
        <w:rPr>
          <w:rFonts w:ascii="宋体" w:hAnsi="宋体" w:cs="宋体" w:eastAsia="宋体" w:hint="default"/>
        </w:rPr>
        <w:t>4</w:t>
      </w:r>
      <w:r>
        <w:rPr/>
        <w:t>、软件产品证书</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700" w:right="102"/>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日，公司及子公司获得软件产品证书共计</w:t>
      </w:r>
      <w:r>
        <w:rPr>
          <w:spacing w:val="-59"/>
        </w:rPr>
        <w:t> </w:t>
      </w:r>
      <w:r>
        <w:rPr>
          <w:rFonts w:ascii="宋体" w:hAnsi="宋体" w:cs="宋体" w:eastAsia="宋体" w:hint="default"/>
        </w:rPr>
        <w:t>40</w:t>
      </w:r>
      <w:r>
        <w:rPr>
          <w:rFonts w:ascii="宋体" w:hAnsi="宋体" w:cs="宋体" w:eastAsia="宋体" w:hint="default"/>
          <w:spacing w:val="-60"/>
        </w:rPr>
        <w:t> </w:t>
      </w:r>
      <w:r>
        <w:rPr>
          <w:spacing w:val="-12"/>
        </w:rPr>
        <w:t>个，其中</w:t>
      </w:r>
    </w:p>
    <w:p>
      <w:pPr>
        <w:pStyle w:val="BodyText"/>
        <w:spacing w:line="240" w:lineRule="auto" w:before="154"/>
        <w:ind w:left="220" w:right="226"/>
        <w:jc w:val="left"/>
      </w:pPr>
      <w:r>
        <w:rPr/>
        <w:t>报告期内新增</w:t>
      </w:r>
      <w:r>
        <w:rPr>
          <w:spacing w:val="-60"/>
        </w:rPr>
        <w:t> </w:t>
      </w:r>
      <w:r>
        <w:rPr>
          <w:rFonts w:ascii="宋体" w:hAnsi="宋体" w:cs="宋体" w:eastAsia="宋体" w:hint="default"/>
        </w:rPr>
        <w:t>3</w:t>
      </w:r>
      <w:r>
        <w:rPr>
          <w:rFonts w:ascii="宋体" w:hAnsi="宋体" w:cs="宋体" w:eastAsia="宋体" w:hint="default"/>
          <w:spacing w:val="-60"/>
        </w:rPr>
        <w:t> </w:t>
      </w:r>
      <w:r>
        <w:rPr/>
        <w:t>个如下表：</w:t>
      </w:r>
    </w:p>
    <w:p>
      <w:pPr>
        <w:spacing w:line="240" w:lineRule="auto" w:before="8"/>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89"/>
        <w:gridCol w:w="1774"/>
        <w:gridCol w:w="1075"/>
        <w:gridCol w:w="1776"/>
        <w:gridCol w:w="1820"/>
        <w:gridCol w:w="883"/>
        <w:gridCol w:w="821"/>
      </w:tblGrid>
      <w:tr>
        <w:trPr>
          <w:trHeight w:val="1258" w:hRule="exact"/>
        </w:trPr>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81" w:right="84"/>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b/>
                <w:bCs/>
                <w:sz w:val="21"/>
                <w:szCs w:val="21"/>
              </w:rPr>
              <w:t>软件产品名称</w:t>
            </w:r>
            <w:r>
              <w:rPr>
                <w:rFonts w:ascii="宋体" w:hAnsi="宋体" w:cs="宋体" w:eastAsia="宋体" w:hint="default"/>
                <w:sz w:val="21"/>
                <w:szCs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b/>
                <w:bCs/>
                <w:sz w:val="21"/>
                <w:szCs w:val="21"/>
              </w:rPr>
              <w:t>发证机关</w:t>
            </w:r>
            <w:r>
              <w:rPr>
                <w:rFonts w:ascii="宋体" w:hAnsi="宋体" w:cs="宋体" w:eastAsia="宋体" w:hint="default"/>
                <w:sz w:val="21"/>
                <w:szCs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331" w:right="119" w:hanging="212"/>
              <w:jc w:val="left"/>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299" w:right="192" w:hanging="106"/>
              <w:jc w:val="left"/>
              <w:rPr>
                <w:rFonts w:ascii="宋体" w:hAnsi="宋体" w:cs="宋体" w:eastAsia="宋体" w:hint="default"/>
                <w:sz w:val="21"/>
                <w:szCs w:val="21"/>
              </w:rPr>
            </w:pPr>
            <w:r>
              <w:rPr>
                <w:rFonts w:ascii="宋体" w:hAnsi="宋体" w:cs="宋体" w:eastAsia="宋体" w:hint="default"/>
                <w:b/>
                <w:bCs/>
                <w:sz w:val="21"/>
                <w:szCs w:val="21"/>
              </w:rPr>
              <w:t>权利</w:t>
            </w:r>
            <w:r>
              <w:rPr>
                <w:rFonts w:ascii="宋体" w:hAnsi="宋体" w:cs="宋体" w:eastAsia="宋体" w:hint="default"/>
                <w:b/>
                <w:bCs/>
                <w:w w:val="100"/>
                <w:sz w:val="21"/>
                <w:szCs w:val="21"/>
              </w:rPr>
              <w:t> </w:t>
            </w:r>
            <w:r>
              <w:rPr>
                <w:rFonts w:ascii="宋体" w:hAnsi="宋体" w:cs="宋体" w:eastAsia="宋体" w:hint="default"/>
                <w:b/>
                <w:bCs/>
                <w:sz w:val="21"/>
                <w:szCs w:val="21"/>
              </w:rPr>
              <w:t>人</w:t>
            </w:r>
            <w:r>
              <w:rPr>
                <w:rFonts w:ascii="宋体" w:hAnsi="宋体" w:cs="宋体" w:eastAsia="宋体" w:hint="default"/>
                <w:sz w:val="21"/>
                <w:szCs w:val="21"/>
              </w:rPr>
            </w:r>
          </w:p>
        </w:tc>
      </w:tr>
      <w:tr>
        <w:trPr>
          <w:trHeight w:val="1414" w:hRule="exact"/>
        </w:trPr>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w w:val="100"/>
                <w:sz w:val="21"/>
              </w:rPr>
              <w:t>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0" w:right="130" w:hanging="29"/>
              <w:jc w:val="both"/>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0"/>
                <w:sz w:val="24"/>
                <w:szCs w:val="24"/>
              </w:rPr>
              <w:t> </w:t>
            </w:r>
            <w:r>
              <w:rPr>
                <w:rFonts w:ascii="宋体" w:hAnsi="宋体" w:cs="宋体" w:eastAsia="宋体" w:hint="default"/>
                <w:sz w:val="24"/>
                <w:szCs w:val="24"/>
              </w:rPr>
              <w:t>K301FZ </w:t>
            </w:r>
            <w:r>
              <w:rPr>
                <w:rFonts w:ascii="宋体" w:hAnsi="宋体" w:cs="宋体" w:eastAsia="宋体" w:hint="default"/>
                <w:sz w:val="24"/>
                <w:szCs w:val="24"/>
              </w:rPr>
              <w:t>银行卡</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 用软件</w:t>
            </w:r>
            <w:r>
              <w:rPr>
                <w:rFonts w:ascii="宋体" w:hAnsi="宋体" w:cs="宋体" w:eastAsia="宋体" w:hint="default"/>
                <w:spacing w:val="-60"/>
                <w:sz w:val="24"/>
                <w:szCs w:val="24"/>
              </w:rPr>
              <w:t> </w:t>
            </w:r>
            <w:r>
              <w:rPr>
                <w:rFonts w:ascii="宋体" w:hAnsi="宋体" w:cs="宋体" w:eastAsia="宋体" w:hint="default"/>
                <w:sz w:val="24"/>
                <w:szCs w:val="24"/>
              </w:rPr>
              <w:t>V3.0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苏</w:t>
            </w:r>
          </w:p>
          <w:p>
            <w:pPr>
              <w:pStyle w:val="TableParagraph"/>
              <w:spacing w:line="240" w:lineRule="auto" w:before="154"/>
              <w:ind w:right="0"/>
              <w:jc w:val="center"/>
              <w:rPr>
                <w:rFonts w:ascii="宋体" w:hAnsi="宋体" w:cs="宋体" w:eastAsia="宋体" w:hint="default"/>
                <w:sz w:val="24"/>
                <w:szCs w:val="24"/>
              </w:rPr>
            </w:pPr>
            <w:r>
              <w:rPr>
                <w:rFonts w:ascii="宋体"/>
                <w:sz w:val="24"/>
              </w:rPr>
              <w:t>DGY-2011-0272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304" w:right="183" w:hanging="120"/>
              <w:jc w:val="left"/>
              <w:rPr>
                <w:rFonts w:ascii="宋体" w:hAnsi="宋体" w:cs="宋体" w:eastAsia="宋体" w:hint="default"/>
                <w:sz w:val="24"/>
                <w:szCs w:val="24"/>
              </w:rPr>
            </w:pPr>
            <w:r>
              <w:rPr>
                <w:rFonts w:ascii="宋体" w:hAnsi="宋体" w:cs="宋体" w:eastAsia="宋体" w:hint="default"/>
                <w:sz w:val="24"/>
                <w:szCs w:val="24"/>
              </w:rPr>
              <w:t>江苏经济和信 息化委员会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南</w:t>
            </w:r>
            <w:r>
              <w:rPr>
                <w:rFonts w:ascii="宋体" w:hAnsi="宋体" w:cs="宋体" w:eastAsia="宋体" w:hint="default"/>
                <w:spacing w:val="4"/>
                <w:sz w:val="24"/>
                <w:szCs w:val="24"/>
              </w:rPr>
              <w:t> </w:t>
            </w:r>
            <w:r>
              <w:rPr>
                <w:rFonts w:ascii="宋体" w:hAnsi="宋体" w:cs="宋体" w:eastAsia="宋体" w:hint="default"/>
                <w:sz w:val="24"/>
                <w:szCs w:val="24"/>
              </w:rPr>
              <w:t>京</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新</w:t>
            </w:r>
            <w:r>
              <w:rPr>
                <w:rFonts w:ascii="宋体" w:hAnsi="宋体" w:cs="宋体" w:eastAsia="宋体" w:hint="default"/>
                <w:spacing w:val="4"/>
                <w:sz w:val="24"/>
                <w:szCs w:val="24"/>
              </w:rPr>
              <w:t> </w:t>
            </w:r>
            <w:r>
              <w:rPr>
                <w:rFonts w:ascii="宋体" w:hAnsi="宋体" w:cs="宋体" w:eastAsia="宋体" w:hint="default"/>
                <w:sz w:val="24"/>
                <w:szCs w:val="24"/>
              </w:rPr>
              <w:t>国</w:t>
            </w:r>
            <w:r>
              <w:rPr>
                <w:rFonts w:ascii="宋体" w:hAnsi="宋体" w:cs="宋体" w:eastAsia="宋体" w:hint="default"/>
                <w:sz w:val="24"/>
                <w:szCs w:val="24"/>
              </w:rPr>
              <w:t> 都</w:t>
            </w:r>
          </w:p>
        </w:tc>
      </w:tr>
    </w:tbl>
    <w:p>
      <w:pPr>
        <w:spacing w:after="0" w:line="312" w:lineRule="exact"/>
        <w:jc w:val="left"/>
        <w:rPr>
          <w:rFonts w:ascii="宋体" w:hAnsi="宋体" w:cs="宋体" w:eastAsia="宋体" w:hint="default"/>
          <w:sz w:val="24"/>
          <w:szCs w:val="24"/>
        </w:rPr>
        <w:sectPr>
          <w:pgSz w:w="11910" w:h="16840"/>
          <w:pgMar w:header="0" w:footer="1175" w:top="1340" w:bottom="1360" w:left="1580" w:right="1560"/>
        </w:sectPr>
      </w:pPr>
    </w:p>
    <w:p>
      <w:pPr>
        <w:spacing w:line="240" w:lineRule="auto" w:before="3"/>
        <w:rPr>
          <w:rFonts w:ascii="宋体" w:hAnsi="宋体" w:cs="宋体" w:eastAsia="宋体" w:hint="default"/>
          <w:sz w:val="6"/>
          <w:szCs w:val="6"/>
        </w:rPr>
      </w:pPr>
    </w:p>
    <w:tbl>
      <w:tblPr>
        <w:tblW w:w="0" w:type="auto"/>
        <w:jc w:val="left"/>
        <w:tblInd w:w="700" w:type="dxa"/>
        <w:tblLayout w:type="fixed"/>
        <w:tblCellMar>
          <w:top w:w="0" w:type="dxa"/>
          <w:left w:w="0" w:type="dxa"/>
          <w:bottom w:w="0" w:type="dxa"/>
          <w:right w:w="0" w:type="dxa"/>
        </w:tblCellMar>
        <w:tblLook w:val="01E0"/>
      </w:tblPr>
      <w:tblGrid>
        <w:gridCol w:w="389"/>
        <w:gridCol w:w="1774"/>
        <w:gridCol w:w="1075"/>
        <w:gridCol w:w="1776"/>
        <w:gridCol w:w="1820"/>
        <w:gridCol w:w="883"/>
        <w:gridCol w:w="821"/>
      </w:tblGrid>
      <w:tr>
        <w:trPr>
          <w:trHeight w:val="1414" w:hRule="exact"/>
        </w:trPr>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w w:val="100"/>
                <w:sz w:val="21"/>
              </w:rPr>
              <w:t>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03" w:right="10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3"/>
                <w:sz w:val="24"/>
                <w:szCs w:val="24"/>
              </w:rPr>
              <w:t> </w:t>
            </w:r>
            <w:r>
              <w:rPr>
                <w:rFonts w:ascii="宋体" w:hAnsi="宋体" w:cs="宋体" w:eastAsia="宋体" w:hint="default"/>
                <w:sz w:val="24"/>
                <w:szCs w:val="24"/>
              </w:rPr>
              <w:t>K320</w:t>
            </w:r>
            <w:r>
              <w:rPr>
                <w:rFonts w:ascii="宋体" w:hAnsi="宋体" w:cs="宋体" w:eastAsia="宋体" w:hint="default"/>
                <w:spacing w:val="-62"/>
                <w:sz w:val="24"/>
                <w:szCs w:val="24"/>
              </w:rPr>
              <w:t> </w:t>
            </w:r>
            <w:r>
              <w:rPr>
                <w:rFonts w:ascii="宋体" w:hAnsi="宋体" w:cs="宋体" w:eastAsia="宋体" w:hint="default"/>
                <w:sz w:val="24"/>
                <w:szCs w:val="24"/>
              </w:rPr>
              <w:t>银 行卡</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应用 软件</w:t>
            </w:r>
            <w:r>
              <w:rPr>
                <w:rFonts w:ascii="宋体" w:hAnsi="宋体" w:cs="宋体" w:eastAsia="宋体" w:hint="default"/>
                <w:spacing w:val="-60"/>
                <w:sz w:val="24"/>
                <w:szCs w:val="24"/>
              </w:rPr>
              <w:t> </w:t>
            </w:r>
            <w:r>
              <w:rPr>
                <w:rFonts w:ascii="宋体" w:hAnsi="宋体" w:cs="宋体" w:eastAsia="宋体" w:hint="default"/>
                <w:sz w:val="24"/>
                <w:szCs w:val="24"/>
              </w:rPr>
              <w:t>V3.0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苏</w:t>
            </w:r>
          </w:p>
          <w:p>
            <w:pPr>
              <w:pStyle w:val="TableParagraph"/>
              <w:spacing w:line="240" w:lineRule="auto" w:before="154"/>
              <w:ind w:right="0"/>
              <w:jc w:val="center"/>
              <w:rPr>
                <w:rFonts w:ascii="宋体" w:hAnsi="宋体" w:cs="宋体" w:eastAsia="宋体" w:hint="default"/>
                <w:sz w:val="24"/>
                <w:szCs w:val="24"/>
              </w:rPr>
            </w:pPr>
            <w:r>
              <w:rPr>
                <w:rFonts w:ascii="宋体"/>
                <w:sz w:val="24"/>
              </w:rPr>
              <w:t>DGY-2011-0273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57" w:lineRule="auto"/>
              <w:ind w:left="304" w:right="183" w:hanging="120"/>
              <w:jc w:val="left"/>
              <w:rPr>
                <w:rFonts w:ascii="宋体" w:hAnsi="宋体" w:cs="宋体" w:eastAsia="宋体" w:hint="default"/>
                <w:sz w:val="24"/>
                <w:szCs w:val="24"/>
              </w:rPr>
            </w:pPr>
            <w:r>
              <w:rPr>
                <w:rFonts w:ascii="宋体" w:hAnsi="宋体" w:cs="宋体" w:eastAsia="宋体" w:hint="default"/>
                <w:sz w:val="24"/>
                <w:szCs w:val="24"/>
              </w:rPr>
              <w:t>江苏经济和信 息化委员会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南</w:t>
            </w:r>
            <w:r>
              <w:rPr>
                <w:rFonts w:ascii="宋体" w:hAnsi="宋体" w:cs="宋体" w:eastAsia="宋体" w:hint="default"/>
                <w:spacing w:val="4"/>
                <w:sz w:val="24"/>
                <w:szCs w:val="24"/>
              </w:rPr>
              <w:t> </w:t>
            </w:r>
            <w:r>
              <w:rPr>
                <w:rFonts w:ascii="宋体" w:hAnsi="宋体" w:cs="宋体" w:eastAsia="宋体" w:hint="default"/>
                <w:sz w:val="24"/>
                <w:szCs w:val="24"/>
              </w:rPr>
              <w:t>京</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新</w:t>
            </w:r>
            <w:r>
              <w:rPr>
                <w:rFonts w:ascii="宋体" w:hAnsi="宋体" w:cs="宋体" w:eastAsia="宋体" w:hint="default"/>
                <w:spacing w:val="4"/>
                <w:sz w:val="24"/>
                <w:szCs w:val="24"/>
              </w:rPr>
              <w:t> </w:t>
            </w:r>
            <w:r>
              <w:rPr>
                <w:rFonts w:ascii="宋体" w:hAnsi="宋体" w:cs="宋体" w:eastAsia="宋体" w:hint="default"/>
                <w:sz w:val="24"/>
                <w:szCs w:val="24"/>
              </w:rPr>
              <w:t>国</w:t>
            </w:r>
            <w:r>
              <w:rPr>
                <w:rFonts w:ascii="宋体" w:hAnsi="宋体" w:cs="宋体" w:eastAsia="宋体" w:hint="default"/>
                <w:sz w:val="24"/>
                <w:szCs w:val="24"/>
              </w:rPr>
              <w:t> 都</w:t>
            </w:r>
          </w:p>
        </w:tc>
      </w:tr>
      <w:tr>
        <w:trPr>
          <w:trHeight w:val="1414" w:hRule="exact"/>
        </w:trPr>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w w:val="100"/>
                <w:sz w:val="21"/>
              </w:rPr>
              <w:t>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03" w:right="103"/>
              <w:jc w:val="center"/>
              <w:rPr>
                <w:rFonts w:ascii="宋体" w:hAnsi="宋体" w:cs="宋体" w:eastAsia="宋体" w:hint="default"/>
                <w:sz w:val="24"/>
                <w:szCs w:val="24"/>
              </w:rPr>
            </w:pPr>
            <w:r>
              <w:rPr>
                <w:rFonts w:ascii="宋体" w:hAnsi="宋体" w:cs="宋体" w:eastAsia="宋体" w:hint="default"/>
                <w:sz w:val="24"/>
                <w:szCs w:val="24"/>
              </w:rPr>
              <w:t>新国都</w:t>
            </w:r>
            <w:r>
              <w:rPr>
                <w:rFonts w:ascii="宋体" w:hAnsi="宋体" w:cs="宋体" w:eastAsia="宋体" w:hint="default"/>
                <w:spacing w:val="-63"/>
                <w:sz w:val="24"/>
                <w:szCs w:val="24"/>
              </w:rPr>
              <w:t> </w:t>
            </w:r>
            <w:r>
              <w:rPr>
                <w:rFonts w:ascii="宋体" w:hAnsi="宋体" w:cs="宋体" w:eastAsia="宋体" w:hint="default"/>
                <w:sz w:val="24"/>
                <w:szCs w:val="24"/>
              </w:rPr>
              <w:t>K350</w:t>
            </w:r>
            <w:r>
              <w:rPr>
                <w:rFonts w:ascii="宋体" w:hAnsi="宋体" w:cs="宋体" w:eastAsia="宋体" w:hint="default"/>
                <w:spacing w:val="-62"/>
                <w:sz w:val="24"/>
                <w:szCs w:val="24"/>
              </w:rPr>
              <w:t> </w:t>
            </w:r>
            <w:r>
              <w:rPr>
                <w:rFonts w:ascii="宋体" w:hAnsi="宋体" w:cs="宋体" w:eastAsia="宋体" w:hint="default"/>
                <w:sz w:val="24"/>
                <w:szCs w:val="24"/>
              </w:rPr>
              <w:t>银 行卡</w:t>
            </w:r>
            <w:r>
              <w:rPr>
                <w:rFonts w:ascii="宋体" w:hAnsi="宋体" w:cs="宋体" w:eastAsia="宋体" w:hint="default"/>
                <w:spacing w:val="-60"/>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应用 软件</w:t>
            </w:r>
            <w:r>
              <w:rPr>
                <w:rFonts w:ascii="宋体" w:hAnsi="宋体" w:cs="宋体" w:eastAsia="宋体" w:hint="default"/>
                <w:spacing w:val="-60"/>
                <w:sz w:val="24"/>
                <w:szCs w:val="24"/>
              </w:rPr>
              <w:t> </w:t>
            </w:r>
            <w:r>
              <w:rPr>
                <w:rFonts w:ascii="宋体" w:hAnsi="宋体" w:cs="宋体" w:eastAsia="宋体" w:hint="default"/>
                <w:sz w:val="24"/>
                <w:szCs w:val="24"/>
              </w:rPr>
              <w:t>V3.0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苏</w:t>
            </w:r>
          </w:p>
          <w:p>
            <w:pPr>
              <w:pStyle w:val="TableParagraph"/>
              <w:spacing w:line="240" w:lineRule="auto" w:before="154"/>
              <w:ind w:right="0"/>
              <w:jc w:val="center"/>
              <w:rPr>
                <w:rFonts w:ascii="宋体" w:hAnsi="宋体" w:cs="宋体" w:eastAsia="宋体" w:hint="default"/>
                <w:sz w:val="24"/>
                <w:szCs w:val="24"/>
              </w:rPr>
            </w:pPr>
            <w:r>
              <w:rPr>
                <w:rFonts w:ascii="宋体"/>
                <w:sz w:val="24"/>
              </w:rPr>
              <w:t>DGY-2011-0274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304" w:right="183" w:hanging="120"/>
              <w:jc w:val="left"/>
              <w:rPr>
                <w:rFonts w:ascii="宋体" w:hAnsi="宋体" w:cs="宋体" w:eastAsia="宋体" w:hint="default"/>
                <w:sz w:val="24"/>
                <w:szCs w:val="24"/>
              </w:rPr>
            </w:pPr>
            <w:r>
              <w:rPr>
                <w:rFonts w:ascii="宋体" w:hAnsi="宋体" w:cs="宋体" w:eastAsia="宋体" w:hint="default"/>
                <w:sz w:val="24"/>
                <w:szCs w:val="24"/>
              </w:rPr>
              <w:t>江苏经济和信 息化委员会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南</w:t>
            </w:r>
            <w:r>
              <w:rPr>
                <w:rFonts w:ascii="宋体" w:hAnsi="宋体" w:cs="宋体" w:eastAsia="宋体" w:hint="default"/>
                <w:spacing w:val="4"/>
                <w:sz w:val="24"/>
                <w:szCs w:val="24"/>
              </w:rPr>
              <w:t> </w:t>
            </w:r>
            <w:r>
              <w:rPr>
                <w:rFonts w:ascii="宋体" w:hAnsi="宋体" w:cs="宋体" w:eastAsia="宋体" w:hint="default"/>
                <w:sz w:val="24"/>
                <w:szCs w:val="24"/>
              </w:rPr>
              <w:t>京</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新</w:t>
            </w:r>
            <w:r>
              <w:rPr>
                <w:rFonts w:ascii="宋体" w:hAnsi="宋体" w:cs="宋体" w:eastAsia="宋体" w:hint="default"/>
                <w:spacing w:val="4"/>
                <w:sz w:val="24"/>
                <w:szCs w:val="24"/>
              </w:rPr>
              <w:t> </w:t>
            </w:r>
            <w:r>
              <w:rPr>
                <w:rFonts w:ascii="宋体" w:hAnsi="宋体" w:cs="宋体" w:eastAsia="宋体" w:hint="default"/>
                <w:sz w:val="24"/>
                <w:szCs w:val="24"/>
              </w:rPr>
              <w:t>国</w:t>
            </w:r>
            <w:r>
              <w:rPr>
                <w:rFonts w:ascii="宋体" w:hAnsi="宋体" w:cs="宋体" w:eastAsia="宋体" w:hint="default"/>
                <w:sz w:val="24"/>
                <w:szCs w:val="24"/>
              </w:rPr>
              <w:t> 都</w:t>
            </w:r>
          </w:p>
        </w:tc>
      </w:tr>
    </w:tbl>
    <w:p>
      <w:pPr>
        <w:spacing w:line="240" w:lineRule="auto" w:before="13"/>
        <w:rPr>
          <w:rFonts w:ascii="宋体" w:hAnsi="宋体" w:cs="宋体" w:eastAsia="宋体" w:hint="default"/>
          <w:sz w:val="12"/>
          <w:szCs w:val="12"/>
        </w:rPr>
      </w:pPr>
    </w:p>
    <w:p>
      <w:pPr>
        <w:pStyle w:val="Heading7"/>
        <w:spacing w:line="240" w:lineRule="auto" w:before="26"/>
        <w:ind w:left="820" w:right="824"/>
        <w:jc w:val="left"/>
        <w:rPr>
          <w:b w:val="0"/>
          <w:bCs w:val="0"/>
        </w:rPr>
      </w:pPr>
      <w:r>
        <w:rPr>
          <w:rFonts w:ascii="宋体" w:hAnsi="宋体" w:cs="宋体" w:eastAsia="宋体" w:hint="default"/>
        </w:rPr>
        <w:t>5</w:t>
      </w:r>
      <w:r>
        <w:rPr/>
        <w:t>、专利</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820" w:right="824" w:firstLine="479"/>
        <w:jc w:val="left"/>
      </w:pPr>
      <w:r>
        <w:rPr/>
        <w:t>报告期内，公司拥有专利共计</w:t>
      </w:r>
      <w:r>
        <w:rPr>
          <w:spacing w:val="-65"/>
        </w:rPr>
        <w:t> </w:t>
      </w:r>
      <w:r>
        <w:rPr>
          <w:rFonts w:ascii="宋体" w:hAnsi="宋体" w:cs="宋体" w:eastAsia="宋体" w:hint="default"/>
        </w:rPr>
        <w:t>25</w:t>
      </w:r>
      <w:r>
        <w:rPr>
          <w:rFonts w:ascii="宋体" w:hAnsi="宋体" w:cs="宋体" w:eastAsia="宋体" w:hint="default"/>
          <w:spacing w:val="-65"/>
        </w:rPr>
        <w:t> </w:t>
      </w:r>
      <w:r>
        <w:rPr>
          <w:spacing w:val="-3"/>
        </w:rPr>
        <w:t>项，其中</w:t>
      </w:r>
      <w:r>
        <w:rPr>
          <w:spacing w:val="-65"/>
        </w:rPr>
        <w:t> </w:t>
      </w:r>
      <w:r>
        <w:rPr>
          <w:rFonts w:ascii="宋体" w:hAnsi="宋体" w:cs="宋体" w:eastAsia="宋体" w:hint="default"/>
        </w:rPr>
        <w:t>3</w:t>
      </w:r>
      <w:r>
        <w:rPr>
          <w:rFonts w:ascii="宋体" w:hAnsi="宋体" w:cs="宋体" w:eastAsia="宋体" w:hint="default"/>
          <w:spacing w:val="-65"/>
        </w:rPr>
        <w:t> </w:t>
      </w:r>
      <w:r>
        <w:rPr/>
        <w:t>项为发明专利，</w:t>
      </w:r>
      <w:r>
        <w:rPr>
          <w:rFonts w:ascii="宋体" w:hAnsi="宋体" w:cs="宋体" w:eastAsia="宋体" w:hint="default"/>
        </w:rPr>
        <w:t>11</w:t>
      </w:r>
      <w:r>
        <w:rPr>
          <w:rFonts w:ascii="宋体" w:hAnsi="宋体" w:cs="宋体" w:eastAsia="宋体" w:hint="default"/>
          <w:spacing w:val="-65"/>
        </w:rPr>
        <w:t> </w:t>
      </w:r>
      <w:r>
        <w:rPr/>
        <w:t>项为实用新 型专利，</w:t>
      </w:r>
      <w:r>
        <w:rPr>
          <w:rFonts w:ascii="宋体" w:hAnsi="宋体" w:cs="宋体" w:eastAsia="宋体" w:hint="default"/>
        </w:rPr>
        <w:t>11</w:t>
      </w:r>
      <w:r>
        <w:rPr>
          <w:rFonts w:ascii="宋体" w:hAnsi="宋体" w:cs="宋体" w:eastAsia="宋体" w:hint="default"/>
          <w:spacing w:val="-61"/>
        </w:rPr>
        <w:t> </w:t>
      </w:r>
      <w:r>
        <w:rPr/>
        <w:t>项为外观专利。</w:t>
      </w:r>
      <w:r>
        <w:rPr>
          <w:rFonts w:ascii="宋体" w:hAnsi="宋体" w:cs="宋体" w:eastAsia="宋体" w:hint="default"/>
        </w:rPr>
        <w:t>2011</w:t>
      </w:r>
      <w:r>
        <w:rPr>
          <w:rFonts w:ascii="宋体" w:hAnsi="宋体" w:cs="宋体" w:eastAsia="宋体" w:hint="default"/>
          <w:spacing w:val="-61"/>
        </w:rPr>
        <w:t> </w:t>
      </w:r>
      <w:r>
        <w:rPr/>
        <w:t>年新增</w:t>
      </w:r>
      <w:r>
        <w:rPr>
          <w:spacing w:val="-61"/>
        </w:rPr>
        <w:t> </w:t>
      </w:r>
      <w:r>
        <w:rPr>
          <w:rFonts w:ascii="宋体" w:hAnsi="宋体" w:cs="宋体" w:eastAsia="宋体" w:hint="default"/>
        </w:rPr>
        <w:t>12</w:t>
      </w:r>
      <w:r>
        <w:rPr>
          <w:rFonts w:ascii="宋体" w:hAnsi="宋体" w:cs="宋体" w:eastAsia="宋体" w:hint="default"/>
          <w:spacing w:val="-1"/>
        </w:rPr>
        <w:t> </w:t>
      </w:r>
      <w:r>
        <w:rPr/>
        <w:t>项专利如下表：</w:t>
      </w:r>
    </w:p>
    <w:p>
      <w:pPr>
        <w:spacing w:line="240" w:lineRule="auto" w:before="10"/>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57"/>
        <w:gridCol w:w="2583"/>
        <w:gridCol w:w="1205"/>
        <w:gridCol w:w="1724"/>
        <w:gridCol w:w="1287"/>
        <w:gridCol w:w="1176"/>
        <w:gridCol w:w="1176"/>
      </w:tblGrid>
      <w:tr>
        <w:trPr>
          <w:trHeight w:val="802"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生效日期</w:t>
            </w:r>
            <w:r>
              <w:rPr>
                <w:rFonts w:ascii="宋体" w:hAnsi="宋体" w:cs="宋体" w:eastAsia="宋体" w:hint="default"/>
                <w:sz w:val="21"/>
                <w:szCs w:val="21"/>
              </w:rPr>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b/>
                <w:bCs/>
                <w:sz w:val="21"/>
                <w:szCs w:val="21"/>
              </w:rPr>
              <w:t>失效日期</w:t>
            </w:r>
            <w:r>
              <w:rPr>
                <w:rFonts w:ascii="宋体" w:hAnsi="宋体" w:cs="宋体" w:eastAsia="宋体" w:hint="default"/>
                <w:sz w:val="21"/>
                <w:szCs w:val="21"/>
              </w:rPr>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26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1</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95"/>
              <w:ind w:left="681" w:right="80" w:hanging="600"/>
              <w:jc w:val="left"/>
              <w:rPr>
                <w:rFonts w:ascii="宋体" w:hAnsi="宋体" w:cs="宋体" w:eastAsia="宋体" w:hint="default"/>
                <w:sz w:val="24"/>
                <w:szCs w:val="24"/>
              </w:rPr>
            </w:pPr>
            <w:r>
              <w:rPr>
                <w:rFonts w:ascii="宋体" w:hAnsi="宋体" w:cs="宋体" w:eastAsia="宋体" w:hint="default"/>
                <w:sz w:val="24"/>
                <w:szCs w:val="24"/>
              </w:rPr>
              <w:t>信息存储电路防盗取装 置及其方法</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95"/>
              <w:ind w:left="672" w:right="71" w:hanging="600"/>
              <w:jc w:val="left"/>
              <w:rPr>
                <w:rFonts w:ascii="宋体" w:hAnsi="宋体" w:cs="宋体" w:eastAsia="宋体" w:hint="default"/>
                <w:sz w:val="24"/>
                <w:szCs w:val="24"/>
              </w:rPr>
            </w:pPr>
            <w:r>
              <w:rPr>
                <w:rFonts w:ascii="宋体"/>
                <w:sz w:val="24"/>
              </w:rPr>
              <w:t>ZL20091010669 2.7</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51" w:right="0"/>
              <w:jc w:val="left"/>
              <w:rPr>
                <w:rFonts w:ascii="宋体" w:hAnsi="宋体" w:cs="宋体" w:eastAsia="宋体" w:hint="default"/>
                <w:sz w:val="24"/>
                <w:szCs w:val="24"/>
              </w:rPr>
            </w:pPr>
            <w:r>
              <w:rPr>
                <w:rFonts w:ascii="宋体"/>
                <w:sz w:val="24"/>
              </w:rPr>
              <w:t>2011-1-5</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2029-12-3</w:t>
            </w:r>
          </w:p>
          <w:p>
            <w:pPr>
              <w:pStyle w:val="TableParagraph"/>
              <w:spacing w:line="240" w:lineRule="auto" w:before="154"/>
              <w:ind w:right="0"/>
              <w:jc w:val="center"/>
              <w:rPr>
                <w:rFonts w:ascii="宋体" w:hAnsi="宋体" w:cs="宋体" w:eastAsia="宋体" w:hint="default"/>
                <w:sz w:val="24"/>
                <w:szCs w:val="24"/>
              </w:rPr>
            </w:pPr>
            <w:r>
              <w:rPr>
                <w:rFonts w:ascii="宋体"/>
                <w:sz w:val="24"/>
              </w:rPr>
              <w:t>1</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95"/>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2</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561" w:right="80" w:hanging="480"/>
              <w:jc w:val="left"/>
              <w:rPr>
                <w:rFonts w:ascii="宋体" w:hAnsi="宋体" w:cs="宋体" w:eastAsia="宋体" w:hint="default"/>
                <w:sz w:val="24"/>
                <w:szCs w:val="24"/>
              </w:rPr>
            </w:pPr>
            <w:r>
              <w:rPr>
                <w:rFonts w:ascii="宋体" w:hAnsi="宋体" w:cs="宋体" w:eastAsia="宋体" w:hint="default"/>
                <w:sz w:val="24"/>
                <w:szCs w:val="24"/>
              </w:rPr>
              <w:t>一种用于金融支付的多 功能输入设备</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2010 2</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0199336.2</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4"/>
                <w:szCs w:val="24"/>
              </w:rPr>
            </w:pPr>
            <w:r>
              <w:rPr>
                <w:rFonts w:ascii="宋体"/>
                <w:sz w:val="24"/>
              </w:rPr>
              <w:t>2011-2-2</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4"/>
                <w:szCs w:val="24"/>
              </w:rPr>
            </w:pPr>
            <w:r>
              <w:rPr>
                <w:rFonts w:ascii="宋体"/>
                <w:sz w:val="24"/>
              </w:rPr>
              <w:t>2021-2-1</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142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3</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41"/>
              <w:ind w:left="81" w:right="80"/>
              <w:jc w:val="center"/>
              <w:rPr>
                <w:rFonts w:ascii="宋体" w:hAnsi="宋体" w:cs="宋体" w:eastAsia="宋体" w:hint="default"/>
                <w:sz w:val="24"/>
                <w:szCs w:val="24"/>
              </w:rPr>
            </w:pPr>
            <w:r>
              <w:rPr>
                <w:rFonts w:ascii="宋体" w:hAnsi="宋体" w:cs="宋体" w:eastAsia="宋体" w:hint="default"/>
                <w:sz w:val="24"/>
                <w:szCs w:val="24"/>
              </w:rPr>
              <w:t>排线防拆保护结构及设 有排线防拆保护结构的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机</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4"/>
                <w:szCs w:val="24"/>
              </w:rPr>
            </w:pPr>
            <w:r>
              <w:rPr>
                <w:rFonts w:ascii="宋体"/>
                <w:sz w:val="24"/>
              </w:rPr>
              <w:t>ZL 2010 2</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0536442.5</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left="91" w:right="0"/>
              <w:jc w:val="left"/>
              <w:rPr>
                <w:rFonts w:ascii="宋体" w:hAnsi="宋体" w:cs="宋体" w:eastAsia="宋体" w:hint="default"/>
                <w:sz w:val="24"/>
                <w:szCs w:val="24"/>
              </w:rPr>
            </w:pPr>
            <w:r>
              <w:rPr>
                <w:rFonts w:ascii="宋体"/>
                <w:sz w:val="24"/>
              </w:rPr>
              <w:t>2011-4-27</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right="36"/>
              <w:jc w:val="right"/>
              <w:rPr>
                <w:rFonts w:ascii="宋体" w:hAnsi="宋体" w:cs="宋体" w:eastAsia="宋体" w:hint="default"/>
                <w:sz w:val="24"/>
                <w:szCs w:val="24"/>
              </w:rPr>
            </w:pPr>
            <w:r>
              <w:rPr>
                <w:rFonts w:ascii="宋体"/>
                <w:sz w:val="24"/>
              </w:rPr>
              <w:t>2021-4-26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4</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41" w:right="79" w:hanging="360"/>
              <w:jc w:val="left"/>
              <w:rPr>
                <w:rFonts w:ascii="宋体" w:hAnsi="宋体" w:cs="宋体" w:eastAsia="宋体" w:hint="default"/>
                <w:sz w:val="24"/>
                <w:szCs w:val="24"/>
              </w:rPr>
            </w:pPr>
            <w:r>
              <w:rPr>
                <w:rFonts w:ascii="宋体" w:hAnsi="宋体" w:cs="宋体" w:eastAsia="宋体" w:hint="default"/>
                <w:sz w:val="24"/>
                <w:szCs w:val="24"/>
              </w:rPr>
              <w:t>具有三个或三以上焊接 面得</w:t>
            </w:r>
            <w:r>
              <w:rPr>
                <w:rFonts w:ascii="宋体" w:hAnsi="宋体" w:cs="宋体" w:eastAsia="宋体" w:hint="default"/>
                <w:spacing w:val="-60"/>
                <w:sz w:val="24"/>
                <w:szCs w:val="24"/>
              </w:rPr>
              <w:t> </w:t>
            </w:r>
            <w:r>
              <w:rPr>
                <w:rFonts w:ascii="宋体" w:hAnsi="宋体" w:cs="宋体" w:eastAsia="宋体" w:hint="default"/>
                <w:sz w:val="24"/>
                <w:szCs w:val="24"/>
              </w:rPr>
              <w:t>PCB</w:t>
            </w:r>
            <w:r>
              <w:rPr>
                <w:rFonts w:ascii="宋体" w:hAnsi="宋体" w:cs="宋体" w:eastAsia="宋体" w:hint="default"/>
                <w:spacing w:val="-60"/>
                <w:sz w:val="24"/>
                <w:szCs w:val="24"/>
              </w:rPr>
              <w:t> </w:t>
            </w:r>
            <w:r>
              <w:rPr>
                <w:rFonts w:ascii="宋体" w:hAnsi="宋体" w:cs="宋体" w:eastAsia="宋体" w:hint="default"/>
                <w:sz w:val="24"/>
                <w:szCs w:val="24"/>
              </w:rPr>
              <w:t>板结构</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2010 2</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0213750.4</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4"/>
                <w:szCs w:val="24"/>
              </w:rPr>
            </w:pPr>
            <w:r>
              <w:rPr>
                <w:rFonts w:ascii="宋体"/>
                <w:sz w:val="24"/>
              </w:rPr>
              <w:t>2011-2-2</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4"/>
                <w:szCs w:val="24"/>
              </w:rPr>
            </w:pPr>
            <w:r>
              <w:rPr>
                <w:rFonts w:ascii="宋体"/>
                <w:sz w:val="24"/>
              </w:rPr>
              <w:t>2021-2-1</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5</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非接读卡器（</w:t>
            </w:r>
            <w:r>
              <w:rPr>
                <w:rFonts w:ascii="宋体" w:hAnsi="宋体" w:cs="宋体" w:eastAsia="宋体" w:hint="default"/>
                <w:sz w:val="24"/>
                <w:szCs w:val="24"/>
              </w:rPr>
              <w:t>K3102</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2010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0566981.9</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4"/>
                <w:szCs w:val="24"/>
              </w:rPr>
            </w:pPr>
            <w:r>
              <w:rPr>
                <w:rFonts w:ascii="宋体"/>
                <w:sz w:val="24"/>
              </w:rPr>
              <w:t>2011-6-1</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6"/>
              <w:jc w:val="right"/>
              <w:rPr>
                <w:rFonts w:ascii="宋体" w:hAnsi="宋体" w:cs="宋体" w:eastAsia="宋体" w:hint="default"/>
                <w:sz w:val="24"/>
                <w:szCs w:val="24"/>
              </w:rPr>
            </w:pPr>
            <w:r>
              <w:rPr>
                <w:rFonts w:ascii="宋体"/>
                <w:sz w:val="24"/>
              </w:rPr>
              <w:t>2021-5-31</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6</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密码键盘（</w:t>
            </w:r>
            <w:r>
              <w:rPr>
                <w:rFonts w:ascii="宋体" w:hAnsi="宋体" w:cs="宋体" w:eastAsia="宋体" w:hint="default"/>
                <w:sz w:val="24"/>
                <w:szCs w:val="24"/>
              </w:rPr>
              <w:t>G101</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312" w:right="0"/>
              <w:jc w:val="left"/>
              <w:rPr>
                <w:rFonts w:ascii="宋体" w:hAnsi="宋体" w:cs="宋体" w:eastAsia="宋体" w:hint="default"/>
                <w:sz w:val="24"/>
                <w:szCs w:val="24"/>
              </w:rPr>
            </w:pPr>
            <w:r>
              <w:rPr>
                <w:rFonts w:ascii="宋体"/>
                <w:sz w:val="24"/>
              </w:rPr>
              <w:t>ZL 2010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0693184.7</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24"/>
                <w:szCs w:val="24"/>
              </w:rPr>
            </w:pPr>
            <w:r>
              <w:rPr>
                <w:rFonts w:ascii="宋体"/>
                <w:sz w:val="24"/>
              </w:rPr>
              <w:t>2011-6-29</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6"/>
              <w:jc w:val="right"/>
              <w:rPr>
                <w:rFonts w:ascii="宋体" w:hAnsi="宋体" w:cs="宋体" w:eastAsia="宋体" w:hint="default"/>
                <w:sz w:val="24"/>
                <w:szCs w:val="24"/>
              </w:rPr>
            </w:pPr>
            <w:r>
              <w:rPr>
                <w:rFonts w:ascii="宋体"/>
                <w:sz w:val="24"/>
              </w:rPr>
              <w:t>2021-6-28</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41"/>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7</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电话</w:t>
            </w:r>
            <w:r>
              <w:rPr>
                <w:rFonts w:ascii="宋体" w:hAnsi="宋体" w:cs="宋体" w:eastAsia="宋体" w:hint="default"/>
                <w:spacing w:val="-61"/>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机（</w:t>
            </w:r>
            <w:r>
              <w:rPr>
                <w:rFonts w:ascii="宋体" w:hAnsi="宋体" w:cs="宋体" w:eastAsia="宋体" w:hint="default"/>
                <w:sz w:val="24"/>
                <w:szCs w:val="24"/>
              </w:rPr>
              <w:t>K501</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2011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0124513.0</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24"/>
                <w:szCs w:val="24"/>
              </w:rPr>
            </w:pPr>
            <w:r>
              <w:rPr>
                <w:rFonts w:ascii="宋体"/>
                <w:sz w:val="24"/>
              </w:rPr>
              <w:t>2011-11-16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2021-11-1</w:t>
            </w:r>
          </w:p>
          <w:p>
            <w:pPr>
              <w:pStyle w:val="TableParagraph"/>
              <w:spacing w:line="240" w:lineRule="auto" w:before="154"/>
              <w:ind w:right="0"/>
              <w:jc w:val="center"/>
              <w:rPr>
                <w:rFonts w:ascii="宋体" w:hAnsi="宋体" w:cs="宋体" w:eastAsia="宋体" w:hint="default"/>
                <w:sz w:val="24"/>
                <w:szCs w:val="24"/>
              </w:rPr>
            </w:pPr>
            <w:r>
              <w:rPr>
                <w:rFonts w:ascii="宋体"/>
                <w:sz w:val="24"/>
              </w:rPr>
              <w:t>5</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w w:val="100"/>
                <w:sz w:val="21"/>
              </w:rPr>
              <w:t>8</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电话</w:t>
            </w:r>
            <w:r>
              <w:rPr>
                <w:rFonts w:ascii="宋体" w:hAnsi="宋体" w:cs="宋体" w:eastAsia="宋体" w:hint="default"/>
                <w:spacing w:val="-61"/>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机（</w:t>
            </w:r>
            <w:r>
              <w:rPr>
                <w:rFonts w:ascii="宋体" w:hAnsi="宋体" w:cs="宋体" w:eastAsia="宋体" w:hint="default"/>
                <w:sz w:val="24"/>
                <w:szCs w:val="24"/>
              </w:rPr>
              <w:t>K501A</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2011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0124376.0</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24"/>
                <w:szCs w:val="24"/>
              </w:rPr>
            </w:pPr>
            <w:r>
              <w:rPr>
                <w:rFonts w:ascii="宋体"/>
                <w:sz w:val="24"/>
              </w:rPr>
              <w:t>2011-12-14</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2021-12-1</w:t>
            </w:r>
          </w:p>
          <w:p>
            <w:pPr>
              <w:pStyle w:val="TableParagraph"/>
              <w:spacing w:line="240" w:lineRule="auto" w:before="154"/>
              <w:ind w:right="0"/>
              <w:jc w:val="center"/>
              <w:rPr>
                <w:rFonts w:ascii="宋体" w:hAnsi="宋体" w:cs="宋体" w:eastAsia="宋体" w:hint="default"/>
                <w:sz w:val="24"/>
                <w:szCs w:val="24"/>
              </w:rPr>
            </w:pPr>
            <w:r>
              <w:rPr>
                <w:rFonts w:ascii="宋体"/>
                <w:sz w:val="24"/>
              </w:rPr>
              <w:t>3</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bl>
    <w:p>
      <w:pPr>
        <w:spacing w:after="0" w:line="357" w:lineRule="auto"/>
        <w:jc w:val="left"/>
        <w:rPr>
          <w:rFonts w:ascii="宋体" w:hAnsi="宋体" w:cs="宋体" w:eastAsia="宋体" w:hint="default"/>
          <w:sz w:val="24"/>
          <w:szCs w:val="24"/>
        </w:rPr>
        <w:sectPr>
          <w:footerReference w:type="default" r:id="rId17"/>
          <w:pgSz w:w="11910" w:h="16840"/>
          <w:pgMar w:footer="1195" w:header="0" w:top="1340" w:bottom="1380" w:left="980" w:right="96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57"/>
        <w:gridCol w:w="2583"/>
        <w:gridCol w:w="1205"/>
        <w:gridCol w:w="1724"/>
        <w:gridCol w:w="1287"/>
        <w:gridCol w:w="1176"/>
        <w:gridCol w:w="1176"/>
      </w:tblGrid>
      <w:tr>
        <w:trPr>
          <w:trHeight w:val="95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w w:val="100"/>
                <w:sz w:val="21"/>
              </w:rPr>
              <w:t>9</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机（</w:t>
            </w:r>
            <w:r>
              <w:rPr>
                <w:rFonts w:ascii="宋体" w:hAnsi="宋体" w:cs="宋体" w:eastAsia="宋体" w:hint="default"/>
                <w:sz w:val="24"/>
                <w:szCs w:val="24"/>
              </w:rPr>
              <w:t>K350</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2011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0124190.5</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24"/>
                <w:szCs w:val="24"/>
              </w:rPr>
            </w:pPr>
            <w:r>
              <w:rPr>
                <w:rFonts w:ascii="宋体"/>
                <w:sz w:val="24"/>
              </w:rPr>
              <w:t>2011-12-7</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2021-12-6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sz w:val="21"/>
              </w:rPr>
              <w:t>10</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密码键盘（</w:t>
            </w:r>
            <w:r>
              <w:rPr>
                <w:rFonts w:ascii="宋体" w:hAnsi="宋体" w:cs="宋体" w:eastAsia="宋体" w:hint="default"/>
                <w:sz w:val="24"/>
                <w:szCs w:val="24"/>
              </w:rPr>
              <w:t>K3306</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312" w:right="0"/>
              <w:jc w:val="left"/>
              <w:rPr>
                <w:rFonts w:ascii="宋体" w:hAnsi="宋体" w:cs="宋体" w:eastAsia="宋体" w:hint="default"/>
                <w:sz w:val="24"/>
                <w:szCs w:val="24"/>
              </w:rPr>
            </w:pPr>
            <w:r>
              <w:rPr>
                <w:rFonts w:ascii="宋体"/>
                <w:sz w:val="24"/>
              </w:rPr>
              <w:t>ZL 2011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0124287.6</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24"/>
                <w:szCs w:val="24"/>
              </w:rPr>
            </w:pPr>
            <w:r>
              <w:rPr>
                <w:rFonts w:ascii="宋体"/>
                <w:sz w:val="24"/>
              </w:rPr>
              <w:t>2011-12-7</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2021-12-6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41"/>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sz w:val="21"/>
              </w:rPr>
              <w:t>11</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密码键盘（</w:t>
            </w:r>
            <w:r>
              <w:rPr>
                <w:rFonts w:ascii="宋体" w:hAnsi="宋体" w:cs="宋体" w:eastAsia="宋体" w:hint="default"/>
                <w:sz w:val="24"/>
                <w:szCs w:val="24"/>
              </w:rPr>
              <w:t>K3305</w:t>
            </w:r>
            <w:r>
              <w:rPr>
                <w:rFonts w:ascii="宋体" w:hAnsi="宋体" w:cs="宋体" w:eastAsia="宋体" w:hint="default"/>
                <w:sz w:val="24"/>
                <w:szCs w:val="24"/>
              </w:rPr>
              <w:t>）</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24"/>
                <w:szCs w:val="24"/>
              </w:rPr>
            </w:pPr>
            <w:r>
              <w:rPr>
                <w:rFonts w:ascii="宋体" w:hAnsi="宋体" w:cs="宋体" w:eastAsia="宋体" w:hint="default"/>
                <w:sz w:val="24"/>
                <w:szCs w:val="24"/>
              </w:rPr>
              <w:t>外观专利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2011 3</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0124211.3</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24"/>
                <w:szCs w:val="24"/>
              </w:rPr>
            </w:pPr>
            <w:r>
              <w:rPr>
                <w:rFonts w:ascii="宋体"/>
                <w:sz w:val="24"/>
              </w:rPr>
              <w:t>2011-12-7</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2021-12-6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458" w:right="96" w:hanging="361"/>
              <w:jc w:val="left"/>
              <w:rPr>
                <w:rFonts w:ascii="宋体" w:hAnsi="宋体" w:cs="宋体" w:eastAsia="宋体" w:hint="default"/>
                <w:sz w:val="24"/>
                <w:szCs w:val="24"/>
              </w:rPr>
            </w:pPr>
            <w:r>
              <w:rPr>
                <w:rFonts w:ascii="宋体" w:hAnsi="宋体" w:cs="宋体" w:eastAsia="宋体" w:hint="default"/>
                <w:sz w:val="24"/>
                <w:szCs w:val="24"/>
              </w:rPr>
              <w:t>新国都股 份</w:t>
            </w:r>
          </w:p>
        </w:tc>
      </w:tr>
      <w:tr>
        <w:trPr>
          <w:trHeight w:val="95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sz w:val="21"/>
              </w:rPr>
              <w:t>12</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9"/>
              <w:ind w:left="1161" w:right="110" w:hanging="1049"/>
              <w:jc w:val="left"/>
              <w:rPr>
                <w:rFonts w:ascii="宋体" w:hAnsi="宋体" w:cs="宋体" w:eastAsia="宋体" w:hint="default"/>
                <w:sz w:val="24"/>
                <w:szCs w:val="24"/>
              </w:rPr>
            </w:pPr>
            <w:r>
              <w:rPr>
                <w:rFonts w:ascii="宋体" w:hAnsi="宋体" w:cs="宋体" w:eastAsia="宋体" w:hint="default"/>
                <w:sz w:val="24"/>
                <w:szCs w:val="24"/>
              </w:rPr>
              <w:t>POS</w:t>
            </w:r>
            <w:r>
              <w:rPr>
                <w:rFonts w:ascii="宋体" w:hAnsi="宋体" w:cs="宋体" w:eastAsia="宋体" w:hint="default"/>
                <w:spacing w:val="-61"/>
                <w:sz w:val="24"/>
                <w:szCs w:val="24"/>
              </w:rPr>
              <w:t> </w:t>
            </w:r>
            <w:r>
              <w:rPr>
                <w:rFonts w:ascii="宋体" w:hAnsi="宋体" w:cs="宋体" w:eastAsia="宋体" w:hint="default"/>
                <w:sz w:val="24"/>
                <w:szCs w:val="24"/>
              </w:rPr>
              <w:t>机系统安全消费方 法</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0"/>
              <w:jc w:val="right"/>
              <w:rPr>
                <w:rFonts w:ascii="宋体" w:hAnsi="宋体" w:cs="宋体" w:eastAsia="宋体" w:hint="default"/>
                <w:sz w:val="24"/>
                <w:szCs w:val="24"/>
              </w:rPr>
            </w:pPr>
            <w:r>
              <w:rPr>
                <w:rFonts w:ascii="宋体" w:hAnsi="宋体" w:cs="宋体" w:eastAsia="宋体" w:hint="default"/>
                <w:sz w:val="24"/>
                <w:szCs w:val="24"/>
              </w:rPr>
              <w:t>发明专利</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12" w:right="0"/>
              <w:jc w:val="left"/>
              <w:rPr>
                <w:rFonts w:ascii="宋体" w:hAnsi="宋体" w:cs="宋体" w:eastAsia="宋体" w:hint="default"/>
                <w:sz w:val="24"/>
                <w:szCs w:val="24"/>
              </w:rPr>
            </w:pPr>
            <w:r>
              <w:rPr>
                <w:rFonts w:ascii="宋体"/>
                <w:sz w:val="24"/>
              </w:rPr>
              <w:t>ZL 2009 1</w:t>
            </w:r>
          </w:p>
          <w:p>
            <w:pPr>
              <w:pStyle w:val="TableParagraph"/>
              <w:spacing w:line="240" w:lineRule="auto" w:before="154"/>
              <w:ind w:left="312" w:right="0"/>
              <w:jc w:val="left"/>
              <w:rPr>
                <w:rFonts w:ascii="宋体" w:hAnsi="宋体" w:cs="宋体" w:eastAsia="宋体" w:hint="default"/>
                <w:sz w:val="24"/>
                <w:szCs w:val="24"/>
              </w:rPr>
            </w:pPr>
            <w:r>
              <w:rPr>
                <w:rFonts w:ascii="宋体"/>
                <w:sz w:val="24"/>
              </w:rPr>
              <w:t>0301011.2</w:t>
            </w:r>
          </w:p>
        </w:tc>
        <w:tc>
          <w:tcPr>
            <w:tcW w:w="1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24"/>
                <w:szCs w:val="24"/>
              </w:rPr>
            </w:pPr>
            <w:r>
              <w:rPr>
                <w:rFonts w:ascii="宋体"/>
                <w:sz w:val="24"/>
              </w:rPr>
              <w:t>2011-4-27</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2021-4-26</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易联技术</w:t>
            </w:r>
          </w:p>
        </w:tc>
      </w:tr>
    </w:tbl>
    <w:p>
      <w:pPr>
        <w:spacing w:line="240" w:lineRule="auto" w:before="12"/>
        <w:rPr>
          <w:rFonts w:ascii="宋体" w:hAnsi="宋体" w:cs="宋体" w:eastAsia="宋体" w:hint="default"/>
          <w:sz w:val="12"/>
          <w:szCs w:val="12"/>
        </w:rPr>
      </w:pPr>
    </w:p>
    <w:p>
      <w:pPr>
        <w:pStyle w:val="Heading7"/>
        <w:spacing w:line="240" w:lineRule="auto" w:before="26"/>
        <w:ind w:left="820" w:right="824"/>
        <w:jc w:val="left"/>
        <w:rPr>
          <w:b w:val="0"/>
          <w:bCs w:val="0"/>
        </w:rPr>
      </w:pPr>
      <w:r>
        <w:rPr/>
        <w:t>（四）公司核心竞争力</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820" w:right="726" w:firstLine="479"/>
        <w:jc w:val="left"/>
      </w:pPr>
      <w:r>
        <w:rPr>
          <w:rFonts w:ascii="宋体" w:hAnsi="宋体" w:cs="宋体" w:eastAsia="宋体" w:hint="default"/>
          <w:spacing w:val="-3"/>
        </w:rPr>
        <w:t>2011</w:t>
      </w:r>
      <w:r>
        <w:rPr>
          <w:spacing w:val="-3"/>
        </w:rPr>
        <w:t>年，随着公司规模的进一步扩大，公司人才队伍也得到壮大，特别在成</w:t>
      </w:r>
      <w:r>
        <w:rPr/>
        <w:t> 功上市后，公司在管理、研发、生产、市场营销等方面的水平都得到很大提升， 核心竞争力得到进一步强化，主要体现在以下几个方面：</w:t>
      </w:r>
    </w:p>
    <w:p>
      <w:pPr>
        <w:pStyle w:val="Heading7"/>
        <w:spacing w:line="240" w:lineRule="auto"/>
        <w:ind w:left="820" w:right="824"/>
        <w:jc w:val="left"/>
        <w:rPr>
          <w:b w:val="0"/>
          <w:bCs w:val="0"/>
        </w:rPr>
      </w:pPr>
      <w:r>
        <w:rPr>
          <w:rFonts w:ascii="宋体" w:hAnsi="宋体" w:cs="宋体" w:eastAsia="宋体" w:hint="default"/>
        </w:rPr>
        <w:t>1</w:t>
      </w:r>
      <w:r>
        <w:rPr/>
        <w:t>、技术和产品优势</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820" w:right="726" w:firstLine="419"/>
        <w:jc w:val="left"/>
      </w:pPr>
      <w:r>
        <w:rPr/>
        <w:t>公司拥有强大的产品研发团队，通过从客户或商户的业务需求中不断提炼产 </w:t>
      </w:r>
      <w:r>
        <w:rPr>
          <w:spacing w:val="-3"/>
        </w:rPr>
        <w:t>品和技术开发需求，通过市场和研发部门的互动，形成了技术和产品水平不断提</w:t>
      </w:r>
      <w:r>
        <w:rPr>
          <w:spacing w:val="-111"/>
        </w:rPr>
        <w:t> </w:t>
      </w:r>
      <w:r>
        <w:rPr>
          <w:spacing w:val="-111"/>
        </w:rPr>
      </w:r>
      <w:r>
        <w:rPr>
          <w:spacing w:val="-3"/>
        </w:rPr>
        <w:t>升和创新的机制。公司所提供的电子支付技术整体解决方案符合国内外的相关标</w:t>
      </w:r>
      <w:r>
        <w:rPr>
          <w:spacing w:val="-109"/>
        </w:rPr>
        <w:t> </w:t>
      </w:r>
      <w:r>
        <w:rPr>
          <w:spacing w:val="-109"/>
        </w:rPr>
      </w:r>
      <w:r>
        <w:rPr>
          <w:spacing w:val="-3"/>
        </w:rPr>
        <w:t>准与规范，达到国际一流水平，与国内同行业厂商比较，公司的产品在各方面均</w:t>
      </w:r>
      <w:r>
        <w:rPr>
          <w:spacing w:val="-111"/>
        </w:rPr>
        <w:t> </w:t>
      </w:r>
      <w:r>
        <w:rPr>
          <w:spacing w:val="-111"/>
        </w:rPr>
      </w:r>
      <w:r>
        <w:rPr/>
        <w:t>具有一定的领先优势。截至</w:t>
      </w:r>
      <w:r>
        <w:rPr>
          <w:rFonts w:ascii="宋体" w:hAnsi="宋体" w:cs="宋体" w:eastAsia="宋体" w:hint="default"/>
        </w:rPr>
        <w:t>2011</w:t>
      </w:r>
      <w:r>
        <w:rPr/>
        <w:t>年末，公司及其控股子公司合计拥有</w:t>
      </w:r>
      <w:r>
        <w:rPr>
          <w:rFonts w:ascii="宋体" w:hAnsi="宋体" w:cs="宋体" w:eastAsia="宋体" w:hint="default"/>
        </w:rPr>
        <w:t>25</w:t>
      </w:r>
      <w:r>
        <w:rPr/>
        <w:t>项专利， </w:t>
      </w:r>
      <w:r>
        <w:rPr>
          <w:rFonts w:ascii="宋体" w:hAnsi="宋体" w:cs="宋体" w:eastAsia="宋体" w:hint="default"/>
        </w:rPr>
        <w:t>58</w:t>
      </w:r>
      <w:r>
        <w:rPr/>
        <w:t>项计算机软件著作权，</w:t>
      </w:r>
      <w:r>
        <w:rPr>
          <w:rFonts w:ascii="宋体" w:hAnsi="宋体" w:cs="宋体" w:eastAsia="宋体" w:hint="default"/>
        </w:rPr>
        <w:t>40</w:t>
      </w:r>
      <w:r>
        <w:rPr/>
        <w:t>项软件产品，实施增值应用开发项目</w:t>
      </w:r>
      <w:r>
        <w:rPr>
          <w:rFonts w:ascii="宋体" w:hAnsi="宋体" w:cs="宋体" w:eastAsia="宋体" w:hint="default"/>
        </w:rPr>
        <w:t>560</w:t>
      </w:r>
      <w:r>
        <w:rPr/>
        <w:t>多个，体现</w:t>
      </w:r>
      <w:r>
        <w:rPr>
          <w:spacing w:val="-101"/>
        </w:rPr>
        <w:t> </w:t>
      </w:r>
      <w:r>
        <w:rPr/>
        <w:t>了公司较强的技术创新实力。</w:t>
      </w:r>
    </w:p>
    <w:p>
      <w:pPr>
        <w:pStyle w:val="Heading7"/>
        <w:spacing w:line="240" w:lineRule="auto"/>
        <w:ind w:left="820" w:right="824"/>
        <w:jc w:val="left"/>
        <w:rPr>
          <w:b w:val="0"/>
          <w:bCs w:val="0"/>
        </w:rPr>
      </w:pPr>
      <w:r>
        <w:rPr>
          <w:rFonts w:ascii="宋体" w:hAnsi="宋体" w:cs="宋体" w:eastAsia="宋体" w:hint="default"/>
        </w:rPr>
        <w:t>2</w:t>
      </w:r>
      <w:r>
        <w:rPr/>
        <w:t>、管理团队和行业经验优势</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820" w:right="838" w:firstLine="479"/>
        <w:jc w:val="both"/>
      </w:pPr>
      <w:r>
        <w:rPr>
          <w:spacing w:val="-3"/>
        </w:rPr>
        <w:t>公司拥有一批高素质管理人才，多年专注于电子支付行业，对行业的现状和</w:t>
      </w:r>
      <w:r>
        <w:rPr/>
        <w:t> </w:t>
      </w:r>
      <w:r>
        <w:rPr>
          <w:spacing w:val="-3"/>
        </w:rPr>
        <w:t>发展趋势有着准确的把握，能准确引导公司技术路线选择、产品和业务模式等战</w:t>
      </w:r>
      <w:r>
        <w:rPr>
          <w:spacing w:val="-110"/>
        </w:rPr>
        <w:t> </w:t>
      </w:r>
      <w:r>
        <w:rPr>
          <w:spacing w:val="-110"/>
        </w:rPr>
      </w:r>
      <w:r>
        <w:rPr>
          <w:spacing w:val="-3"/>
        </w:rPr>
        <w:t>略决策的制定与执行，同时，公司在金融电子支付领域拥有丰富的经验，对电子</w:t>
      </w:r>
      <w:r>
        <w:rPr>
          <w:spacing w:val="-110"/>
        </w:rPr>
        <w:t> </w:t>
      </w:r>
      <w:r>
        <w:rPr>
          <w:spacing w:val="-110"/>
        </w:rPr>
      </w:r>
      <w:r>
        <w:rPr>
          <w:spacing w:val="-3"/>
        </w:rPr>
        <w:t>支付流程有深刻理解。作为中国银联体系和多家商业银行的重要合作伙伴，公司</w:t>
      </w:r>
      <w:r>
        <w:rPr>
          <w:spacing w:val="-111"/>
        </w:rPr>
        <w:t> </w:t>
      </w:r>
      <w:r>
        <w:rPr>
          <w:spacing w:val="-111"/>
        </w:rPr>
      </w:r>
      <w:r>
        <w:rPr>
          <w:spacing w:val="-3"/>
        </w:rPr>
        <w:t>积累了丰富的电子支付技术项目经验，为中国银联体系、商业银行等客户提供了</w:t>
      </w:r>
      <w:r>
        <w:rPr>
          <w:spacing w:val="-111"/>
        </w:rPr>
        <w:t> </w:t>
      </w:r>
      <w:r>
        <w:rPr>
          <w:spacing w:val="-111"/>
        </w:rPr>
      </w:r>
      <w:r>
        <w:rPr>
          <w:spacing w:val="-3"/>
        </w:rPr>
        <w:t>大量的增值应用开发项目和大型系统研发项目，通过对客户业务流程和商户的使</w:t>
      </w:r>
    </w:p>
    <w:p>
      <w:pPr>
        <w:spacing w:after="0" w:line="357" w:lineRule="auto"/>
        <w:jc w:val="both"/>
        <w:sectPr>
          <w:footerReference w:type="default" r:id="rId18"/>
          <w:pgSz w:w="11910" w:h="16840"/>
          <w:pgMar w:footer="1195" w:header="0" w:top="1340" w:bottom="1380" w:left="980" w:right="960"/>
          <w:pgNumType w:start="21"/>
        </w:sectPr>
      </w:pPr>
    </w:p>
    <w:p>
      <w:pPr>
        <w:pStyle w:val="BodyText"/>
        <w:spacing w:line="357" w:lineRule="auto" w:before="1"/>
        <w:ind w:right="198"/>
        <w:jc w:val="both"/>
      </w:pPr>
      <w:r>
        <w:rPr>
          <w:spacing w:val="-3"/>
        </w:rPr>
        <w:t>用习惯进行深入分析和梳理，沉淀了丰富的项目实施经验并将其向其他行业客户</w:t>
      </w:r>
      <w:r>
        <w:rPr>
          <w:spacing w:val="-109"/>
        </w:rPr>
        <w:t> </w:t>
      </w:r>
      <w:r>
        <w:rPr>
          <w:spacing w:val="-109"/>
        </w:rPr>
      </w:r>
      <w:r>
        <w:rPr>
          <w:spacing w:val="-3"/>
        </w:rPr>
        <w:t>进行推广，为其他行业客户提供了优秀的产品和技术服务。公司在电子支付技术</w:t>
      </w:r>
      <w:r>
        <w:rPr>
          <w:spacing w:val="-110"/>
        </w:rPr>
        <w:t> </w:t>
      </w:r>
      <w:r>
        <w:rPr>
          <w:spacing w:val="-110"/>
        </w:rPr>
      </w:r>
      <w:r>
        <w:rPr>
          <w:spacing w:val="-3"/>
        </w:rPr>
        <w:t>领域十几年的运营实践，不仅积累了丰富的产品开发及运营经验，对于电子支付</w:t>
      </w:r>
      <w:r>
        <w:rPr>
          <w:spacing w:val="-111"/>
        </w:rPr>
        <w:t> </w:t>
      </w:r>
      <w:r>
        <w:rPr>
          <w:spacing w:val="-111"/>
        </w:rPr>
      </w:r>
      <w:r>
        <w:rPr>
          <w:spacing w:val="-3"/>
        </w:rPr>
        <w:t>业务的特点及未来发展也有着较为深刻的理解，这些为公司在电子支付领域进一</w:t>
      </w:r>
      <w:r>
        <w:rPr>
          <w:spacing w:val="-109"/>
        </w:rPr>
        <w:t> </w:t>
      </w:r>
      <w:r>
        <w:rPr>
          <w:spacing w:val="-109"/>
        </w:rPr>
      </w:r>
      <w:r>
        <w:rPr/>
        <w:t>步发展打下了坚实基础。</w:t>
      </w:r>
    </w:p>
    <w:p>
      <w:pPr>
        <w:pStyle w:val="Heading7"/>
        <w:spacing w:line="240" w:lineRule="auto"/>
        <w:ind w:right="0"/>
        <w:jc w:val="both"/>
        <w:rPr>
          <w:b w:val="0"/>
          <w:bCs w:val="0"/>
        </w:rPr>
      </w:pPr>
      <w:r>
        <w:rPr>
          <w:rFonts w:ascii="宋体" w:hAnsi="宋体" w:cs="宋体" w:eastAsia="宋体" w:hint="default"/>
        </w:rPr>
        <w:t>3</w:t>
      </w:r>
      <w:r>
        <w:rPr/>
        <w:t>、市场品牌和客户资源优势</w:t>
      </w:r>
      <w:r>
        <w:rPr>
          <w:b w:val="0"/>
          <w:bCs w:val="0"/>
        </w:rPr>
      </w:r>
    </w:p>
    <w:p>
      <w:pPr>
        <w:spacing w:line="240" w:lineRule="auto" w:before="10"/>
        <w:rPr>
          <w:rFonts w:ascii="宋体" w:hAnsi="宋体" w:cs="宋体" w:eastAsia="宋体" w:hint="default"/>
          <w:b/>
          <w:bCs/>
          <w:sz w:val="23"/>
          <w:szCs w:val="23"/>
        </w:rPr>
      </w:pPr>
    </w:p>
    <w:p>
      <w:pPr>
        <w:pStyle w:val="BodyText"/>
        <w:spacing w:line="357" w:lineRule="auto"/>
        <w:ind w:right="196" w:firstLine="479"/>
        <w:jc w:val="both"/>
      </w:pPr>
      <w:r>
        <w:rPr>
          <w:spacing w:val="-3"/>
        </w:rPr>
        <w:t>我国金融领域目前处于垄断经营的阶段，银行卡受理市场的建设主要由中国</w:t>
      </w:r>
      <w:r>
        <w:rPr/>
        <w:t> </w:t>
      </w:r>
      <w:r>
        <w:rPr>
          <w:spacing w:val="-3"/>
        </w:rPr>
        <w:t>银联体系、商业银行主导完成，造成采购客户集中度较高的行业特点。由于金融</w:t>
      </w:r>
      <w:r>
        <w:rPr>
          <w:spacing w:val="-110"/>
        </w:rPr>
        <w:t> </w:t>
      </w:r>
      <w:r>
        <w:rPr>
          <w:spacing w:val="-110"/>
        </w:rPr>
      </w:r>
      <w:r>
        <w:rPr>
          <w:rFonts w:ascii="宋体" w:hAnsi="宋体" w:cs="宋体" w:eastAsia="宋体" w:hint="default"/>
        </w:rPr>
        <w:t>POS</w:t>
      </w:r>
      <w:r>
        <w:rPr>
          <w:rFonts w:ascii="宋体" w:hAnsi="宋体" w:cs="宋体" w:eastAsia="宋体" w:hint="default"/>
          <w:spacing w:val="-72"/>
        </w:rPr>
        <w:t> </w:t>
      </w:r>
      <w:r>
        <w:rPr/>
        <w:t>终端和技术涉及到交易安全，我国主要收单机构对</w:t>
      </w:r>
      <w:r>
        <w:rPr>
          <w:spacing w:val="-71"/>
        </w:rPr>
        <w:t> </w:t>
      </w:r>
      <w:r>
        <w:rPr>
          <w:rFonts w:ascii="宋体" w:hAnsi="宋体" w:cs="宋体" w:eastAsia="宋体" w:hint="default"/>
        </w:rPr>
        <w:t>POS</w:t>
      </w:r>
      <w:r>
        <w:rPr>
          <w:rFonts w:ascii="宋体" w:hAnsi="宋体" w:cs="宋体" w:eastAsia="宋体" w:hint="default"/>
          <w:spacing w:val="-71"/>
        </w:rPr>
        <w:t> </w:t>
      </w:r>
      <w:r>
        <w:rPr/>
        <w:t>终端的选型采购有严 </w:t>
      </w:r>
      <w:r>
        <w:rPr>
          <w:spacing w:val="-3"/>
        </w:rPr>
        <w:t>格的标准与要求。随着电子支付业务对社会各行各业的不断渗透，采购方除了对</w:t>
      </w:r>
      <w:r>
        <w:rPr>
          <w:spacing w:val="-112"/>
        </w:rPr>
        <w:t> </w:t>
      </w:r>
      <w:r>
        <w:rPr>
          <w:spacing w:val="-112"/>
        </w:rPr>
      </w:r>
      <w:r>
        <w:rPr>
          <w:spacing w:val="-3"/>
        </w:rPr>
        <w:t>设备供应商的产品和技术在市场存量方面有越来越高的要求外，对设备供应商的</w:t>
      </w:r>
      <w:r>
        <w:rPr>
          <w:spacing w:val="-109"/>
        </w:rPr>
        <w:t> </w:t>
      </w:r>
      <w:r>
        <w:rPr>
          <w:spacing w:val="-109"/>
        </w:rPr>
      </w:r>
      <w:r>
        <w:rPr>
          <w:spacing w:val="-3"/>
        </w:rPr>
        <w:t>增值应用技术开发服务能力日益重视。经过多年的发展，公司目前在市场上的存</w:t>
      </w:r>
      <w:r>
        <w:rPr>
          <w:spacing w:val="-111"/>
        </w:rPr>
        <w:t> </w:t>
      </w:r>
      <w:r>
        <w:rPr>
          <w:spacing w:val="-111"/>
        </w:rPr>
      </w:r>
      <w:r>
        <w:rPr/>
        <w:t>量设备已经达到 </w:t>
      </w:r>
      <w:r>
        <w:rPr>
          <w:rFonts w:ascii="宋体" w:hAnsi="宋体" w:cs="宋体" w:eastAsia="宋体" w:hint="default"/>
        </w:rPr>
        <w:t>70</w:t>
      </w:r>
      <w:r>
        <w:rPr>
          <w:rFonts w:ascii="宋体" w:hAnsi="宋体" w:cs="宋体" w:eastAsia="宋体" w:hint="default"/>
          <w:spacing w:val="-95"/>
        </w:rPr>
        <w:t> </w:t>
      </w:r>
      <w:r>
        <w:rPr/>
        <w:t>多万台，且与中国银联体系、商业银行及社会第三方收单服 </w:t>
      </w:r>
      <w:r>
        <w:rPr>
          <w:spacing w:val="-3"/>
        </w:rPr>
        <w:t>务机构有着良好的合作，积累了丰富的客户资源。同时，公司建立了强大的增值</w:t>
      </w:r>
      <w:r>
        <w:rPr>
          <w:spacing w:val="-111"/>
        </w:rPr>
        <w:t> </w:t>
      </w:r>
      <w:r>
        <w:rPr>
          <w:spacing w:val="-111"/>
        </w:rPr>
      </w:r>
      <w:r>
        <w:rPr>
          <w:spacing w:val="-3"/>
        </w:rPr>
        <w:t>应用技术开发团队，对客户和商户的增值应用开发需求能够做到及时响应、专业</w:t>
      </w:r>
      <w:r>
        <w:rPr>
          <w:spacing w:val="-111"/>
        </w:rPr>
        <w:t> </w:t>
      </w:r>
      <w:r>
        <w:rPr>
          <w:spacing w:val="-111"/>
        </w:rPr>
      </w:r>
      <w:r>
        <w:rPr>
          <w:spacing w:val="-3"/>
        </w:rPr>
        <w:t>开发与服务，为公司在业内积累了良好的知名度和美誉度，市场品牌优势进一步</w:t>
      </w:r>
      <w:r>
        <w:rPr>
          <w:spacing w:val="-111"/>
        </w:rPr>
        <w:t> </w:t>
      </w:r>
      <w:r>
        <w:rPr>
          <w:spacing w:val="-111"/>
        </w:rPr>
      </w:r>
      <w:r>
        <w:rPr/>
        <w:t>凸显。</w:t>
      </w:r>
    </w:p>
    <w:p>
      <w:pPr>
        <w:pStyle w:val="Heading7"/>
        <w:spacing w:line="240" w:lineRule="auto"/>
        <w:ind w:right="0"/>
        <w:jc w:val="both"/>
        <w:rPr>
          <w:b w:val="0"/>
          <w:bCs w:val="0"/>
        </w:rPr>
      </w:pPr>
      <w:r>
        <w:rPr>
          <w:rFonts w:ascii="宋体" w:hAnsi="宋体" w:cs="宋体" w:eastAsia="宋体" w:hint="default"/>
        </w:rPr>
        <w:t>4</w:t>
      </w:r>
      <w:r>
        <w:rPr/>
        <w:t>、服务优势</w:t>
      </w:r>
      <w:r>
        <w:rPr>
          <w:b w:val="0"/>
          <w:bCs w:val="0"/>
        </w:rPr>
      </w:r>
    </w:p>
    <w:p>
      <w:pPr>
        <w:spacing w:line="240" w:lineRule="auto" w:before="10"/>
        <w:rPr>
          <w:rFonts w:ascii="宋体" w:hAnsi="宋体" w:cs="宋体" w:eastAsia="宋体" w:hint="default"/>
          <w:b/>
          <w:bCs/>
          <w:sz w:val="23"/>
          <w:szCs w:val="23"/>
        </w:rPr>
      </w:pPr>
    </w:p>
    <w:p>
      <w:pPr>
        <w:pStyle w:val="BodyText"/>
        <w:spacing w:line="357" w:lineRule="auto"/>
        <w:ind w:right="196" w:firstLine="479"/>
        <w:jc w:val="both"/>
      </w:pPr>
      <w:r>
        <w:rPr>
          <w:spacing w:val="-3"/>
        </w:rPr>
        <w:t>向客户提供优质的服务是公司经营追求的目标之一，自设立以来，一直凭借</w:t>
      </w:r>
      <w:r>
        <w:rPr/>
        <w:t> </w:t>
      </w:r>
      <w:r>
        <w:rPr>
          <w:spacing w:val="-3"/>
        </w:rPr>
        <w:t>专业的、及时的服务深得客户的信赖。截止报告期末，公司已经建立了</w:t>
      </w:r>
      <w:r>
        <w:rPr>
          <w:rFonts w:ascii="宋体" w:hAnsi="宋体" w:cs="宋体" w:eastAsia="宋体" w:hint="default"/>
          <w:spacing w:val="-3"/>
        </w:rPr>
        <w:t>45</w:t>
      </w:r>
      <w:r>
        <w:rPr>
          <w:spacing w:val="-3"/>
        </w:rPr>
        <w:t>个营销</w:t>
      </w:r>
      <w:r>
        <w:rPr>
          <w:spacing w:val="-107"/>
        </w:rPr>
        <w:t> </w:t>
      </w:r>
      <w:r>
        <w:rPr>
          <w:spacing w:val="-3"/>
        </w:rPr>
        <w:t>服务网点，覆盖全国</w:t>
      </w:r>
      <w:r>
        <w:rPr>
          <w:rFonts w:ascii="宋体" w:hAnsi="宋体" w:cs="宋体" w:eastAsia="宋体" w:hint="default"/>
          <w:spacing w:val="-3"/>
        </w:rPr>
        <w:t>34</w:t>
      </w:r>
      <w:r>
        <w:rPr>
          <w:spacing w:val="-3"/>
        </w:rPr>
        <w:t>个省级行政区域。</w:t>
      </w:r>
      <w:r>
        <w:rPr>
          <w:rFonts w:ascii="宋体" w:hAnsi="宋体" w:cs="宋体" w:eastAsia="宋体" w:hint="default"/>
          <w:spacing w:val="-3"/>
        </w:rPr>
        <w:t>2011</w:t>
      </w:r>
      <w:r>
        <w:rPr>
          <w:spacing w:val="-3"/>
        </w:rPr>
        <w:t>年，为了加强对客户和商户的售前</w:t>
      </w:r>
      <w:r>
        <w:rPr>
          <w:spacing w:val="-101"/>
        </w:rPr>
        <w:t> </w:t>
      </w:r>
      <w:r>
        <w:rPr>
          <w:spacing w:val="-101"/>
        </w:rPr>
      </w:r>
      <w:r>
        <w:rPr>
          <w:spacing w:val="-3"/>
        </w:rPr>
        <w:t>售后技术服务力度，公司营销体系完成了增值应用人员落地工作，将增至应用技</w:t>
      </w:r>
      <w:r>
        <w:rPr>
          <w:spacing w:val="-111"/>
        </w:rPr>
        <w:t> </w:t>
      </w:r>
      <w:r>
        <w:rPr>
          <w:spacing w:val="-111"/>
        </w:rPr>
      </w:r>
      <w:r>
        <w:rPr>
          <w:spacing w:val="-3"/>
        </w:rPr>
        <w:t>术开发服务与营销工作紧密结合起来，及时了解客户与商户需求，向客户与商户</w:t>
      </w:r>
      <w:r>
        <w:rPr>
          <w:spacing w:val="-111"/>
        </w:rPr>
        <w:t> </w:t>
      </w:r>
      <w:r>
        <w:rPr>
          <w:spacing w:val="-111"/>
        </w:rPr>
      </w:r>
      <w:r>
        <w:rPr/>
        <w:t>提供个性化、定制化的开发服务，进一步加强了公司的服务优势。</w:t>
      </w:r>
    </w:p>
    <w:p>
      <w:pPr>
        <w:pStyle w:val="Heading7"/>
        <w:spacing w:line="240" w:lineRule="auto"/>
        <w:ind w:right="0"/>
        <w:jc w:val="both"/>
        <w:rPr>
          <w:b w:val="0"/>
          <w:bCs w:val="0"/>
        </w:rPr>
      </w:pPr>
      <w:r>
        <w:rPr>
          <w:rFonts w:ascii="宋体" w:hAnsi="宋体" w:cs="宋体" w:eastAsia="宋体" w:hint="default"/>
        </w:rPr>
        <w:t>5</w:t>
      </w:r>
      <w:r>
        <w:rPr/>
        <w:t>、供应链优势</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105" w:firstLine="479"/>
        <w:jc w:val="both"/>
      </w:pPr>
      <w:r>
        <w:rPr/>
        <w:t>公司一直坚持自主采购、自主生产的路线，在业务规模扩展迅速的情况下， </w:t>
      </w:r>
      <w:r>
        <w:rPr>
          <w:spacing w:val="-3"/>
        </w:rPr>
        <w:t>公司均能及时保证产品生产与供应，不仅获得了供应链整合的经济效益，保障了</w:t>
      </w:r>
    </w:p>
    <w:p>
      <w:pPr>
        <w:spacing w:after="0" w:line="357" w:lineRule="auto"/>
        <w:jc w:val="both"/>
        <w:sectPr>
          <w:pgSz w:w="11910" w:h="16840"/>
          <w:pgMar w:header="0" w:footer="1195" w:top="1460" w:bottom="1380" w:left="1680" w:right="1600"/>
        </w:sectPr>
      </w:pPr>
    </w:p>
    <w:p>
      <w:pPr>
        <w:pStyle w:val="BodyText"/>
        <w:spacing w:line="357" w:lineRule="auto" w:before="1"/>
        <w:ind w:left="220" w:right="102"/>
        <w:jc w:val="left"/>
      </w:pPr>
      <w:r>
        <w:rPr>
          <w:spacing w:val="-6"/>
        </w:rPr>
        <w:t>公司相比同行业较高的毛利率，同时将生产与研发紧密联系，使产品在研发阶段，</w:t>
      </w:r>
      <w:r>
        <w:rPr/>
        <w:t> 即可获得生产工艺等方面的支持，为产品的顺利投产提供了保障。在生产环节， </w:t>
      </w:r>
      <w:r>
        <w:rPr>
          <w:spacing w:val="-3"/>
        </w:rPr>
        <w:t>公司根据产品稳定性的要求，国内首推老化试验室，为产品的进一步稳定使用提</w:t>
      </w:r>
      <w:r>
        <w:rPr>
          <w:spacing w:val="-111"/>
        </w:rPr>
        <w:t> </w:t>
      </w:r>
      <w:r>
        <w:rPr>
          <w:spacing w:val="-111"/>
        </w:rPr>
      </w:r>
      <w:r>
        <w:rPr/>
        <w:t>供了良好的控制环节。</w:t>
      </w:r>
    </w:p>
    <w:p>
      <w:pPr>
        <w:pStyle w:val="Heading7"/>
        <w:spacing w:line="240" w:lineRule="auto"/>
        <w:ind w:left="220" w:right="226"/>
        <w:jc w:val="left"/>
        <w:rPr>
          <w:b w:val="0"/>
          <w:bCs w:val="0"/>
        </w:rPr>
      </w:pPr>
      <w:r>
        <w:rPr/>
        <w:t>（五）报告期内公司研发费用投入情况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220" w:right="237" w:firstLine="479"/>
        <w:jc w:val="both"/>
      </w:pPr>
      <w:r>
        <w:rPr>
          <w:spacing w:val="-3"/>
        </w:rPr>
        <w:t>公司自成立来一直高度重视研发投入力度，报告期内，公司的研发投入保持</w:t>
      </w:r>
      <w:r>
        <w:rPr/>
        <w:t> </w:t>
      </w:r>
      <w:r>
        <w:rPr>
          <w:spacing w:val="-3"/>
        </w:rPr>
        <w:t>了持续快速增长趋势，增幅与收入规模的增长大体相当，一直都保持在公司营业</w:t>
      </w:r>
      <w:r>
        <w:rPr>
          <w:spacing w:val="-111"/>
        </w:rPr>
        <w:t> </w:t>
      </w:r>
      <w:r>
        <w:rPr>
          <w:spacing w:val="-111"/>
        </w:rPr>
      </w:r>
      <w:r>
        <w:rPr>
          <w:spacing w:val="-3"/>
        </w:rPr>
        <w:t>收入的</w:t>
      </w:r>
      <w:r>
        <w:rPr>
          <w:rFonts w:ascii="宋体" w:hAnsi="宋体" w:cs="宋体" w:eastAsia="宋体" w:hint="default"/>
          <w:spacing w:val="-3"/>
        </w:rPr>
        <w:t>8%</w:t>
      </w:r>
      <w:r>
        <w:rPr>
          <w:spacing w:val="-3"/>
        </w:rPr>
        <w:t>以上，持续的研发投入为公司巩固和进一步提高技术竞争优势提供了有</w:t>
      </w:r>
      <w:r>
        <w:rPr>
          <w:spacing w:val="-107"/>
        </w:rPr>
        <w:t> </w:t>
      </w:r>
      <w:r>
        <w:rPr>
          <w:spacing w:val="-107"/>
        </w:rPr>
      </w:r>
      <w:r>
        <w:rPr/>
        <w:t>力的物质保障。</w:t>
      </w:r>
      <w:r>
        <w:rPr>
          <w:rFonts w:ascii="宋体" w:hAnsi="宋体" w:cs="宋体" w:eastAsia="宋体" w:hint="default"/>
        </w:rPr>
        <w:t>2011</w:t>
      </w:r>
      <w:r>
        <w:rPr/>
        <w:t>年，公司研发费用投入情况如下表：</w:t>
      </w:r>
    </w:p>
    <w:p>
      <w:pPr>
        <w:spacing w:line="240" w:lineRule="auto" w:before="8"/>
        <w:rPr>
          <w:rFonts w:ascii="宋体" w:hAnsi="宋体" w:cs="宋体" w:eastAsia="宋体" w:hint="default"/>
          <w:sz w:val="16"/>
          <w:szCs w:val="16"/>
        </w:rPr>
      </w:pPr>
    </w:p>
    <w:p>
      <w:pPr>
        <w:spacing w:before="0"/>
        <w:ind w:left="0" w:right="233"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0"/>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132"/>
        <w:gridCol w:w="2129"/>
        <w:gridCol w:w="2132"/>
        <w:gridCol w:w="2129"/>
      </w:tblGrid>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研发投入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4,601.45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38" w:right="0"/>
              <w:jc w:val="left"/>
              <w:rPr>
                <w:rFonts w:ascii="宋体" w:hAnsi="宋体" w:cs="宋体" w:eastAsia="宋体" w:hint="default"/>
                <w:sz w:val="21"/>
                <w:szCs w:val="21"/>
              </w:rPr>
            </w:pPr>
            <w:r>
              <w:rPr>
                <w:rFonts w:ascii="宋体"/>
                <w:sz w:val="21"/>
              </w:rPr>
              <w:t>1,760.13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34"/>
              <w:jc w:val="right"/>
              <w:rPr>
                <w:rFonts w:ascii="宋体" w:hAnsi="宋体" w:cs="宋体" w:eastAsia="宋体" w:hint="default"/>
                <w:sz w:val="21"/>
                <w:szCs w:val="21"/>
              </w:rPr>
            </w:pPr>
            <w:r>
              <w:rPr>
                <w:rFonts w:ascii="宋体"/>
                <w:spacing w:val="-1"/>
                <w:sz w:val="21"/>
              </w:rPr>
              <w:t>1,425.54</w:t>
            </w:r>
          </w:p>
        </w:tc>
      </w:tr>
      <w:tr>
        <w:trPr>
          <w:trHeight w:val="79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34,159.69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21"/>
                <w:szCs w:val="21"/>
              </w:rPr>
            </w:pPr>
            <w:r>
              <w:rPr>
                <w:rFonts w:ascii="宋体"/>
                <w:sz w:val="21"/>
              </w:rPr>
              <w:t>20,852.71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81"/>
              <w:jc w:val="right"/>
              <w:rPr>
                <w:rFonts w:ascii="宋体" w:hAnsi="宋体" w:cs="宋体" w:eastAsia="宋体" w:hint="default"/>
                <w:sz w:val="21"/>
                <w:szCs w:val="21"/>
              </w:rPr>
            </w:pPr>
            <w:r>
              <w:rPr>
                <w:rFonts w:ascii="宋体"/>
                <w:spacing w:val="-1"/>
                <w:sz w:val="21"/>
              </w:rPr>
              <w:t>13,973.48</w:t>
            </w:r>
          </w:p>
        </w:tc>
      </w:tr>
      <w:tr>
        <w:trPr>
          <w:trHeight w:val="79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占营业收入比例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13.47%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8.44%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10.20%</w:t>
            </w:r>
          </w:p>
        </w:tc>
      </w:tr>
    </w:tbl>
    <w:p>
      <w:pPr>
        <w:spacing w:line="240" w:lineRule="auto" w:before="12"/>
        <w:rPr>
          <w:rFonts w:ascii="宋体" w:hAnsi="宋体" w:cs="宋体" w:eastAsia="宋体" w:hint="default"/>
          <w:sz w:val="12"/>
          <w:szCs w:val="12"/>
        </w:rPr>
      </w:pPr>
    </w:p>
    <w:p>
      <w:pPr>
        <w:pStyle w:val="Heading7"/>
        <w:spacing w:line="240" w:lineRule="auto" w:before="26"/>
        <w:ind w:left="220" w:right="226"/>
        <w:jc w:val="left"/>
        <w:rPr>
          <w:b w:val="0"/>
          <w:bCs w:val="0"/>
        </w:rPr>
      </w:pPr>
      <w:r>
        <w:rPr/>
        <w:t>（六）报告期公司现金流量变动情况</w:t>
      </w:r>
      <w:r>
        <w:rPr>
          <w:b w:val="0"/>
          <w:bCs w:val="0"/>
        </w:rPr>
      </w:r>
    </w:p>
    <w:p>
      <w:pPr>
        <w:spacing w:line="240" w:lineRule="auto" w:before="12"/>
        <w:rPr>
          <w:rFonts w:ascii="宋体" w:hAnsi="宋体" w:cs="宋体" w:eastAsia="宋体" w:hint="default"/>
          <w:b/>
          <w:bCs/>
          <w:sz w:val="22"/>
          <w:szCs w:val="22"/>
        </w:rPr>
      </w:pPr>
    </w:p>
    <w:p>
      <w:pPr>
        <w:spacing w:before="36"/>
        <w:ind w:left="0" w:right="23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871"/>
        <w:gridCol w:w="2153"/>
        <w:gridCol w:w="2182"/>
        <w:gridCol w:w="1318"/>
      </w:tblGrid>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258"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一、经营活动产生的现金流量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53,855,682.06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1"/>
              <w:jc w:val="right"/>
              <w:rPr>
                <w:rFonts w:ascii="宋体" w:hAnsi="宋体" w:cs="宋体" w:eastAsia="宋体" w:hint="default"/>
                <w:sz w:val="21"/>
                <w:szCs w:val="21"/>
              </w:rPr>
            </w:pPr>
            <w:r>
              <w:rPr>
                <w:rFonts w:ascii="宋体"/>
                <w:spacing w:val="-1"/>
                <w:sz w:val="21"/>
              </w:rPr>
              <w:t>-3,004,624.04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1892.43%</w:t>
            </w:r>
          </w:p>
        </w:tc>
      </w:tr>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420,556,918.11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195,194,353.17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115.46%</w:t>
            </w:r>
          </w:p>
        </w:tc>
      </w:tr>
      <w:tr>
        <w:trPr>
          <w:trHeight w:val="79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366,701,236.05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198,198,977.21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z w:val="21"/>
              </w:rPr>
              <w:t>85.02%</w:t>
            </w:r>
          </w:p>
        </w:tc>
      </w:tr>
    </w:tbl>
    <w:p>
      <w:pPr>
        <w:spacing w:after="0" w:line="240" w:lineRule="auto"/>
        <w:jc w:val="right"/>
        <w:rPr>
          <w:rFonts w:ascii="宋体" w:hAnsi="宋体" w:cs="宋体" w:eastAsia="宋体" w:hint="default"/>
          <w:sz w:val="21"/>
          <w:szCs w:val="21"/>
        </w:rPr>
        <w:sectPr>
          <w:pgSz w:w="11910" w:h="16840"/>
          <w:pgMar w:header="0" w:footer="1195" w:top="1460" w:bottom="1380" w:left="1580" w:right="156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871"/>
        <w:gridCol w:w="2153"/>
        <w:gridCol w:w="2182"/>
        <w:gridCol w:w="1318"/>
      </w:tblGrid>
      <w:tr>
        <w:trPr>
          <w:trHeight w:val="1258"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二、投资活动产生的现金流量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-23,398,152.60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1"/>
              <w:jc w:val="right"/>
              <w:rPr>
                <w:rFonts w:ascii="宋体" w:hAnsi="宋体" w:cs="宋体" w:eastAsia="宋体" w:hint="default"/>
                <w:sz w:val="21"/>
                <w:szCs w:val="21"/>
              </w:rPr>
            </w:pPr>
            <w:r>
              <w:rPr>
                <w:rFonts w:ascii="宋体"/>
                <w:spacing w:val="-1"/>
                <w:sz w:val="21"/>
              </w:rPr>
              <w:t>-1,590,826.50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1370.82%</w:t>
            </w:r>
          </w:p>
        </w:tc>
      </w:tr>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18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r>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23,398,152.60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sz w:val="21"/>
              </w:rPr>
              <w:t>1,590,826.50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1370.82%</w:t>
            </w:r>
          </w:p>
        </w:tc>
      </w:tr>
      <w:tr>
        <w:trPr>
          <w:trHeight w:val="126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408"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三、筹资活动产生的现金流量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-17,410,094.96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637,931,836.76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-102.71%</w:t>
            </w:r>
          </w:p>
        </w:tc>
      </w:tr>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21,037,296.78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654,633,450.83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-96.79%</w:t>
            </w:r>
          </w:p>
        </w:tc>
      </w:tr>
      <w:tr>
        <w:trPr>
          <w:trHeight w:val="7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38,447,391.74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01"/>
              <w:jc w:val="right"/>
              <w:rPr>
                <w:rFonts w:ascii="宋体" w:hAnsi="宋体" w:cs="宋体" w:eastAsia="宋体" w:hint="default"/>
                <w:sz w:val="21"/>
                <w:szCs w:val="21"/>
              </w:rPr>
            </w:pPr>
            <w:r>
              <w:rPr>
                <w:rFonts w:ascii="宋体"/>
                <w:spacing w:val="-1"/>
                <w:sz w:val="21"/>
              </w:rPr>
              <w:t>16,701,614.07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225.18%</w:t>
            </w:r>
          </w:p>
        </w:tc>
      </w:tr>
      <w:tr>
        <w:trPr>
          <w:trHeight w:val="1258"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408"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四、现金及现金等价物净增加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13,047,434.50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8"/>
              <w:jc w:val="right"/>
              <w:rPr>
                <w:rFonts w:ascii="宋体" w:hAnsi="宋体" w:cs="宋体" w:eastAsia="宋体" w:hint="default"/>
                <w:sz w:val="21"/>
                <w:szCs w:val="21"/>
              </w:rPr>
            </w:pPr>
            <w:r>
              <w:rPr>
                <w:rFonts w:ascii="宋体"/>
                <w:spacing w:val="-1"/>
                <w:sz w:val="21"/>
              </w:rPr>
              <w:t>633,336,386.22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-97.96%</w:t>
            </w:r>
          </w:p>
        </w:tc>
      </w:tr>
    </w:tbl>
    <w:p>
      <w:pPr>
        <w:spacing w:line="240" w:lineRule="auto" w:before="12"/>
        <w:rPr>
          <w:rFonts w:ascii="宋体" w:hAnsi="宋体" w:cs="宋体" w:eastAsia="宋体" w:hint="default"/>
          <w:sz w:val="12"/>
          <w:szCs w:val="12"/>
        </w:rPr>
      </w:pPr>
    </w:p>
    <w:p>
      <w:pPr>
        <w:pStyle w:val="BodyText"/>
        <w:spacing w:line="357" w:lineRule="auto" w:before="26"/>
        <w:ind w:left="220" w:right="237" w:firstLine="479"/>
        <w:jc w:val="both"/>
      </w:pPr>
      <w:r>
        <w:rPr/>
        <w:t>报告期，公司经营活动产生的现金流量净额较</w:t>
      </w:r>
      <w:r>
        <w:rPr>
          <w:rFonts w:ascii="宋体" w:hAnsi="宋体" w:cs="宋体" w:eastAsia="宋体" w:hint="default"/>
        </w:rPr>
        <w:t>2010</w:t>
      </w:r>
      <w:r>
        <w:rPr/>
        <w:t>年度增长</w:t>
      </w:r>
      <w:r>
        <w:rPr>
          <w:rFonts w:ascii="宋体" w:hAnsi="宋体" w:cs="宋体" w:eastAsia="宋体" w:hint="default"/>
        </w:rPr>
        <w:t>50,851,058.02 </w:t>
      </w:r>
      <w:r>
        <w:rPr>
          <w:spacing w:val="-3"/>
        </w:rPr>
        <w:t>元，系公司加强资金管控力度，应收款回款及时所致；报告期，公司投资活动产</w:t>
      </w:r>
      <w:r>
        <w:rPr>
          <w:spacing w:val="-111"/>
        </w:rPr>
        <w:t> </w:t>
      </w:r>
      <w:r>
        <w:rPr>
          <w:spacing w:val="-111"/>
        </w:rPr>
      </w:r>
      <w:r>
        <w:rPr>
          <w:spacing w:val="-3"/>
        </w:rPr>
        <w:t>生的现金流量净额为负数，主要是子公司购置土地投入所致；报告期，公司筹资</w:t>
      </w:r>
      <w:r>
        <w:rPr>
          <w:spacing w:val="-111"/>
        </w:rPr>
        <w:t> </w:t>
      </w:r>
      <w:r>
        <w:rPr>
          <w:spacing w:val="-111"/>
        </w:rPr>
      </w:r>
      <w:r>
        <w:rPr/>
        <w:t>活动产生的现金流量净额为负数，主要是报告期分红派息所致。</w:t>
      </w:r>
    </w:p>
    <w:p>
      <w:pPr>
        <w:spacing w:line="477" w:lineRule="auto" w:before="193"/>
        <w:ind w:left="700" w:right="846" w:hanging="480"/>
        <w:jc w:val="left"/>
        <w:rPr>
          <w:rFonts w:ascii="宋体" w:hAnsi="宋体" w:cs="宋体" w:eastAsia="宋体" w:hint="default"/>
          <w:sz w:val="24"/>
          <w:szCs w:val="24"/>
        </w:rPr>
      </w:pPr>
      <w:r>
        <w:rPr>
          <w:rFonts w:ascii="宋体" w:hAnsi="宋体" w:cs="宋体" w:eastAsia="宋体" w:hint="default"/>
          <w:b/>
          <w:bCs/>
          <w:sz w:val="24"/>
          <w:szCs w:val="24"/>
        </w:rPr>
        <w:t>（七）公司主要子公司及参股公司的经营情况及业绩分析</w:t>
      </w:r>
      <w:r>
        <w:rPr>
          <w:rFonts w:ascii="宋体" w:hAnsi="宋体" w:cs="宋体" w:eastAsia="宋体" w:hint="default"/>
          <w:b/>
          <w:bCs/>
          <w:w w:val="99"/>
          <w:sz w:val="24"/>
          <w:szCs w:val="24"/>
        </w:rPr>
        <w:t> </w:t>
      </w:r>
      <w:r>
        <w:rPr>
          <w:rFonts w:ascii="宋体" w:hAnsi="宋体" w:cs="宋体" w:eastAsia="宋体" w:hint="default"/>
          <w:sz w:val="24"/>
          <w:szCs w:val="24"/>
        </w:rPr>
        <w:t>报告期内，公司控股子公司均纳入合并范围，子公司经营情况如下：</w:t>
      </w:r>
    </w:p>
    <w:p>
      <w:pPr>
        <w:pStyle w:val="Heading7"/>
        <w:spacing w:line="240" w:lineRule="auto" w:before="72"/>
        <w:ind w:left="220" w:right="226"/>
        <w:jc w:val="left"/>
        <w:rPr>
          <w:b w:val="0"/>
          <w:bCs w:val="0"/>
        </w:rPr>
      </w:pPr>
      <w:r>
        <w:rPr>
          <w:rFonts w:ascii="宋体" w:hAnsi="宋体" w:cs="宋体" w:eastAsia="宋体" w:hint="default"/>
        </w:rPr>
        <w:t>1</w:t>
      </w:r>
      <w:r>
        <w:rPr/>
        <w:t>、深圳市易联技术有限公司</w:t>
      </w:r>
      <w:r>
        <w:rPr>
          <w:spacing w:val="-4"/>
        </w:rPr>
        <w:t> </w:t>
      </w:r>
      <w:r>
        <w:rPr/>
        <w:t>（以下简称“易联技术”）</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left="220" w:right="102" w:firstLine="479"/>
        <w:jc w:val="left"/>
      </w:pP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19</w:t>
      </w:r>
      <w:r>
        <w:rPr/>
        <w:t>日，公司全资子公司“深圳市新国都软件技术有限公司”更名 为“深圳市易联技术有限公司”（以下简称易联技术），易联技术成立于</w:t>
      </w:r>
      <w:r>
        <w:rPr>
          <w:rFonts w:ascii="宋体" w:hAnsi="宋体" w:cs="宋体" w:eastAsia="宋体" w:hint="default"/>
        </w:rPr>
        <w:t>2007 </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27</w:t>
      </w:r>
      <w:r>
        <w:rPr>
          <w:spacing w:val="-3"/>
        </w:rPr>
        <w:t>日，现注册资本</w:t>
      </w:r>
      <w:r>
        <w:rPr>
          <w:rFonts w:ascii="宋体" w:hAnsi="宋体" w:cs="宋体" w:eastAsia="宋体" w:hint="default"/>
          <w:spacing w:val="-3"/>
        </w:rPr>
        <w:t>11000</w:t>
      </w:r>
      <w:r>
        <w:rPr>
          <w:spacing w:val="-3"/>
        </w:rPr>
        <w:t>万元人民币，经营范围是：软件技术开发和销售，</w:t>
      </w:r>
      <w:r>
        <w:rPr>
          <w:spacing w:val="-96"/>
        </w:rPr>
        <w:t> </w:t>
      </w:r>
      <w:r>
        <w:rPr>
          <w:spacing w:val="-96"/>
        </w:rPr>
      </w:r>
      <w:r>
        <w:rPr>
          <w:spacing w:val="-3"/>
        </w:rPr>
        <w:t>软件技术咨询，计算机系统集成，目前主要为母公司提供产品软件和增值应用软</w:t>
      </w:r>
      <w:r>
        <w:rPr>
          <w:spacing w:val="-111"/>
        </w:rPr>
        <w:t> </w:t>
      </w:r>
      <w:r>
        <w:rPr>
          <w:spacing w:val="-111"/>
        </w:rPr>
      </w:r>
      <w:r>
        <w:rPr/>
        <w:t>件的支撑服务。</w:t>
      </w:r>
    </w:p>
    <w:p>
      <w:pPr>
        <w:pStyle w:val="BodyText"/>
        <w:spacing w:line="240" w:lineRule="auto" w:before="192"/>
        <w:ind w:left="700" w:right="226"/>
        <w:jc w:val="left"/>
        <w:rPr>
          <w:rFonts w:ascii="宋体" w:hAnsi="宋体" w:cs="宋体" w:eastAsia="宋体" w:hint="default"/>
        </w:rPr>
      </w:pP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日，易联技术总资产</w:t>
      </w:r>
      <w:r>
        <w:rPr>
          <w:rFonts w:ascii="宋体" w:hAnsi="宋体" w:cs="宋体" w:eastAsia="宋体" w:hint="default"/>
        </w:rPr>
        <w:t>23,276.99</w:t>
      </w:r>
      <w:r>
        <w:rPr/>
        <w:t>万元，净资产</w:t>
      </w:r>
      <w:r>
        <w:rPr>
          <w:rFonts w:ascii="宋体" w:hAnsi="宋体" w:cs="宋体" w:eastAsia="宋体" w:hint="default"/>
        </w:rPr>
        <w:t>21,811.33</w:t>
      </w:r>
    </w:p>
    <w:p>
      <w:pPr>
        <w:spacing w:after="0" w:line="240" w:lineRule="auto"/>
        <w:jc w:val="left"/>
        <w:rPr>
          <w:rFonts w:ascii="宋体" w:hAnsi="宋体" w:cs="宋体" w:eastAsia="宋体" w:hint="default"/>
        </w:rPr>
        <w:sectPr>
          <w:pgSz w:w="11910" w:h="16840"/>
          <w:pgMar w:header="0" w:footer="1195" w:top="1340" w:bottom="1380" w:left="1580" w:right="1560"/>
        </w:sectPr>
      </w:pPr>
    </w:p>
    <w:p>
      <w:pPr>
        <w:pStyle w:val="BodyText"/>
        <w:spacing w:line="357" w:lineRule="auto" w:before="1"/>
        <w:ind w:right="216"/>
        <w:jc w:val="both"/>
      </w:pPr>
      <w:r>
        <w:rPr>
          <w:spacing w:val="-2"/>
        </w:rPr>
        <w:t>万元，比去年同期分别增长</w:t>
      </w:r>
      <w:r>
        <w:rPr>
          <w:rFonts w:ascii="宋体" w:hAnsi="宋体" w:cs="宋体" w:eastAsia="宋体" w:hint="default"/>
          <w:spacing w:val="-2"/>
        </w:rPr>
        <w:t>228.56%</w:t>
      </w:r>
      <w:r>
        <w:rPr>
          <w:spacing w:val="-2"/>
        </w:rPr>
        <w:t>、</w:t>
      </w:r>
      <w:r>
        <w:rPr>
          <w:rFonts w:ascii="宋体" w:hAnsi="宋体" w:cs="宋体" w:eastAsia="宋体" w:hint="default"/>
          <w:spacing w:val="-2"/>
        </w:rPr>
        <w:t>223.41%</w:t>
      </w:r>
      <w:r>
        <w:rPr>
          <w:spacing w:val="-2"/>
        </w:rPr>
        <w:t>。</w:t>
      </w:r>
      <w:r>
        <w:rPr>
          <w:rFonts w:ascii="宋体" w:hAnsi="宋体" w:cs="宋体" w:eastAsia="宋体" w:hint="default"/>
          <w:spacing w:val="-2"/>
        </w:rPr>
        <w:t>2011</w:t>
      </w:r>
      <w:r>
        <w:rPr>
          <w:spacing w:val="-2"/>
        </w:rPr>
        <w:t>年度实现营业收入</w:t>
      </w:r>
      <w:r>
        <w:rPr>
          <w:rFonts w:ascii="宋体" w:hAnsi="宋体" w:cs="宋体" w:eastAsia="宋体" w:hint="default"/>
          <w:spacing w:val="-2"/>
        </w:rPr>
        <w:t>7,823.87</w:t>
      </w:r>
      <w:r>
        <w:rPr>
          <w:rFonts w:ascii="宋体" w:hAnsi="宋体" w:cs="宋体" w:eastAsia="宋体" w:hint="default"/>
        </w:rPr>
        <w:t> </w:t>
      </w:r>
      <w:r>
        <w:rPr>
          <w:spacing w:val="-3"/>
        </w:rPr>
        <w:t>万元，营业利润</w:t>
      </w:r>
      <w:r>
        <w:rPr>
          <w:rFonts w:ascii="宋体" w:hAnsi="宋体" w:cs="宋体" w:eastAsia="宋体" w:hint="default"/>
          <w:spacing w:val="-3"/>
        </w:rPr>
        <w:t>4,715.98</w:t>
      </w:r>
      <w:r>
        <w:rPr>
          <w:spacing w:val="-3"/>
        </w:rPr>
        <w:t>万元，净利润</w:t>
      </w:r>
      <w:r>
        <w:rPr>
          <w:rFonts w:ascii="宋体" w:hAnsi="宋体" w:cs="宋体" w:eastAsia="宋体" w:hint="default"/>
          <w:spacing w:val="-3"/>
        </w:rPr>
        <w:t>5,067.12</w:t>
      </w:r>
      <w:r>
        <w:rPr>
          <w:spacing w:val="-3"/>
        </w:rPr>
        <w:t>万元，比去年同期相比分别增长</w:t>
      </w:r>
      <w:r>
        <w:rPr>
          <w:spacing w:val="-87"/>
        </w:rPr>
        <w:t> </w:t>
      </w:r>
      <w:r>
        <w:rPr>
          <w:spacing w:val="-87"/>
        </w:rPr>
      </w:r>
      <w:r>
        <w:rPr>
          <w:rFonts w:ascii="宋体" w:hAnsi="宋体" w:cs="宋体" w:eastAsia="宋体" w:hint="default"/>
        </w:rPr>
        <w:t>92.30%</w:t>
      </w:r>
      <w:r>
        <w:rPr/>
        <w:t>、</w:t>
      </w:r>
      <w:r>
        <w:rPr>
          <w:rFonts w:ascii="宋体" w:hAnsi="宋体" w:cs="宋体" w:eastAsia="宋体" w:hint="default"/>
        </w:rPr>
        <w:t>70.83%</w:t>
      </w:r>
      <w:r>
        <w:rPr/>
        <w:t>、</w:t>
      </w:r>
      <w:r>
        <w:rPr>
          <w:rFonts w:ascii="宋体" w:hAnsi="宋体" w:cs="宋体" w:eastAsia="宋体" w:hint="default"/>
        </w:rPr>
        <w:t>70.68%</w:t>
      </w:r>
      <w:r>
        <w:rPr/>
        <w:t>。</w:t>
      </w:r>
    </w:p>
    <w:p>
      <w:pPr>
        <w:pStyle w:val="BodyText"/>
        <w:spacing w:line="357" w:lineRule="auto" w:before="192"/>
        <w:ind w:right="122" w:firstLine="479"/>
        <w:jc w:val="both"/>
      </w:pPr>
      <w:r>
        <w:rPr/>
        <w:t>母公司新国都股份是易联技术主要客户，</w:t>
      </w:r>
      <w:r>
        <w:rPr>
          <w:rFonts w:ascii="宋体" w:hAnsi="宋体" w:cs="宋体" w:eastAsia="宋体" w:hint="default"/>
        </w:rPr>
        <w:t>2011</w:t>
      </w:r>
      <w:r>
        <w:rPr/>
        <w:t>年母公司销售增长了</w:t>
      </w:r>
      <w:r>
        <w:rPr>
          <w:rFonts w:ascii="宋体" w:hAnsi="宋体" w:cs="宋体" w:eastAsia="宋体" w:hint="default"/>
        </w:rPr>
        <w:t>63.81%</w:t>
      </w:r>
      <w:r>
        <w:rPr/>
        <w:t>， 因此，易联技术的营业收入随之同步增长</w:t>
      </w:r>
      <w:r>
        <w:rPr>
          <w:rFonts w:ascii="宋体" w:hAnsi="宋体" w:cs="宋体" w:eastAsia="宋体" w:hint="default"/>
        </w:rPr>
        <w:t>92.30%</w:t>
      </w:r>
      <w:r>
        <w:rPr/>
        <w:t>。</w:t>
      </w:r>
    </w:p>
    <w:p>
      <w:pPr>
        <w:pStyle w:val="Heading7"/>
        <w:spacing w:line="240" w:lineRule="auto"/>
        <w:ind w:right="0"/>
        <w:jc w:val="both"/>
        <w:rPr>
          <w:b w:val="0"/>
          <w:bCs w:val="0"/>
        </w:rPr>
      </w:pPr>
      <w:r>
        <w:rPr>
          <w:rFonts w:ascii="宋体" w:hAnsi="宋体" w:cs="宋体" w:eastAsia="宋体" w:hint="default"/>
        </w:rPr>
        <w:t>2</w:t>
      </w:r>
      <w:r>
        <w:rPr/>
        <w:t>、广州市新国都信息科技有限公司（以下简称“广州新国都”）</w:t>
      </w:r>
      <w:r>
        <w:rPr>
          <w:b w:val="0"/>
          <w:bCs w:val="0"/>
        </w:rPr>
      </w:r>
    </w:p>
    <w:p>
      <w:pPr>
        <w:spacing w:line="240" w:lineRule="auto" w:before="10"/>
        <w:rPr>
          <w:rFonts w:ascii="宋体" w:hAnsi="宋体" w:cs="宋体" w:eastAsia="宋体" w:hint="default"/>
          <w:b/>
          <w:bCs/>
          <w:sz w:val="23"/>
          <w:szCs w:val="23"/>
        </w:rPr>
      </w:pPr>
    </w:p>
    <w:p>
      <w:pPr>
        <w:pStyle w:val="BodyText"/>
        <w:spacing w:line="357" w:lineRule="auto"/>
        <w:ind w:right="216" w:firstLine="479"/>
        <w:jc w:val="both"/>
      </w:pPr>
      <w:r>
        <w:rPr/>
        <w:t>成立日期：</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8</w:t>
      </w:r>
      <w:r>
        <w:rPr/>
        <w:t>日，注册资本：</w:t>
      </w:r>
      <w:r>
        <w:rPr>
          <w:rFonts w:ascii="宋体" w:hAnsi="宋体" w:cs="宋体" w:eastAsia="宋体" w:hint="default"/>
        </w:rPr>
        <w:t>300</w:t>
      </w:r>
      <w:r>
        <w:rPr/>
        <w:t>万元，是公司全资子公司，经营 </w:t>
      </w:r>
      <w:r>
        <w:rPr>
          <w:spacing w:val="-3"/>
        </w:rPr>
        <w:t>范围是：计算机软件、智能设备的研究、开发、销售、技术咨询、技术服务；计</w:t>
      </w:r>
      <w:r>
        <w:rPr>
          <w:spacing w:val="-115"/>
        </w:rPr>
        <w:t> </w:t>
      </w:r>
      <w:r>
        <w:rPr>
          <w:spacing w:val="-115"/>
        </w:rPr>
      </w:r>
      <w:r>
        <w:rPr>
          <w:spacing w:val="-3"/>
        </w:rPr>
        <w:t>算机系统集成技术服务。广州新国都主要开展募集资金投资项目“电子支付终端</w:t>
      </w:r>
      <w:r>
        <w:rPr>
          <w:spacing w:val="-109"/>
        </w:rPr>
        <w:t> </w:t>
      </w:r>
      <w:r>
        <w:rPr>
          <w:spacing w:val="-109"/>
        </w:rPr>
      </w:r>
      <w:r>
        <w:rPr/>
        <w:t>设备运营项目”中的广州羊城通小额支付合作运营业务。</w:t>
      </w:r>
    </w:p>
    <w:p>
      <w:pPr>
        <w:pStyle w:val="BodyText"/>
        <w:spacing w:line="357" w:lineRule="auto" w:before="192"/>
        <w:ind w:right="362" w:firstLine="479"/>
        <w:jc w:val="left"/>
      </w:pP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日，广州新国都总资产为</w:t>
      </w:r>
      <w:r>
        <w:rPr>
          <w:rFonts w:ascii="宋体" w:hAnsi="宋体" w:cs="宋体" w:eastAsia="宋体" w:hint="default"/>
        </w:rPr>
        <w:t>212.52</w:t>
      </w:r>
      <w:r>
        <w:rPr/>
        <w:t>万元，净资产为</w:t>
      </w:r>
      <w:r>
        <w:rPr>
          <w:rFonts w:ascii="宋体" w:hAnsi="宋体" w:cs="宋体" w:eastAsia="宋体" w:hint="default"/>
        </w:rPr>
        <w:t>195.34 </w:t>
      </w:r>
      <w:r>
        <w:rPr/>
        <w:t>万元，</w:t>
      </w:r>
      <w:r>
        <w:rPr>
          <w:rFonts w:ascii="宋体" w:hAnsi="宋体" w:cs="宋体" w:eastAsia="宋体" w:hint="default"/>
        </w:rPr>
        <w:t>2011</w:t>
      </w:r>
      <w:r>
        <w:rPr/>
        <w:t>年度实现营业收入</w:t>
      </w:r>
      <w:r>
        <w:rPr>
          <w:rFonts w:ascii="宋体" w:hAnsi="宋体" w:cs="宋体" w:eastAsia="宋体" w:hint="default"/>
        </w:rPr>
        <w:t>7.00</w:t>
      </w:r>
      <w:r>
        <w:rPr/>
        <w:t>万元，净利润</w:t>
      </w:r>
      <w:r>
        <w:rPr>
          <w:rFonts w:ascii="宋体" w:hAnsi="宋体" w:cs="宋体" w:eastAsia="宋体" w:hint="default"/>
        </w:rPr>
        <w:t>-35.02</w:t>
      </w:r>
      <w:r>
        <w:rPr/>
        <w:t>万元。</w:t>
      </w:r>
    </w:p>
    <w:p>
      <w:pPr>
        <w:pStyle w:val="Heading7"/>
        <w:spacing w:line="240" w:lineRule="auto"/>
        <w:ind w:right="0"/>
        <w:jc w:val="both"/>
        <w:rPr>
          <w:b w:val="0"/>
          <w:bCs w:val="0"/>
        </w:rPr>
      </w:pPr>
      <w:r>
        <w:rPr>
          <w:rFonts w:ascii="宋体" w:hAnsi="宋体" w:cs="宋体" w:eastAsia="宋体" w:hint="default"/>
        </w:rPr>
        <w:t>3</w:t>
      </w:r>
      <w:r>
        <w:rPr/>
        <w:t>、南京市新国都技术有限公司（以下简称“南京新国都”）</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21" w:firstLine="479"/>
        <w:jc w:val="both"/>
      </w:pPr>
      <w:r>
        <w:rPr/>
        <w:t>成立日期：</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24</w:t>
      </w:r>
      <w:r>
        <w:rPr/>
        <w:t>日，注册资本：</w:t>
      </w:r>
      <w:r>
        <w:rPr>
          <w:rFonts w:ascii="宋体" w:hAnsi="宋体" w:cs="宋体" w:eastAsia="宋体" w:hint="default"/>
        </w:rPr>
        <w:t>1300</w:t>
      </w:r>
      <w:r>
        <w:rPr/>
        <w:t>万元，系公司全资子公司。经 </w:t>
      </w:r>
      <w:r>
        <w:rPr>
          <w:spacing w:val="-3"/>
        </w:rPr>
        <w:t>营范围是：软件技术开发与销售、技术咨询和服务；计算机系统集成；投资咨询</w:t>
      </w:r>
      <w:r>
        <w:rPr>
          <w:spacing w:val="-112"/>
        </w:rPr>
        <w:t> </w:t>
      </w:r>
      <w:r>
        <w:rPr>
          <w:spacing w:val="-112"/>
        </w:rPr>
      </w:r>
      <w:r>
        <w:rPr/>
        <w:t>服务；计算机产品及电子产品的技术开发、生产、销售、租赁及技术服务。</w:t>
      </w:r>
    </w:p>
    <w:p>
      <w:pPr>
        <w:pStyle w:val="BodyText"/>
        <w:spacing w:line="357" w:lineRule="auto" w:before="192"/>
        <w:ind w:right="347" w:firstLine="479"/>
        <w:jc w:val="left"/>
      </w:pP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日，南京新国都总资产</w:t>
      </w:r>
      <w:r>
        <w:rPr>
          <w:rFonts w:ascii="宋体" w:hAnsi="宋体" w:cs="宋体" w:eastAsia="宋体" w:hint="default"/>
        </w:rPr>
        <w:t>1,953.94</w:t>
      </w:r>
      <w:r>
        <w:rPr/>
        <w:t>万元，净资产</w:t>
      </w:r>
      <w:r>
        <w:rPr>
          <w:rFonts w:ascii="宋体" w:hAnsi="宋体" w:cs="宋体" w:eastAsia="宋体" w:hint="default"/>
        </w:rPr>
        <w:t>1,180.04 </w:t>
      </w:r>
      <w:r>
        <w:rPr/>
        <w:t>万元，营业收入为</w:t>
      </w:r>
      <w:r>
        <w:rPr>
          <w:rFonts w:ascii="宋体" w:hAnsi="宋体" w:cs="宋体" w:eastAsia="宋体" w:hint="default"/>
        </w:rPr>
        <w:t>201.91</w:t>
      </w:r>
      <w:r>
        <w:rPr/>
        <w:t>万元，净利润为</w:t>
      </w:r>
      <w:r>
        <w:rPr>
          <w:rFonts w:ascii="宋体" w:hAnsi="宋体" w:cs="宋体" w:eastAsia="宋体" w:hint="default"/>
        </w:rPr>
        <w:t>16.49</w:t>
      </w:r>
      <w:r>
        <w:rPr/>
        <w:t>万元。</w:t>
      </w:r>
    </w:p>
    <w:p>
      <w:pPr>
        <w:pStyle w:val="Heading7"/>
        <w:spacing w:line="240" w:lineRule="auto"/>
        <w:ind w:right="0"/>
        <w:jc w:val="both"/>
        <w:rPr>
          <w:b w:val="0"/>
          <w:bCs w:val="0"/>
        </w:rPr>
      </w:pPr>
      <w:r>
        <w:rPr>
          <w:rFonts w:ascii="宋体" w:hAnsi="宋体" w:cs="宋体" w:eastAsia="宋体" w:hint="default"/>
        </w:rPr>
        <w:t>4</w:t>
      </w:r>
      <w:r>
        <w:rPr/>
        <w:t>、肇庆市好易联网络有限公司（以下简称“肇庆好易联”）</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42" w:firstLine="479"/>
        <w:jc w:val="both"/>
      </w:pPr>
      <w:r>
        <w:rPr/>
        <w:t>成立日期：</w:t>
      </w:r>
      <w:r>
        <w:rPr>
          <w:rFonts w:ascii="宋体" w:hAnsi="宋体" w:cs="宋体" w:eastAsia="宋体" w:hint="default"/>
        </w:rPr>
        <w:t>2002</w:t>
      </w:r>
      <w:r>
        <w:rPr/>
        <w:t>年</w:t>
      </w:r>
      <w:r>
        <w:rPr>
          <w:rFonts w:ascii="宋体" w:hAnsi="宋体" w:cs="宋体" w:eastAsia="宋体" w:hint="default"/>
        </w:rPr>
        <w:t>7</w:t>
      </w:r>
      <w:r>
        <w:rPr/>
        <w:t>月</w:t>
      </w:r>
      <w:r>
        <w:rPr>
          <w:rFonts w:ascii="宋体" w:hAnsi="宋体" w:cs="宋体" w:eastAsia="宋体" w:hint="default"/>
        </w:rPr>
        <w:t>23</w:t>
      </w:r>
      <w:r>
        <w:rPr/>
        <w:t>日，注册资本：</w:t>
      </w:r>
      <w:r>
        <w:rPr>
          <w:rFonts w:ascii="宋体" w:hAnsi="宋体" w:cs="宋体" w:eastAsia="宋体" w:hint="default"/>
        </w:rPr>
        <w:t>300</w:t>
      </w:r>
      <w:r>
        <w:rPr/>
        <w:t>万元，公司持股</w:t>
      </w:r>
      <w:r>
        <w:rPr>
          <w:rFonts w:ascii="宋体" w:hAnsi="宋体" w:cs="宋体" w:eastAsia="宋体" w:hint="default"/>
        </w:rPr>
        <w:t>49%</w:t>
      </w:r>
      <w:r>
        <w:rPr/>
        <w:t>，是公司参 股子公司，经营范围是：为特约商户提供金融</w:t>
      </w:r>
      <w:r>
        <w:rPr>
          <w:rFonts w:ascii="宋体" w:hAnsi="宋体" w:cs="宋体" w:eastAsia="宋体" w:hint="default"/>
        </w:rPr>
        <w:t>POS</w:t>
      </w:r>
      <w:r>
        <w:rPr/>
        <w:t>终端技术维护服务，其主要客 户为广州市银联网络支付有限公司和各商业银行。</w:t>
      </w:r>
    </w:p>
    <w:p>
      <w:pPr>
        <w:pStyle w:val="BodyText"/>
        <w:spacing w:line="357" w:lineRule="auto" w:before="192"/>
        <w:ind w:right="92" w:firstLine="479"/>
        <w:jc w:val="left"/>
      </w:pPr>
      <w:r>
        <w:rPr>
          <w:spacing w:val="-5"/>
        </w:rPr>
        <w:t>截止</w:t>
      </w:r>
      <w:r>
        <w:rPr>
          <w:rFonts w:ascii="宋体" w:hAnsi="宋体" w:cs="宋体" w:eastAsia="宋体" w:hint="default"/>
          <w:spacing w:val="-5"/>
        </w:rPr>
        <w:t>2011</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日，肇庆好易联总资产</w:t>
      </w:r>
      <w:r>
        <w:rPr>
          <w:rFonts w:ascii="宋体" w:hAnsi="宋体" w:cs="宋体" w:eastAsia="宋体" w:hint="default"/>
          <w:spacing w:val="-5"/>
        </w:rPr>
        <w:t>1,267.29</w:t>
      </w:r>
      <w:r>
        <w:rPr>
          <w:spacing w:val="-5"/>
        </w:rPr>
        <w:t>万元，净资产</w:t>
      </w:r>
      <w:r>
        <w:rPr>
          <w:rFonts w:ascii="宋体" w:hAnsi="宋体" w:cs="宋体" w:eastAsia="宋体" w:hint="default"/>
          <w:spacing w:val="-5"/>
        </w:rPr>
        <w:t>664.12</w:t>
      </w:r>
      <w:r>
        <w:rPr>
          <w:spacing w:val="-5"/>
        </w:rPr>
        <w:t>万元，</w:t>
      </w:r>
      <w:r>
        <w:rPr/>
        <w:t> 营业收入为</w:t>
      </w:r>
      <w:r>
        <w:rPr>
          <w:rFonts w:ascii="宋体" w:hAnsi="宋体" w:cs="宋体" w:eastAsia="宋体" w:hint="default"/>
        </w:rPr>
        <w:t>755.99</w:t>
      </w:r>
      <w:r>
        <w:rPr/>
        <w:t>万元，净利润为</w:t>
      </w:r>
      <w:r>
        <w:rPr>
          <w:rFonts w:ascii="宋体" w:hAnsi="宋体" w:cs="宋体" w:eastAsia="宋体" w:hint="default"/>
        </w:rPr>
        <w:t>120.48</w:t>
      </w:r>
      <w:r>
        <w:rPr>
          <w:rFonts w:ascii="宋体" w:hAnsi="宋体" w:cs="宋体" w:eastAsia="宋体" w:hint="default"/>
          <w:spacing w:val="-1"/>
        </w:rPr>
        <w:t> </w:t>
      </w:r>
      <w:r>
        <w:rPr/>
        <w:t>万元。</w:t>
      </w:r>
    </w:p>
    <w:p>
      <w:pPr>
        <w:spacing w:after="0" w:line="357" w:lineRule="auto"/>
        <w:jc w:val="left"/>
        <w:sectPr>
          <w:pgSz w:w="11910" w:h="16840"/>
          <w:pgMar w:header="0" w:footer="1195" w:top="1460" w:bottom="1380" w:left="1680" w:right="1580"/>
        </w:sectPr>
      </w:pPr>
    </w:p>
    <w:p>
      <w:pPr>
        <w:pStyle w:val="Heading7"/>
        <w:spacing w:line="240" w:lineRule="auto" w:before="1"/>
        <w:ind w:right="94"/>
        <w:jc w:val="left"/>
        <w:rPr>
          <w:b w:val="0"/>
          <w:bCs w:val="0"/>
        </w:rPr>
      </w:pPr>
      <w:r>
        <w:rPr>
          <w:rFonts w:ascii="宋体" w:hAnsi="宋体" w:cs="宋体" w:eastAsia="宋体" w:hint="default"/>
        </w:rPr>
        <w:t>5</w:t>
      </w:r>
      <w:r>
        <w:rPr/>
        <w:t>、苏州新国都电子技术有限公司（以下简称“苏州新国都”）</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11" w:firstLine="479"/>
        <w:jc w:val="left"/>
      </w:pPr>
      <w:r>
        <w:rPr>
          <w:spacing w:val="-3"/>
        </w:rPr>
        <w:t>成立日期：</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23</w:t>
      </w:r>
      <w:r>
        <w:rPr>
          <w:spacing w:val="-3"/>
        </w:rPr>
        <w:t>日，注册资本：</w:t>
      </w:r>
      <w:r>
        <w:rPr>
          <w:rFonts w:ascii="宋体" w:hAnsi="宋体" w:cs="宋体" w:eastAsia="宋体" w:hint="default"/>
          <w:spacing w:val="-3"/>
        </w:rPr>
        <w:t>15000</w:t>
      </w:r>
      <w:r>
        <w:rPr>
          <w:spacing w:val="-3"/>
        </w:rPr>
        <w:t>万元，实收资本</w:t>
      </w:r>
      <w:r>
        <w:rPr>
          <w:rFonts w:ascii="宋体" w:hAnsi="宋体" w:cs="宋体" w:eastAsia="宋体" w:hint="default"/>
          <w:spacing w:val="-3"/>
        </w:rPr>
        <w:t>3000</w:t>
      </w:r>
      <w:r>
        <w:rPr>
          <w:spacing w:val="-3"/>
        </w:rPr>
        <w:t>万元，公</w:t>
      </w:r>
      <w:r>
        <w:rPr/>
        <w:t> 司持股</w:t>
      </w:r>
      <w:r>
        <w:rPr>
          <w:rFonts w:ascii="宋体" w:hAnsi="宋体" w:cs="宋体" w:eastAsia="宋体" w:hint="default"/>
        </w:rPr>
        <w:t>90%</w:t>
      </w:r>
      <w:r>
        <w:rPr/>
        <w:t>，是公司控股子公司，经营范围是：电子产品及计算机产品的技术开 </w:t>
      </w:r>
      <w:r>
        <w:rPr>
          <w:spacing w:val="-3"/>
        </w:rPr>
        <w:t>发、销售、技术咨询及技术服务；计算机系统集成；投资咨询服务。苏州新国都</w:t>
      </w:r>
      <w:r>
        <w:rPr>
          <w:spacing w:val="-114"/>
        </w:rPr>
        <w:t> </w:t>
      </w:r>
      <w:r>
        <w:rPr>
          <w:spacing w:val="-114"/>
        </w:rPr>
      </w:r>
      <w:r>
        <w:rPr/>
        <w:t>目前主要作为超募资金投资项目“电子支付技术苏州研发基地项目”的实施主</w:t>
      </w:r>
      <w:r>
        <w:rPr/>
        <w:t> 体。</w:t>
      </w:r>
    </w:p>
    <w:p>
      <w:pPr>
        <w:pStyle w:val="BodyText"/>
        <w:spacing w:line="357" w:lineRule="auto" w:before="193"/>
        <w:ind w:right="362" w:firstLine="479"/>
        <w:jc w:val="left"/>
      </w:pP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日，苏州新国都总资产</w:t>
      </w:r>
      <w:r>
        <w:rPr>
          <w:rFonts w:ascii="宋体" w:hAnsi="宋体" w:cs="宋体" w:eastAsia="宋体" w:hint="default"/>
        </w:rPr>
        <w:t>2,986.00</w:t>
      </w:r>
      <w:r>
        <w:rPr/>
        <w:t>万元，净资产</w:t>
      </w:r>
      <w:r>
        <w:rPr>
          <w:rFonts w:ascii="宋体" w:hAnsi="宋体" w:cs="宋体" w:eastAsia="宋体" w:hint="default"/>
        </w:rPr>
        <w:t>2,984.50 </w:t>
      </w:r>
      <w:r>
        <w:rPr/>
        <w:t>万元，营业收入为</w:t>
      </w:r>
      <w:r>
        <w:rPr>
          <w:rFonts w:ascii="宋体" w:hAnsi="宋体" w:cs="宋体" w:eastAsia="宋体" w:hint="default"/>
        </w:rPr>
        <w:t>0</w:t>
      </w:r>
      <w:r>
        <w:rPr/>
        <w:t>万元，净利润为</w:t>
      </w:r>
      <w:r>
        <w:rPr>
          <w:rFonts w:ascii="宋体" w:hAnsi="宋体" w:cs="宋体" w:eastAsia="宋体" w:hint="default"/>
        </w:rPr>
        <w:t>-15.50</w:t>
      </w:r>
      <w:r>
        <w:rPr/>
        <w:t>万元。</w:t>
      </w:r>
    </w:p>
    <w:p>
      <w:pPr>
        <w:spacing w:line="477" w:lineRule="auto" w:before="192"/>
        <w:ind w:left="600" w:right="2266" w:hanging="480"/>
        <w:jc w:val="left"/>
        <w:rPr>
          <w:rFonts w:ascii="宋体" w:hAnsi="宋体" w:cs="宋体" w:eastAsia="宋体" w:hint="default"/>
          <w:sz w:val="24"/>
          <w:szCs w:val="24"/>
        </w:rPr>
      </w:pPr>
      <w:r>
        <w:rPr>
          <w:rFonts w:ascii="宋体" w:hAnsi="宋体" w:cs="宋体" w:eastAsia="宋体" w:hint="default"/>
          <w:b/>
          <w:bCs/>
          <w:sz w:val="24"/>
          <w:szCs w:val="24"/>
        </w:rPr>
        <w:t>（八）公司控制的特殊目的主体情况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公司未设立特殊目的公司，也无控制的特殊目的公司。</w:t>
      </w:r>
    </w:p>
    <w:p>
      <w:pPr>
        <w:pStyle w:val="Heading7"/>
        <w:spacing w:line="240" w:lineRule="auto" w:before="72"/>
        <w:ind w:right="94"/>
        <w:jc w:val="left"/>
        <w:rPr>
          <w:b w:val="0"/>
          <w:bCs w:val="0"/>
        </w:rPr>
      </w:pPr>
      <w:r>
        <w:rPr/>
        <w:t>二、对公司未来发展的展望</w:t>
      </w:r>
      <w:r>
        <w:rPr>
          <w:b w:val="0"/>
          <w:bCs w:val="0"/>
        </w:rPr>
      </w:r>
    </w:p>
    <w:p>
      <w:pPr>
        <w:spacing w:line="620" w:lineRule="atLeast" w:before="4"/>
        <w:ind w:left="600" w:right="105" w:hanging="480"/>
        <w:jc w:val="left"/>
        <w:rPr>
          <w:rFonts w:ascii="宋体" w:hAnsi="宋体" w:cs="宋体" w:eastAsia="宋体" w:hint="default"/>
          <w:sz w:val="24"/>
          <w:szCs w:val="24"/>
        </w:rPr>
      </w:pPr>
      <w:r>
        <w:rPr>
          <w:rFonts w:ascii="宋体" w:hAnsi="宋体" w:cs="宋体" w:eastAsia="宋体" w:hint="default"/>
          <w:b/>
          <w:bCs/>
          <w:sz w:val="24"/>
          <w:szCs w:val="24"/>
        </w:rPr>
        <w:t>（一）公司所处行业宏观发展趋势</w:t>
      </w:r>
      <w:r>
        <w:rPr>
          <w:rFonts w:ascii="宋体" w:hAnsi="宋体" w:cs="宋体" w:eastAsia="宋体" w:hint="default"/>
          <w:b/>
          <w:bCs/>
          <w:w w:val="99"/>
          <w:sz w:val="24"/>
          <w:szCs w:val="24"/>
        </w:rPr>
        <w:t> </w:t>
      </w:r>
      <w:r>
        <w:rPr>
          <w:rFonts w:ascii="宋体" w:hAnsi="宋体" w:cs="宋体" w:eastAsia="宋体" w:hint="default"/>
          <w:sz w:val="24"/>
          <w:szCs w:val="24"/>
        </w:rPr>
        <w:t>公司经过十几年的业务摸索和积累，已经形成了以金融</w:t>
      </w:r>
      <w:r>
        <w:rPr>
          <w:rFonts w:ascii="宋体" w:hAnsi="宋体" w:cs="宋体" w:eastAsia="宋体" w:hint="default"/>
          <w:spacing w:val="-59"/>
          <w:sz w:val="24"/>
          <w:szCs w:val="24"/>
        </w:rPr>
        <w:t> </w:t>
      </w:r>
      <w:r>
        <w:rPr>
          <w:rFonts w:ascii="宋体" w:hAnsi="宋体" w:cs="宋体" w:eastAsia="宋体" w:hint="default"/>
          <w:sz w:val="24"/>
          <w:szCs w:val="24"/>
        </w:rPr>
        <w:t>POS</w:t>
      </w:r>
      <w:r>
        <w:rPr>
          <w:rFonts w:ascii="宋体" w:hAnsi="宋体" w:cs="宋体" w:eastAsia="宋体" w:hint="default"/>
          <w:spacing w:val="-60"/>
          <w:sz w:val="24"/>
          <w:szCs w:val="24"/>
        </w:rPr>
        <w:t> </w:t>
      </w:r>
      <w:r>
        <w:rPr>
          <w:rFonts w:ascii="宋体" w:hAnsi="宋体" w:cs="宋体" w:eastAsia="宋体" w:hint="default"/>
          <w:sz w:val="24"/>
          <w:szCs w:val="24"/>
        </w:rPr>
        <w:t>机为技术载体，</w:t>
      </w:r>
    </w:p>
    <w:p>
      <w:pPr>
        <w:pStyle w:val="BodyText"/>
        <w:spacing w:line="357" w:lineRule="auto" w:before="154"/>
        <w:ind w:right="211"/>
        <w:jc w:val="left"/>
      </w:pPr>
      <w:r>
        <w:rPr>
          <w:spacing w:val="-3"/>
        </w:rPr>
        <w:t>向客户提供电子支付技术服务，并向客户提供电子支付技术整体解决方案。报告</w:t>
      </w:r>
      <w:r>
        <w:rPr>
          <w:spacing w:val="-111"/>
        </w:rPr>
        <w:t> </w:t>
      </w:r>
      <w:r>
        <w:rPr>
          <w:spacing w:val="-111"/>
        </w:rPr>
      </w:r>
      <w:r>
        <w:rPr/>
        <w:t>期内，公司所处行业处于稳步发展阶段，整体竞争格局未发生重大变化。</w:t>
      </w:r>
    </w:p>
    <w:p>
      <w:pPr>
        <w:pStyle w:val="BodyText"/>
        <w:spacing w:line="240" w:lineRule="auto" w:before="192"/>
        <w:ind w:right="94"/>
        <w:jc w:val="left"/>
      </w:pPr>
      <w:r>
        <w:rPr>
          <w:rFonts w:ascii="宋体" w:hAnsi="宋体" w:cs="宋体" w:eastAsia="宋体" w:hint="default"/>
        </w:rPr>
        <w:t>1</w:t>
      </w:r>
      <w:r>
        <w:rPr/>
        <w:t>、银行卡受理市场继续稳定发展</w:t>
      </w:r>
    </w:p>
    <w:p>
      <w:pPr>
        <w:spacing w:line="240" w:lineRule="auto" w:before="9"/>
        <w:rPr>
          <w:rFonts w:ascii="宋体" w:hAnsi="宋体" w:cs="宋体" w:eastAsia="宋体" w:hint="default"/>
          <w:sz w:val="23"/>
          <w:szCs w:val="23"/>
        </w:rPr>
      </w:pPr>
    </w:p>
    <w:p>
      <w:pPr>
        <w:pStyle w:val="BodyText"/>
        <w:spacing w:line="357" w:lineRule="auto"/>
        <w:ind w:right="83" w:firstLine="479"/>
        <w:jc w:val="left"/>
      </w:pPr>
      <w:r>
        <w:rPr>
          <w:spacing w:val="-6"/>
        </w:rPr>
        <w:t>根据中国人民银行支付结算司发布的《</w:t>
      </w:r>
      <w:r>
        <w:rPr>
          <w:rFonts w:ascii="宋体" w:hAnsi="宋体" w:cs="宋体" w:eastAsia="宋体" w:hint="default"/>
          <w:spacing w:val="-6"/>
        </w:rPr>
        <w:t>2011</w:t>
      </w:r>
      <w:r>
        <w:rPr>
          <w:spacing w:val="-6"/>
        </w:rPr>
        <w:t>年支付体系运行总体情况》来看，</w:t>
      </w:r>
      <w:r>
        <w:rPr/>
        <w:t> </w:t>
      </w:r>
      <w:r>
        <w:rPr>
          <w:rFonts w:ascii="宋体" w:hAnsi="宋体" w:cs="宋体" w:eastAsia="宋体" w:hint="default"/>
          <w:spacing w:val="-3"/>
        </w:rPr>
        <w:t>2011</w:t>
      </w:r>
      <w:r>
        <w:rPr>
          <w:spacing w:val="-3"/>
        </w:rPr>
        <w:t>年度，我国的银行卡发卡量持续增长，信用卡累计发卡量占比略有上升。截</w:t>
      </w:r>
      <w:r>
        <w:rPr>
          <w:spacing w:val="-104"/>
        </w:rPr>
        <w:t> </w:t>
      </w:r>
      <w:r>
        <w:rPr>
          <w:spacing w:val="-104"/>
        </w:rPr>
      </w:r>
      <w:r>
        <w:rPr/>
        <w:t>至</w:t>
      </w:r>
      <w:r>
        <w:rPr>
          <w:rFonts w:ascii="宋体" w:hAnsi="宋体" w:cs="宋体" w:eastAsia="宋体" w:hint="default"/>
        </w:rPr>
        <w:t>2011</w:t>
      </w:r>
      <w:r>
        <w:rPr/>
        <w:t>年末，全国累计发行银行卡</w:t>
      </w:r>
      <w:r>
        <w:rPr>
          <w:rFonts w:ascii="宋体" w:hAnsi="宋体" w:cs="宋体" w:eastAsia="宋体" w:hint="default"/>
        </w:rPr>
        <w:t>29.49</w:t>
      </w:r>
      <w:r>
        <w:rPr>
          <w:rFonts w:ascii="宋体" w:hAnsi="宋体" w:cs="宋体" w:eastAsia="宋体" w:hint="default"/>
          <w:spacing w:val="-1"/>
        </w:rPr>
        <w:t> </w:t>
      </w:r>
      <w:r>
        <w:rPr/>
        <w:t>亿张，同比增长</w:t>
      </w:r>
      <w:r>
        <w:rPr>
          <w:rFonts w:ascii="宋体" w:hAnsi="宋体" w:cs="宋体" w:eastAsia="宋体" w:hint="default"/>
        </w:rPr>
        <w:t>22.1%</w:t>
      </w:r>
      <w:r>
        <w:rPr/>
        <w:t>，增速较上年同 期加快</w:t>
      </w:r>
      <w:r>
        <w:rPr>
          <w:rFonts w:ascii="宋体" w:hAnsi="宋体" w:cs="宋体" w:eastAsia="宋体" w:hint="default"/>
        </w:rPr>
        <w:t>5.2</w:t>
      </w:r>
      <w:r>
        <w:rPr/>
        <w:t>个百分点。其中，信用卡累计发卡量为</w:t>
      </w:r>
      <w:r>
        <w:rPr>
          <w:rFonts w:ascii="宋体" w:hAnsi="宋体" w:cs="宋体" w:eastAsia="宋体" w:hint="default"/>
        </w:rPr>
        <w:t>2.85 </w:t>
      </w:r>
      <w:r>
        <w:rPr/>
        <w:t>亿张，同比增长</w:t>
      </w:r>
      <w:r>
        <w:rPr>
          <w:rFonts w:ascii="宋体" w:hAnsi="宋体" w:cs="宋体" w:eastAsia="宋体" w:hint="default"/>
        </w:rPr>
        <w:t>24.3%</w:t>
      </w:r>
      <w:r>
        <w:rPr/>
        <w:t>； 借记卡累计发卡量与信用卡累计发卡量之间的比例约为</w:t>
      </w:r>
      <w:r>
        <w:rPr>
          <w:rFonts w:ascii="宋体" w:hAnsi="宋体" w:cs="宋体" w:eastAsia="宋体" w:hint="default"/>
        </w:rPr>
        <w:t>9.33:1</w:t>
      </w:r>
      <w:r>
        <w:rPr/>
        <w:t>，同比略有下降； 信用卡累计发卡量占比同比小幅增长</w:t>
      </w:r>
      <w:r>
        <w:rPr>
          <w:rFonts w:ascii="宋体" w:hAnsi="宋体" w:cs="宋体" w:eastAsia="宋体" w:hint="default"/>
        </w:rPr>
        <w:t>0.2 </w:t>
      </w:r>
      <w:r>
        <w:rPr/>
        <w:t>个百分点。全国人均拥有银行卡</w:t>
      </w:r>
      <w:r>
        <w:rPr>
          <w:rFonts w:ascii="宋体" w:hAnsi="宋体" w:cs="宋体" w:eastAsia="宋体" w:hint="default"/>
        </w:rPr>
        <w:t>2.20 </w:t>
      </w:r>
      <w:r>
        <w:rPr/>
        <w:t>张、信用卡</w:t>
      </w:r>
      <w:r>
        <w:rPr>
          <w:rFonts w:ascii="宋体" w:hAnsi="宋体" w:cs="宋体" w:eastAsia="宋体" w:hint="default"/>
        </w:rPr>
        <w:t>0.21</w:t>
      </w:r>
      <w:r>
        <w:rPr>
          <w:rFonts w:ascii="宋体" w:hAnsi="宋体" w:cs="宋体" w:eastAsia="宋体" w:hint="default"/>
          <w:spacing w:val="-1"/>
        </w:rPr>
        <w:t> </w:t>
      </w:r>
      <w:r>
        <w:rPr/>
        <w:t>张，同比分别增长</w:t>
      </w:r>
      <w:r>
        <w:rPr>
          <w:rFonts w:ascii="宋体" w:hAnsi="宋体" w:cs="宋体" w:eastAsia="宋体" w:hint="default"/>
        </w:rPr>
        <w:t>21.5%</w:t>
      </w:r>
      <w:r>
        <w:rPr/>
        <w:t>、</w:t>
      </w:r>
      <w:r>
        <w:rPr>
          <w:rFonts w:ascii="宋体" w:hAnsi="宋体" w:cs="宋体" w:eastAsia="宋体" w:hint="default"/>
        </w:rPr>
        <w:t>23.5%</w:t>
      </w:r>
      <w:r>
        <w:rPr/>
        <w:t>。北京、上海信用卡人均拥有 量远高于全国平均水平，分别达到</w:t>
      </w:r>
      <w:r>
        <w:rPr>
          <w:rFonts w:ascii="宋体" w:hAnsi="宋体" w:cs="宋体" w:eastAsia="宋体" w:hint="default"/>
        </w:rPr>
        <w:t>1.30 </w:t>
      </w:r>
      <w:r>
        <w:rPr>
          <w:spacing w:val="-6"/>
        </w:rPr>
        <w:t>张、</w:t>
      </w:r>
      <w:r>
        <w:rPr>
          <w:rFonts w:ascii="宋体" w:hAnsi="宋体" w:cs="宋体" w:eastAsia="宋体" w:hint="default"/>
          <w:spacing w:val="-6"/>
        </w:rPr>
        <w:t>1.05</w:t>
      </w:r>
      <w:r>
        <w:rPr>
          <w:rFonts w:ascii="宋体" w:hAnsi="宋体" w:cs="宋体" w:eastAsia="宋体" w:hint="default"/>
          <w:spacing w:val="-14"/>
        </w:rPr>
        <w:t> </w:t>
      </w:r>
      <w:r>
        <w:rPr>
          <w:spacing w:val="-3"/>
        </w:rPr>
        <w:t>张。银行卡跨行支付系统联网</w:t>
      </w:r>
      <w:r>
        <w:rPr/>
        <w:t> </w:t>
      </w:r>
      <w:r>
        <w:rPr>
          <w:spacing w:val="-1"/>
        </w:rPr>
        <w:t>商户</w:t>
      </w:r>
      <w:r>
        <w:rPr>
          <w:rFonts w:ascii="宋体" w:hAnsi="宋体" w:cs="宋体" w:eastAsia="宋体" w:hint="default"/>
          <w:spacing w:val="-1"/>
        </w:rPr>
        <w:t>318.01</w:t>
      </w:r>
      <w:r>
        <w:rPr>
          <w:rFonts w:ascii="宋体" w:hAnsi="宋体" w:cs="宋体" w:eastAsia="宋体" w:hint="default"/>
        </w:rPr>
        <w:t> </w:t>
      </w:r>
      <w:r>
        <w:rPr>
          <w:spacing w:val="-7"/>
        </w:rPr>
        <w:t>万户，联网</w:t>
      </w:r>
      <w:r>
        <w:rPr>
          <w:rFonts w:ascii="宋体" w:hAnsi="宋体" w:cs="宋体" w:eastAsia="宋体" w:hint="default"/>
          <w:spacing w:val="-7"/>
        </w:rPr>
        <w:t>POS</w:t>
      </w:r>
      <w:r>
        <w:rPr>
          <w:spacing w:val="-7"/>
        </w:rPr>
        <w:t>机具</w:t>
      </w:r>
      <w:r>
        <w:rPr>
          <w:rFonts w:ascii="宋体" w:hAnsi="宋体" w:cs="宋体" w:eastAsia="宋体" w:hint="default"/>
          <w:spacing w:val="-7"/>
        </w:rPr>
        <w:t>482.65</w:t>
      </w:r>
      <w:r>
        <w:rPr>
          <w:rFonts w:ascii="宋体" w:hAnsi="宋体" w:cs="宋体" w:eastAsia="宋体" w:hint="default"/>
        </w:rPr>
        <w:t> </w:t>
      </w:r>
      <w:r>
        <w:rPr>
          <w:spacing w:val="-14"/>
        </w:rPr>
        <w:t>万台，较</w:t>
      </w:r>
      <w:r>
        <w:rPr>
          <w:rFonts w:ascii="宋体" w:hAnsi="宋体" w:cs="宋体" w:eastAsia="宋体" w:hint="default"/>
          <w:spacing w:val="-14"/>
        </w:rPr>
        <w:t>2010</w:t>
      </w:r>
      <w:r>
        <w:rPr>
          <w:rFonts w:ascii="宋体" w:hAnsi="宋体" w:cs="宋体" w:eastAsia="宋体" w:hint="default"/>
        </w:rPr>
        <w:t> </w:t>
      </w:r>
      <w:r>
        <w:rPr/>
        <w:t>年末分别增加</w:t>
      </w:r>
      <w:r>
        <w:rPr>
          <w:rFonts w:ascii="宋体" w:hAnsi="宋体" w:cs="宋体" w:eastAsia="宋体" w:hint="default"/>
        </w:rPr>
        <w:t>99.71</w:t>
      </w:r>
      <w:r>
        <w:rPr>
          <w:rFonts w:ascii="宋体" w:hAnsi="宋体" w:cs="宋体" w:eastAsia="宋体" w:hint="default"/>
          <w:spacing w:val="14"/>
        </w:rPr>
        <w:t> </w:t>
      </w:r>
      <w:r>
        <w:rPr/>
        <w:t>万户、 </w:t>
      </w:r>
      <w:r>
        <w:rPr>
          <w:rFonts w:ascii="宋体" w:hAnsi="宋体" w:cs="宋体" w:eastAsia="宋体" w:hint="default"/>
        </w:rPr>
        <w:t>149.25 </w:t>
      </w:r>
      <w:r>
        <w:rPr/>
        <w:t>万台，每台</w:t>
      </w:r>
      <w:r>
        <w:rPr>
          <w:rFonts w:ascii="宋体" w:hAnsi="宋体" w:cs="宋体" w:eastAsia="宋体" w:hint="default"/>
        </w:rPr>
        <w:t>POS</w:t>
      </w:r>
      <w:r>
        <w:rPr/>
        <w:t>对应的银行卡数量为</w:t>
      </w:r>
      <w:r>
        <w:rPr>
          <w:rFonts w:ascii="宋体" w:hAnsi="宋体" w:cs="宋体" w:eastAsia="宋体" w:hint="default"/>
        </w:rPr>
        <w:t>672</w:t>
      </w:r>
      <w:r>
        <w:rPr>
          <w:rFonts w:ascii="宋体" w:hAnsi="宋体" w:cs="宋体" w:eastAsia="宋体" w:hint="default"/>
          <w:spacing w:val="-1"/>
        </w:rPr>
        <w:t> </w:t>
      </w:r>
      <w:r>
        <w:rPr/>
        <w:t>张，同比减少</w:t>
      </w:r>
      <w:r>
        <w:rPr>
          <w:rFonts w:ascii="宋体" w:hAnsi="宋体" w:cs="宋体" w:eastAsia="宋体" w:hint="default"/>
        </w:rPr>
        <w:t>7.2%</w:t>
      </w:r>
      <w:r>
        <w:rPr/>
        <w:t>。</w:t>
      </w:r>
    </w:p>
    <w:p>
      <w:pPr>
        <w:spacing w:after="0" w:line="357" w:lineRule="auto"/>
        <w:jc w:val="left"/>
        <w:sectPr>
          <w:pgSz w:w="11910" w:h="16840"/>
          <w:pgMar w:header="0" w:footer="1195" w:top="1460" w:bottom="1380" w:left="1680" w:right="1580"/>
        </w:sectPr>
      </w:pPr>
    </w:p>
    <w:p>
      <w:pPr>
        <w:pStyle w:val="BodyText"/>
        <w:spacing w:line="357" w:lineRule="auto" w:before="1"/>
        <w:ind w:right="223" w:firstLine="479"/>
        <w:jc w:val="left"/>
      </w:pPr>
      <w:r>
        <w:rPr>
          <w:spacing w:val="-3"/>
        </w:rPr>
        <w:t>与此同时，银行卡作为我国居民使用的最广泛的非现金支付工具，近年来业</w:t>
      </w:r>
      <w:r>
        <w:rPr/>
        <w:t> 务量持续快速增长。</w:t>
      </w:r>
      <w:r>
        <w:rPr>
          <w:rFonts w:ascii="宋体" w:hAnsi="宋体" w:cs="宋体" w:eastAsia="宋体" w:hint="default"/>
        </w:rPr>
        <w:t>2011</w:t>
      </w:r>
      <w:r>
        <w:rPr/>
        <w:t>年，全国共发生银行卡业务</w:t>
      </w:r>
      <w:r>
        <w:rPr>
          <w:rFonts w:ascii="宋体" w:hAnsi="宋体" w:cs="宋体" w:eastAsia="宋体" w:hint="default"/>
        </w:rPr>
        <w:t>317.80 </w:t>
      </w:r>
      <w:r>
        <w:rPr/>
        <w:t>亿笔，同比增长 </w:t>
      </w:r>
      <w:r>
        <w:rPr>
          <w:rFonts w:ascii="宋体" w:hAnsi="宋体" w:cs="宋体" w:eastAsia="宋体" w:hint="default"/>
        </w:rPr>
        <w:t>23.4%</w:t>
      </w:r>
      <w:r>
        <w:rPr/>
        <w:t>，增速较上年同期放缓</w:t>
      </w:r>
      <w:r>
        <w:rPr>
          <w:rFonts w:ascii="宋体" w:hAnsi="宋体" w:cs="宋体" w:eastAsia="宋体" w:hint="default"/>
        </w:rPr>
        <w:t>7.4 </w:t>
      </w:r>
      <w:r>
        <w:rPr>
          <w:spacing w:val="-3"/>
        </w:rPr>
        <w:t>个百分点；交易金额</w:t>
      </w:r>
      <w:r>
        <w:rPr>
          <w:rFonts w:ascii="宋体" w:hAnsi="宋体" w:cs="宋体" w:eastAsia="宋体" w:hint="default"/>
          <w:spacing w:val="-3"/>
        </w:rPr>
        <w:t>323.83</w:t>
      </w:r>
      <w:r>
        <w:rPr>
          <w:rFonts w:ascii="宋体" w:hAnsi="宋体" w:cs="宋体" w:eastAsia="宋体" w:hint="default"/>
          <w:spacing w:val="-20"/>
        </w:rPr>
        <w:t> </w:t>
      </w:r>
      <w:r>
        <w:rPr>
          <w:spacing w:val="-4"/>
        </w:rPr>
        <w:t>万亿元，同比增长</w:t>
      </w:r>
    </w:p>
    <w:p>
      <w:pPr>
        <w:pStyle w:val="BodyText"/>
        <w:spacing w:line="357" w:lineRule="auto" w:before="36"/>
        <w:ind w:right="222"/>
        <w:jc w:val="left"/>
      </w:pPr>
      <w:r>
        <w:rPr>
          <w:rFonts w:ascii="宋体" w:hAnsi="宋体" w:cs="宋体" w:eastAsia="宋体" w:hint="default"/>
        </w:rPr>
        <w:t>31.2%</w:t>
      </w:r>
      <w:r>
        <w:rPr/>
        <w:t>，增速较上年同期放缓</w:t>
      </w:r>
      <w:r>
        <w:rPr>
          <w:rFonts w:ascii="宋体" w:hAnsi="宋体" w:cs="宋体" w:eastAsia="宋体" w:hint="default"/>
        </w:rPr>
        <w:t>17.5 </w:t>
      </w:r>
      <w:r>
        <w:rPr>
          <w:spacing w:val="-3"/>
        </w:rPr>
        <w:t>个百分点。其中，银行卡消费</w:t>
      </w:r>
      <w:r>
        <w:rPr>
          <w:rFonts w:ascii="宋体" w:hAnsi="宋体" w:cs="宋体" w:eastAsia="宋体" w:hint="default"/>
          <w:spacing w:val="-3"/>
        </w:rPr>
        <w:t>64.13</w:t>
      </w:r>
      <w:r>
        <w:rPr>
          <w:rFonts w:ascii="宋体" w:hAnsi="宋体" w:cs="宋体" w:eastAsia="宋体" w:hint="default"/>
          <w:spacing w:val="-18"/>
        </w:rPr>
        <w:t> </w:t>
      </w:r>
      <w:r>
        <w:rPr>
          <w:spacing w:val="-6"/>
        </w:rPr>
        <w:t>亿笔，金</w:t>
      </w:r>
      <w:r>
        <w:rPr/>
        <w:t> 额</w:t>
      </w:r>
      <w:r>
        <w:rPr>
          <w:rFonts w:ascii="宋体" w:hAnsi="宋体" w:cs="宋体" w:eastAsia="宋体" w:hint="default"/>
        </w:rPr>
        <w:t>15.21 </w:t>
      </w:r>
      <w:r>
        <w:rPr/>
        <w:t>万亿元，同比分别增长</w:t>
      </w:r>
      <w:r>
        <w:rPr>
          <w:rFonts w:ascii="宋体" w:hAnsi="宋体" w:cs="宋体" w:eastAsia="宋体" w:hint="default"/>
        </w:rPr>
        <w:t>32.3%</w:t>
      </w:r>
      <w:r>
        <w:rPr/>
        <w:t>和</w:t>
      </w:r>
      <w:r>
        <w:rPr>
          <w:rFonts w:ascii="宋体" w:hAnsi="宋体" w:cs="宋体" w:eastAsia="宋体" w:hint="default"/>
        </w:rPr>
        <w:t>45.8%</w:t>
      </w:r>
      <w:r>
        <w:rPr/>
        <w:t>。</w:t>
      </w:r>
      <w:r>
        <w:rPr>
          <w:rFonts w:ascii="宋体" w:hAnsi="宋体" w:cs="宋体" w:eastAsia="宋体" w:hint="default"/>
        </w:rPr>
        <w:t>2011</w:t>
      </w:r>
      <w:r>
        <w:rPr>
          <w:rFonts w:ascii="宋体" w:hAnsi="宋体" w:cs="宋体" w:eastAsia="宋体" w:hint="default"/>
          <w:spacing w:val="-1"/>
        </w:rPr>
        <w:t> </w:t>
      </w:r>
      <w:r>
        <w:rPr/>
        <w:t>年，全国银行卡卡均消费 金额和笔均消费金额分别为</w:t>
      </w:r>
      <w:r>
        <w:rPr>
          <w:rFonts w:ascii="宋体" w:hAnsi="宋体" w:cs="宋体" w:eastAsia="宋体" w:hint="default"/>
        </w:rPr>
        <w:t>5529 </w:t>
      </w:r>
      <w:r>
        <w:rPr/>
        <w:t>元和</w:t>
      </w:r>
      <w:r>
        <w:rPr>
          <w:rFonts w:ascii="宋体" w:hAnsi="宋体" w:cs="宋体" w:eastAsia="宋体" w:hint="default"/>
        </w:rPr>
        <w:t>2373 </w:t>
      </w:r>
      <w:r>
        <w:rPr/>
        <w:t>元，与</w:t>
      </w:r>
      <w:r>
        <w:rPr>
          <w:rFonts w:ascii="宋体" w:hAnsi="宋体" w:cs="宋体" w:eastAsia="宋体" w:hint="default"/>
        </w:rPr>
        <w:t>2010 </w:t>
      </w:r>
      <w:r>
        <w:rPr/>
        <w:t>年相比分别增长</w:t>
      </w:r>
      <w:r>
        <w:rPr>
          <w:rFonts w:ascii="宋体" w:hAnsi="宋体" w:cs="宋体" w:eastAsia="宋体" w:hint="default"/>
        </w:rPr>
        <w:t>28.0% </w:t>
      </w:r>
      <w:r>
        <w:rPr>
          <w:spacing w:val="-3"/>
        </w:rPr>
        <w:t>和</w:t>
      </w:r>
      <w:r>
        <w:rPr>
          <w:rFonts w:ascii="宋体" w:hAnsi="宋体" w:cs="宋体" w:eastAsia="宋体" w:hint="default"/>
          <w:spacing w:val="-3"/>
        </w:rPr>
        <w:t>10.3%</w:t>
      </w:r>
      <w:r>
        <w:rPr>
          <w:spacing w:val="-3"/>
        </w:rPr>
        <w:t>。银行卡消费呈现快速增长态势，全年银行卡渗透率达到</w:t>
      </w:r>
      <w:r>
        <w:rPr>
          <w:rFonts w:ascii="宋体" w:hAnsi="宋体" w:cs="宋体" w:eastAsia="宋体" w:hint="default"/>
          <w:spacing w:val="-3"/>
        </w:rPr>
        <w:t>38.6%</w:t>
      </w:r>
      <w:r>
        <w:rPr>
          <w:spacing w:val="-3"/>
        </w:rPr>
        <w:t>，比上年</w:t>
      </w:r>
      <w:r>
        <w:rPr>
          <w:spacing w:val="-96"/>
        </w:rPr>
        <w:t> </w:t>
      </w:r>
      <w:r>
        <w:rPr>
          <w:spacing w:val="-96"/>
        </w:rPr>
      </w:r>
      <w:r>
        <w:rPr/>
        <w:t>提高</w:t>
      </w:r>
      <w:r>
        <w:rPr>
          <w:rFonts w:ascii="宋体" w:hAnsi="宋体" w:cs="宋体" w:eastAsia="宋体" w:hint="default"/>
        </w:rPr>
        <w:t>3.5</w:t>
      </w:r>
      <w:r>
        <w:rPr/>
        <w:t>个百分点。综上可见，我国银行卡受理市场稳定发展。</w:t>
      </w:r>
    </w:p>
    <w:p>
      <w:pPr>
        <w:pStyle w:val="BodyText"/>
        <w:spacing w:line="357" w:lineRule="auto" w:before="36"/>
        <w:ind w:right="126" w:firstLine="479"/>
        <w:jc w:val="left"/>
      </w:pPr>
      <w:r>
        <w:rPr/>
        <w:t>尽管如此，我国的银行卡受理环境相比欧美发达国家，仍存在不小的差距。 </w:t>
      </w:r>
      <w:r>
        <w:rPr>
          <w:spacing w:val="-3"/>
        </w:rPr>
        <w:t>根据《中国银行卡产业发展研究报告（</w:t>
      </w:r>
      <w:r>
        <w:rPr>
          <w:rFonts w:ascii="宋体" w:hAnsi="宋体" w:cs="宋体" w:eastAsia="宋体" w:hint="default"/>
          <w:spacing w:val="-3"/>
        </w:rPr>
        <w:t>2009</w:t>
      </w:r>
      <w:r>
        <w:rPr>
          <w:spacing w:val="-3"/>
        </w:rPr>
        <w:t>）》显示，截至</w:t>
      </w:r>
      <w:r>
        <w:rPr>
          <w:rFonts w:ascii="宋体" w:hAnsi="宋体" w:cs="宋体" w:eastAsia="宋体" w:hint="default"/>
          <w:spacing w:val="-3"/>
        </w:rPr>
        <w:t>2007</w:t>
      </w:r>
      <w:r>
        <w:rPr>
          <w:spacing w:val="-3"/>
        </w:rPr>
        <w:t>年底，法国、德</w:t>
      </w:r>
      <w:r>
        <w:rPr>
          <w:spacing w:val="-103"/>
        </w:rPr>
        <w:t> </w:t>
      </w:r>
      <w:r>
        <w:rPr>
          <w:spacing w:val="-103"/>
        </w:rPr>
      </w:r>
      <w:r>
        <w:rPr/>
        <w:t>国、美国每台</w:t>
      </w:r>
      <w:r>
        <w:rPr>
          <w:rFonts w:ascii="宋体" w:hAnsi="宋体" w:cs="宋体" w:eastAsia="宋体" w:hint="default"/>
        </w:rPr>
        <w:t>POS</w:t>
      </w:r>
      <w:r>
        <w:rPr/>
        <w:t>机对应的银行卡数量分别为</w:t>
      </w:r>
      <w:r>
        <w:rPr>
          <w:rFonts w:ascii="宋体" w:hAnsi="宋体" w:cs="宋体" w:eastAsia="宋体" w:hint="default"/>
        </w:rPr>
        <w:t>80</w:t>
      </w:r>
      <w:r>
        <w:rPr/>
        <w:t>张、</w:t>
      </w:r>
      <w:r>
        <w:rPr>
          <w:rFonts w:ascii="宋体" w:hAnsi="宋体" w:cs="宋体" w:eastAsia="宋体" w:hint="default"/>
        </w:rPr>
        <w:t>210</w:t>
      </w:r>
      <w:r>
        <w:rPr/>
        <w:t>张和</w:t>
      </w:r>
      <w:r>
        <w:rPr>
          <w:rFonts w:ascii="宋体" w:hAnsi="宋体" w:cs="宋体" w:eastAsia="宋体" w:hint="default"/>
        </w:rPr>
        <w:t>502</w:t>
      </w:r>
      <w:r>
        <w:rPr/>
        <w:t>张，而根据中国 银联</w:t>
      </w:r>
      <w:r>
        <w:rPr>
          <w:rFonts w:ascii="宋体" w:hAnsi="宋体" w:cs="宋体" w:eastAsia="宋体" w:hint="default"/>
        </w:rPr>
        <w:t>2006</w:t>
      </w:r>
      <w:r>
        <w:rPr/>
        <w:t>年</w:t>
      </w:r>
      <w:r>
        <w:rPr>
          <w:rFonts w:ascii="宋体" w:hAnsi="宋体" w:cs="宋体" w:eastAsia="宋体" w:hint="default"/>
        </w:rPr>
        <w:t>10</w:t>
      </w:r>
      <w:r>
        <w:rPr/>
        <w:t>月《中国重点城市银行卡市场发展指数》报告，美国、澳大利亚、 </w:t>
      </w:r>
      <w:r>
        <w:rPr>
          <w:spacing w:val="-3"/>
        </w:rPr>
        <w:t>英国和加拿大四国银行卡市场中每万人平均拥有</w:t>
      </w:r>
      <w:r>
        <w:rPr>
          <w:rFonts w:ascii="宋体" w:hAnsi="宋体" w:cs="宋体" w:eastAsia="宋体" w:hint="default"/>
          <w:spacing w:val="-3"/>
        </w:rPr>
        <w:t>170</w:t>
      </w:r>
      <w:r>
        <w:rPr>
          <w:spacing w:val="-3"/>
        </w:rPr>
        <w:t>台</w:t>
      </w:r>
      <w:r>
        <w:rPr>
          <w:rFonts w:ascii="宋体" w:hAnsi="宋体" w:cs="宋体" w:eastAsia="宋体" w:hint="default"/>
          <w:spacing w:val="-3"/>
        </w:rPr>
        <w:t>POS</w:t>
      </w:r>
      <w:r>
        <w:rPr>
          <w:spacing w:val="-3"/>
        </w:rPr>
        <w:t>终端。而我国截至</w:t>
      </w:r>
      <w:r>
        <w:rPr>
          <w:rFonts w:ascii="宋体" w:hAnsi="宋体" w:cs="宋体" w:eastAsia="宋体" w:hint="default"/>
          <w:spacing w:val="-3"/>
        </w:rPr>
        <w:t>2011</w:t>
      </w:r>
      <w:r>
        <w:rPr>
          <w:rFonts w:ascii="宋体" w:hAnsi="宋体" w:cs="宋体" w:eastAsia="宋体" w:hint="default"/>
          <w:spacing w:val="-94"/>
        </w:rPr>
        <w:t> </w:t>
      </w:r>
      <w:r>
        <w:rPr>
          <w:spacing w:val="-3"/>
        </w:rPr>
        <w:t>年末，每台</w:t>
      </w:r>
      <w:r>
        <w:rPr>
          <w:rFonts w:ascii="宋体" w:hAnsi="宋体" w:cs="宋体" w:eastAsia="宋体" w:hint="default"/>
          <w:spacing w:val="-3"/>
        </w:rPr>
        <w:t>POS</w:t>
      </w:r>
      <w:r>
        <w:rPr>
          <w:spacing w:val="-3"/>
        </w:rPr>
        <w:t>终端对应的银行卡数量为</w:t>
      </w:r>
      <w:r>
        <w:rPr>
          <w:rFonts w:ascii="宋体" w:hAnsi="宋体" w:cs="宋体" w:eastAsia="宋体" w:hint="default"/>
          <w:spacing w:val="-3"/>
        </w:rPr>
        <w:t>672</w:t>
      </w:r>
      <w:r>
        <w:rPr>
          <w:spacing w:val="-3"/>
        </w:rPr>
        <w:t>张，每万人平均拥有</w:t>
      </w:r>
      <w:r>
        <w:rPr>
          <w:rFonts w:ascii="宋体" w:hAnsi="宋体" w:cs="宋体" w:eastAsia="宋体" w:hint="default"/>
          <w:spacing w:val="-3"/>
        </w:rPr>
        <w:t>35.99</w:t>
      </w:r>
      <w:r>
        <w:rPr>
          <w:spacing w:val="-3"/>
        </w:rPr>
        <w:t>台</w:t>
      </w:r>
      <w:r>
        <w:rPr>
          <w:rFonts w:ascii="宋体" w:hAnsi="宋体" w:cs="宋体" w:eastAsia="宋体" w:hint="default"/>
          <w:spacing w:val="-3"/>
        </w:rPr>
        <w:t>POS</w:t>
      </w:r>
      <w:r>
        <w:rPr>
          <w:spacing w:val="-3"/>
        </w:rPr>
        <w:t>终端</w:t>
      </w:r>
    </w:p>
    <w:p>
      <w:pPr>
        <w:pStyle w:val="BodyText"/>
        <w:spacing w:line="580" w:lineRule="auto" w:before="36"/>
        <w:ind w:right="246"/>
        <w:jc w:val="left"/>
      </w:pPr>
      <w:r>
        <w:rPr/>
        <w:t>（中国人口总数以中国统计局《</w:t>
      </w:r>
      <w:r>
        <w:rPr>
          <w:rFonts w:ascii="宋体" w:hAnsi="宋体" w:cs="宋体" w:eastAsia="宋体" w:hint="default"/>
        </w:rPr>
        <w:t>2010</w:t>
      </w:r>
      <w:r>
        <w:rPr/>
        <w:t>年度统计公报》公布数据</w:t>
      </w:r>
      <w:r>
        <w:rPr>
          <w:rFonts w:ascii="宋体" w:hAnsi="宋体" w:cs="宋体" w:eastAsia="宋体" w:hint="default"/>
        </w:rPr>
        <w:t>13.41</w:t>
      </w:r>
      <w:r>
        <w:rPr/>
        <w:t>亿为准）。 </w:t>
      </w:r>
      <w:r>
        <w:rPr>
          <w:rFonts w:ascii="宋体" w:hAnsi="宋体" w:cs="宋体" w:eastAsia="宋体" w:hint="default"/>
        </w:rPr>
        <w:t>2</w:t>
      </w:r>
      <w:r>
        <w:rPr/>
        <w:t>、</w:t>
      </w:r>
      <w:r>
        <w:rPr>
          <w:rFonts w:ascii="宋体" w:hAnsi="宋体" w:cs="宋体" w:eastAsia="宋体" w:hint="default"/>
        </w:rPr>
        <w:t>POS</w:t>
      </w:r>
      <w:r>
        <w:rPr>
          <w:rFonts w:ascii="宋体" w:hAnsi="宋体" w:cs="宋体" w:eastAsia="宋体" w:hint="default"/>
          <w:spacing w:val="-61"/>
        </w:rPr>
        <w:t> </w:t>
      </w:r>
      <w:r>
        <w:rPr/>
        <w:t>收单业务的新发展</w:t>
      </w:r>
    </w:p>
    <w:p>
      <w:pPr>
        <w:pStyle w:val="BodyText"/>
        <w:spacing w:line="357" w:lineRule="auto" w:before="110"/>
        <w:ind w:right="0" w:firstLine="479"/>
        <w:jc w:val="left"/>
      </w:pPr>
      <w:r>
        <w:rPr>
          <w:spacing w:val="-3"/>
        </w:rPr>
        <w:t>随着中国人民银行《非金融机构支付服务管理办法》及其实施细则的颁布与</w:t>
      </w:r>
      <w:r>
        <w:rPr/>
        <w:t> 发行，我国的</w:t>
      </w:r>
      <w:r>
        <w:rPr>
          <w:rFonts w:ascii="宋体" w:hAnsi="宋体" w:cs="宋体" w:eastAsia="宋体" w:hint="default"/>
        </w:rPr>
        <w:t>POS</w:t>
      </w:r>
      <w:r>
        <w:rPr/>
        <w:t>收单业务迎来了新发展。</w:t>
      </w:r>
      <w:r>
        <w:rPr>
          <w:rFonts w:ascii="宋体" w:hAnsi="宋体" w:cs="宋体" w:eastAsia="宋体" w:hint="default"/>
        </w:rPr>
        <w:t>2011</w:t>
      </w:r>
      <w:r>
        <w:rPr/>
        <w:t>年，继传统的收单机构之后，我 国出现了一批通过获得电子支付服务牌照而获得银行卡收单资格的社会第三方 </w:t>
      </w:r>
      <w:r>
        <w:rPr>
          <w:spacing w:val="-3"/>
        </w:rPr>
        <w:t>收单服务机构。据统计，截止</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日，中国人民银行共发出电子支付服</w:t>
      </w:r>
      <w:r>
        <w:rPr>
          <w:spacing w:val="-99"/>
        </w:rPr>
        <w:t> </w:t>
      </w:r>
      <w:r>
        <w:rPr>
          <w:spacing w:val="-99"/>
        </w:rPr>
      </w:r>
      <w:r>
        <w:rPr>
          <w:spacing w:val="-3"/>
        </w:rPr>
        <w:t>务牌照</w:t>
      </w:r>
      <w:r>
        <w:rPr>
          <w:rFonts w:ascii="宋体" w:hAnsi="宋体" w:cs="宋体" w:eastAsia="宋体" w:hint="default"/>
          <w:spacing w:val="-3"/>
        </w:rPr>
        <w:t>101</w:t>
      </w:r>
      <w:r>
        <w:rPr>
          <w:spacing w:val="-3"/>
        </w:rPr>
        <w:t>张，其中获得银行卡收单服务资格的企业</w:t>
      </w:r>
      <w:r>
        <w:rPr>
          <w:rFonts w:ascii="宋体" w:hAnsi="宋体" w:cs="宋体" w:eastAsia="宋体" w:hint="default"/>
          <w:spacing w:val="-3"/>
        </w:rPr>
        <w:t>46</w:t>
      </w:r>
      <w:r>
        <w:rPr>
          <w:spacing w:val="-3"/>
        </w:rPr>
        <w:t>家，包括银联商务、通联、</w:t>
      </w:r>
      <w:r>
        <w:rPr>
          <w:spacing w:val="-102"/>
        </w:rPr>
        <w:t> </w:t>
      </w:r>
      <w:r>
        <w:rPr>
          <w:spacing w:val="-102"/>
        </w:rPr>
      </w:r>
      <w:r>
        <w:rPr>
          <w:spacing w:val="-3"/>
        </w:rPr>
        <w:t>快钱、拉卡拉、支付宝、财付通等多家知名企业，电信行业三大运营商旗下子公</w:t>
      </w:r>
      <w:r>
        <w:rPr>
          <w:spacing w:val="-111"/>
        </w:rPr>
        <w:t> </w:t>
      </w:r>
      <w:r>
        <w:rPr>
          <w:spacing w:val="-111"/>
        </w:rPr>
      </w:r>
      <w:r>
        <w:rPr>
          <w:spacing w:val="-3"/>
        </w:rPr>
        <w:t>司（中国电信）天翼、（中国联通）联通沃易付、（中国移动）联动优势也已获</w:t>
      </w:r>
      <w:r>
        <w:rPr>
          <w:spacing w:val="-110"/>
        </w:rPr>
        <w:t> </w:t>
      </w:r>
      <w:r>
        <w:rPr>
          <w:spacing w:val="-110"/>
        </w:rPr>
      </w:r>
      <w:r>
        <w:rPr/>
        <w:t>得银行卡收单服务牌照。</w:t>
      </w:r>
    </w:p>
    <w:p>
      <w:pPr>
        <w:pStyle w:val="BodyText"/>
        <w:spacing w:line="357" w:lineRule="auto" w:before="192"/>
        <w:ind w:right="237" w:firstLine="479"/>
        <w:jc w:val="both"/>
      </w:pPr>
      <w:r>
        <w:rPr/>
        <w:t>随着社会第三方收单服务机构纷纷获得牌照，陆续开展</w:t>
      </w:r>
      <w:r>
        <w:rPr>
          <w:rFonts w:ascii="宋体" w:hAnsi="宋体" w:cs="宋体" w:eastAsia="宋体" w:hint="default"/>
        </w:rPr>
        <w:t>POS</w:t>
      </w:r>
      <w:r>
        <w:rPr/>
        <w:t>收单业务，未来 </w:t>
      </w:r>
      <w:r>
        <w:rPr>
          <w:rFonts w:ascii="宋体" w:hAnsi="宋体" w:cs="宋体" w:eastAsia="宋体" w:hint="default"/>
        </w:rPr>
        <w:t>POS</w:t>
      </w:r>
      <w:r>
        <w:rPr/>
        <w:t>收单市场的竞争将越来越激烈。如三大电信运营商获得了银行卡收单服务牌 </w:t>
      </w:r>
      <w:r>
        <w:rPr>
          <w:spacing w:val="-3"/>
        </w:rPr>
        <w:t>照后，他们将基于各自的电信服务业务，开展银行卡收单服务，必然为我国的收</w:t>
      </w:r>
      <w:r>
        <w:rPr>
          <w:spacing w:val="-111"/>
        </w:rPr>
        <w:t> </w:t>
      </w:r>
      <w:r>
        <w:rPr>
          <w:spacing w:val="-111"/>
        </w:rPr>
      </w:r>
      <w:r>
        <w:rPr>
          <w:spacing w:val="-3"/>
        </w:rPr>
        <w:t>单服务市场带来新的改变。银联商务、通联等传统的支付服务公司，也将凭借其</w:t>
      </w:r>
    </w:p>
    <w:p>
      <w:pPr>
        <w:spacing w:after="0" w:line="357" w:lineRule="auto"/>
        <w:jc w:val="both"/>
        <w:sectPr>
          <w:pgSz w:w="11910" w:h="16840"/>
          <w:pgMar w:header="0" w:footer="1195" w:top="1460" w:bottom="1380" w:left="1680" w:right="1560"/>
        </w:sectPr>
      </w:pPr>
    </w:p>
    <w:p>
      <w:pPr>
        <w:pStyle w:val="BodyText"/>
        <w:spacing w:line="357" w:lineRule="auto" w:before="1"/>
        <w:ind w:right="82"/>
        <w:jc w:val="left"/>
      </w:pPr>
      <w:r>
        <w:rPr/>
        <w:t>在各自领域所形成的天然业务平台，推行新的增值服务，以提升对商户的服务， </w:t>
      </w:r>
      <w:r>
        <w:rPr>
          <w:spacing w:val="-6"/>
        </w:rPr>
        <w:t>增加商户粘性，取得相应增值业务来带的边际收益。而大型网络购物平台支付宝、</w:t>
      </w:r>
      <w:r>
        <w:rPr/>
        <w:t> </w:t>
      </w:r>
      <w:r>
        <w:rPr>
          <w:spacing w:val="-3"/>
        </w:rPr>
        <w:t>京东商城，网络虚拟社区运营商财付通等，其支付服务由纯粹的线上支付，开始</w:t>
      </w:r>
      <w:r>
        <w:rPr>
          <w:spacing w:val="-110"/>
        </w:rPr>
        <w:t> </w:t>
      </w:r>
      <w:r>
        <w:rPr>
          <w:spacing w:val="-110"/>
        </w:rPr>
      </w:r>
      <w:r>
        <w:rPr/>
        <w:t>逐步向线上支付和线下支付并行的模式转移，行业内业务模式之间的互相渗透， 为</w:t>
      </w:r>
      <w:r>
        <w:rPr>
          <w:rFonts w:ascii="宋体" w:hAnsi="宋体" w:cs="宋体" w:eastAsia="宋体" w:hint="default"/>
        </w:rPr>
        <w:t>POS</w:t>
      </w:r>
      <w:r>
        <w:rPr/>
        <w:t>设备供应商带来更多的市场机会。</w:t>
      </w:r>
    </w:p>
    <w:p>
      <w:pPr>
        <w:spacing w:line="240" w:lineRule="auto" w:before="2"/>
        <w:rPr>
          <w:rFonts w:ascii="宋体" w:hAnsi="宋体" w:cs="宋体" w:eastAsia="宋体" w:hint="default"/>
          <w:sz w:val="25"/>
          <w:szCs w:val="25"/>
        </w:rPr>
      </w:pPr>
    </w:p>
    <w:p>
      <w:pPr>
        <w:pStyle w:val="BodyText"/>
        <w:spacing w:line="240" w:lineRule="auto"/>
        <w:ind w:right="94"/>
        <w:jc w:val="left"/>
      </w:pPr>
      <w:r>
        <w:rPr>
          <w:rFonts w:ascii="宋体" w:hAnsi="宋体" w:cs="宋体" w:eastAsia="宋体" w:hint="default"/>
        </w:rPr>
        <w:t>3</w:t>
      </w:r>
      <w:r>
        <w:rPr/>
        <w:t>、</w:t>
      </w:r>
      <w:r>
        <w:rPr>
          <w:rFonts w:ascii="宋体" w:hAnsi="宋体" w:cs="宋体" w:eastAsia="宋体" w:hint="default"/>
        </w:rPr>
        <w:t>POS</w:t>
      </w:r>
      <w:r>
        <w:rPr>
          <w:rFonts w:ascii="宋体" w:hAnsi="宋体" w:cs="宋体" w:eastAsia="宋体" w:hint="default"/>
          <w:spacing w:val="-61"/>
        </w:rPr>
        <w:t> </w:t>
      </w:r>
      <w:r>
        <w:rPr/>
        <w:t>终端的发展趋势</w:t>
      </w:r>
    </w:p>
    <w:p>
      <w:pPr>
        <w:spacing w:line="240" w:lineRule="auto" w:before="7"/>
        <w:rPr>
          <w:rFonts w:ascii="宋体" w:hAnsi="宋体" w:cs="宋体" w:eastAsia="宋体" w:hint="default"/>
          <w:sz w:val="34"/>
          <w:szCs w:val="34"/>
        </w:rPr>
      </w:pPr>
    </w:p>
    <w:p>
      <w:pPr>
        <w:pStyle w:val="BodyText"/>
        <w:spacing w:line="357" w:lineRule="auto"/>
        <w:ind w:right="217" w:firstLine="479"/>
        <w:jc w:val="both"/>
      </w:pPr>
      <w:r>
        <w:rPr>
          <w:spacing w:val="-3"/>
        </w:rPr>
        <w:t>随着银行卡受理环境的完善、社会收单服务机构的壮大以及电子技术的不断</w:t>
      </w:r>
      <w:r>
        <w:rPr/>
        <w:t> </w:t>
      </w:r>
      <w:r>
        <w:rPr>
          <w:spacing w:val="-3"/>
        </w:rPr>
        <w:t>发展，人们在日常经济生活中越来越多的使用到</w:t>
      </w:r>
      <w:r>
        <w:rPr>
          <w:rFonts w:ascii="宋体" w:hAnsi="宋体" w:cs="宋体" w:eastAsia="宋体" w:hint="default"/>
          <w:spacing w:val="-3"/>
        </w:rPr>
        <w:t>POS</w:t>
      </w:r>
      <w:r>
        <w:rPr>
          <w:spacing w:val="-3"/>
        </w:rPr>
        <w:t>终端，由此对</w:t>
      </w:r>
      <w:r>
        <w:rPr>
          <w:rFonts w:ascii="宋体" w:hAnsi="宋体" w:cs="宋体" w:eastAsia="宋体" w:hint="default"/>
          <w:spacing w:val="-3"/>
        </w:rPr>
        <w:t>POS</w:t>
      </w:r>
      <w:r>
        <w:rPr>
          <w:spacing w:val="-3"/>
        </w:rPr>
        <w:t>机的功能要</w:t>
      </w:r>
      <w:r>
        <w:rPr>
          <w:spacing w:val="-102"/>
        </w:rPr>
        <w:t> </w:t>
      </w:r>
      <w:r>
        <w:rPr/>
        <w:t>求也不断提升、分化。针对不同的客户和应用场景，</w:t>
      </w:r>
      <w:r>
        <w:rPr>
          <w:rFonts w:ascii="宋体" w:hAnsi="宋体" w:cs="宋体" w:eastAsia="宋体" w:hint="default"/>
        </w:rPr>
        <w:t>POS</w:t>
      </w:r>
      <w:r>
        <w:rPr/>
        <w:t>终端得到了极大改进， 各种具有新功能、适合不同客户和应用场景的新终端产品不断涌现。</w:t>
      </w:r>
    </w:p>
    <w:p>
      <w:pPr>
        <w:pStyle w:val="BodyText"/>
        <w:spacing w:line="357" w:lineRule="auto" w:before="36"/>
        <w:ind w:right="216" w:firstLine="479"/>
        <w:jc w:val="both"/>
      </w:pPr>
      <w:r>
        <w:rPr>
          <w:spacing w:val="-3"/>
        </w:rPr>
        <w:t>从目前的市场应用情况来看，</w:t>
      </w:r>
      <w:r>
        <w:rPr>
          <w:rFonts w:ascii="宋体" w:hAnsi="宋体" w:cs="宋体" w:eastAsia="宋体" w:hint="default"/>
          <w:spacing w:val="-3"/>
        </w:rPr>
        <w:t>POS</w:t>
      </w:r>
      <w:r>
        <w:rPr>
          <w:spacing w:val="-3"/>
        </w:rPr>
        <w:t>终端的发展趋势，在传统金融</w:t>
      </w:r>
      <w:r>
        <w:rPr>
          <w:rFonts w:ascii="宋体" w:hAnsi="宋体" w:cs="宋体" w:eastAsia="宋体" w:hint="default"/>
          <w:spacing w:val="-3"/>
        </w:rPr>
        <w:t>POS</w:t>
      </w:r>
      <w:r>
        <w:rPr>
          <w:spacing w:val="-3"/>
        </w:rPr>
        <w:t>产品的功</w:t>
      </w:r>
      <w:r>
        <w:rPr/>
        <w:t> </w:t>
      </w:r>
      <w:r>
        <w:rPr>
          <w:spacing w:val="-3"/>
        </w:rPr>
        <w:t>能和应用基础之上，新的</w:t>
      </w:r>
      <w:r>
        <w:rPr>
          <w:rFonts w:ascii="宋体" w:hAnsi="宋体" w:cs="宋体" w:eastAsia="宋体" w:hint="default"/>
          <w:spacing w:val="-3"/>
        </w:rPr>
        <w:t>POS</w:t>
      </w:r>
      <w:r>
        <w:rPr>
          <w:spacing w:val="-3"/>
        </w:rPr>
        <w:t>终端将逐渐向可移动的小型</w:t>
      </w:r>
      <w:r>
        <w:rPr>
          <w:rFonts w:ascii="宋体" w:hAnsi="宋体" w:cs="宋体" w:eastAsia="宋体" w:hint="default"/>
          <w:spacing w:val="-3"/>
        </w:rPr>
        <w:t>POS</w:t>
      </w:r>
      <w:r>
        <w:rPr>
          <w:spacing w:val="-3"/>
        </w:rPr>
        <w:t>终端和自助式的大型</w:t>
      </w:r>
      <w:r>
        <w:rPr>
          <w:spacing w:val="-101"/>
        </w:rPr>
        <w:t> </w:t>
      </w:r>
      <w:r>
        <w:rPr>
          <w:rFonts w:ascii="宋体" w:hAnsi="宋体" w:cs="宋体" w:eastAsia="宋体" w:hint="default"/>
        </w:rPr>
        <w:t>POS</w:t>
      </w:r>
      <w:r>
        <w:rPr/>
        <w:t>终端两个方向发展。可移动的小终端主要针对的是家庭化、个人化应用，如 </w:t>
      </w:r>
      <w:r>
        <w:rPr>
          <w:spacing w:val="-3"/>
        </w:rPr>
        <w:t>电话</w:t>
      </w:r>
      <w:r>
        <w:rPr>
          <w:rFonts w:ascii="宋体" w:hAnsi="宋体" w:cs="宋体" w:eastAsia="宋体" w:hint="default"/>
          <w:spacing w:val="-3"/>
        </w:rPr>
        <w:t>POS</w:t>
      </w:r>
      <w:r>
        <w:rPr>
          <w:spacing w:val="-3"/>
        </w:rPr>
        <w:t>机，配合</w:t>
      </w:r>
      <w:r>
        <w:rPr>
          <w:rFonts w:ascii="宋体" w:hAnsi="宋体" w:cs="宋体" w:eastAsia="宋体" w:hint="default"/>
          <w:spacing w:val="-3"/>
        </w:rPr>
        <w:t>PC</w:t>
      </w:r>
      <w:r>
        <w:rPr>
          <w:spacing w:val="-3"/>
        </w:rPr>
        <w:t>机、智能手机终端使用的小型</w:t>
      </w:r>
      <w:r>
        <w:rPr>
          <w:rFonts w:ascii="宋体" w:hAnsi="宋体" w:cs="宋体" w:eastAsia="宋体" w:hint="default"/>
          <w:spacing w:val="-3"/>
        </w:rPr>
        <w:t>POS</w:t>
      </w:r>
      <w:r>
        <w:rPr>
          <w:spacing w:val="-3"/>
        </w:rPr>
        <w:t>机或具有刷卡交易功能的手</w:t>
      </w:r>
      <w:r>
        <w:rPr>
          <w:spacing w:val="-98"/>
        </w:rPr>
        <w:t> </w:t>
      </w:r>
      <w:r>
        <w:rPr/>
        <w:t>机配件，针对行业应用的可移动的手持金融</w:t>
      </w:r>
      <w:r>
        <w:rPr>
          <w:rFonts w:ascii="宋体" w:hAnsi="宋体" w:cs="宋体" w:eastAsia="宋体" w:hint="default"/>
        </w:rPr>
        <w:t>PDA-POS</w:t>
      </w:r>
      <w:r>
        <w:rPr/>
        <w:t>机。自助式的大终端又分为 </w:t>
      </w:r>
      <w:r>
        <w:rPr>
          <w:spacing w:val="-3"/>
        </w:rPr>
        <w:t>壁挂式的和立柜式，主要是布放于地铁站、小区便利店、超市、药店、大型商务</w:t>
      </w:r>
      <w:r>
        <w:rPr>
          <w:spacing w:val="-115"/>
        </w:rPr>
        <w:t> </w:t>
      </w:r>
      <w:r>
        <w:rPr>
          <w:spacing w:val="-115"/>
        </w:rPr>
      </w:r>
      <w:r>
        <w:rPr>
          <w:spacing w:val="-3"/>
        </w:rPr>
        <w:t>楼、手机充值网点、银行网点等方便个人用户使用的地方。自助式的大终端是自</w:t>
      </w:r>
      <w:r>
        <w:rPr>
          <w:spacing w:val="-111"/>
        </w:rPr>
        <w:t> </w:t>
      </w:r>
      <w:r>
        <w:rPr>
          <w:spacing w:val="-111"/>
        </w:rPr>
      </w:r>
      <w:r>
        <w:rPr>
          <w:spacing w:val="-3"/>
        </w:rPr>
        <w:t>助终端和个人消费终端的结合体，不仅可以实现基本的银行卡转账、信用卡还款</w:t>
      </w:r>
      <w:r>
        <w:rPr>
          <w:spacing w:val="-112"/>
        </w:rPr>
        <w:t> </w:t>
      </w:r>
      <w:r>
        <w:rPr>
          <w:spacing w:val="-112"/>
        </w:rPr>
      </w:r>
      <w:r>
        <w:rPr>
          <w:spacing w:val="-3"/>
        </w:rPr>
        <w:t>等功能，还可以进行公共事业缴费、网购商品的线下支付、公交卡充值、交通罚</w:t>
      </w:r>
      <w:r>
        <w:rPr>
          <w:spacing w:val="-112"/>
        </w:rPr>
        <w:t> </w:t>
      </w:r>
      <w:r>
        <w:rPr>
          <w:spacing w:val="-112"/>
        </w:rPr>
      </w:r>
      <w:r>
        <w:rPr/>
        <w:t>款缴纳、火车票购票取票等多种应用。</w:t>
      </w:r>
    </w:p>
    <w:p>
      <w:pPr>
        <w:pStyle w:val="BodyText"/>
        <w:spacing w:line="357" w:lineRule="auto" w:before="36"/>
        <w:ind w:right="94" w:firstLine="479"/>
        <w:jc w:val="left"/>
      </w:pPr>
      <w:r>
        <w:rPr>
          <w:spacing w:val="-6"/>
        </w:rPr>
        <w:t>除了上述变化外，适用于特殊行业的</w:t>
      </w:r>
      <w:r>
        <w:rPr>
          <w:rFonts w:ascii="宋体" w:hAnsi="宋体" w:cs="宋体" w:eastAsia="宋体" w:hint="default"/>
          <w:spacing w:val="-6"/>
        </w:rPr>
        <w:t>PDA-POS</w:t>
      </w:r>
      <w:r>
        <w:rPr>
          <w:spacing w:val="-6"/>
        </w:rPr>
        <w:t>、智能</w:t>
      </w:r>
      <w:r>
        <w:rPr>
          <w:rFonts w:ascii="宋体" w:hAnsi="宋体" w:cs="宋体" w:eastAsia="宋体" w:hint="default"/>
          <w:spacing w:val="-6"/>
        </w:rPr>
        <w:t>POS</w:t>
      </w:r>
      <w:r>
        <w:rPr>
          <w:spacing w:val="-6"/>
        </w:rPr>
        <w:t>也开始出现。随着</w:t>
      </w:r>
      <w:r>
        <w:rPr>
          <w:rFonts w:ascii="宋体" w:hAnsi="宋体" w:cs="宋体" w:eastAsia="宋体" w:hint="default"/>
          <w:spacing w:val="-6"/>
        </w:rPr>
        <w:t>POS</w:t>
      </w:r>
      <w:r>
        <w:rPr>
          <w:rFonts w:ascii="宋体" w:hAnsi="宋体" w:cs="宋体" w:eastAsia="宋体" w:hint="default"/>
        </w:rPr>
        <w:t> </w:t>
      </w:r>
      <w:r>
        <w:rPr/>
        <w:t>收单业务在某些特殊行业中的发展，</w:t>
      </w:r>
      <w:r>
        <w:rPr>
          <w:rFonts w:ascii="宋体" w:hAnsi="宋体" w:cs="宋体" w:eastAsia="宋体" w:hint="default"/>
        </w:rPr>
        <w:t>POS</w:t>
      </w:r>
      <w:r>
        <w:rPr/>
        <w:t>机具的功能因为特殊行业的特殊业务模 式存在较大的差异性。如把</w:t>
      </w:r>
      <w:r>
        <w:rPr>
          <w:rFonts w:ascii="宋体" w:hAnsi="宋体" w:cs="宋体" w:eastAsia="宋体" w:hint="default"/>
        </w:rPr>
        <w:t>POS</w:t>
      </w:r>
      <w:r>
        <w:rPr/>
        <w:t>基本功能和条码扫描、通话、存货记账、物流管 理功能集于一体的物流</w:t>
      </w:r>
      <w:r>
        <w:rPr>
          <w:rFonts w:ascii="宋体" w:hAnsi="宋体" w:cs="宋体" w:eastAsia="宋体" w:hint="default"/>
        </w:rPr>
        <w:t>POS</w:t>
      </w:r>
      <w:r>
        <w:rPr/>
        <w:t>终端，可用于快件派送、快餐派送等业务；实现联网 </w:t>
      </w:r>
      <w:r>
        <w:rPr>
          <w:spacing w:val="-3"/>
        </w:rPr>
        <w:t>查询、开罚单、录入、收款等功能的警用</w:t>
      </w:r>
      <w:r>
        <w:rPr>
          <w:rFonts w:ascii="宋体" w:hAnsi="宋体" w:cs="宋体" w:eastAsia="宋体" w:hint="default"/>
          <w:spacing w:val="-3"/>
        </w:rPr>
        <w:t>POS</w:t>
      </w:r>
      <w:r>
        <w:rPr>
          <w:spacing w:val="-3"/>
        </w:rPr>
        <w:t>终端等。随着</w:t>
      </w:r>
      <w:r>
        <w:rPr>
          <w:rFonts w:ascii="宋体" w:hAnsi="宋体" w:cs="宋体" w:eastAsia="宋体" w:hint="default"/>
          <w:spacing w:val="-3"/>
        </w:rPr>
        <w:t>POS</w:t>
      </w:r>
      <w:r>
        <w:rPr>
          <w:spacing w:val="-3"/>
        </w:rPr>
        <w:t>终端的智能化水平</w:t>
      </w:r>
      <w:r>
        <w:rPr>
          <w:spacing w:val="-101"/>
        </w:rPr>
        <w:t> </w:t>
      </w:r>
      <w:r>
        <w:rPr>
          <w:spacing w:val="-6"/>
        </w:rPr>
        <w:t>的提升，</w:t>
      </w:r>
      <w:r>
        <w:rPr>
          <w:rFonts w:ascii="宋体" w:hAnsi="宋体" w:cs="宋体" w:eastAsia="宋体" w:hint="default"/>
          <w:spacing w:val="-6"/>
        </w:rPr>
        <w:t>PC</w:t>
      </w:r>
      <w:r>
        <w:rPr>
          <w:spacing w:val="-6"/>
        </w:rPr>
        <w:t>机开始与</w:t>
      </w:r>
      <w:r>
        <w:rPr>
          <w:rFonts w:ascii="宋体" w:hAnsi="宋体" w:cs="宋体" w:eastAsia="宋体" w:hint="default"/>
          <w:spacing w:val="-6"/>
        </w:rPr>
        <w:t>POS</w:t>
      </w:r>
      <w:r>
        <w:rPr>
          <w:spacing w:val="-6"/>
        </w:rPr>
        <w:t>机融合，出现了智能</w:t>
      </w:r>
      <w:r>
        <w:rPr>
          <w:rFonts w:ascii="宋体" w:hAnsi="宋体" w:cs="宋体" w:eastAsia="宋体" w:hint="default"/>
          <w:spacing w:val="-6"/>
        </w:rPr>
        <w:t>POS</w:t>
      </w:r>
      <w:r>
        <w:rPr>
          <w:spacing w:val="-6"/>
        </w:rPr>
        <w:t>终端，它以智能操作系统为平台，</w:t>
      </w:r>
      <w:r>
        <w:rPr>
          <w:spacing w:val="-97"/>
        </w:rPr>
        <w:t> </w:t>
      </w:r>
      <w:r>
        <w:rPr>
          <w:spacing w:val="-97"/>
        </w:rPr>
      </w:r>
      <w:r>
        <w:rPr/>
        <w:t>可以与电脑实现无缝连接。</w:t>
      </w:r>
    </w:p>
    <w:p>
      <w:pPr>
        <w:spacing w:after="0" w:line="357" w:lineRule="auto"/>
        <w:jc w:val="left"/>
        <w:sectPr>
          <w:pgSz w:w="11910" w:h="16840"/>
          <w:pgMar w:header="0" w:footer="1195" w:top="1460" w:bottom="1380" w:left="1680" w:right="1580"/>
        </w:sectPr>
      </w:pPr>
    </w:p>
    <w:p>
      <w:pPr>
        <w:pStyle w:val="Heading7"/>
        <w:spacing w:line="313" w:lineRule="exact" w:before="0"/>
        <w:ind w:right="94"/>
        <w:jc w:val="left"/>
        <w:rPr>
          <w:b w:val="0"/>
          <w:bCs w:val="0"/>
        </w:rPr>
      </w:pPr>
      <w:r>
        <w:rPr/>
        <w:t>（二）公司面临的市场竞争格局</w:t>
      </w:r>
      <w:r>
        <w:rPr>
          <w:b w:val="0"/>
          <w:bCs w:val="0"/>
        </w:rPr>
      </w:r>
    </w:p>
    <w:p>
      <w:pPr>
        <w:spacing w:line="240" w:lineRule="auto" w:before="4"/>
        <w:rPr>
          <w:rFonts w:ascii="宋体" w:hAnsi="宋体" w:cs="宋体" w:eastAsia="宋体" w:hint="default"/>
          <w:b/>
          <w:bCs/>
          <w:sz w:val="34"/>
          <w:szCs w:val="34"/>
        </w:rPr>
      </w:pPr>
    </w:p>
    <w:p>
      <w:pPr>
        <w:pStyle w:val="BodyText"/>
        <w:spacing w:line="357" w:lineRule="auto"/>
        <w:ind w:right="216" w:firstLine="479"/>
        <w:jc w:val="both"/>
      </w:pPr>
      <w:r>
        <w:rPr>
          <w:spacing w:val="-3"/>
        </w:rPr>
        <w:t>目前，行业内的市场竞争格局比较稳定，暂未发生明显变化，随着国内收单</w:t>
      </w:r>
      <w:r>
        <w:rPr/>
        <w:t> 市场的繁荣，</w:t>
      </w:r>
      <w:r>
        <w:rPr>
          <w:rFonts w:ascii="宋体" w:hAnsi="宋体" w:cs="宋体" w:eastAsia="宋体" w:hint="default"/>
        </w:rPr>
        <w:t>POS</w:t>
      </w:r>
      <w:r>
        <w:rPr/>
        <w:t>终端设备供应厂商的家数增加，且各厂商根据各自的资源与实 力，在不同的市场领域获得相应的订单，公司面临的市场竞争更加激烈。</w:t>
      </w:r>
    </w:p>
    <w:p>
      <w:pPr>
        <w:pStyle w:val="BodyText"/>
        <w:spacing w:line="357" w:lineRule="auto" w:before="36"/>
        <w:ind w:right="82" w:firstLine="479"/>
        <w:jc w:val="left"/>
      </w:pPr>
      <w:r>
        <w:rPr>
          <w:spacing w:val="-3"/>
        </w:rPr>
        <w:t>随着市场内参与主体的增多，各收单服务机构加入到收单市场，收单服务机</w:t>
      </w:r>
      <w:r>
        <w:rPr/>
        <w:t> </w:t>
      </w:r>
      <w:r>
        <w:rPr>
          <w:spacing w:val="-3"/>
        </w:rPr>
        <w:t>构之间的竞争日益激烈，同时，更多商户和行业客户的需求被开发出来。在商户</w:t>
      </w:r>
      <w:r>
        <w:rPr>
          <w:spacing w:val="-111"/>
        </w:rPr>
        <w:t> </w:t>
      </w:r>
      <w:r>
        <w:rPr>
          <w:spacing w:val="-111"/>
        </w:rPr>
      </w:r>
      <w:r>
        <w:rPr/>
        <w:t>和行业客户确定使用</w:t>
      </w:r>
      <w:r>
        <w:rPr>
          <w:rFonts w:ascii="宋体" w:hAnsi="宋体" w:cs="宋体" w:eastAsia="宋体" w:hint="default"/>
        </w:rPr>
        <w:t>POS</w:t>
      </w:r>
      <w:r>
        <w:rPr/>
        <w:t>设备之前，收单服务机构为提高服务质量，向商户提供 </w:t>
      </w:r>
      <w:r>
        <w:rPr>
          <w:spacing w:val="-3"/>
        </w:rPr>
        <w:t>售前技术支持，以获得商户的青睐，成为收单服务机构的特约商户。针对商户提</w:t>
      </w:r>
      <w:r>
        <w:rPr>
          <w:spacing w:val="-112"/>
        </w:rPr>
        <w:t> </w:t>
      </w:r>
      <w:r>
        <w:rPr>
          <w:spacing w:val="-112"/>
        </w:rPr>
      </w:r>
      <w:r>
        <w:rPr>
          <w:spacing w:val="-3"/>
        </w:rPr>
        <w:t>供的售前技术支持工作往往由具备软件开发能力的设备供应商承担，并以此绑定</w:t>
      </w:r>
      <w:r>
        <w:rPr>
          <w:spacing w:val="-109"/>
        </w:rPr>
        <w:t> </w:t>
      </w:r>
      <w:r>
        <w:rPr>
          <w:spacing w:val="-109"/>
        </w:rPr>
      </w:r>
      <w:r>
        <w:rPr>
          <w:spacing w:val="-3"/>
        </w:rPr>
        <w:t>后续设备销售。因此，对于设备供应商而言，不仅要理解收单业务流程，还需要</w:t>
      </w:r>
      <w:r>
        <w:rPr>
          <w:spacing w:val="-111"/>
        </w:rPr>
        <w:t> </w:t>
      </w:r>
      <w:r>
        <w:rPr>
          <w:spacing w:val="-111"/>
        </w:rPr>
      </w:r>
      <w:r>
        <w:rPr>
          <w:spacing w:val="-6"/>
        </w:rPr>
        <w:t>理解商户需求、熟悉行业客户的业务模式，这已经日益成为其获得更多市场份额、</w:t>
      </w:r>
      <w:r>
        <w:rPr/>
        <w:t> 增强市场竞争力的重要因素之一。</w:t>
      </w:r>
    </w:p>
    <w:p>
      <w:pPr>
        <w:pStyle w:val="Heading7"/>
        <w:spacing w:line="477" w:lineRule="auto"/>
        <w:ind w:right="314"/>
        <w:jc w:val="left"/>
        <w:rPr>
          <w:b w:val="0"/>
          <w:bCs w:val="0"/>
        </w:rPr>
      </w:pPr>
      <w:r>
        <w:rPr/>
        <w:t>（三）对公司未来的发展战略及经营计划的实现产生不利影响的风险因素分析</w:t>
      </w:r>
      <w:r>
        <w:rPr>
          <w:w w:val="99"/>
        </w:rPr>
        <w:t> </w:t>
      </w:r>
      <w:r>
        <w:rPr>
          <w:rFonts w:ascii="宋体" w:hAnsi="宋体" w:cs="宋体" w:eastAsia="宋体" w:hint="default"/>
        </w:rPr>
        <w:t>1</w:t>
      </w:r>
      <w:r>
        <w:rPr/>
        <w:t>、对大客户依赖的风险</w:t>
      </w:r>
      <w:r>
        <w:rPr>
          <w:b w:val="0"/>
          <w:bCs w:val="0"/>
        </w:rPr>
      </w:r>
    </w:p>
    <w:p>
      <w:pPr>
        <w:pStyle w:val="BodyText"/>
        <w:spacing w:line="355" w:lineRule="auto"/>
        <w:ind w:right="95" w:firstLine="491"/>
        <w:jc w:val="left"/>
      </w:pPr>
      <w:r>
        <w:rPr/>
        <w:t>中国银联控股的银联商务、广州银联支付和深圳银联商务是公司主要客户， </w:t>
      </w:r>
      <w:r>
        <w:rPr>
          <w:rFonts w:ascii="宋体" w:hAnsi="宋体" w:cs="宋体" w:eastAsia="宋体" w:hint="default"/>
        </w:rPr>
        <w:t>2009</w:t>
      </w:r>
      <w:r>
        <w:rPr>
          <w:rFonts w:ascii="宋体" w:hAnsi="宋体" w:cs="宋体" w:eastAsia="宋体" w:hint="default"/>
          <w:spacing w:val="-73"/>
        </w:rPr>
        <w:t> </w:t>
      </w:r>
      <w:r>
        <w:rPr/>
        <w:t>年至</w:t>
      </w:r>
      <w:r>
        <w:rPr>
          <w:spacing w:val="-72"/>
        </w:rPr>
        <w:t> </w:t>
      </w:r>
      <w:r>
        <w:rPr>
          <w:rFonts w:ascii="宋体" w:hAnsi="宋体" w:cs="宋体" w:eastAsia="宋体" w:hint="default"/>
        </w:rPr>
        <w:t>2011</w:t>
      </w:r>
      <w:r>
        <w:rPr>
          <w:rFonts w:ascii="宋体" w:hAnsi="宋体" w:cs="宋体" w:eastAsia="宋体" w:hint="default"/>
          <w:spacing w:val="-72"/>
        </w:rPr>
        <w:t> </w:t>
      </w:r>
      <w:r>
        <w:rPr/>
        <w:t>年公司对上述客户的销售收入合计占公司营业收入的比例分别为</w:t>
      </w:r>
    </w:p>
    <w:p>
      <w:pPr>
        <w:pStyle w:val="BodyText"/>
        <w:spacing w:line="357" w:lineRule="auto" w:before="38"/>
        <w:ind w:right="216"/>
        <w:jc w:val="both"/>
      </w:pPr>
      <w:r>
        <w:rPr>
          <w:rFonts w:ascii="宋体" w:hAnsi="宋体" w:cs="宋体" w:eastAsia="宋体" w:hint="default"/>
          <w:spacing w:val="-3"/>
        </w:rPr>
        <w:t>47.78%</w:t>
      </w:r>
      <w:r>
        <w:rPr>
          <w:spacing w:val="-3"/>
        </w:rPr>
        <w:t>、</w:t>
      </w:r>
      <w:r>
        <w:rPr>
          <w:rFonts w:ascii="宋体" w:hAnsi="宋体" w:cs="宋体" w:eastAsia="宋体" w:hint="default"/>
          <w:spacing w:val="-3"/>
        </w:rPr>
        <w:t>40.76%</w:t>
      </w:r>
      <w:r>
        <w:rPr>
          <w:spacing w:val="-3"/>
        </w:rPr>
        <w:t>、</w:t>
      </w:r>
      <w:r>
        <w:rPr>
          <w:rFonts w:ascii="宋体" w:hAnsi="宋体" w:cs="宋体" w:eastAsia="宋体" w:hint="default"/>
          <w:spacing w:val="-3"/>
        </w:rPr>
        <w:t>44.24%</w:t>
      </w:r>
      <w:r>
        <w:rPr>
          <w:spacing w:val="-3"/>
        </w:rPr>
        <w:t>。虽然随着我国收单服务市场的发展，公司销售客户结</w:t>
      </w:r>
      <w:r>
        <w:rPr>
          <w:spacing w:val="-85"/>
        </w:rPr>
        <w:t> </w:t>
      </w:r>
      <w:r>
        <w:rPr>
          <w:spacing w:val="-85"/>
        </w:rPr>
      </w:r>
      <w:r>
        <w:rPr>
          <w:spacing w:val="-3"/>
        </w:rPr>
        <w:t>构已出现多元化趋势，但中国银联体系内客户在公司销售中的占比仍然有可能维</w:t>
      </w:r>
      <w:r>
        <w:rPr>
          <w:spacing w:val="-109"/>
        </w:rPr>
        <w:t> </w:t>
      </w:r>
      <w:r>
        <w:rPr>
          <w:spacing w:val="-109"/>
        </w:rPr>
      </w:r>
      <w:r>
        <w:rPr/>
        <w:t>持较高水平，该客户的采购政策发生变化有可能对公司业务产生不利影响。</w:t>
      </w:r>
    </w:p>
    <w:p>
      <w:pPr>
        <w:spacing w:line="624" w:lineRule="exact" w:before="50"/>
        <w:ind w:left="600" w:right="205"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、应收账款回收风险</w:t>
      </w:r>
      <w:r>
        <w:rPr>
          <w:rFonts w:ascii="宋体" w:hAnsi="宋体" w:cs="宋体" w:eastAsia="宋体" w:hint="default"/>
          <w:b/>
          <w:bCs/>
          <w:w w:val="99"/>
          <w:sz w:val="24"/>
          <w:szCs w:val="24"/>
        </w:rPr>
        <w:t> </w:t>
      </w:r>
      <w:r>
        <w:rPr>
          <w:rFonts w:ascii="宋体" w:hAnsi="宋体" w:cs="宋体" w:eastAsia="宋体" w:hint="default"/>
          <w:spacing w:val="-3"/>
          <w:sz w:val="24"/>
          <w:szCs w:val="24"/>
        </w:rPr>
        <w:t>随着社会第三方收单服务机构的增加，越来越多的第三方收单服务机构成为</w:t>
      </w:r>
    </w:p>
    <w:p>
      <w:pPr>
        <w:pStyle w:val="BodyText"/>
        <w:spacing w:line="357" w:lineRule="auto" w:before="63"/>
        <w:ind w:right="84"/>
        <w:jc w:val="left"/>
      </w:pPr>
      <w:r>
        <w:rPr/>
        <w:t>公司的客户，</w:t>
      </w:r>
      <w:r>
        <w:rPr>
          <w:rFonts w:ascii="宋体" w:hAnsi="宋体" w:cs="宋体" w:eastAsia="宋体" w:hint="default"/>
        </w:rPr>
        <w:t>2011 </w:t>
      </w:r>
      <w:r>
        <w:rPr/>
        <w:t>年，公司向第三方收单服务机构实现销售收入占比达到总收</w:t>
      </w:r>
      <w:r>
        <w:rPr>
          <w:spacing w:val="-102"/>
        </w:rPr>
        <w:t> </w:t>
      </w:r>
      <w:r>
        <w:rPr>
          <w:spacing w:val="-102"/>
        </w:rPr>
      </w:r>
      <w:r>
        <w:rPr/>
        <w:t>入的</w:t>
      </w:r>
      <w:r>
        <w:rPr>
          <w:spacing w:val="-56"/>
        </w:rPr>
        <w:t> </w:t>
      </w:r>
      <w:r>
        <w:rPr>
          <w:rFonts w:ascii="宋体" w:hAnsi="宋体" w:cs="宋体" w:eastAsia="宋体" w:hint="default"/>
          <w:spacing w:val="-5"/>
        </w:rPr>
        <w:t>16.41%</w:t>
      </w:r>
      <w:r>
        <w:rPr>
          <w:spacing w:val="-5"/>
        </w:rPr>
        <w:t>，同比增长</w:t>
      </w:r>
      <w:r>
        <w:rPr>
          <w:spacing w:val="-55"/>
        </w:rPr>
        <w:t> </w:t>
      </w:r>
      <w:r>
        <w:rPr>
          <w:rFonts w:ascii="宋体" w:hAnsi="宋体" w:cs="宋体" w:eastAsia="宋体" w:hint="default"/>
          <w:spacing w:val="-3"/>
        </w:rPr>
        <w:t>62.60%</w:t>
      </w:r>
      <w:r>
        <w:rPr>
          <w:spacing w:val="-3"/>
        </w:rPr>
        <w:t>，其中第三方收单机构应收账款为</w:t>
      </w:r>
      <w:r>
        <w:rPr>
          <w:spacing w:val="-54"/>
        </w:rPr>
        <w:t> </w:t>
      </w:r>
      <w:r>
        <w:rPr>
          <w:rFonts w:ascii="宋体" w:hAnsi="宋体" w:cs="宋体" w:eastAsia="宋体" w:hint="default"/>
        </w:rPr>
        <w:t>2612.34</w:t>
      </w:r>
      <w:r>
        <w:rPr>
          <w:rFonts w:ascii="宋体" w:hAnsi="宋体" w:cs="宋体" w:eastAsia="宋体" w:hint="default"/>
          <w:spacing w:val="-55"/>
        </w:rPr>
        <w:t> </w:t>
      </w:r>
      <w:r>
        <w:rPr/>
        <w:t>万元， 占公司应收账款的比例为 </w:t>
      </w:r>
      <w:r>
        <w:rPr>
          <w:rFonts w:ascii="宋体" w:hAnsi="宋体" w:cs="宋体" w:eastAsia="宋体" w:hint="default"/>
        </w:rPr>
        <w:t>18.25%</w:t>
      </w:r>
      <w:r>
        <w:rPr/>
        <w:t>。社会第三方收单服务机构的资金有相当部分</w:t>
      </w:r>
      <w:r>
        <w:rPr>
          <w:spacing w:val="-98"/>
        </w:rPr>
        <w:t> </w:t>
      </w:r>
      <w:r>
        <w:rPr>
          <w:spacing w:val="-98"/>
        </w:rPr>
      </w:r>
      <w:r>
        <w:rPr>
          <w:spacing w:val="-3"/>
        </w:rPr>
        <w:t>来自于民间资金，投资人的资金实力往往参差不齐，由此导致公司的应收账款回</w:t>
      </w:r>
      <w:r>
        <w:rPr>
          <w:spacing w:val="-111"/>
        </w:rPr>
        <w:t> </w:t>
      </w:r>
      <w:r>
        <w:rPr>
          <w:spacing w:val="-111"/>
        </w:rPr>
      </w:r>
      <w:r>
        <w:rPr>
          <w:spacing w:val="-3"/>
        </w:rPr>
        <w:t>收风险增加。针对该风险，公司已经逐步建立社会第三方收单服务机构的信用风</w:t>
      </w:r>
      <w:r>
        <w:rPr>
          <w:spacing w:val="-111"/>
        </w:rPr>
        <w:t> </w:t>
      </w:r>
      <w:r>
        <w:rPr>
          <w:spacing w:val="-111"/>
        </w:rPr>
      </w:r>
      <w:r>
        <w:rPr>
          <w:spacing w:val="-3"/>
        </w:rPr>
        <w:t>险控制体系，对超出一定时间未能按约定付款的客户予以提醒付款、停止供货等</w:t>
      </w:r>
    </w:p>
    <w:p>
      <w:pPr>
        <w:spacing w:after="0" w:line="357" w:lineRule="auto"/>
        <w:jc w:val="left"/>
        <w:sectPr>
          <w:pgSz w:w="11910" w:h="16840"/>
          <w:pgMar w:header="0" w:footer="1195" w:top="1500" w:bottom="1380" w:left="1680" w:right="1580"/>
        </w:sectPr>
      </w:pPr>
    </w:p>
    <w:p>
      <w:pPr>
        <w:pStyle w:val="BodyText"/>
        <w:spacing w:line="240" w:lineRule="auto" w:before="1"/>
        <w:ind w:right="94"/>
        <w:jc w:val="left"/>
      </w:pPr>
      <w:r>
        <w:rPr/>
        <w:t>控制措施。</w:t>
      </w:r>
    </w:p>
    <w:p>
      <w:pPr>
        <w:spacing w:line="240" w:lineRule="auto" w:before="11"/>
        <w:rPr>
          <w:rFonts w:ascii="宋体" w:hAnsi="宋体" w:cs="宋体" w:eastAsia="宋体" w:hint="default"/>
          <w:sz w:val="23"/>
          <w:szCs w:val="23"/>
        </w:rPr>
      </w:pPr>
    </w:p>
    <w:p>
      <w:pPr>
        <w:pStyle w:val="Heading7"/>
        <w:spacing w:line="475" w:lineRule="auto" w:before="0"/>
        <w:ind w:right="4410"/>
        <w:jc w:val="left"/>
        <w:rPr>
          <w:b w:val="0"/>
          <w:bCs w:val="0"/>
        </w:rPr>
      </w:pPr>
      <w:r>
        <w:rPr/>
        <w:t>（四）管理层所关注的发展机遇和挑战</w:t>
      </w:r>
      <w:r>
        <w:rPr>
          <w:w w:val="99"/>
        </w:rPr>
        <w:t> </w:t>
      </w:r>
      <w:r>
        <w:rPr>
          <w:rFonts w:ascii="宋体" w:hAnsi="宋体" w:cs="宋体" w:eastAsia="宋体" w:hint="default"/>
        </w:rPr>
        <w:t>1</w:t>
      </w:r>
      <w:r>
        <w:rPr/>
        <w:t>、机遇</w:t>
      </w:r>
      <w:r>
        <w:rPr>
          <w:b w:val="0"/>
          <w:bCs w:val="0"/>
        </w:rPr>
      </w:r>
    </w:p>
    <w:p>
      <w:pPr>
        <w:pStyle w:val="BodyText"/>
        <w:spacing w:line="357" w:lineRule="auto" w:before="74"/>
        <w:ind w:right="245" w:firstLine="479"/>
        <w:jc w:val="both"/>
      </w:pPr>
      <w:r>
        <w:rPr/>
        <w:t>（</w:t>
      </w:r>
      <w:r>
        <w:rPr>
          <w:rFonts w:ascii="宋体" w:hAnsi="宋体" w:cs="宋体" w:eastAsia="宋体" w:hint="default"/>
        </w:rPr>
        <w:t>1</w:t>
      </w:r>
      <w:r>
        <w:rPr/>
        <w:t>）我国银行卡受理环境的进一步改善和收单服务市场的繁荣，为公司业 务的稳定、快速增长提供了良好的宏观环境。</w:t>
      </w:r>
    </w:p>
    <w:p>
      <w:pPr>
        <w:pStyle w:val="BodyText"/>
        <w:spacing w:line="357" w:lineRule="auto" w:before="193"/>
        <w:ind w:right="217" w:firstLine="479"/>
        <w:jc w:val="both"/>
      </w:pPr>
      <w:r>
        <w:rPr/>
        <w:t>（</w:t>
      </w:r>
      <w:r>
        <w:rPr>
          <w:rFonts w:ascii="宋体" w:hAnsi="宋体" w:cs="宋体" w:eastAsia="宋体" w:hint="default"/>
        </w:rPr>
        <w:t>2</w:t>
      </w:r>
      <w:r>
        <w:rPr/>
        <w:t>）商业银行之间的吸储竞争日益激烈，为了扩大客户基础、提高客户服 </w:t>
      </w:r>
      <w:r>
        <w:rPr>
          <w:spacing w:val="-3"/>
        </w:rPr>
        <w:t>务质量，增加储蓄金额，商业银行继续加大收单服务业务力度，为设备供应商提</w:t>
      </w:r>
      <w:r>
        <w:rPr>
          <w:spacing w:val="-112"/>
        </w:rPr>
        <w:t> </w:t>
      </w:r>
      <w:r>
        <w:rPr>
          <w:spacing w:val="-112"/>
        </w:rPr>
      </w:r>
      <w:r>
        <w:rPr/>
        <w:t>供了更多的市场需求和机会。</w:t>
      </w:r>
    </w:p>
    <w:p>
      <w:pPr>
        <w:pStyle w:val="BodyText"/>
        <w:spacing w:line="357" w:lineRule="auto" w:before="192"/>
        <w:ind w:right="219" w:firstLine="479"/>
        <w:jc w:val="both"/>
      </w:pPr>
      <w:r>
        <w:rPr/>
        <w:t>（</w:t>
      </w:r>
      <w:r>
        <w:rPr>
          <w:rFonts w:ascii="宋体" w:hAnsi="宋体" w:cs="宋体" w:eastAsia="宋体" w:hint="default"/>
        </w:rPr>
        <w:t>3</w:t>
      </w:r>
      <w:r>
        <w:rPr/>
        <w:t>）第三方社会收单服务机构之间的竞争态势逐步显现，具有传统竞争优 </w:t>
      </w:r>
      <w:r>
        <w:rPr>
          <w:spacing w:val="-3"/>
        </w:rPr>
        <w:t>势的社会收单服务机构加大了市场开发速度和力度，以巩固和扩大竞争优势，由</w:t>
      </w:r>
      <w:r>
        <w:rPr>
          <w:spacing w:val="-111"/>
        </w:rPr>
        <w:t> </w:t>
      </w:r>
      <w:r>
        <w:rPr>
          <w:spacing w:val="-111"/>
        </w:rPr>
      </w:r>
      <w:r>
        <w:rPr/>
        <w:t>此导致其采购需求增长速度更快，为公司提供了更多的订单机会。</w:t>
      </w:r>
    </w:p>
    <w:p>
      <w:pPr>
        <w:pStyle w:val="BodyText"/>
        <w:spacing w:line="357" w:lineRule="auto" w:before="192"/>
        <w:ind w:right="219" w:firstLine="479"/>
        <w:jc w:val="both"/>
      </w:pPr>
      <w:r>
        <w:rPr/>
        <w:t>（</w:t>
      </w:r>
      <w:r>
        <w:rPr>
          <w:rFonts w:ascii="宋体" w:hAnsi="宋体" w:cs="宋体" w:eastAsia="宋体" w:hint="default"/>
        </w:rPr>
        <w:t>4</w:t>
      </w:r>
      <w:r>
        <w:rPr/>
        <w:t>）大型行业客户如我国的电力行业、烟草行业、保险行业、石油化工行 </w:t>
      </w:r>
      <w:r>
        <w:rPr>
          <w:spacing w:val="-4"/>
        </w:rPr>
        <w:t>业、物流行业等已逐渐形成了</w:t>
      </w:r>
      <w:r>
        <w:rPr>
          <w:spacing w:val="-53"/>
        </w:rPr>
        <w:t> </w:t>
      </w:r>
      <w:r>
        <w:rPr>
          <w:rFonts w:ascii="宋体" w:hAnsi="宋体" w:cs="宋体" w:eastAsia="宋体" w:hint="default"/>
        </w:rPr>
        <w:t>POS</w:t>
      </w:r>
      <w:r>
        <w:rPr>
          <w:rFonts w:ascii="宋体" w:hAnsi="宋体" w:cs="宋体" w:eastAsia="宋体" w:hint="default"/>
          <w:spacing w:val="-53"/>
        </w:rPr>
        <w:t> </w:t>
      </w:r>
      <w:r>
        <w:rPr>
          <w:spacing w:val="-3"/>
        </w:rPr>
        <w:t>支付的整体性需求，为公司提供了更广阔的行</w:t>
      </w:r>
      <w:r>
        <w:rPr/>
        <w:t> 业市场空间。</w:t>
      </w:r>
    </w:p>
    <w:p>
      <w:pPr>
        <w:pStyle w:val="BodyText"/>
        <w:spacing w:line="357" w:lineRule="auto" w:before="192"/>
        <w:ind w:right="89" w:firstLine="479"/>
        <w:jc w:val="left"/>
      </w:pPr>
      <w:r>
        <w:rPr>
          <w:spacing w:val="-3"/>
        </w:rPr>
        <w:t>（</w:t>
      </w:r>
      <w:r>
        <w:rPr>
          <w:rFonts w:ascii="宋体" w:hAnsi="宋体" w:cs="宋体" w:eastAsia="宋体" w:hint="default"/>
          <w:spacing w:val="-3"/>
        </w:rPr>
        <w:t>5</w:t>
      </w:r>
      <w:r>
        <w:rPr>
          <w:spacing w:val="-3"/>
        </w:rPr>
        <w:t>）更多的商户加入到收单服务市场，为设备供应商带来了更加丰富多样、</w:t>
      </w:r>
      <w:r>
        <w:rPr/>
        <w:t> </w:t>
      </w:r>
      <w:r>
        <w:rPr>
          <w:spacing w:val="-3"/>
        </w:rPr>
        <w:t>更加个性化的项目需求，以项目带动销售的模式越来越多，不再唯价格作为单一</w:t>
      </w:r>
      <w:r>
        <w:rPr>
          <w:spacing w:val="-112"/>
        </w:rPr>
        <w:t> </w:t>
      </w:r>
      <w:r>
        <w:rPr>
          <w:spacing w:val="-112"/>
        </w:rPr>
      </w:r>
      <w:r>
        <w:rPr>
          <w:spacing w:val="-3"/>
        </w:rPr>
        <w:t>的评价标准。因此，具有强大技术支持能力、响应速度快、对商户需求理解更精</w:t>
      </w:r>
      <w:r>
        <w:rPr>
          <w:spacing w:val="-111"/>
        </w:rPr>
        <w:t> </w:t>
      </w:r>
      <w:r>
        <w:rPr>
          <w:spacing w:val="-111"/>
        </w:rPr>
      </w:r>
      <w:r>
        <w:rPr/>
        <w:t>准的设备供应商将获得更多的市场机会。</w:t>
      </w:r>
    </w:p>
    <w:p>
      <w:pPr>
        <w:pStyle w:val="BodyText"/>
        <w:spacing w:line="357" w:lineRule="auto" w:before="192"/>
        <w:ind w:right="245" w:firstLine="479"/>
        <w:jc w:val="both"/>
      </w:pPr>
      <w:r>
        <w:rPr/>
        <w:t>（</w:t>
      </w:r>
      <w:r>
        <w:rPr>
          <w:rFonts w:ascii="宋体" w:hAnsi="宋体" w:cs="宋体" w:eastAsia="宋体" w:hint="default"/>
        </w:rPr>
        <w:t>6</w:t>
      </w:r>
      <w:r>
        <w:rPr/>
        <w:t>）新的市场主体、新的市场需求为终端设备制造厂商带来了业务模式创 新、技术创新、产品创新的现实动力。</w:t>
      </w:r>
    </w:p>
    <w:p>
      <w:pPr>
        <w:pStyle w:val="Heading7"/>
        <w:spacing w:line="240" w:lineRule="auto"/>
        <w:ind w:right="94"/>
        <w:jc w:val="left"/>
        <w:rPr>
          <w:b w:val="0"/>
          <w:bCs w:val="0"/>
        </w:rPr>
      </w:pPr>
      <w:r>
        <w:rPr>
          <w:rFonts w:ascii="宋体" w:hAnsi="宋体" w:cs="宋体" w:eastAsia="宋体" w:hint="default"/>
        </w:rPr>
        <w:t>2</w:t>
      </w:r>
      <w:r>
        <w:rPr/>
        <w:t>、挑战</w:t>
      </w:r>
      <w:r>
        <w:rPr>
          <w:b w:val="0"/>
          <w:bCs w:val="0"/>
        </w:rPr>
      </w:r>
    </w:p>
    <w:p>
      <w:pPr>
        <w:pStyle w:val="BodyText"/>
        <w:spacing w:line="624" w:lineRule="exact" w:before="91"/>
        <w:ind w:left="600" w:right="205" w:hanging="480"/>
        <w:jc w:val="left"/>
      </w:pPr>
      <w:r>
        <w:rPr/>
        <w:t>（</w:t>
      </w:r>
      <w:r>
        <w:rPr>
          <w:rFonts w:ascii="宋体" w:hAnsi="宋体" w:cs="宋体" w:eastAsia="宋体" w:hint="default"/>
        </w:rPr>
        <w:t>1</w:t>
      </w:r>
      <w:r>
        <w:rPr/>
        <w:t>）规模扩大对管理水平的挑战 </w:t>
      </w:r>
      <w:r>
        <w:rPr>
          <w:spacing w:val="-3"/>
        </w:rPr>
        <w:t>随着公司业务规模持续快速增长，公司在战略规划、企业文化建设、组织结</w:t>
      </w:r>
    </w:p>
    <w:p>
      <w:pPr>
        <w:pStyle w:val="BodyText"/>
        <w:spacing w:line="357" w:lineRule="auto" w:before="63"/>
        <w:ind w:right="211"/>
        <w:jc w:val="left"/>
      </w:pPr>
      <w:r>
        <w:rPr>
          <w:spacing w:val="-3"/>
        </w:rPr>
        <w:t>构设置、资源配置、运营管理等方面面临新的挑战，特别是人才管理、内部风险</w:t>
      </w:r>
      <w:r>
        <w:rPr>
          <w:spacing w:val="-111"/>
        </w:rPr>
        <w:t> </w:t>
      </w:r>
      <w:r>
        <w:rPr>
          <w:spacing w:val="-111"/>
        </w:rPr>
      </w:r>
      <w:r>
        <w:rPr/>
        <w:t>控制、资金管理等方面，都对公司的管理水平提出更高的要求。</w:t>
      </w:r>
    </w:p>
    <w:p>
      <w:pPr>
        <w:spacing w:after="0" w:line="357" w:lineRule="auto"/>
        <w:jc w:val="left"/>
        <w:sectPr>
          <w:footerReference w:type="default" r:id="rId19"/>
          <w:pgSz w:w="11910" w:h="16840"/>
          <w:pgMar w:footer="1195" w:header="0" w:top="1460" w:bottom="1380" w:left="1680" w:right="1580"/>
        </w:sectPr>
      </w:pPr>
    </w:p>
    <w:p>
      <w:pPr>
        <w:pStyle w:val="BodyText"/>
        <w:spacing w:line="240" w:lineRule="auto" w:before="1"/>
        <w:ind w:right="94"/>
        <w:jc w:val="left"/>
      </w:pPr>
      <w:r>
        <w:rPr/>
        <w:t>（</w:t>
      </w:r>
      <w:r>
        <w:rPr>
          <w:rFonts w:ascii="宋体" w:hAnsi="宋体" w:cs="宋体" w:eastAsia="宋体" w:hint="default"/>
        </w:rPr>
        <w:t>2</w:t>
      </w:r>
      <w:r>
        <w:rPr/>
        <w:t>）对高端人才的持续需求</w:t>
      </w:r>
    </w:p>
    <w:p>
      <w:pPr>
        <w:spacing w:line="240" w:lineRule="auto" w:before="9"/>
        <w:rPr>
          <w:rFonts w:ascii="宋体" w:hAnsi="宋体" w:cs="宋体" w:eastAsia="宋体" w:hint="default"/>
          <w:sz w:val="23"/>
          <w:szCs w:val="23"/>
        </w:rPr>
      </w:pPr>
    </w:p>
    <w:p>
      <w:pPr>
        <w:pStyle w:val="BodyText"/>
        <w:spacing w:line="357" w:lineRule="auto"/>
        <w:ind w:right="219" w:firstLine="479"/>
        <w:jc w:val="both"/>
      </w:pPr>
      <w:r>
        <w:rPr>
          <w:spacing w:val="-3"/>
        </w:rPr>
        <w:t>公司属于知识密集型企业，大量的技术力量来自于开发人员，随着项目的增</w:t>
      </w:r>
      <w:r>
        <w:rPr/>
        <w:t> </w:t>
      </w:r>
      <w:r>
        <w:rPr>
          <w:spacing w:val="-3"/>
        </w:rPr>
        <w:t>多，项目管理人才不足，同时，电子支付业务在我国属于新兴行业，能够深刻理</w:t>
      </w:r>
      <w:r>
        <w:rPr>
          <w:spacing w:val="-111"/>
        </w:rPr>
        <w:t> </w:t>
      </w:r>
      <w:r>
        <w:rPr>
          <w:spacing w:val="-111"/>
        </w:rPr>
      </w:r>
      <w:r>
        <w:rPr>
          <w:spacing w:val="-3"/>
        </w:rPr>
        <w:t>解产品和业务的高端业务人才奇缺。高端人才储备不足，已经逐渐成为制约公司</w:t>
      </w:r>
      <w:r>
        <w:rPr>
          <w:spacing w:val="-111"/>
        </w:rPr>
        <w:t> </w:t>
      </w:r>
      <w:r>
        <w:rPr>
          <w:spacing w:val="-111"/>
        </w:rPr>
      </w:r>
      <w:r>
        <w:rPr>
          <w:spacing w:val="-3"/>
        </w:rPr>
        <w:t>业务进一步发展壮大的要素之一。如何保持现有人才队伍的稳定、提高业务人员</w:t>
      </w:r>
      <w:r>
        <w:rPr>
          <w:spacing w:val="-111"/>
        </w:rPr>
        <w:t> </w:t>
      </w:r>
      <w:r>
        <w:rPr>
          <w:spacing w:val="-111"/>
        </w:rPr>
      </w:r>
      <w:r>
        <w:rPr>
          <w:spacing w:val="-3"/>
        </w:rPr>
        <w:t>和管理人员的业务水平和综合素质、培养和引进优秀人才，对公司业务发展至关</w:t>
      </w:r>
      <w:r>
        <w:rPr>
          <w:spacing w:val="-111"/>
        </w:rPr>
        <w:t> </w:t>
      </w:r>
      <w:r>
        <w:rPr>
          <w:spacing w:val="-111"/>
        </w:rPr>
      </w:r>
      <w:r>
        <w:rPr/>
        <w:t>重要。</w:t>
      </w:r>
    </w:p>
    <w:p>
      <w:pPr>
        <w:pStyle w:val="BodyText"/>
        <w:spacing w:line="240" w:lineRule="auto" w:before="194"/>
        <w:ind w:right="94"/>
        <w:jc w:val="left"/>
      </w:pPr>
      <w:r>
        <w:rPr/>
        <w:t>（</w:t>
      </w:r>
      <w:r>
        <w:rPr>
          <w:rFonts w:ascii="宋体" w:hAnsi="宋体" w:cs="宋体" w:eastAsia="宋体" w:hint="default"/>
        </w:rPr>
        <w:t>3</w:t>
      </w:r>
      <w:r>
        <w:rPr/>
        <w:t>）市场竞争的加剧</w:t>
      </w:r>
    </w:p>
    <w:p>
      <w:pPr>
        <w:spacing w:line="240" w:lineRule="auto" w:before="7"/>
        <w:rPr>
          <w:rFonts w:ascii="宋体" w:hAnsi="宋体" w:cs="宋体" w:eastAsia="宋体" w:hint="default"/>
          <w:sz w:val="23"/>
          <w:szCs w:val="23"/>
        </w:rPr>
      </w:pPr>
    </w:p>
    <w:p>
      <w:pPr>
        <w:pStyle w:val="BodyText"/>
        <w:spacing w:line="357" w:lineRule="auto"/>
        <w:ind w:right="106" w:firstLine="479"/>
        <w:jc w:val="left"/>
      </w:pPr>
      <w:r>
        <w:rPr>
          <w:spacing w:val="-3"/>
        </w:rPr>
        <w:t>随着收单服务市场的蓬勃发展，越来越多的厂商开始进入电子支付技术与产</w:t>
      </w:r>
      <w:r>
        <w:rPr/>
        <w:t> </w:t>
      </w:r>
      <w:r>
        <w:rPr>
          <w:spacing w:val="-3"/>
        </w:rPr>
        <w:t>品供应商的队伍，众多厂商围绕各自对不同行业、不同客户、不同商户的需求理</w:t>
      </w:r>
      <w:r>
        <w:rPr>
          <w:spacing w:val="-111"/>
        </w:rPr>
        <w:t> </w:t>
      </w:r>
      <w:r>
        <w:rPr>
          <w:spacing w:val="-111"/>
        </w:rPr>
      </w:r>
      <w:r>
        <w:rPr/>
        <w:t>解不同，各自的竞争优势也各不相同。对某些行业的商户有着独到理解的厂商， </w:t>
      </w:r>
      <w:r>
        <w:rPr>
          <w:spacing w:val="-3"/>
        </w:rPr>
        <w:t>在该行业的服务和产品对行业客户形成了较强的吸引力，在行业内具有一定的竞</w:t>
      </w:r>
      <w:r>
        <w:rPr>
          <w:spacing w:val="-109"/>
        </w:rPr>
        <w:t> </w:t>
      </w:r>
      <w:r>
        <w:rPr>
          <w:spacing w:val="-109"/>
        </w:rPr>
      </w:r>
      <w:r>
        <w:rPr>
          <w:spacing w:val="-4"/>
        </w:rPr>
        <w:t>争实力。对公司而言，虽然公司在金融</w:t>
      </w:r>
      <w:r>
        <w:rPr>
          <w:spacing w:val="-68"/>
        </w:rPr>
        <w:t> </w:t>
      </w:r>
      <w:r>
        <w:rPr>
          <w:rFonts w:ascii="宋体" w:hAnsi="宋体" w:cs="宋体" w:eastAsia="宋体" w:hint="default"/>
        </w:rPr>
        <w:t>POS</w:t>
      </w:r>
      <w:r>
        <w:rPr>
          <w:rFonts w:ascii="宋体" w:hAnsi="宋体" w:cs="宋体" w:eastAsia="宋体" w:hint="default"/>
          <w:spacing w:val="-68"/>
        </w:rPr>
        <w:t> </w:t>
      </w:r>
      <w:r>
        <w:rPr/>
        <w:t>技术和产品领域拥有多年的经验，但 </w:t>
      </w:r>
      <w:r>
        <w:rPr>
          <w:spacing w:val="-3"/>
        </w:rPr>
        <w:t>传统经验对公司的技术和产品创新形成了一定的羁绊。因此，突破公司的传统技</w:t>
      </w:r>
      <w:r>
        <w:rPr>
          <w:spacing w:val="-109"/>
        </w:rPr>
        <w:t> </w:t>
      </w:r>
      <w:r>
        <w:rPr>
          <w:spacing w:val="-109"/>
        </w:rPr>
      </w:r>
      <w:r>
        <w:rPr>
          <w:spacing w:val="-3"/>
        </w:rPr>
        <w:t>术和业务限制，鼓励创新，提供更丰富、更具有适应性的技术和产品，成为支撑</w:t>
      </w:r>
      <w:r>
        <w:rPr>
          <w:spacing w:val="-111"/>
        </w:rPr>
        <w:t> </w:t>
      </w:r>
      <w:r>
        <w:rPr>
          <w:spacing w:val="-111"/>
        </w:rPr>
      </w:r>
      <w:r>
        <w:rPr/>
        <w:t>公司在激烈的市场竞争中处于不败之地的关键要素。</w:t>
      </w:r>
    </w:p>
    <w:p>
      <w:pPr>
        <w:pStyle w:val="Heading7"/>
        <w:spacing w:line="475" w:lineRule="auto" w:before="194"/>
        <w:ind w:right="3264"/>
        <w:jc w:val="left"/>
        <w:rPr>
          <w:b w:val="0"/>
          <w:bCs w:val="0"/>
        </w:rPr>
      </w:pPr>
      <w:r>
        <w:rPr/>
        <w:t>（五）公司未来发展战略规划及 </w:t>
      </w:r>
      <w:r>
        <w:rPr>
          <w:rFonts w:ascii="宋体" w:hAnsi="宋体" w:cs="宋体" w:eastAsia="宋体" w:hint="default"/>
        </w:rPr>
        <w:t>2012</w:t>
      </w:r>
      <w:r>
        <w:rPr>
          <w:rFonts w:ascii="宋体" w:hAnsi="宋体" w:cs="宋体" w:eastAsia="宋体" w:hint="default"/>
          <w:spacing w:val="-62"/>
        </w:rPr>
        <w:t> </w:t>
      </w:r>
      <w:r>
        <w:rPr/>
        <w:t>年经营计划</w:t>
      </w:r>
      <w:r>
        <w:rPr>
          <w:w w:val="99"/>
        </w:rPr>
        <w:t> </w:t>
      </w:r>
      <w:r>
        <w:rPr>
          <w:rFonts w:ascii="宋体" w:hAnsi="宋体" w:cs="宋体" w:eastAsia="宋体" w:hint="default"/>
        </w:rPr>
        <w:t>1</w:t>
      </w:r>
      <w:r>
        <w:rPr/>
        <w:t>、战略规划</w:t>
      </w:r>
      <w:r>
        <w:rPr>
          <w:b w:val="0"/>
          <w:bCs w:val="0"/>
        </w:rPr>
      </w:r>
    </w:p>
    <w:p>
      <w:pPr>
        <w:pStyle w:val="BodyText"/>
        <w:spacing w:line="357" w:lineRule="auto" w:before="75"/>
        <w:ind w:right="217" w:firstLine="482"/>
        <w:jc w:val="both"/>
      </w:pPr>
      <w:r>
        <w:rPr/>
        <w:t>公司经过多年的努力，已经形成了以金融 </w:t>
      </w:r>
      <w:r>
        <w:rPr>
          <w:rFonts w:ascii="宋体" w:hAnsi="宋体" w:cs="宋体" w:eastAsia="宋体" w:hint="default"/>
        </w:rPr>
        <w:t>POS</w:t>
      </w:r>
      <w:r>
        <w:rPr>
          <w:rFonts w:ascii="宋体" w:hAnsi="宋体" w:cs="宋体" w:eastAsia="宋体" w:hint="default"/>
          <w:spacing w:val="19"/>
        </w:rPr>
        <w:t> </w:t>
      </w:r>
      <w:r>
        <w:rPr/>
        <w:t>终端为载体的电子支付技术 </w:t>
      </w:r>
      <w:r>
        <w:rPr>
          <w:spacing w:val="-3"/>
        </w:rPr>
        <w:t>服务为主营业务的格局。未来几年，公司将继续坚持电子支付技术为基础，巩固</w:t>
      </w:r>
      <w:r>
        <w:rPr>
          <w:spacing w:val="-111"/>
        </w:rPr>
        <w:t> </w:t>
      </w:r>
      <w:r>
        <w:rPr>
          <w:spacing w:val="-111"/>
        </w:rPr>
      </w:r>
      <w:r>
        <w:rPr>
          <w:spacing w:val="-3"/>
        </w:rPr>
        <w:t>和提高公司电子支付技术服务领域的市场领先地位，凭借技术、市场和行业经验</w:t>
      </w:r>
      <w:r>
        <w:rPr>
          <w:spacing w:val="-109"/>
        </w:rPr>
        <w:t> </w:t>
      </w:r>
      <w:r>
        <w:rPr>
          <w:spacing w:val="-109"/>
        </w:rPr>
      </w:r>
      <w:r>
        <w:rPr>
          <w:spacing w:val="-3"/>
        </w:rPr>
        <w:t>等优势，以金融领域为基础，稳步开展其他卡基受理业务，积极探索新的产品和</w:t>
      </w:r>
      <w:r>
        <w:rPr>
          <w:spacing w:val="-111"/>
        </w:rPr>
        <w:t> </w:t>
      </w:r>
      <w:r>
        <w:rPr>
          <w:spacing w:val="-111"/>
        </w:rPr>
      </w:r>
      <w:r>
        <w:rPr/>
        <w:t>应用，整合资源，形成公司持续、健康成长的长期格局。</w:t>
      </w:r>
    </w:p>
    <w:p>
      <w:pPr>
        <w:pStyle w:val="Heading7"/>
        <w:spacing w:line="240" w:lineRule="auto"/>
        <w:ind w:right="94"/>
        <w:jc w:val="left"/>
        <w:rPr>
          <w:b w:val="0"/>
          <w:bCs w:val="0"/>
        </w:rPr>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5"/>
        </w:rPr>
        <w:t> </w:t>
      </w:r>
      <w:r>
        <w:rPr/>
        <w:t>年经营计划</w:t>
      </w:r>
      <w:r>
        <w:rPr>
          <w:b w:val="0"/>
          <w:bCs w:val="0"/>
        </w:rPr>
      </w:r>
    </w:p>
    <w:p>
      <w:pPr>
        <w:spacing w:line="240" w:lineRule="auto" w:before="9"/>
        <w:rPr>
          <w:rFonts w:ascii="宋体" w:hAnsi="宋体" w:cs="宋体" w:eastAsia="宋体" w:hint="default"/>
          <w:b/>
          <w:bCs/>
          <w:sz w:val="23"/>
          <w:szCs w:val="23"/>
        </w:rPr>
      </w:pPr>
    </w:p>
    <w:p>
      <w:pPr>
        <w:spacing w:line="477" w:lineRule="auto" w:before="0"/>
        <w:ind w:left="600" w:right="9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）推行科学化、精细化管理，提高公司整体运营效率</w:t>
      </w:r>
      <w:r>
        <w:rPr>
          <w:rFonts w:ascii="宋体" w:hAnsi="宋体" w:cs="宋体" w:eastAsia="宋体" w:hint="default"/>
          <w:b/>
          <w:bCs/>
          <w:w w:val="99"/>
          <w:sz w:val="24"/>
          <w:szCs w:val="24"/>
        </w:rPr>
        <w:t> </w:t>
      </w:r>
      <w:r>
        <w:rPr>
          <w:rFonts w:ascii="宋体" w:hAnsi="宋体" w:cs="宋体" w:eastAsia="宋体" w:hint="default"/>
          <w:spacing w:val="-7"/>
          <w:sz w:val="24"/>
          <w:szCs w:val="24"/>
        </w:rPr>
        <w:t>公司的健康发展需要健全的公司治理结构，更离不开科学化、精细化的管理。</w:t>
      </w:r>
    </w:p>
    <w:p>
      <w:pPr>
        <w:spacing w:after="0" w:line="477" w:lineRule="auto"/>
        <w:jc w:val="left"/>
        <w:rPr>
          <w:rFonts w:ascii="宋体" w:hAnsi="宋体" w:cs="宋体" w:eastAsia="宋体" w:hint="default"/>
          <w:sz w:val="24"/>
          <w:szCs w:val="24"/>
        </w:rPr>
        <w:sectPr>
          <w:footerReference w:type="default" r:id="rId20"/>
          <w:pgSz w:w="11910" w:h="16840"/>
          <w:pgMar w:footer="1195" w:header="0" w:top="1460" w:bottom="1380" w:left="1680" w:right="1580"/>
          <w:pgNumType w:start="31"/>
        </w:sectPr>
      </w:pPr>
    </w:p>
    <w:p>
      <w:pPr>
        <w:pStyle w:val="BodyText"/>
        <w:spacing w:line="357" w:lineRule="auto" w:before="1"/>
        <w:ind w:right="114"/>
        <w:jc w:val="left"/>
      </w:pPr>
      <w:r>
        <w:rPr>
          <w:rFonts w:ascii="宋体" w:hAnsi="宋体" w:cs="宋体" w:eastAsia="宋体" w:hint="default"/>
          <w:spacing w:val="-6"/>
        </w:rPr>
        <w:t>2012</w:t>
      </w:r>
      <w:r>
        <w:rPr>
          <w:spacing w:val="-6"/>
        </w:rPr>
        <w:t>年，公司将在科学管理的基础上，力推精细化管理。即，将管理工作细致化、</w:t>
      </w:r>
      <w:r>
        <w:rPr>
          <w:spacing w:val="-107"/>
        </w:rPr>
        <w:t> </w:t>
      </w:r>
      <w:r>
        <w:rPr>
          <w:spacing w:val="-107"/>
        </w:rPr>
      </w:r>
      <w:r>
        <w:rPr>
          <w:spacing w:val="-3"/>
        </w:rPr>
        <w:t>深入化，以运营风险控制为目标，提高公司整体经营风险把控能力和整体运营效</w:t>
      </w:r>
      <w:r>
        <w:rPr>
          <w:spacing w:val="-111"/>
        </w:rPr>
        <w:t> </w:t>
      </w:r>
      <w:r>
        <w:rPr>
          <w:spacing w:val="-111"/>
        </w:rPr>
      </w:r>
      <w:r>
        <w:rPr/>
        <w:t>率。</w:t>
      </w:r>
    </w:p>
    <w:p>
      <w:pPr>
        <w:pStyle w:val="BodyText"/>
        <w:spacing w:line="357" w:lineRule="auto" w:before="192"/>
        <w:ind w:right="102" w:firstLine="479"/>
        <w:jc w:val="left"/>
      </w:pPr>
      <w:r>
        <w:rPr>
          <w:spacing w:val="-3"/>
        </w:rPr>
        <w:t>近几年来，公司经营业务规模成倍增长，与此相对应的，员工人数也成倍增</w:t>
      </w:r>
      <w:r>
        <w:rPr/>
        <w:t> </w:t>
      </w:r>
      <w:r>
        <w:rPr>
          <w:spacing w:val="-3"/>
        </w:rPr>
        <w:t>长，虽然公司已经建立了有效的公司治理结构、符合上市公司治理规范的业务管</w:t>
      </w:r>
      <w:r>
        <w:rPr>
          <w:spacing w:val="-111"/>
        </w:rPr>
        <w:t> </w:t>
      </w:r>
      <w:r>
        <w:rPr>
          <w:spacing w:val="-111"/>
        </w:rPr>
      </w:r>
      <w:r>
        <w:rPr/>
        <w:t>理流程，但是在公司整体经营效率、风险控制等方面仍存在不足。为此，</w:t>
      </w:r>
      <w:r>
        <w:rPr>
          <w:rFonts w:ascii="宋体" w:hAnsi="宋体" w:cs="宋体" w:eastAsia="宋体" w:hint="default"/>
        </w:rPr>
        <w:t>2012 </w:t>
      </w:r>
      <w:r>
        <w:rPr>
          <w:spacing w:val="-6"/>
        </w:rPr>
        <w:t>年，公司将重点进行相关业务流程优化、风险控制流程优化、研发管理流程优化。</w:t>
      </w:r>
    </w:p>
    <w:p>
      <w:pPr>
        <w:pStyle w:val="BodyText"/>
        <w:spacing w:line="357" w:lineRule="auto" w:before="192"/>
        <w:ind w:right="0" w:firstLine="479"/>
        <w:jc w:val="left"/>
      </w:pPr>
      <w:r>
        <w:rPr>
          <w:spacing w:val="-7"/>
        </w:rPr>
        <w:t>具体而言，在业务流程方面，由于公司员工规模的日益壮大，部门内部之间、</w:t>
      </w:r>
      <w:r>
        <w:rPr/>
        <w:t> </w:t>
      </w:r>
      <w:r>
        <w:rPr>
          <w:spacing w:val="-3"/>
        </w:rPr>
        <w:t>部门与部门之间都存在着信息沟通不充分、协调不及时的情况，因此，公司将以</w:t>
      </w:r>
      <w:r>
        <w:rPr>
          <w:spacing w:val="-110"/>
        </w:rPr>
        <w:t> </w:t>
      </w:r>
      <w:r>
        <w:rPr>
          <w:spacing w:val="-110"/>
        </w:rPr>
      </w:r>
      <w:r>
        <w:rPr>
          <w:rFonts w:ascii="宋体" w:hAnsi="宋体" w:cs="宋体" w:eastAsia="宋体" w:hint="default"/>
        </w:rPr>
        <w:t>ERP</w:t>
      </w:r>
      <w:r>
        <w:rPr/>
        <w:t>系统为基础，加大各部门内部沟通流程、部门与部门之间沟通与协调流程的 梳理和优化，并将优化后的流程通过</w:t>
      </w:r>
      <w:r>
        <w:rPr>
          <w:rFonts w:ascii="宋体" w:hAnsi="宋体" w:cs="宋体" w:eastAsia="宋体" w:hint="default"/>
        </w:rPr>
        <w:t>ERP</w:t>
      </w:r>
      <w:r>
        <w:rPr/>
        <w:t>进行固定。</w:t>
      </w:r>
    </w:p>
    <w:p>
      <w:pPr>
        <w:pStyle w:val="BodyText"/>
        <w:spacing w:line="357" w:lineRule="auto" w:before="192"/>
        <w:ind w:right="237" w:firstLine="479"/>
        <w:jc w:val="both"/>
      </w:pPr>
      <w:r>
        <w:rPr>
          <w:spacing w:val="-3"/>
        </w:rPr>
        <w:t>在风险控制方面，公司将加大对公司核心业务部门的风险控制工作力度，重</w:t>
      </w:r>
      <w:r>
        <w:rPr/>
        <w:t> </w:t>
      </w:r>
      <w:r>
        <w:rPr>
          <w:spacing w:val="-3"/>
        </w:rPr>
        <w:t>点加大应收账款的管理、质量控制管理。公司将进一步扩充审计部的力量，推行</w:t>
      </w:r>
      <w:r>
        <w:rPr>
          <w:spacing w:val="-111"/>
        </w:rPr>
        <w:t> </w:t>
      </w:r>
      <w:r>
        <w:rPr>
          <w:spacing w:val="-111"/>
        </w:rPr>
      </w:r>
      <w:r>
        <w:rPr>
          <w:spacing w:val="-3"/>
        </w:rPr>
        <w:t>费用审计、离任审计等工作，以优化公司费用结构、提高资金使用效率。在研发</w:t>
      </w:r>
      <w:r>
        <w:rPr>
          <w:spacing w:val="-111"/>
        </w:rPr>
        <w:t> </w:t>
      </w:r>
      <w:r>
        <w:rPr>
          <w:spacing w:val="-111"/>
        </w:rPr>
      </w:r>
      <w:r>
        <w:rPr>
          <w:spacing w:val="-3"/>
        </w:rPr>
        <w:t>管理流程方面，公司将以提高研发质量与效率、加强研发项目管理为核心，推行</w:t>
      </w:r>
      <w:r>
        <w:rPr>
          <w:spacing w:val="-111"/>
        </w:rPr>
        <w:t> </w:t>
      </w:r>
      <w:r>
        <w:rPr>
          <w:spacing w:val="-111"/>
        </w:rPr>
      </w:r>
      <w:r>
        <w:rPr/>
        <w:t>研发管理流程改革，促进研发与市场的进一步结合，鼓励技术和产品创新。</w:t>
      </w:r>
    </w:p>
    <w:p>
      <w:pPr>
        <w:spacing w:line="415" w:lineRule="auto" w:before="192"/>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）进一步开发国内市场，努力开拓海外市场</w:t>
      </w:r>
      <w:r>
        <w:rPr>
          <w:rFonts w:ascii="宋体" w:hAnsi="宋体" w:cs="宋体" w:eastAsia="宋体" w:hint="default"/>
          <w:b/>
          <w:bCs/>
          <w:w w:val="99"/>
          <w:sz w:val="24"/>
          <w:szCs w:val="24"/>
        </w:rPr>
        <w:t> </w:t>
      </w:r>
      <w:r>
        <w:rPr>
          <w:rFonts w:ascii="宋体" w:hAnsi="宋体" w:cs="宋体" w:eastAsia="宋体" w:hint="default"/>
          <w:spacing w:val="-3"/>
          <w:sz w:val="24"/>
          <w:szCs w:val="24"/>
        </w:rPr>
        <w:t>国内市场方面，在维护现有市场份额的基础上，重点做好商业银行的招投标</w:t>
      </w:r>
    </w:p>
    <w:p>
      <w:pPr>
        <w:pStyle w:val="BodyText"/>
        <w:spacing w:line="291" w:lineRule="exact"/>
        <w:ind w:right="0"/>
        <w:jc w:val="left"/>
      </w:pPr>
      <w:r>
        <w:rPr>
          <w:spacing w:val="-6"/>
        </w:rPr>
        <w:t>工作，对已经中标的商业银行，加大落实销售落地工作；对尚未中标的商业银行，</w:t>
      </w:r>
    </w:p>
    <w:p>
      <w:pPr>
        <w:pStyle w:val="BodyText"/>
        <w:spacing w:line="357" w:lineRule="auto" w:before="154"/>
        <w:ind w:right="103"/>
        <w:jc w:val="left"/>
      </w:pPr>
      <w:r>
        <w:rPr>
          <w:spacing w:val="-4"/>
        </w:rPr>
        <w:t>加大市场攻坚力度，力争在</w:t>
      </w:r>
      <w:r>
        <w:rPr>
          <w:spacing w:val="-53"/>
        </w:rPr>
        <w:t> </w:t>
      </w:r>
      <w:r>
        <w:rPr>
          <w:rFonts w:ascii="宋体" w:hAnsi="宋体" w:cs="宋体" w:eastAsia="宋体" w:hint="default"/>
        </w:rPr>
        <w:t>2012</w:t>
      </w:r>
      <w:r>
        <w:rPr>
          <w:rFonts w:ascii="宋体" w:hAnsi="宋体" w:cs="宋体" w:eastAsia="宋体" w:hint="default"/>
          <w:spacing w:val="-53"/>
        </w:rPr>
        <w:t> </w:t>
      </w:r>
      <w:r>
        <w:rPr>
          <w:spacing w:val="-3"/>
        </w:rPr>
        <w:t>年取得实质性进展。继续扩大第三方客户基础，</w:t>
      </w:r>
      <w:r>
        <w:rPr/>
        <w:t> </w:t>
      </w:r>
      <w:r>
        <w:rPr>
          <w:spacing w:val="-3"/>
        </w:rPr>
        <w:t>对第三方客户进行信用评估，在做好产品和技术服务的同时，加大第三方客户的</w:t>
      </w:r>
      <w:r>
        <w:rPr>
          <w:spacing w:val="-111"/>
        </w:rPr>
        <w:t> </w:t>
      </w:r>
      <w:r>
        <w:rPr>
          <w:spacing w:val="-111"/>
        </w:rPr>
      </w:r>
      <w:r>
        <w:rPr>
          <w:spacing w:val="-3"/>
        </w:rPr>
        <w:t>信用风险管理。重点跟进行业客户的业务进展，及时提供技术咨询与服务，为该</w:t>
      </w:r>
      <w:r>
        <w:rPr>
          <w:spacing w:val="-111"/>
        </w:rPr>
        <w:t> </w:t>
      </w:r>
      <w:r>
        <w:rPr>
          <w:spacing w:val="-111"/>
        </w:rPr>
      </w:r>
      <w:r>
        <w:rPr/>
        <w:t>部分客户的市场工作打下坚实的基础。</w:t>
      </w:r>
    </w:p>
    <w:p>
      <w:pPr>
        <w:pStyle w:val="BodyText"/>
        <w:spacing w:line="357" w:lineRule="auto" w:before="190"/>
        <w:ind w:right="238" w:firstLine="479"/>
        <w:jc w:val="both"/>
      </w:pPr>
      <w:r>
        <w:rPr>
          <w:rFonts w:ascii="宋体" w:hAnsi="宋体" w:cs="宋体" w:eastAsia="宋体" w:hint="default"/>
        </w:rPr>
        <w:t>2012</w:t>
      </w:r>
      <w:r>
        <w:rPr>
          <w:rFonts w:ascii="宋体" w:hAnsi="宋体" w:cs="宋体" w:eastAsia="宋体" w:hint="default"/>
          <w:spacing w:val="20"/>
        </w:rPr>
        <w:t> </w:t>
      </w:r>
      <w:r>
        <w:rPr/>
        <w:t>年，公司将努力开拓海外市场，通过多种渠道加大海外市场的宣传和 </w:t>
      </w:r>
      <w:r>
        <w:rPr>
          <w:spacing w:val="-3"/>
        </w:rPr>
        <w:t>推介力度，加强与海外市场代理商的沟通与合作，提供适合于海外客户的产品与</w:t>
      </w:r>
      <w:r>
        <w:rPr>
          <w:spacing w:val="-110"/>
        </w:rPr>
        <w:t> </w:t>
      </w:r>
      <w:r>
        <w:rPr>
          <w:spacing w:val="-110"/>
        </w:rPr>
      </w:r>
      <w:r>
        <w:rPr/>
        <w:t>技术，形成面向海外市场的拳头产品。</w:t>
      </w:r>
    </w:p>
    <w:p>
      <w:pPr>
        <w:spacing w:line="240" w:lineRule="auto" w:before="10"/>
        <w:rPr>
          <w:rFonts w:ascii="宋体" w:hAnsi="宋体" w:cs="宋体" w:eastAsia="宋体" w:hint="default"/>
          <w:sz w:val="20"/>
          <w:szCs w:val="20"/>
        </w:rPr>
      </w:pPr>
    </w:p>
    <w:p>
      <w:pPr>
        <w:pStyle w:val="Heading7"/>
        <w:spacing w:line="240" w:lineRule="auto" w:before="0"/>
        <w:ind w:right="0"/>
        <w:jc w:val="left"/>
        <w:rPr>
          <w:b w:val="0"/>
          <w:bCs w:val="0"/>
        </w:rPr>
      </w:pPr>
      <w:r>
        <w:rPr/>
        <w:t>（</w:t>
      </w:r>
      <w:r>
        <w:rPr>
          <w:rFonts w:ascii="宋体" w:hAnsi="宋体" w:cs="宋体" w:eastAsia="宋体" w:hint="default"/>
        </w:rPr>
        <w:t>3</w:t>
      </w:r>
      <w:r>
        <w:rPr/>
        <w:t>）人才培养和引进并重，加强人力资源建设</w:t>
      </w:r>
      <w:r>
        <w:rPr>
          <w:b w:val="0"/>
          <w:bCs w:val="0"/>
        </w:rPr>
      </w:r>
    </w:p>
    <w:p>
      <w:pPr>
        <w:spacing w:after="0" w:line="240" w:lineRule="auto"/>
        <w:jc w:val="left"/>
        <w:sectPr>
          <w:pgSz w:w="11910" w:h="16840"/>
          <w:pgMar w:header="0" w:footer="1195" w:top="1460" w:bottom="1380" w:left="1680" w:right="1560"/>
        </w:sectPr>
      </w:pPr>
    </w:p>
    <w:p>
      <w:pPr>
        <w:pStyle w:val="BodyText"/>
        <w:spacing w:line="357" w:lineRule="auto" w:before="1"/>
        <w:ind w:right="102" w:firstLine="479"/>
        <w:jc w:val="left"/>
      </w:pPr>
      <w:r>
        <w:rPr/>
        <w:t>继续坚持“以人为本，人尽其用”的人才思路，人才培养和人才引进并重， </w:t>
      </w:r>
      <w:r>
        <w:rPr>
          <w:spacing w:val="-3"/>
        </w:rPr>
        <w:t>进一步完善人才培养、引进和激励机制。继续推进企业文化建设。继续推行导师</w:t>
      </w:r>
      <w:r>
        <w:rPr>
          <w:spacing w:val="-111"/>
        </w:rPr>
        <w:t> </w:t>
      </w:r>
      <w:r>
        <w:rPr>
          <w:spacing w:val="-111"/>
        </w:rPr>
      </w:r>
      <w:r>
        <w:rPr>
          <w:spacing w:val="-6"/>
        </w:rPr>
        <w:t>制度，由员工辅导员、讲师、导师组成企业文化宣传团队，做好企业文化的宣传。</w:t>
      </w:r>
      <w:r>
        <w:rPr/>
        <w:t> </w:t>
      </w:r>
      <w:r>
        <w:rPr>
          <w:spacing w:val="-3"/>
        </w:rPr>
        <w:t>丰富员工活动，组织开展员工文体活动，大力加强企业文化宣传工作，提高员工</w:t>
      </w:r>
      <w:r>
        <w:rPr>
          <w:spacing w:val="-111"/>
        </w:rPr>
        <w:t> </w:t>
      </w:r>
      <w:r>
        <w:rPr>
          <w:spacing w:val="-111"/>
        </w:rPr>
      </w:r>
      <w:r>
        <w:rPr>
          <w:spacing w:val="-3"/>
        </w:rPr>
        <w:t>对企业文化的认同度，提高企业凝聚力。加强对员工的职业培训，以专业培训和</w:t>
      </w:r>
      <w:r>
        <w:rPr>
          <w:spacing w:val="-110"/>
        </w:rPr>
        <w:t> </w:t>
      </w:r>
      <w:r>
        <w:rPr>
          <w:spacing w:val="-110"/>
        </w:rPr>
      </w:r>
      <w:r>
        <w:rPr>
          <w:spacing w:val="-3"/>
        </w:rPr>
        <w:t>综合素质培训为核心，对公司员工进行系统的培训。加强中高层管理人员的现代</w:t>
      </w:r>
      <w:r>
        <w:rPr>
          <w:spacing w:val="-110"/>
        </w:rPr>
        <w:t> </w:t>
      </w:r>
      <w:r>
        <w:rPr>
          <w:spacing w:val="-110"/>
        </w:rPr>
      </w:r>
      <w:r>
        <w:rPr/>
        <w:t>化管理技能培训，适当时机引进专业培训机构开展高端培训。</w:t>
      </w:r>
    </w:p>
    <w:p>
      <w:pPr>
        <w:pStyle w:val="Heading7"/>
        <w:spacing w:line="240" w:lineRule="auto" w:before="193"/>
        <w:ind w:right="0"/>
        <w:jc w:val="left"/>
        <w:rPr>
          <w:b w:val="0"/>
          <w:bCs w:val="0"/>
        </w:rPr>
      </w:pPr>
      <w:r>
        <w:rPr/>
        <w:t>（</w:t>
      </w:r>
      <w:r>
        <w:rPr>
          <w:rFonts w:ascii="宋体" w:hAnsi="宋体" w:cs="宋体" w:eastAsia="宋体" w:hint="default"/>
        </w:rPr>
        <w:t>4</w:t>
      </w:r>
      <w:r>
        <w:rPr/>
        <w:t>）扩大工厂产能</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126" w:firstLine="479"/>
        <w:jc w:val="left"/>
      </w:pPr>
      <w:r>
        <w:rPr>
          <w:spacing w:val="-3"/>
        </w:rPr>
        <w:t>为保障公司长期发展战略的实现，满足日益增大的市场需求，</w:t>
      </w:r>
      <w:r>
        <w:rPr>
          <w:rFonts w:ascii="宋体" w:hAnsi="宋体" w:cs="宋体" w:eastAsia="宋体" w:hint="default"/>
          <w:spacing w:val="-3"/>
        </w:rPr>
        <w:t>2012</w:t>
      </w:r>
      <w:r>
        <w:rPr>
          <w:spacing w:val="-3"/>
        </w:rPr>
        <w:t>年公司将</w:t>
      </w:r>
      <w:r>
        <w:rPr/>
        <w:t> 投入资金重新规划全新的高品质生产园区，进一步提高产能。在生产管理方面， 推行信息化管理，优化</w:t>
      </w:r>
      <w:r>
        <w:rPr>
          <w:rFonts w:ascii="宋体" w:hAnsi="宋体" w:cs="宋体" w:eastAsia="宋体" w:hint="default"/>
        </w:rPr>
        <w:t>MES</w:t>
      </w:r>
      <w:r>
        <w:rPr/>
        <w:t>和</w:t>
      </w:r>
      <w:r>
        <w:rPr>
          <w:rFonts w:ascii="宋体" w:hAnsi="宋体" w:cs="宋体" w:eastAsia="宋体" w:hint="default"/>
        </w:rPr>
        <w:t>OA</w:t>
      </w:r>
      <w:r>
        <w:rPr/>
        <w:t>系统，提高工厂生产效率和工作效率。</w:t>
      </w:r>
    </w:p>
    <w:p>
      <w:pPr>
        <w:pStyle w:val="Heading7"/>
        <w:spacing w:line="240" w:lineRule="auto"/>
        <w:ind w:right="0"/>
        <w:jc w:val="left"/>
        <w:rPr>
          <w:b w:val="0"/>
          <w:bCs w:val="0"/>
        </w:rPr>
      </w:pPr>
      <w:r>
        <w:rPr/>
        <w:t>（</w:t>
      </w:r>
      <w:r>
        <w:rPr>
          <w:rFonts w:ascii="宋体" w:hAnsi="宋体" w:cs="宋体" w:eastAsia="宋体" w:hint="default"/>
        </w:rPr>
        <w:t>5</w:t>
      </w:r>
      <w:r>
        <w:rPr/>
        <w:t>）加强投资者关系建设</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31" w:firstLine="479"/>
        <w:jc w:val="left"/>
      </w:pPr>
      <w:r>
        <w:rPr/>
        <w:t>投资者关系是公司进入资本市场后必须长期坚持和努力的重要工作。</w:t>
      </w:r>
      <w:r>
        <w:rPr>
          <w:rFonts w:ascii="宋体" w:hAnsi="宋体" w:cs="宋体" w:eastAsia="宋体" w:hint="default"/>
        </w:rPr>
        <w:t>2012 </w:t>
      </w:r>
      <w:r>
        <w:rPr>
          <w:spacing w:val="-3"/>
        </w:rPr>
        <w:t>年，公司将进一步完善公司的治理结构，建立和健全投资者沟通平台，加强公司</w:t>
      </w:r>
      <w:r>
        <w:rPr>
          <w:spacing w:val="-111"/>
        </w:rPr>
        <w:t> </w:t>
      </w:r>
      <w:r>
        <w:rPr>
          <w:spacing w:val="-111"/>
        </w:rPr>
      </w:r>
      <w:r>
        <w:rPr>
          <w:spacing w:val="-3"/>
        </w:rPr>
        <w:t>与投资者和潜在投资者之间的沟通，加深投资者对公司的价值了解和认同，促进</w:t>
      </w:r>
      <w:r>
        <w:rPr>
          <w:spacing w:val="-110"/>
        </w:rPr>
        <w:t> </w:t>
      </w:r>
      <w:r>
        <w:rPr>
          <w:spacing w:val="-110"/>
        </w:rPr>
      </w:r>
      <w:r>
        <w:rPr>
          <w:spacing w:val="-3"/>
        </w:rPr>
        <w:t>公司与投资者之间形成长期、稳定的良好关系，提升公司的诚信度、核心竞争力</w:t>
      </w:r>
      <w:r>
        <w:rPr>
          <w:spacing w:val="-111"/>
        </w:rPr>
        <w:t> </w:t>
      </w:r>
      <w:r>
        <w:rPr>
          <w:spacing w:val="-111"/>
        </w:rPr>
      </w:r>
      <w:r>
        <w:rPr/>
        <w:t>和持续发展能力，实现公司价值最大化和股东利益最大化的动态平衡。</w:t>
      </w:r>
    </w:p>
    <w:p>
      <w:pPr>
        <w:spacing w:line="764" w:lineRule="exact" w:before="3"/>
        <w:ind w:left="600" w:right="0" w:hanging="480"/>
        <w:jc w:val="left"/>
        <w:rPr>
          <w:rFonts w:ascii="宋体" w:hAnsi="宋体" w:cs="宋体" w:eastAsia="宋体" w:hint="default"/>
          <w:sz w:val="24"/>
          <w:szCs w:val="24"/>
        </w:rPr>
      </w:pPr>
      <w:r>
        <w:rPr>
          <w:rFonts w:ascii="宋体" w:hAnsi="宋体" w:cs="宋体" w:eastAsia="宋体" w:hint="default"/>
          <w:b/>
          <w:bCs/>
          <w:sz w:val="24"/>
          <w:szCs w:val="24"/>
        </w:rPr>
        <w:t>（六）实现未来发展战略所需资金的计划</w:t>
      </w:r>
      <w:r>
        <w:rPr>
          <w:rFonts w:ascii="宋体" w:hAnsi="宋体" w:cs="宋体" w:eastAsia="宋体" w:hint="default"/>
          <w:b/>
          <w:bCs/>
          <w:w w:val="99"/>
          <w:sz w:val="24"/>
          <w:szCs w:val="24"/>
        </w:rPr>
        <w:t> </w:t>
      </w:r>
      <w:r>
        <w:rPr>
          <w:rFonts w:ascii="宋体" w:hAnsi="宋体" w:cs="宋体" w:eastAsia="宋体" w:hint="default"/>
          <w:spacing w:val="-3"/>
          <w:sz w:val="24"/>
          <w:szCs w:val="24"/>
        </w:rPr>
        <w:t>公司</w:t>
      </w:r>
      <w:r>
        <w:rPr>
          <w:rFonts w:ascii="宋体" w:hAnsi="宋体" w:cs="宋体" w:eastAsia="宋体" w:hint="default"/>
          <w:spacing w:val="-3"/>
          <w:sz w:val="24"/>
          <w:szCs w:val="24"/>
        </w:rPr>
        <w:t>2010</w:t>
      </w:r>
      <w:r>
        <w:rPr>
          <w:rFonts w:ascii="宋体" w:hAnsi="宋体" w:cs="宋体" w:eastAsia="宋体" w:hint="default"/>
          <w:spacing w:val="-3"/>
          <w:sz w:val="24"/>
          <w:szCs w:val="24"/>
        </w:rPr>
        <w:t>年</w:t>
      </w:r>
      <w:r>
        <w:rPr>
          <w:rFonts w:ascii="宋体" w:hAnsi="宋体" w:cs="宋体" w:eastAsia="宋体" w:hint="default"/>
          <w:spacing w:val="-3"/>
          <w:sz w:val="24"/>
          <w:szCs w:val="24"/>
        </w:rPr>
        <w:t>10</w:t>
      </w:r>
      <w:r>
        <w:rPr>
          <w:rFonts w:ascii="宋体" w:hAnsi="宋体" w:cs="宋体" w:eastAsia="宋体" w:hint="default"/>
          <w:spacing w:val="-3"/>
          <w:sz w:val="24"/>
          <w:szCs w:val="24"/>
        </w:rPr>
        <w:t>月首次公开发行</w:t>
      </w:r>
      <w:r>
        <w:rPr>
          <w:rFonts w:ascii="宋体" w:hAnsi="宋体" w:cs="宋体" w:eastAsia="宋体" w:hint="default"/>
          <w:spacing w:val="-3"/>
          <w:sz w:val="24"/>
          <w:szCs w:val="24"/>
        </w:rPr>
        <w:t>A</w:t>
      </w:r>
      <w:r>
        <w:rPr>
          <w:rFonts w:ascii="宋体" w:hAnsi="宋体" w:cs="宋体" w:eastAsia="宋体" w:hint="default"/>
          <w:spacing w:val="-3"/>
          <w:sz w:val="24"/>
          <w:szCs w:val="24"/>
        </w:rPr>
        <w:t>股并上市，募集资金净额</w:t>
      </w:r>
      <w:r>
        <w:rPr>
          <w:rFonts w:ascii="宋体" w:hAnsi="宋体" w:cs="宋体" w:eastAsia="宋体" w:hint="default"/>
          <w:spacing w:val="-3"/>
          <w:sz w:val="24"/>
          <w:szCs w:val="24"/>
        </w:rPr>
        <w:t>646,334,934.33</w:t>
      </w:r>
      <w:r>
        <w:rPr>
          <w:rFonts w:ascii="宋体" w:hAnsi="宋体" w:cs="宋体" w:eastAsia="宋体" w:hint="default"/>
          <w:spacing w:val="-3"/>
          <w:sz w:val="24"/>
          <w:szCs w:val="24"/>
        </w:rPr>
        <w:t>元，</w:t>
      </w:r>
    </w:p>
    <w:p>
      <w:pPr>
        <w:pStyle w:val="BodyText"/>
        <w:spacing w:line="357" w:lineRule="auto" w:before="35"/>
        <w:ind w:right="126"/>
        <w:jc w:val="left"/>
      </w:pPr>
      <w:r>
        <w:rPr/>
        <w:t>公司将严格按照中国证监会和深交所各项规定管好和用好募集资金和超募资金， </w:t>
      </w:r>
      <w:r>
        <w:rPr>
          <w:spacing w:val="-3"/>
        </w:rPr>
        <w:t>严格执行审批程序，积极推进募投项目建设和制订并实施超募资金使用方案，努</w:t>
      </w:r>
      <w:r>
        <w:rPr>
          <w:spacing w:val="-111"/>
        </w:rPr>
        <w:t> </w:t>
      </w:r>
      <w:r>
        <w:rPr>
          <w:spacing w:val="-111"/>
        </w:rPr>
      </w:r>
      <w:r>
        <w:rPr>
          <w:spacing w:val="-3"/>
        </w:rPr>
        <w:t>力提高资金的使用效率。同时，公司将合理安排自有资金，确保公司未来发展资</w:t>
      </w:r>
      <w:r>
        <w:rPr>
          <w:spacing w:val="-111"/>
        </w:rPr>
        <w:t> </w:t>
      </w:r>
      <w:r>
        <w:rPr>
          <w:spacing w:val="-111"/>
        </w:rPr>
      </w:r>
      <w:r>
        <w:rPr/>
        <w:t>金需求，为公司的长远发展奠定基础，为股东创造最大效益。</w:t>
      </w:r>
    </w:p>
    <w:p>
      <w:pPr>
        <w:pStyle w:val="Heading7"/>
        <w:spacing w:line="240" w:lineRule="auto"/>
        <w:ind w:right="0"/>
        <w:jc w:val="left"/>
        <w:rPr>
          <w:b w:val="0"/>
          <w:bCs w:val="0"/>
        </w:rPr>
      </w:pPr>
      <w:r>
        <w:rPr/>
        <w:t>三、董事会日常工作情况</w:t>
      </w:r>
      <w:r>
        <w:rPr>
          <w:b w:val="0"/>
          <w:bCs w:val="0"/>
        </w:rPr>
      </w:r>
    </w:p>
    <w:p>
      <w:pPr>
        <w:spacing w:line="620" w:lineRule="atLeast" w:before="4"/>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b/>
          <w:bCs/>
          <w:w w:val="99"/>
          <w:sz w:val="24"/>
          <w:szCs w:val="24"/>
        </w:rPr>
        <w:t> </w:t>
      </w:r>
      <w:r>
        <w:rPr>
          <w:rFonts w:ascii="宋体" w:hAnsi="宋体" w:cs="宋体" w:eastAsia="宋体" w:hint="default"/>
          <w:spacing w:val="-3"/>
          <w:sz w:val="24"/>
          <w:szCs w:val="24"/>
        </w:rPr>
        <w:t>见“第七节公司治理结构”中“四、董事会运行情况”之“（一）董事会运</w:t>
      </w:r>
    </w:p>
    <w:p>
      <w:pPr>
        <w:spacing w:after="0" w:line="620" w:lineRule="atLeast"/>
        <w:jc w:val="left"/>
        <w:rPr>
          <w:rFonts w:ascii="宋体" w:hAnsi="宋体" w:cs="宋体" w:eastAsia="宋体" w:hint="default"/>
          <w:sz w:val="24"/>
          <w:szCs w:val="24"/>
        </w:rPr>
        <w:sectPr>
          <w:pgSz w:w="11910" w:h="16840"/>
          <w:pgMar w:header="0" w:footer="1195" w:top="1460" w:bottom="1380" w:left="1680" w:right="1560"/>
        </w:sectPr>
      </w:pPr>
    </w:p>
    <w:p>
      <w:pPr>
        <w:pStyle w:val="BodyText"/>
        <w:spacing w:line="240" w:lineRule="auto" w:before="1"/>
        <w:ind w:right="185"/>
        <w:jc w:val="left"/>
      </w:pPr>
      <w:r>
        <w:rPr/>
        <w:t>行情况”。</w:t>
      </w:r>
    </w:p>
    <w:p>
      <w:pPr>
        <w:spacing w:line="620" w:lineRule="atLeast" w:before="4"/>
        <w:ind w:left="600" w:right="185" w:hanging="480"/>
        <w:jc w:val="left"/>
        <w:rPr>
          <w:rFonts w:ascii="宋体" w:hAnsi="宋体" w:cs="宋体" w:eastAsia="宋体" w:hint="default"/>
          <w:sz w:val="24"/>
          <w:szCs w:val="24"/>
        </w:rPr>
      </w:pPr>
      <w:r>
        <w:rPr>
          <w:rFonts w:ascii="宋体" w:hAnsi="宋体" w:cs="宋体" w:eastAsia="宋体" w:hint="default"/>
          <w:b/>
          <w:bCs/>
          <w:sz w:val="24"/>
          <w:szCs w:val="24"/>
        </w:rPr>
        <w:t>（二）公司董事会专业委员会运行情况</w:t>
      </w:r>
      <w:r>
        <w:rPr>
          <w:rFonts w:ascii="宋体" w:hAnsi="宋体" w:cs="宋体" w:eastAsia="宋体" w:hint="default"/>
          <w:b/>
          <w:bCs/>
          <w:w w:val="99"/>
          <w:sz w:val="24"/>
          <w:szCs w:val="24"/>
        </w:rPr>
        <w:t> </w:t>
      </w:r>
      <w:r>
        <w:rPr>
          <w:rFonts w:ascii="宋体" w:hAnsi="宋体" w:cs="宋体" w:eastAsia="宋体" w:hint="default"/>
          <w:spacing w:val="-3"/>
          <w:sz w:val="24"/>
          <w:szCs w:val="24"/>
        </w:rPr>
        <w:t>见“第七节公司治理结构”中“四、董事会运行情况”之“（二）专业委员</w:t>
      </w:r>
    </w:p>
    <w:p>
      <w:pPr>
        <w:pStyle w:val="BodyText"/>
        <w:spacing w:line="240" w:lineRule="auto" w:before="154"/>
        <w:ind w:right="185"/>
        <w:jc w:val="left"/>
      </w:pPr>
      <w:r>
        <w:rPr/>
        <w:t>会运行情况”。</w:t>
      </w:r>
    </w:p>
    <w:p>
      <w:pPr>
        <w:spacing w:line="624" w:lineRule="exact" w:before="91"/>
        <w:ind w:left="540" w:right="185" w:hanging="420"/>
        <w:jc w:val="left"/>
        <w:rPr>
          <w:rFonts w:ascii="宋体" w:hAnsi="宋体" w:cs="宋体" w:eastAsia="宋体" w:hint="default"/>
          <w:sz w:val="24"/>
          <w:szCs w:val="24"/>
        </w:rPr>
      </w:pPr>
      <w:r>
        <w:rPr>
          <w:rFonts w:ascii="宋体" w:hAnsi="宋体" w:cs="宋体" w:eastAsia="宋体" w:hint="default"/>
          <w:b/>
          <w:bCs/>
          <w:sz w:val="24"/>
          <w:szCs w:val="24"/>
        </w:rPr>
        <w:t>（三）独立董事履行工作情况</w:t>
      </w:r>
      <w:r>
        <w:rPr>
          <w:rFonts w:ascii="宋体" w:hAnsi="宋体" w:cs="宋体" w:eastAsia="宋体" w:hint="default"/>
          <w:b/>
          <w:bCs/>
          <w:w w:val="99"/>
          <w:sz w:val="24"/>
          <w:szCs w:val="24"/>
        </w:rPr>
        <w:t> </w:t>
      </w:r>
      <w:r>
        <w:rPr>
          <w:rFonts w:ascii="宋体" w:hAnsi="宋体" w:cs="宋体" w:eastAsia="宋体" w:hint="default"/>
          <w:color w:val="2B2B2B"/>
          <w:spacing w:val="-2"/>
          <w:sz w:val="24"/>
          <w:szCs w:val="24"/>
        </w:rPr>
        <w:t>报告期内，公司的独立董事忠实地履行了独立董事的职责，谨慎、认真、勤</w:t>
      </w:r>
      <w:r>
        <w:rPr>
          <w:rFonts w:ascii="宋体" w:hAnsi="宋体" w:cs="宋体" w:eastAsia="宋体" w:hint="default"/>
          <w:spacing w:val="-2"/>
          <w:sz w:val="24"/>
          <w:szCs w:val="24"/>
        </w:rPr>
      </w:r>
    </w:p>
    <w:p>
      <w:pPr>
        <w:pStyle w:val="BodyText"/>
        <w:spacing w:line="240" w:lineRule="auto" w:before="63"/>
        <w:ind w:right="185"/>
        <w:jc w:val="left"/>
      </w:pPr>
      <w:r>
        <w:rPr>
          <w:color w:val="2B2B2B"/>
        </w:rPr>
        <w:t>勉地行使公司所赋予独立董事的权利，参加了</w:t>
      </w:r>
      <w:r>
        <w:rPr>
          <w:color w:val="2B2B2B"/>
          <w:spacing w:val="-60"/>
        </w:rPr>
        <w:t> </w:t>
      </w:r>
      <w:r>
        <w:rPr>
          <w:rFonts w:ascii="宋体" w:hAnsi="宋体" w:cs="宋体" w:eastAsia="宋体" w:hint="default"/>
          <w:color w:val="2B2B2B"/>
        </w:rPr>
        <w:t>2011</w:t>
      </w:r>
      <w:r>
        <w:rPr>
          <w:rFonts w:ascii="宋体" w:hAnsi="宋体" w:cs="宋体" w:eastAsia="宋体" w:hint="default"/>
          <w:color w:val="2B2B2B"/>
          <w:spacing w:val="-60"/>
        </w:rPr>
        <w:t> </w:t>
      </w:r>
      <w:r>
        <w:rPr>
          <w:color w:val="2B2B2B"/>
        </w:rPr>
        <w:t>年的相关会议，根据深交所</w:t>
      </w:r>
      <w:r>
        <w:rPr/>
      </w:r>
    </w:p>
    <w:p>
      <w:pPr>
        <w:pStyle w:val="BodyText"/>
        <w:spacing w:line="240" w:lineRule="auto" w:before="154"/>
        <w:ind w:right="86"/>
        <w:jc w:val="left"/>
      </w:pPr>
      <w:r>
        <w:rPr>
          <w:color w:val="2B2B2B"/>
        </w:rPr>
        <w:t>《关于做好上市公司 </w:t>
      </w:r>
      <w:r>
        <w:rPr>
          <w:rFonts w:ascii="宋体" w:hAnsi="宋体" w:cs="宋体" w:eastAsia="宋体" w:hint="default"/>
          <w:color w:val="2B2B2B"/>
        </w:rPr>
        <w:t>2011</w:t>
      </w:r>
      <w:r>
        <w:rPr>
          <w:rFonts w:ascii="宋体" w:hAnsi="宋体" w:cs="宋体" w:eastAsia="宋体" w:hint="default"/>
          <w:color w:val="2B2B2B"/>
          <w:spacing w:val="-93"/>
        </w:rPr>
        <w:t> </w:t>
      </w:r>
      <w:r>
        <w:rPr>
          <w:color w:val="2B2B2B"/>
        </w:rPr>
        <w:t>年年度报告工作的通知》和中国证监会《关于加强社</w:t>
      </w:r>
      <w:r>
        <w:rPr/>
      </w:r>
    </w:p>
    <w:p>
      <w:pPr>
        <w:pStyle w:val="BodyText"/>
        <w:spacing w:line="357" w:lineRule="auto" w:before="154"/>
        <w:ind w:right="179"/>
        <w:jc w:val="left"/>
        <w:rPr>
          <w:rFonts w:ascii="宋体" w:hAnsi="宋体" w:cs="宋体" w:eastAsia="宋体" w:hint="default"/>
        </w:rPr>
      </w:pPr>
      <w:r>
        <w:rPr>
          <w:color w:val="2B2B2B"/>
        </w:rPr>
        <w:t>会公众股股东权益保护的若干规定》的有关规定， </w:t>
      </w:r>
      <w:r>
        <w:rPr>
          <w:rFonts w:ascii="宋体" w:hAnsi="宋体" w:cs="宋体" w:eastAsia="宋体" w:hint="default"/>
          <w:color w:val="2B2B2B"/>
        </w:rPr>
        <w:t>2011</w:t>
      </w:r>
      <w:r>
        <w:rPr>
          <w:rFonts w:ascii="宋体" w:hAnsi="宋体" w:cs="宋体" w:eastAsia="宋体" w:hint="default"/>
          <w:color w:val="2B2B2B"/>
          <w:spacing w:val="-93"/>
        </w:rPr>
        <w:t> </w:t>
      </w:r>
      <w:r>
        <w:rPr>
          <w:color w:val="2B2B2B"/>
        </w:rPr>
        <w:t>年度</w:t>
      </w:r>
      <w:r>
        <w:rPr/>
        <w:t>独立董事</w:t>
      </w:r>
      <w:r>
        <w:rPr>
          <w:color w:val="2B2B2B"/>
        </w:rPr>
        <w:t>履职情况</w:t>
      </w:r>
      <w:r>
        <w:rPr>
          <w:color w:val="2B2B2B"/>
        </w:rPr>
        <w:t> 如下</w:t>
      </w:r>
      <w:r>
        <w:rPr>
          <w:rFonts w:ascii="宋体" w:hAnsi="宋体" w:cs="宋体" w:eastAsia="宋体" w:hint="default"/>
          <w:color w:val="2B2B2B"/>
        </w:rPr>
        <w:t>:</w:t>
      </w:r>
      <w:r>
        <w:rPr>
          <w:rFonts w:ascii="宋体" w:hAnsi="宋体" w:cs="宋体" w:eastAsia="宋体" w:hint="default"/>
        </w:rPr>
      </w:r>
    </w:p>
    <w:p>
      <w:pPr>
        <w:pStyle w:val="BodyText"/>
        <w:spacing w:line="240" w:lineRule="auto" w:before="192"/>
        <w:ind w:left="600" w:right="185"/>
        <w:jc w:val="left"/>
      </w:pPr>
      <w:r>
        <w:rPr>
          <w:rFonts w:ascii="宋体" w:hAnsi="宋体" w:cs="宋体" w:eastAsia="宋体" w:hint="default"/>
          <w:color w:val="2B2B2B"/>
        </w:rPr>
        <w:t>1</w:t>
      </w:r>
      <w:r>
        <w:rPr>
          <w:color w:val="2B2B2B"/>
        </w:rPr>
        <w:t>、独立董事出席董事会的情况</w:t>
      </w:r>
      <w:r>
        <w:rPr/>
      </w:r>
    </w:p>
    <w:p>
      <w:pPr>
        <w:spacing w:line="240" w:lineRule="auto" w:before="9"/>
        <w:rPr>
          <w:rFonts w:ascii="宋体" w:hAnsi="宋体" w:cs="宋体" w:eastAsia="宋体" w:hint="default"/>
          <w:sz w:val="23"/>
          <w:szCs w:val="23"/>
        </w:rPr>
      </w:pPr>
    </w:p>
    <w:p>
      <w:pPr>
        <w:pStyle w:val="BodyText"/>
        <w:spacing w:line="357" w:lineRule="auto"/>
        <w:ind w:right="186" w:firstLine="539"/>
        <w:jc w:val="left"/>
      </w:pPr>
      <w:r>
        <w:rPr>
          <w:rFonts w:ascii="宋体" w:hAnsi="宋体" w:cs="宋体" w:eastAsia="宋体" w:hint="default"/>
          <w:color w:val="2B2B2B"/>
        </w:rPr>
        <w:t>2011</w:t>
      </w:r>
      <w:r>
        <w:rPr>
          <w:rFonts w:ascii="宋体" w:hAnsi="宋体" w:cs="宋体" w:eastAsia="宋体" w:hint="default"/>
          <w:color w:val="2B2B2B"/>
          <w:spacing w:val="-58"/>
        </w:rPr>
        <w:t> </w:t>
      </w:r>
      <w:r>
        <w:rPr>
          <w:color w:val="2B2B2B"/>
          <w:spacing w:val="-5"/>
        </w:rPr>
        <w:t>年，公司董事会聘任了</w:t>
      </w:r>
      <w:r>
        <w:rPr>
          <w:color w:val="2B2B2B"/>
          <w:spacing w:val="-58"/>
        </w:rPr>
        <w:t> </w:t>
      </w:r>
      <w:r>
        <w:rPr>
          <w:rFonts w:ascii="宋体" w:hAnsi="宋体" w:cs="宋体" w:eastAsia="宋体" w:hint="default"/>
          <w:color w:val="2B2B2B"/>
        </w:rPr>
        <w:t>4</w:t>
      </w:r>
      <w:r>
        <w:rPr>
          <w:rFonts w:ascii="宋体" w:hAnsi="宋体" w:cs="宋体" w:eastAsia="宋体" w:hint="default"/>
          <w:color w:val="2B2B2B"/>
          <w:spacing w:val="-58"/>
        </w:rPr>
        <w:t> </w:t>
      </w:r>
      <w:r>
        <w:rPr>
          <w:color w:val="2B2B2B"/>
          <w:spacing w:val="-4"/>
        </w:rPr>
        <w:t>名独立董事，符合上市公司建立独</w:t>
      </w:r>
      <w:r>
        <w:rPr>
          <w:color w:val="2B2B2B"/>
          <w:spacing w:val="5"/>
        </w:rPr>
        <w:t> </w:t>
      </w:r>
      <w:r>
        <w:rPr>
          <w:color w:val="2B2B2B"/>
        </w:rPr>
        <w:t>立董事制</w:t>
      </w:r>
      <w:r>
        <w:rPr>
          <w:color w:val="2B2B2B"/>
        </w:rPr>
        <w:t> 度的要求。</w:t>
      </w:r>
      <w:r>
        <w:rPr>
          <w:rFonts w:ascii="宋体" w:hAnsi="宋体" w:cs="宋体" w:eastAsia="宋体" w:hint="default"/>
          <w:color w:val="2B2B2B"/>
        </w:rPr>
        <w:t>2011</w:t>
      </w:r>
      <w:r>
        <w:rPr>
          <w:rFonts w:ascii="宋体" w:hAnsi="宋体" w:cs="宋体" w:eastAsia="宋体" w:hint="default"/>
          <w:color w:val="2B2B2B"/>
          <w:spacing w:val="-61"/>
        </w:rPr>
        <w:t> </w:t>
      </w:r>
      <w:r>
        <w:rPr>
          <w:color w:val="2B2B2B"/>
        </w:rPr>
        <w:t>年度，公司共召开了</w:t>
      </w:r>
      <w:r>
        <w:rPr>
          <w:color w:val="2B2B2B"/>
          <w:spacing w:val="-61"/>
        </w:rPr>
        <w:t> </w:t>
      </w:r>
      <w:r>
        <w:rPr>
          <w:rFonts w:ascii="宋体" w:hAnsi="宋体" w:cs="宋体" w:eastAsia="宋体" w:hint="default"/>
          <w:color w:val="2B2B2B"/>
        </w:rPr>
        <w:t>7</w:t>
      </w:r>
      <w:r>
        <w:rPr>
          <w:rFonts w:ascii="宋体" w:hAnsi="宋体" w:cs="宋体" w:eastAsia="宋体" w:hint="default"/>
          <w:color w:val="2B2B2B"/>
          <w:spacing w:val="-61"/>
        </w:rPr>
        <w:t> </w:t>
      </w:r>
      <w:r>
        <w:rPr>
          <w:color w:val="2B2B2B"/>
        </w:rPr>
        <w:t>次董事会会议，独立董事均按时出席， 无缺席和委托出席的情况。</w:t>
      </w:r>
      <w:r>
        <w:rPr/>
      </w:r>
    </w:p>
    <w:p>
      <w:pPr>
        <w:pStyle w:val="BodyText"/>
        <w:spacing w:line="357" w:lineRule="auto" w:before="192"/>
        <w:ind w:right="191" w:firstLine="539"/>
        <w:jc w:val="left"/>
      </w:pPr>
      <w:r>
        <w:rPr>
          <w:color w:val="2B2B2B"/>
        </w:rPr>
        <w:t>公司独立董事能依照《公司章程》及《董事会议事规则》的规定和要求， </w:t>
      </w:r>
      <w:r>
        <w:rPr>
          <w:color w:val="2B2B2B"/>
          <w:spacing w:val="-3"/>
        </w:rPr>
        <w:t>按时出席董事会会议，认真审议议案，并以严谨的态度行使表决权，充分发挥了</w:t>
      </w:r>
      <w:r>
        <w:rPr>
          <w:color w:val="2B2B2B"/>
          <w:spacing w:val="-111"/>
        </w:rPr>
        <w:t> </w:t>
      </w:r>
      <w:r>
        <w:rPr>
          <w:color w:val="2B2B2B"/>
          <w:spacing w:val="-111"/>
        </w:rPr>
      </w:r>
      <w:r>
        <w:rPr>
          <w:color w:val="2B2B2B"/>
        </w:rPr>
        <w:t>独立董事的作用，维护了公司的整体利益和中小股东的利益。</w:t>
      </w:r>
      <w:r>
        <w:rPr/>
      </w:r>
    </w:p>
    <w:p>
      <w:pPr>
        <w:pStyle w:val="BodyText"/>
        <w:spacing w:line="240" w:lineRule="auto" w:before="193"/>
        <w:ind w:left="600" w:right="185"/>
        <w:jc w:val="left"/>
      </w:pPr>
      <w:r>
        <w:rPr>
          <w:rFonts w:ascii="宋体" w:hAnsi="宋体" w:cs="宋体" w:eastAsia="宋体" w:hint="default"/>
          <w:color w:val="2B2B2B"/>
        </w:rPr>
        <w:t>2</w:t>
      </w:r>
      <w:r>
        <w:rPr>
          <w:color w:val="2B2B2B"/>
        </w:rPr>
        <w:t>、</w:t>
      </w:r>
      <w:r>
        <w:rPr>
          <w:rFonts w:ascii="宋体" w:hAnsi="宋体" w:cs="宋体" w:eastAsia="宋体" w:hint="default"/>
          <w:color w:val="2B2B2B"/>
        </w:rPr>
        <w:t>2011</w:t>
      </w:r>
      <w:r>
        <w:rPr>
          <w:rFonts w:ascii="宋体" w:hAnsi="宋体" w:cs="宋体" w:eastAsia="宋体" w:hint="default"/>
          <w:color w:val="2B2B2B"/>
          <w:spacing w:val="-60"/>
        </w:rPr>
        <w:t> </w:t>
      </w:r>
      <w:r>
        <w:rPr>
          <w:color w:val="2B2B2B"/>
        </w:rPr>
        <w:t>年度独立董事发表独立意见的情况</w:t>
      </w:r>
      <w:r>
        <w:rPr/>
      </w:r>
    </w:p>
    <w:p>
      <w:pPr>
        <w:spacing w:line="240" w:lineRule="auto" w:before="9"/>
        <w:rPr>
          <w:rFonts w:ascii="宋体" w:hAnsi="宋体" w:cs="宋体" w:eastAsia="宋体" w:hint="default"/>
          <w:sz w:val="23"/>
          <w:szCs w:val="23"/>
        </w:rPr>
      </w:pPr>
    </w:p>
    <w:p>
      <w:pPr>
        <w:pStyle w:val="BodyText"/>
        <w:spacing w:line="357" w:lineRule="auto"/>
        <w:ind w:right="196" w:firstLine="539"/>
        <w:jc w:val="both"/>
      </w:pPr>
      <w:r>
        <w:rPr>
          <w:color w:val="2B2B2B"/>
        </w:rPr>
        <w:t>根据相关法律、法规和有关的规定，独立董事对公司</w:t>
      </w:r>
      <w:r>
        <w:rPr>
          <w:color w:val="2B2B2B"/>
          <w:spacing w:val="-76"/>
        </w:rPr>
        <w:t> </w:t>
      </w:r>
      <w:r>
        <w:rPr>
          <w:rFonts w:ascii="宋体" w:hAnsi="宋体" w:cs="宋体" w:eastAsia="宋体" w:hint="default"/>
          <w:color w:val="2B2B2B"/>
        </w:rPr>
        <w:t>2011</w:t>
      </w:r>
      <w:r>
        <w:rPr>
          <w:rFonts w:ascii="宋体" w:hAnsi="宋体" w:cs="宋体" w:eastAsia="宋体" w:hint="default"/>
          <w:color w:val="2B2B2B"/>
          <w:spacing w:val="-76"/>
        </w:rPr>
        <w:t> </w:t>
      </w:r>
      <w:r>
        <w:rPr>
          <w:color w:val="2B2B2B"/>
        </w:rPr>
        <w:t>年度经营活动情 </w:t>
      </w:r>
      <w:r>
        <w:rPr>
          <w:color w:val="2B2B2B"/>
          <w:spacing w:val="-3"/>
        </w:rPr>
        <w:t>况进行了认真的了解和查验，并对各项议案进行了认真审议。报告期内，独立董</w:t>
      </w:r>
      <w:r>
        <w:rPr>
          <w:color w:val="2B2B2B"/>
          <w:spacing w:val="-111"/>
        </w:rPr>
        <w:t> </w:t>
      </w:r>
      <w:r>
        <w:rPr>
          <w:color w:val="2B2B2B"/>
          <w:spacing w:val="-111"/>
        </w:rPr>
      </w:r>
      <w:r>
        <w:rPr>
          <w:color w:val="2B2B2B"/>
        </w:rPr>
        <w:t>事对公司具体事项发表独立意见如下：</w:t>
      </w:r>
      <w:r>
        <w:rPr/>
      </w:r>
    </w:p>
    <w:p>
      <w:pPr>
        <w:pStyle w:val="BodyText"/>
        <w:spacing w:line="357" w:lineRule="auto" w:before="192"/>
        <w:ind w:right="207" w:firstLine="479"/>
        <w:jc w:val="left"/>
      </w:pPr>
      <w:r>
        <w:rPr/>
        <w:t>（</w:t>
      </w:r>
      <w:r>
        <w:rPr>
          <w:rFonts w:ascii="宋体" w:hAnsi="宋体" w:cs="宋体" w:eastAsia="宋体" w:hint="default"/>
        </w:rPr>
        <w:t>1</w:t>
      </w:r>
      <w:r>
        <w:rPr/>
        <w:t>）对公司第一届董事会第十三次会议《关于审议调整公司员工薪酬及奖 金的议案》进行了审议，并就该议案发表以下独立意见：</w:t>
      </w:r>
    </w:p>
    <w:p>
      <w:pPr>
        <w:pStyle w:val="BodyText"/>
        <w:spacing w:line="357" w:lineRule="auto" w:before="192"/>
        <w:ind w:right="103" w:firstLine="479"/>
        <w:jc w:val="both"/>
      </w:pPr>
      <w:r>
        <w:rPr>
          <w:spacing w:val="-3"/>
        </w:rPr>
        <w:t>公司根据相关法律、法规，结合公司实际情况，制定本次调整公司员工薪酬</w:t>
      </w:r>
      <w:r>
        <w:rPr/>
        <w:t> </w:t>
      </w:r>
      <w:r>
        <w:rPr>
          <w:spacing w:val="-3"/>
        </w:rPr>
        <w:t>及奖金的方案符合公司现实状况和长远发展，对增强公司员工凝聚力、巩固公司</w:t>
      </w:r>
      <w:r>
        <w:rPr>
          <w:spacing w:val="-111"/>
        </w:rPr>
        <w:t> </w:t>
      </w:r>
      <w:r>
        <w:rPr>
          <w:spacing w:val="-111"/>
        </w:rPr>
      </w:r>
      <w:r>
        <w:rPr/>
        <w:t>员工稳定性起到积极作用，确定程序符合有关法律、法规、规章和公司《章程》</w:t>
      </w:r>
    </w:p>
    <w:p>
      <w:pPr>
        <w:spacing w:after="0" w:line="357" w:lineRule="auto"/>
        <w:jc w:val="both"/>
        <w:sectPr>
          <w:footerReference w:type="default" r:id="rId21"/>
          <w:pgSz w:w="11910" w:h="16840"/>
          <w:pgMar w:footer="1195" w:header="0" w:top="1460" w:bottom="1380" w:left="1680" w:right="1600"/>
          <w:pgNumType w:start="34"/>
        </w:sectPr>
      </w:pPr>
    </w:p>
    <w:p>
      <w:pPr>
        <w:pStyle w:val="BodyText"/>
        <w:spacing w:line="240" w:lineRule="auto" w:before="1"/>
        <w:ind w:right="0"/>
        <w:jc w:val="left"/>
      </w:pPr>
      <w:r>
        <w:rPr/>
        <w:t>的规定，同意通过《关于审议调整公司员工薪酬及奖金的议案》。</w:t>
      </w:r>
    </w:p>
    <w:p>
      <w:pPr>
        <w:spacing w:line="240" w:lineRule="auto" w:before="9"/>
        <w:rPr>
          <w:rFonts w:ascii="宋体" w:hAnsi="宋体" w:cs="宋体" w:eastAsia="宋体" w:hint="default"/>
          <w:sz w:val="23"/>
          <w:szCs w:val="23"/>
        </w:rPr>
      </w:pPr>
    </w:p>
    <w:p>
      <w:pPr>
        <w:pStyle w:val="BodyText"/>
        <w:spacing w:line="357" w:lineRule="auto"/>
        <w:ind w:right="127" w:firstLine="479"/>
        <w:jc w:val="left"/>
      </w:pPr>
      <w:r>
        <w:rPr/>
        <w:t>（</w:t>
      </w:r>
      <w:r>
        <w:rPr>
          <w:rFonts w:ascii="宋体" w:hAnsi="宋体" w:cs="宋体" w:eastAsia="宋体" w:hint="default"/>
        </w:rPr>
        <w:t>2</w:t>
      </w:r>
      <w:r>
        <w:rPr/>
        <w:t>）对公司第一届董事会第十四次会议《关于审议使用募集资金置换预先 投入募集资金投资项目的自筹资金的议案》进行审议，并发表如下独立意见：</w:t>
      </w:r>
    </w:p>
    <w:p>
      <w:pPr>
        <w:pStyle w:val="BodyText"/>
        <w:spacing w:line="357" w:lineRule="auto" w:before="192"/>
        <w:ind w:right="116" w:firstLine="479"/>
        <w:jc w:val="both"/>
      </w:pPr>
      <w:r>
        <w:rPr>
          <w:spacing w:val="-3"/>
        </w:rPr>
        <w:t>公司本次以募集资金置换预先已投入募集资金投资项目的自筹资金，内容及</w:t>
      </w:r>
      <w:r>
        <w:rPr/>
        <w:t> </w:t>
      </w:r>
      <w:r>
        <w:rPr>
          <w:spacing w:val="-3"/>
        </w:rPr>
        <w:t>程序符合《深圳证券交易所创业板上市公司规范运作指引》中关于上市公司募集</w:t>
      </w:r>
      <w:r>
        <w:rPr>
          <w:spacing w:val="-111"/>
        </w:rPr>
        <w:t> </w:t>
      </w:r>
      <w:r>
        <w:rPr>
          <w:spacing w:val="-111"/>
        </w:rPr>
      </w:r>
      <w:r>
        <w:rPr>
          <w:spacing w:val="-3"/>
        </w:rPr>
        <w:t>资金使用的相关规定，有助于提高募集资金使用效率。募集资金的使用没有与募</w:t>
      </w:r>
      <w:r>
        <w:rPr>
          <w:spacing w:val="-111"/>
        </w:rPr>
        <w:t> </w:t>
      </w:r>
      <w:r>
        <w:rPr>
          <w:spacing w:val="-111"/>
        </w:rPr>
      </w:r>
      <w:r>
        <w:rPr>
          <w:spacing w:val="-3"/>
        </w:rPr>
        <w:t>集资金投资项目的实施计划相抵触，不影响募集资金投资项目的正常进行，不存</w:t>
      </w:r>
      <w:r>
        <w:rPr>
          <w:spacing w:val="-111"/>
        </w:rPr>
        <w:t> </w:t>
      </w:r>
      <w:r>
        <w:rPr>
          <w:spacing w:val="-111"/>
        </w:rPr>
      </w:r>
      <w:r>
        <w:rPr>
          <w:spacing w:val="-3"/>
        </w:rPr>
        <w:t>在变相改变募集资金投向和损害股东利益的情况。公司预先以自筹资金投入募集</w:t>
      </w:r>
      <w:r>
        <w:rPr>
          <w:spacing w:val="-109"/>
        </w:rPr>
        <w:t> </w:t>
      </w:r>
      <w:r>
        <w:rPr>
          <w:spacing w:val="-109"/>
        </w:rPr>
      </w:r>
      <w:r>
        <w:rPr>
          <w:spacing w:val="-3"/>
        </w:rPr>
        <w:t>资金投资项目的行为符合维护公司发展利益的需要，符合维护全体股东利益的需</w:t>
      </w:r>
      <w:r>
        <w:rPr>
          <w:spacing w:val="-109"/>
        </w:rPr>
        <w:t> </w:t>
      </w:r>
      <w:r>
        <w:rPr>
          <w:spacing w:val="-109"/>
        </w:rPr>
      </w:r>
      <w:r>
        <w:rPr>
          <w:spacing w:val="-3"/>
        </w:rPr>
        <w:t>要。同意公司使用募集资金</w:t>
      </w:r>
      <w:r>
        <w:rPr>
          <w:rFonts w:ascii="宋体" w:hAnsi="宋体" w:cs="宋体" w:eastAsia="宋体" w:hint="default"/>
          <w:spacing w:val="-3"/>
        </w:rPr>
        <w:t>1,293.7123</w:t>
      </w:r>
      <w:r>
        <w:rPr>
          <w:spacing w:val="-3"/>
        </w:rPr>
        <w:t>万元置换预先已投入募集资金投资项目电</w:t>
      </w:r>
      <w:r>
        <w:rPr>
          <w:spacing w:val="-94"/>
        </w:rPr>
        <w:t> </w:t>
      </w:r>
      <w:r>
        <w:rPr/>
        <w:t>子支付技术产研基地项目的自筹资金</w:t>
      </w:r>
      <w:r>
        <w:rPr>
          <w:rFonts w:ascii="宋体" w:hAnsi="宋体" w:cs="宋体" w:eastAsia="宋体" w:hint="default"/>
        </w:rPr>
        <w:t>1,293.7123</w:t>
      </w:r>
      <w:r>
        <w:rPr/>
        <w:t>万元。</w:t>
      </w:r>
    </w:p>
    <w:p>
      <w:pPr>
        <w:pStyle w:val="BodyText"/>
        <w:spacing w:line="357" w:lineRule="auto" w:before="192"/>
        <w:ind w:right="103" w:firstLine="479"/>
        <w:jc w:val="left"/>
      </w:pPr>
      <w:r>
        <w:rPr>
          <w:spacing w:val="-6"/>
        </w:rPr>
        <w:t>（</w:t>
      </w:r>
      <w:r>
        <w:rPr>
          <w:rFonts w:ascii="宋体" w:hAnsi="宋体" w:cs="宋体" w:eastAsia="宋体" w:hint="default"/>
          <w:spacing w:val="-6"/>
        </w:rPr>
        <w:t>3</w:t>
      </w:r>
      <w:r>
        <w:rPr>
          <w:spacing w:val="-6"/>
        </w:rPr>
        <w:t>）对公司第一届董事会第十五次会议审议的相关事项发表意见如下：</w:t>
      </w:r>
      <w:r>
        <w:rPr>
          <w:rFonts w:ascii="宋体" w:hAnsi="宋体" w:cs="宋体" w:eastAsia="宋体" w:hint="default"/>
          <w:spacing w:val="-6"/>
        </w:rPr>
        <w:t>2008</w:t>
      </w:r>
      <w:r>
        <w:rPr>
          <w:rFonts w:ascii="宋体" w:hAnsi="宋体" w:cs="宋体" w:eastAsia="宋体" w:hint="default"/>
        </w:rPr>
        <w:t> </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日，公司与泰德信签订</w:t>
      </w:r>
      <w:r>
        <w:rPr>
          <w:rFonts w:ascii="宋体" w:hAnsi="宋体" w:cs="宋体" w:eastAsia="宋体" w:hint="default"/>
          <w:spacing w:val="-3"/>
        </w:rPr>
        <w:t>2009</w:t>
      </w:r>
      <w:r>
        <w:rPr>
          <w:spacing w:val="-3"/>
        </w:rPr>
        <w:t>年房屋租赁合同，泰德信将其于深圳市福田</w:t>
      </w:r>
      <w:r>
        <w:rPr>
          <w:spacing w:val="-100"/>
        </w:rPr>
        <w:t> </w:t>
      </w:r>
      <w:r>
        <w:rPr>
          <w:spacing w:val="-100"/>
        </w:rPr>
      </w:r>
      <w:r>
        <w:rPr/>
        <w:t>区泰然大道东路泰然劲松大厦</w:t>
      </w:r>
      <w:r>
        <w:rPr>
          <w:rFonts w:ascii="宋体" w:hAnsi="宋体" w:cs="宋体" w:eastAsia="宋体" w:hint="default"/>
        </w:rPr>
        <w:t>17A</w:t>
      </w:r>
      <w:r>
        <w:rPr/>
        <w:t>、</w:t>
      </w:r>
      <w:r>
        <w:rPr>
          <w:rFonts w:ascii="宋体" w:hAnsi="宋体" w:cs="宋体" w:eastAsia="宋体" w:hint="default"/>
        </w:rPr>
        <w:t>17B</w:t>
      </w:r>
      <w:r>
        <w:rPr/>
        <w:t>、</w:t>
      </w:r>
      <w:r>
        <w:rPr>
          <w:rFonts w:ascii="宋体" w:hAnsi="宋体" w:cs="宋体" w:eastAsia="宋体" w:hint="default"/>
        </w:rPr>
        <w:t>17C</w:t>
      </w:r>
      <w:r>
        <w:rPr/>
        <w:t>、</w:t>
      </w:r>
      <w:r>
        <w:rPr>
          <w:rFonts w:ascii="宋体" w:hAnsi="宋体" w:cs="宋体" w:eastAsia="宋体" w:hint="default"/>
        </w:rPr>
        <w:t>17D</w:t>
      </w:r>
      <w:r>
        <w:rPr/>
        <w:t>建筑面积</w:t>
      </w:r>
      <w:r>
        <w:rPr>
          <w:rFonts w:ascii="宋体" w:hAnsi="宋体" w:cs="宋体" w:eastAsia="宋体" w:hint="default"/>
        </w:rPr>
        <w:t>886.6</w:t>
      </w:r>
      <w:r>
        <w:rPr/>
        <w:t>平方米的房屋 租赁给本公司使用，租赁期自</w:t>
      </w:r>
      <w:r>
        <w:rPr>
          <w:rFonts w:ascii="宋体" w:hAnsi="宋体" w:cs="宋体" w:eastAsia="宋体" w:hint="default"/>
        </w:rPr>
        <w:t>2009</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日止，月租金为 </w:t>
      </w:r>
      <w:r>
        <w:rPr>
          <w:rFonts w:ascii="宋体" w:hAnsi="宋体" w:cs="宋体" w:eastAsia="宋体" w:hint="default"/>
        </w:rPr>
        <w:t>70,928.00</w:t>
      </w:r>
      <w:r>
        <w:rPr/>
        <w:t>元，租金率</w:t>
      </w:r>
      <w:r>
        <w:rPr>
          <w:rFonts w:ascii="宋体" w:hAnsi="宋体" w:cs="宋体" w:eastAsia="宋体" w:hint="default"/>
        </w:rPr>
        <w:t>80</w:t>
      </w:r>
      <w:r>
        <w:rPr/>
        <w:t>元</w:t>
      </w:r>
      <w:r>
        <w:rPr>
          <w:rFonts w:ascii="宋体" w:hAnsi="宋体" w:cs="宋体" w:eastAsia="宋体" w:hint="default"/>
        </w:rPr>
        <w:t>/</w:t>
      </w:r>
      <w:r>
        <w:rPr/>
        <w:t>月</w:t>
      </w:r>
      <w:r>
        <w:rPr>
          <w:rFonts w:ascii="宋体" w:hAnsi="宋体" w:cs="宋体" w:eastAsia="宋体" w:hint="default"/>
        </w:rPr>
        <w:t>/</w:t>
      </w:r>
      <w:r>
        <w:rPr/>
        <w:t>平方米。</w:t>
      </w:r>
    </w:p>
    <w:p>
      <w:pPr>
        <w:pStyle w:val="BodyText"/>
        <w:spacing w:line="357" w:lineRule="auto" w:before="192"/>
        <w:ind w:right="121" w:firstLine="479"/>
        <w:jc w:val="right"/>
      </w:pP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27</w:t>
      </w:r>
      <w:r>
        <w:rPr/>
        <w:t>日，公司与泰德信签订</w:t>
      </w:r>
      <w:r>
        <w:rPr>
          <w:rFonts w:ascii="宋体" w:hAnsi="宋体" w:cs="宋体" w:eastAsia="宋体" w:hint="default"/>
        </w:rPr>
        <w:t>2009</w:t>
      </w:r>
      <w:r>
        <w:rPr/>
        <w:t>年房屋租赁合同的补充合同，由于 租金市场价格下降，补充合同规定自</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w:t>
      </w:r>
      <w:r>
        <w:rPr/>
        <w:t>日起月租金由原来的</w:t>
      </w:r>
      <w:r>
        <w:rPr>
          <w:rFonts w:ascii="宋体" w:hAnsi="宋体" w:cs="宋体" w:eastAsia="宋体" w:hint="default"/>
        </w:rPr>
        <w:t>70,928.00 </w:t>
      </w:r>
      <w:r>
        <w:rPr/>
        <w:t>元变更为</w:t>
      </w:r>
      <w:r>
        <w:rPr>
          <w:rFonts w:ascii="宋体" w:hAnsi="宋体" w:cs="宋体" w:eastAsia="宋体" w:hint="default"/>
        </w:rPr>
        <w:t>63,835.00</w:t>
      </w:r>
      <w:r>
        <w:rPr/>
        <w:t>元，租金率为</w:t>
      </w:r>
      <w:r>
        <w:rPr>
          <w:rFonts w:ascii="宋体" w:hAnsi="宋体" w:cs="宋体" w:eastAsia="宋体" w:hint="default"/>
        </w:rPr>
        <w:t>72</w:t>
      </w:r>
      <w:r>
        <w:rPr/>
        <w:t>元</w:t>
      </w:r>
      <w:r>
        <w:rPr>
          <w:rFonts w:ascii="宋体" w:hAnsi="宋体" w:cs="宋体" w:eastAsia="宋体" w:hint="default"/>
        </w:rPr>
        <w:t>/</w:t>
      </w:r>
      <w:r>
        <w:rPr/>
        <w:t>月</w:t>
      </w:r>
      <w:r>
        <w:rPr>
          <w:rFonts w:ascii="宋体" w:hAnsi="宋体" w:cs="宋体" w:eastAsia="宋体" w:hint="default"/>
        </w:rPr>
        <w:t>/</w:t>
      </w:r>
      <w:r>
        <w:rPr/>
        <w:t>平方米，其余条款仍按原合同执行。</w:t>
      </w:r>
    </w:p>
    <w:p>
      <w:pPr>
        <w:pStyle w:val="BodyText"/>
        <w:spacing w:line="357" w:lineRule="auto" w:before="192"/>
        <w:ind w:right="106" w:firstLine="479"/>
        <w:jc w:val="left"/>
      </w:pPr>
      <w:r>
        <w:rPr>
          <w:spacing w:val="-3"/>
        </w:rPr>
        <w:t>以上关联交易是公允的，未损害公司及中小股东的利益。除上述经常性关联</w:t>
      </w:r>
      <w:r>
        <w:rPr/>
        <w:t> 交易外，报告期内，公司无关联交易情况发生。</w:t>
      </w:r>
    </w:p>
    <w:p>
      <w:pPr>
        <w:pStyle w:val="BodyText"/>
        <w:spacing w:line="357" w:lineRule="auto" w:before="192"/>
        <w:ind w:right="127" w:firstLine="479"/>
        <w:jc w:val="left"/>
      </w:pPr>
      <w:r>
        <w:rPr/>
        <w:t>（</w:t>
      </w:r>
      <w:r>
        <w:rPr>
          <w:rFonts w:ascii="宋体" w:hAnsi="宋体" w:cs="宋体" w:eastAsia="宋体" w:hint="default"/>
        </w:rPr>
        <w:t>4</w:t>
      </w:r>
      <w:r>
        <w:rPr/>
        <w:t>）对控股股东及其他关联方占用公司资金、公司对外担保情况的发表如 下的独立意见：</w:t>
      </w:r>
    </w:p>
    <w:p>
      <w:pPr>
        <w:pStyle w:val="BodyText"/>
        <w:spacing w:line="357" w:lineRule="auto" w:before="192"/>
        <w:ind w:right="106" w:firstLine="479"/>
        <w:jc w:val="left"/>
      </w:pPr>
      <w:r>
        <w:rPr>
          <w:spacing w:val="-3"/>
        </w:rPr>
        <w:t>公司已制定《对外担保管理办法》，并能够认真贯彻执行有关规定，严格控</w:t>
      </w:r>
      <w:r>
        <w:rPr/>
        <w:t> 制对外担保风险和关联方占用资金风险；</w:t>
      </w:r>
    </w:p>
    <w:p>
      <w:pPr>
        <w:pStyle w:val="BodyText"/>
        <w:spacing w:line="357" w:lineRule="auto" w:before="192"/>
        <w:ind w:right="106" w:firstLine="479"/>
        <w:jc w:val="left"/>
      </w:pPr>
      <w:r>
        <w:rPr>
          <w:spacing w:val="-3"/>
        </w:rPr>
        <w:t>公司不存在为股东、股东的控股子公司、股东的附属企业及其他关联方、任</w:t>
      </w:r>
      <w:r>
        <w:rPr/>
        <w:t> </w:t>
      </w:r>
      <w:r>
        <w:rPr>
          <w:spacing w:val="-3"/>
        </w:rPr>
        <w:t>何非法人单位或个人提供担保的情况；截至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日，公司累计和当期不</w:t>
      </w:r>
    </w:p>
    <w:p>
      <w:pPr>
        <w:spacing w:after="0" w:line="357" w:lineRule="auto"/>
        <w:jc w:val="left"/>
        <w:sectPr>
          <w:footerReference w:type="default" r:id="rId22"/>
          <w:pgSz w:w="11910" w:h="16840"/>
          <w:pgMar w:footer="1195" w:header="0" w:top="1460" w:bottom="1380" w:left="1680" w:right="1680"/>
          <w:pgNumType w:start="35"/>
        </w:sectPr>
      </w:pPr>
    </w:p>
    <w:p>
      <w:pPr>
        <w:pStyle w:val="BodyText"/>
        <w:spacing w:line="477" w:lineRule="auto" w:before="1"/>
        <w:ind w:left="600" w:right="1786" w:hanging="480"/>
        <w:jc w:val="left"/>
      </w:pPr>
      <w:r>
        <w:rPr/>
        <w:t>存在为控股股东及其关联方提供担保的情况； 公司不存在股东及其他关联方非正常占用公司资金的情况。</w:t>
      </w:r>
    </w:p>
    <w:p>
      <w:pPr>
        <w:pStyle w:val="BodyText"/>
        <w:spacing w:line="240" w:lineRule="auto" w:before="72"/>
        <w:ind w:left="600" w:right="94"/>
        <w:jc w:val="left"/>
      </w:pPr>
      <w:r>
        <w:rPr/>
        <w:t>（</w:t>
      </w:r>
      <w:r>
        <w:rPr>
          <w:rFonts w:ascii="宋体" w:hAnsi="宋体" w:cs="宋体" w:eastAsia="宋体" w:hint="default"/>
        </w:rPr>
        <w:t>5</w:t>
      </w:r>
      <w:r>
        <w:rPr/>
        <w:t>）对</w:t>
      </w:r>
      <w:r>
        <w:rPr>
          <w:rFonts w:ascii="宋体" w:hAnsi="宋体" w:cs="宋体" w:eastAsia="宋体" w:hint="default"/>
        </w:rPr>
        <w:t>2010</w:t>
      </w:r>
      <w:r>
        <w:rPr/>
        <w:t>年度内部控制自我评价报告发表如下的独立意见：</w:t>
      </w:r>
    </w:p>
    <w:p>
      <w:pPr>
        <w:spacing w:line="240" w:lineRule="auto" w:before="9"/>
        <w:rPr>
          <w:rFonts w:ascii="宋体" w:hAnsi="宋体" w:cs="宋体" w:eastAsia="宋体" w:hint="default"/>
          <w:sz w:val="23"/>
          <w:szCs w:val="23"/>
        </w:rPr>
      </w:pPr>
    </w:p>
    <w:p>
      <w:pPr>
        <w:pStyle w:val="BodyText"/>
        <w:spacing w:line="357" w:lineRule="auto"/>
        <w:ind w:right="106" w:firstLine="479"/>
        <w:jc w:val="left"/>
      </w:pPr>
      <w:r>
        <w:rPr>
          <w:spacing w:val="-3"/>
        </w:rPr>
        <w:t>公司</w:t>
      </w:r>
      <w:r>
        <w:rPr>
          <w:rFonts w:ascii="宋体" w:hAnsi="宋体" w:cs="宋体" w:eastAsia="宋体" w:hint="default"/>
          <w:spacing w:val="-3"/>
        </w:rPr>
        <w:t>2010</w:t>
      </w:r>
      <w:r>
        <w:rPr>
          <w:spacing w:val="-3"/>
        </w:rPr>
        <w:t>年度进一步完善了内控制度，加强了信息披露方面的制度建设。目</w:t>
      </w:r>
      <w:r>
        <w:rPr/>
        <w:t> 前公司内控制度能够适应公司管理的要求和公司发展的需要，能够对编制真实、 </w:t>
      </w:r>
      <w:r>
        <w:rPr>
          <w:spacing w:val="-3"/>
        </w:rPr>
        <w:t>公允的财务报表提供合理的保证，能够对公司各项业务活动的健康运行及国家有</w:t>
      </w:r>
      <w:r>
        <w:rPr>
          <w:spacing w:val="-109"/>
        </w:rPr>
        <w:t> </w:t>
      </w:r>
      <w:r>
        <w:rPr>
          <w:spacing w:val="-109"/>
        </w:rPr>
      </w:r>
      <w:r>
        <w:rPr>
          <w:spacing w:val="-3"/>
        </w:rPr>
        <w:t>关法律法规和单位内部规章制度的贯彻执行提供保证。公司内部控制制度制订以</w:t>
      </w:r>
      <w:r>
        <w:rPr>
          <w:spacing w:val="-109"/>
        </w:rPr>
        <w:t> </w:t>
      </w:r>
      <w:r>
        <w:rPr>
          <w:spacing w:val="-109"/>
        </w:rPr>
      </w:r>
      <w:r>
        <w:rPr/>
        <w:t>来，各项制度得到了有效的实施。</w:t>
      </w:r>
    </w:p>
    <w:p>
      <w:pPr>
        <w:pStyle w:val="BodyText"/>
        <w:spacing w:line="240" w:lineRule="auto" w:before="192"/>
        <w:ind w:left="600" w:right="94"/>
        <w:jc w:val="left"/>
      </w:pPr>
      <w:r>
        <w:rPr/>
        <w:t>（</w:t>
      </w:r>
      <w:r>
        <w:rPr>
          <w:rFonts w:ascii="宋体" w:hAnsi="宋体" w:cs="宋体" w:eastAsia="宋体" w:hint="default"/>
        </w:rPr>
        <w:t>6</w:t>
      </w:r>
      <w:r>
        <w:rPr/>
        <w:t>）对公司续聘</w:t>
      </w:r>
      <w:r>
        <w:rPr>
          <w:rFonts w:ascii="宋体" w:hAnsi="宋体" w:cs="宋体" w:eastAsia="宋体" w:hint="default"/>
        </w:rPr>
        <w:t>2011</w:t>
      </w:r>
      <w:r>
        <w:rPr/>
        <w:t>年度审计机构发表如下的独立意见：</w:t>
      </w:r>
    </w:p>
    <w:p>
      <w:pPr>
        <w:spacing w:line="240" w:lineRule="auto" w:before="9"/>
        <w:rPr>
          <w:rFonts w:ascii="宋体" w:hAnsi="宋体" w:cs="宋体" w:eastAsia="宋体" w:hint="default"/>
          <w:sz w:val="23"/>
          <w:szCs w:val="23"/>
        </w:rPr>
      </w:pPr>
    </w:p>
    <w:p>
      <w:pPr>
        <w:pStyle w:val="BodyText"/>
        <w:spacing w:line="357" w:lineRule="auto"/>
        <w:ind w:right="216" w:firstLine="479"/>
        <w:jc w:val="both"/>
      </w:pPr>
      <w:r>
        <w:rPr>
          <w:spacing w:val="-3"/>
        </w:rPr>
        <w:t>立信大华会计师事务所有限公司具有证券从业资格，在执业过程中坚持独立</w:t>
      </w:r>
      <w:r>
        <w:rPr/>
        <w:t> </w:t>
      </w:r>
      <w:r>
        <w:rPr>
          <w:spacing w:val="-3"/>
        </w:rPr>
        <w:t>审计原则，能按时为公司出具各项专业报告且报告内容客观、公正。经全体独立</w:t>
      </w:r>
      <w:r>
        <w:rPr>
          <w:spacing w:val="-111"/>
        </w:rPr>
        <w:t> </w:t>
      </w:r>
      <w:r>
        <w:rPr>
          <w:spacing w:val="-111"/>
        </w:rPr>
      </w:r>
      <w:r>
        <w:rPr>
          <w:spacing w:val="-3"/>
        </w:rPr>
        <w:t>董事事前认可，同意聘请立信大华会计师事务所有限公司为公司</w:t>
      </w:r>
      <w:r>
        <w:rPr>
          <w:rFonts w:ascii="宋体" w:hAnsi="宋体" w:cs="宋体" w:eastAsia="宋体" w:hint="default"/>
          <w:spacing w:val="-3"/>
        </w:rPr>
        <w:t>2011</w:t>
      </w:r>
      <w:r>
        <w:rPr>
          <w:spacing w:val="-3"/>
        </w:rPr>
        <w:t>年度审计机</w:t>
      </w:r>
      <w:r>
        <w:rPr>
          <w:spacing w:val="-102"/>
        </w:rPr>
        <w:t> </w:t>
      </w:r>
      <w:r>
        <w:rPr/>
        <w:t>构。</w:t>
      </w:r>
    </w:p>
    <w:p>
      <w:pPr>
        <w:pStyle w:val="BodyText"/>
        <w:spacing w:line="240" w:lineRule="auto" w:before="192"/>
        <w:ind w:left="600" w:right="94"/>
        <w:jc w:val="left"/>
      </w:pPr>
      <w:r>
        <w:rPr/>
        <w:t>（</w:t>
      </w:r>
      <w:r>
        <w:rPr>
          <w:rFonts w:ascii="宋体" w:hAnsi="宋体" w:cs="宋体" w:eastAsia="宋体" w:hint="default"/>
        </w:rPr>
        <w:t>7</w:t>
      </w:r>
      <w:r>
        <w:rPr/>
        <w:t>）关于募集资金</w:t>
      </w:r>
      <w:r>
        <w:rPr>
          <w:rFonts w:ascii="宋体" w:hAnsi="宋体" w:cs="宋体" w:eastAsia="宋体" w:hint="default"/>
        </w:rPr>
        <w:t>2010</w:t>
      </w:r>
      <w:r>
        <w:rPr/>
        <w:t>年度存放与使用发表如下的独立意见：</w:t>
      </w:r>
    </w:p>
    <w:p>
      <w:pPr>
        <w:spacing w:line="240" w:lineRule="auto" w:before="9"/>
        <w:rPr>
          <w:rFonts w:ascii="宋体" w:hAnsi="宋体" w:cs="宋体" w:eastAsia="宋体" w:hint="default"/>
          <w:sz w:val="23"/>
          <w:szCs w:val="23"/>
        </w:rPr>
      </w:pPr>
    </w:p>
    <w:p>
      <w:pPr>
        <w:pStyle w:val="BodyText"/>
        <w:spacing w:line="357" w:lineRule="auto"/>
        <w:ind w:right="217" w:firstLine="479"/>
        <w:jc w:val="both"/>
      </w:pPr>
      <w:r>
        <w:rPr>
          <w:spacing w:val="-3"/>
        </w:rPr>
        <w:t>经核查，</w:t>
      </w:r>
      <w:r>
        <w:rPr>
          <w:rFonts w:ascii="宋体" w:hAnsi="宋体" w:cs="宋体" w:eastAsia="宋体" w:hint="default"/>
          <w:spacing w:val="-3"/>
        </w:rPr>
        <w:t>2010</w:t>
      </w:r>
      <w:r>
        <w:rPr>
          <w:spacing w:val="-3"/>
        </w:rPr>
        <w:t>年度公司募集资金的存放和使用符合中国证监会、深圳证券交</w:t>
      </w:r>
      <w:r>
        <w:rPr/>
        <w:t> </w:t>
      </w:r>
      <w:r>
        <w:rPr>
          <w:spacing w:val="-3"/>
        </w:rPr>
        <w:t>易所关于上市公司募集资金存放和使用的相关规定，不存在募集资金存放和使用</w:t>
      </w:r>
      <w:r>
        <w:rPr>
          <w:spacing w:val="-109"/>
        </w:rPr>
        <w:t> </w:t>
      </w:r>
      <w:r>
        <w:rPr>
          <w:spacing w:val="-109"/>
        </w:rPr>
      </w:r>
      <w:r>
        <w:rPr/>
        <w:t>违规的情形。</w:t>
      </w:r>
    </w:p>
    <w:p>
      <w:pPr>
        <w:pStyle w:val="BodyText"/>
        <w:spacing w:line="357" w:lineRule="auto" w:before="193"/>
        <w:ind w:right="227" w:firstLine="479"/>
        <w:jc w:val="left"/>
      </w:pPr>
      <w:r>
        <w:rPr/>
        <w:t>（</w:t>
      </w:r>
      <w:r>
        <w:rPr>
          <w:rFonts w:ascii="宋体" w:hAnsi="宋体" w:cs="宋体" w:eastAsia="宋体" w:hint="default"/>
        </w:rPr>
        <w:t>8</w:t>
      </w:r>
      <w:r>
        <w:rPr/>
        <w:t>）关于公司</w:t>
      </w:r>
      <w:r>
        <w:rPr>
          <w:rFonts w:ascii="宋体" w:hAnsi="宋体" w:cs="宋体" w:eastAsia="宋体" w:hint="default"/>
        </w:rPr>
        <w:t>2010</w:t>
      </w:r>
      <w:r>
        <w:rPr/>
        <w:t>年度利润分配及资本公积转增股本方案发表如下的独立 意见：</w:t>
      </w:r>
    </w:p>
    <w:p>
      <w:pPr>
        <w:pStyle w:val="BodyText"/>
        <w:spacing w:line="357" w:lineRule="auto" w:before="192"/>
        <w:ind w:right="216" w:firstLine="479"/>
        <w:jc w:val="both"/>
      </w:pPr>
      <w:r>
        <w:rPr>
          <w:spacing w:val="-3"/>
        </w:rPr>
        <w:t>经认真审议公司《关于审议深圳市新国都技术股份有限公司</w:t>
      </w:r>
      <w:r>
        <w:rPr>
          <w:rFonts w:ascii="宋体" w:hAnsi="宋体" w:cs="宋体" w:eastAsia="宋体" w:hint="default"/>
          <w:spacing w:val="-3"/>
        </w:rPr>
        <w:t>2010</w:t>
      </w:r>
      <w:r>
        <w:rPr>
          <w:spacing w:val="-3"/>
        </w:rPr>
        <w:t>年度利润分</w:t>
      </w:r>
      <w:r>
        <w:rPr/>
        <w:t> </w:t>
      </w:r>
      <w:r>
        <w:rPr>
          <w:spacing w:val="-3"/>
        </w:rPr>
        <w:t>配及资本公积转增股本的议案》，我们认为该利润分配及资本公积转增股本的方</w:t>
      </w:r>
      <w:r>
        <w:rPr>
          <w:spacing w:val="-109"/>
        </w:rPr>
        <w:t> </w:t>
      </w:r>
      <w:r>
        <w:rPr>
          <w:spacing w:val="-109"/>
        </w:rPr>
      </w:r>
      <w:r>
        <w:rPr>
          <w:spacing w:val="-3"/>
        </w:rPr>
        <w:t>案符合公司章程的有关规定和当前公司的实际情况，有利于公司的持续稳定健康</w:t>
      </w:r>
      <w:r>
        <w:rPr>
          <w:spacing w:val="-109"/>
        </w:rPr>
        <w:t> </w:t>
      </w:r>
      <w:r>
        <w:rPr>
          <w:spacing w:val="-109"/>
        </w:rPr>
      </w:r>
      <w:r>
        <w:rPr/>
        <w:t>发展，同意公司利润分配及资本公积转增股本的方案。</w:t>
      </w:r>
    </w:p>
    <w:p>
      <w:pPr>
        <w:pStyle w:val="BodyText"/>
        <w:spacing w:line="240" w:lineRule="auto" w:before="192"/>
        <w:ind w:left="600" w:right="94"/>
        <w:jc w:val="left"/>
      </w:pPr>
      <w:r>
        <w:rPr/>
        <w:t>（</w:t>
      </w:r>
      <w:r>
        <w:rPr>
          <w:rFonts w:ascii="宋体" w:hAnsi="宋体" w:cs="宋体" w:eastAsia="宋体" w:hint="default"/>
        </w:rPr>
        <w:t>9</w:t>
      </w:r>
      <w:r>
        <w:rPr/>
        <w:t>）关于第二届董事会董事候选人提名发表如下的独立意见：</w:t>
      </w:r>
    </w:p>
    <w:p>
      <w:pPr>
        <w:spacing w:line="240" w:lineRule="auto" w:before="9"/>
        <w:rPr>
          <w:rFonts w:ascii="宋体" w:hAnsi="宋体" w:cs="宋体" w:eastAsia="宋体" w:hint="default"/>
          <w:sz w:val="23"/>
          <w:szCs w:val="23"/>
        </w:rPr>
      </w:pPr>
    </w:p>
    <w:p>
      <w:pPr>
        <w:pStyle w:val="BodyText"/>
        <w:spacing w:line="357" w:lineRule="auto"/>
        <w:ind w:right="83" w:firstLine="599"/>
        <w:jc w:val="left"/>
      </w:pPr>
      <w:r>
        <w:rPr/>
        <w:t>我们对第二届董事会董事候选人提名进行了认真审议，现发表独立意见如 下：</w:t>
      </w:r>
      <w:r>
        <w:rPr>
          <w:spacing w:val="2"/>
        </w:rPr>
        <w:t> </w:t>
      </w:r>
      <w:r>
        <w:rPr>
          <w:spacing w:val="-3"/>
        </w:rPr>
        <w:t>经审阅董事候选人履历，未发现有《公司法》第一百四十七条规定的情形，</w:t>
      </w:r>
    </w:p>
    <w:p>
      <w:pPr>
        <w:spacing w:after="0" w:line="357" w:lineRule="auto"/>
        <w:jc w:val="left"/>
        <w:sectPr>
          <w:footerReference w:type="default" r:id="rId23"/>
          <w:pgSz w:w="11910" w:h="16840"/>
          <w:pgMar w:footer="1195" w:header="0" w:top="1460" w:bottom="1380" w:left="1680" w:right="1580"/>
          <w:pgNumType w:start="36"/>
        </w:sectPr>
      </w:pPr>
    </w:p>
    <w:p>
      <w:pPr>
        <w:pStyle w:val="BodyText"/>
        <w:spacing w:line="357" w:lineRule="auto" w:before="1"/>
        <w:ind w:right="246"/>
        <w:jc w:val="left"/>
      </w:pPr>
      <w:r>
        <w:rPr/>
        <w:t>亦不存在《深圳证券交易所创业板上市公司规范运作指引》第</w:t>
      </w:r>
      <w:r>
        <w:rPr>
          <w:rFonts w:ascii="宋体" w:hAnsi="宋体" w:cs="宋体" w:eastAsia="宋体" w:hint="default"/>
        </w:rPr>
        <w:t>3.1.3</w:t>
      </w:r>
      <w:r>
        <w:rPr/>
        <w:t>条规定的情 形，其任职资格合法。不存在损害公司及其他股东利益的情况。</w:t>
      </w:r>
    </w:p>
    <w:p>
      <w:pPr>
        <w:pStyle w:val="BodyText"/>
        <w:spacing w:line="357" w:lineRule="auto" w:before="192"/>
        <w:ind w:right="102" w:firstLine="479"/>
        <w:jc w:val="left"/>
      </w:pPr>
      <w:r>
        <w:rPr>
          <w:spacing w:val="-4"/>
        </w:rPr>
        <w:t>我们同意提名刘祥先生、江汉先生、汪洋先生、韦余红先生、贾巍女士、刘</w:t>
      </w:r>
      <w:r>
        <w:rPr/>
        <w:t> </w:t>
      </w:r>
      <w:r>
        <w:rPr>
          <w:spacing w:val="-6"/>
        </w:rPr>
        <w:t>永开先生、许映鹏先生、金毅先生、李建辉先生为公司第二届董事会董事候选人，</w:t>
      </w:r>
      <w:r>
        <w:rPr>
          <w:spacing w:val="-118"/>
        </w:rPr>
        <w:t> </w:t>
      </w:r>
      <w:r>
        <w:rPr>
          <w:spacing w:val="-118"/>
        </w:rPr>
      </w:r>
      <w:r>
        <w:rPr>
          <w:spacing w:val="-3"/>
        </w:rPr>
        <w:t>其中刘永开先生、许映鹏先生、金毅先生、李建辉先生为公司第二届董事会独立</w:t>
      </w:r>
      <w:r>
        <w:rPr>
          <w:spacing w:val="-111"/>
        </w:rPr>
        <w:t> </w:t>
      </w:r>
      <w:r>
        <w:rPr>
          <w:spacing w:val="-111"/>
        </w:rPr>
      </w:r>
      <w:r>
        <w:rPr/>
        <w:t>董事候选人。</w:t>
      </w:r>
    </w:p>
    <w:p>
      <w:pPr>
        <w:pStyle w:val="BodyText"/>
        <w:spacing w:line="357" w:lineRule="auto" w:before="193"/>
        <w:ind w:right="0" w:firstLine="479"/>
        <w:jc w:val="left"/>
      </w:pPr>
      <w:r>
        <w:rPr>
          <w:spacing w:val="-7"/>
        </w:rPr>
        <w:t>（</w:t>
      </w:r>
      <w:r>
        <w:rPr>
          <w:rFonts w:ascii="宋体" w:hAnsi="宋体" w:cs="宋体" w:eastAsia="宋体" w:hint="default"/>
          <w:spacing w:val="-7"/>
        </w:rPr>
        <w:t>10</w:t>
      </w:r>
      <w:r>
        <w:rPr>
          <w:spacing w:val="-7"/>
        </w:rPr>
        <w:t>）对公司第二届董事会第一次会议《关于聘任高级管理人员的相关议案》</w:t>
      </w:r>
      <w:r>
        <w:rPr/>
        <w:t> 进行了审议，发表意见如下：</w:t>
      </w:r>
    </w:p>
    <w:p>
      <w:pPr>
        <w:pStyle w:val="BodyText"/>
        <w:spacing w:line="357" w:lineRule="auto" w:before="192"/>
        <w:ind w:right="226" w:firstLine="479"/>
        <w:jc w:val="left"/>
      </w:pPr>
      <w:r>
        <w:rPr>
          <w:spacing w:val="-3"/>
        </w:rPr>
        <w:t>本次公司高级管理人员的聘任符合《公司法》、《深圳证券交易所创业板上</w:t>
      </w:r>
      <w:r>
        <w:rPr/>
        <w:t> 市公司规范运作指引》和公司《章程》的有关规定，程序合法有效。</w:t>
      </w:r>
    </w:p>
    <w:p>
      <w:pPr>
        <w:pStyle w:val="BodyText"/>
        <w:tabs>
          <w:tab w:pos="8162" w:val="left" w:leader="none"/>
        </w:tabs>
        <w:spacing w:line="357" w:lineRule="auto" w:before="192"/>
        <w:ind w:right="262" w:firstLine="479"/>
        <w:jc w:val="left"/>
      </w:pPr>
      <w:r>
        <w:rPr/>
        <w:t>经审阅公司高级管理人员候选人个人履历，未发现有《公司法》第</w:t>
      </w:r>
      <w:r>
        <w:rPr>
          <w:rFonts w:ascii="宋体" w:hAnsi="宋体" w:cs="宋体" w:eastAsia="宋体" w:hint="default"/>
        </w:rPr>
        <w:t>147</w:t>
        <w:tab/>
      </w:r>
      <w:r>
        <w:rPr/>
        <w:t>条 规定的不适合任职的情况，也未发现如下情况：</w:t>
      </w:r>
    </w:p>
    <w:p>
      <w:pPr>
        <w:pStyle w:val="BodyText"/>
        <w:spacing w:line="240" w:lineRule="auto" w:before="192"/>
        <w:ind w:left="840" w:right="0"/>
        <w:jc w:val="left"/>
      </w:pPr>
      <w:r>
        <w:rPr/>
        <w:t>①最近三年内受到中国证监会行政处罚；</w:t>
      </w:r>
    </w:p>
    <w:p>
      <w:pPr>
        <w:spacing w:line="240" w:lineRule="auto" w:before="9"/>
        <w:rPr>
          <w:rFonts w:ascii="宋体" w:hAnsi="宋体" w:cs="宋体" w:eastAsia="宋体" w:hint="default"/>
          <w:sz w:val="23"/>
          <w:szCs w:val="23"/>
        </w:rPr>
      </w:pPr>
    </w:p>
    <w:p>
      <w:pPr>
        <w:pStyle w:val="BodyText"/>
        <w:spacing w:line="240" w:lineRule="auto"/>
        <w:ind w:left="600" w:right="0"/>
        <w:jc w:val="left"/>
      </w:pPr>
      <w:r>
        <w:rPr/>
        <w:t>②最近三年内受到深圳证券交易所的谴责或三次以上通报批评；</w:t>
      </w:r>
    </w:p>
    <w:p>
      <w:pPr>
        <w:spacing w:line="240" w:lineRule="auto" w:before="9"/>
        <w:rPr>
          <w:rFonts w:ascii="宋体" w:hAnsi="宋体" w:cs="宋体" w:eastAsia="宋体" w:hint="default"/>
          <w:sz w:val="23"/>
          <w:szCs w:val="23"/>
        </w:rPr>
      </w:pPr>
    </w:p>
    <w:p>
      <w:pPr>
        <w:pStyle w:val="BodyText"/>
        <w:spacing w:line="240" w:lineRule="auto"/>
        <w:ind w:left="600" w:right="0"/>
        <w:jc w:val="left"/>
      </w:pPr>
      <w:r>
        <w:rPr/>
        <w:t>③被中国证监会宣布为市场禁入者且尚在禁入期；</w:t>
      </w:r>
    </w:p>
    <w:p>
      <w:pPr>
        <w:spacing w:line="240" w:lineRule="auto" w:before="9"/>
        <w:rPr>
          <w:rFonts w:ascii="宋体" w:hAnsi="宋体" w:cs="宋体" w:eastAsia="宋体" w:hint="default"/>
          <w:sz w:val="23"/>
          <w:szCs w:val="23"/>
        </w:rPr>
      </w:pPr>
    </w:p>
    <w:p>
      <w:pPr>
        <w:pStyle w:val="BodyText"/>
        <w:spacing w:line="240" w:lineRule="auto"/>
        <w:ind w:left="600" w:right="0"/>
        <w:jc w:val="left"/>
      </w:pPr>
      <w:r>
        <w:rPr/>
        <w:t>④被证券交易所公开认定为不合适担任上市公司高级管理人员；</w:t>
      </w:r>
    </w:p>
    <w:p>
      <w:pPr>
        <w:spacing w:line="240" w:lineRule="auto" w:before="9"/>
        <w:rPr>
          <w:rFonts w:ascii="宋体" w:hAnsi="宋体" w:cs="宋体" w:eastAsia="宋体" w:hint="default"/>
          <w:sz w:val="23"/>
          <w:szCs w:val="23"/>
        </w:rPr>
      </w:pPr>
    </w:p>
    <w:p>
      <w:pPr>
        <w:pStyle w:val="BodyText"/>
        <w:spacing w:line="357" w:lineRule="auto"/>
        <w:ind w:right="226" w:firstLine="479"/>
        <w:jc w:val="left"/>
      </w:pPr>
      <w:r>
        <w:rPr>
          <w:spacing w:val="-3"/>
        </w:rPr>
        <w:t>⑤无法确保在任职期间投入足够的时间和精力于公司事务，切实履行高级管</w:t>
      </w:r>
      <w:r>
        <w:rPr/>
        <w:t> 理人员应履行的各项职责。</w:t>
      </w:r>
    </w:p>
    <w:p>
      <w:pPr>
        <w:pStyle w:val="BodyText"/>
        <w:spacing w:line="357" w:lineRule="auto" w:before="192"/>
        <w:ind w:right="237" w:firstLine="479"/>
        <w:jc w:val="both"/>
      </w:pPr>
      <w:r>
        <w:rPr>
          <w:spacing w:val="-3"/>
        </w:rPr>
        <w:t>本次聘任的高级管理人员具备履行相应职责所需能力和条件，能够胜任任职</w:t>
      </w:r>
      <w:r>
        <w:rPr/>
        <w:t> </w:t>
      </w:r>
      <w:r>
        <w:rPr>
          <w:spacing w:val="-3"/>
        </w:rPr>
        <w:t>岗位的职责要求，同意选举刘祥先生为公司董事长，聘任刘祥先生出任公司总经</w:t>
      </w:r>
      <w:r>
        <w:rPr>
          <w:spacing w:val="-111"/>
        </w:rPr>
        <w:t> </w:t>
      </w:r>
      <w:r>
        <w:rPr>
          <w:spacing w:val="-111"/>
        </w:rPr>
      </w:r>
      <w:r>
        <w:rPr>
          <w:spacing w:val="-3"/>
        </w:rPr>
        <w:t>理，聘任江汉先生、汪洋先生、韦余红先生出任公司副总经理；聘任赵辉先生出</w:t>
      </w:r>
      <w:r>
        <w:rPr>
          <w:spacing w:val="-111"/>
        </w:rPr>
        <w:t> </w:t>
      </w:r>
      <w:r>
        <w:rPr>
          <w:spacing w:val="-111"/>
        </w:rPr>
      </w:r>
      <w:r>
        <w:rPr/>
        <w:t>任公司财务负责人兼董事会秘书。同意本次董事会形成的聘任决议。</w:t>
      </w:r>
    </w:p>
    <w:p>
      <w:pPr>
        <w:pStyle w:val="BodyText"/>
        <w:spacing w:line="240" w:lineRule="auto" w:before="192"/>
        <w:ind w:left="600" w:right="0"/>
        <w:jc w:val="left"/>
      </w:pPr>
      <w:r>
        <w:rPr/>
        <w:t>（</w:t>
      </w:r>
      <w:r>
        <w:rPr>
          <w:rFonts w:ascii="宋体" w:hAnsi="宋体" w:cs="宋体" w:eastAsia="宋体" w:hint="default"/>
        </w:rPr>
        <w:t>11</w:t>
      </w:r>
      <w:r>
        <w:rPr/>
        <w:t>）对公司</w:t>
      </w:r>
      <w:r>
        <w:rPr>
          <w:rFonts w:ascii="宋体" w:hAnsi="宋体" w:cs="宋体" w:eastAsia="宋体" w:hint="default"/>
        </w:rPr>
        <w:t>2011</w:t>
      </w:r>
      <w:r>
        <w:rPr/>
        <w:t>年中报及相关事项发表如下独立意见：</w:t>
      </w:r>
    </w:p>
    <w:p>
      <w:pPr>
        <w:spacing w:line="240" w:lineRule="auto" w:before="9"/>
        <w:rPr>
          <w:rFonts w:ascii="宋体" w:hAnsi="宋体" w:cs="宋体" w:eastAsia="宋体" w:hint="default"/>
          <w:sz w:val="23"/>
          <w:szCs w:val="23"/>
        </w:rPr>
      </w:pPr>
    </w:p>
    <w:p>
      <w:pPr>
        <w:pStyle w:val="BodyText"/>
        <w:spacing w:line="357" w:lineRule="auto"/>
        <w:ind w:right="226" w:firstLine="479"/>
        <w:jc w:val="left"/>
      </w:pPr>
      <w:r>
        <w:rPr>
          <w:spacing w:val="-3"/>
        </w:rPr>
        <w:t>公司能够认真贯彻执行《关于规范上市公司与关联方资金往来及上市公司对</w:t>
      </w:r>
      <w:r>
        <w:rPr/>
        <w:t> </w:t>
      </w:r>
      <w:r>
        <w:rPr>
          <w:spacing w:val="-3"/>
        </w:rPr>
        <w:t>外担保若干问题的通知》（证监发</w:t>
      </w:r>
      <w:r>
        <w:rPr>
          <w:rFonts w:ascii="宋体" w:hAnsi="宋体" w:cs="宋体" w:eastAsia="宋体" w:hint="default"/>
          <w:spacing w:val="-3"/>
        </w:rPr>
        <w:t>[2003]56</w:t>
      </w:r>
      <w:r>
        <w:rPr>
          <w:spacing w:val="-3"/>
        </w:rPr>
        <w:t>号）和《关于规范上市公司对外担保</w:t>
      </w:r>
    </w:p>
    <w:p>
      <w:pPr>
        <w:spacing w:after="0" w:line="357" w:lineRule="auto"/>
        <w:jc w:val="left"/>
        <w:sectPr>
          <w:pgSz w:w="11910" w:h="16840"/>
          <w:pgMar w:header="0" w:footer="1195" w:top="1460" w:bottom="1380" w:left="1680" w:right="1560"/>
        </w:sectPr>
      </w:pPr>
    </w:p>
    <w:p>
      <w:pPr>
        <w:pStyle w:val="BodyText"/>
        <w:spacing w:line="357" w:lineRule="auto" w:before="1"/>
        <w:ind w:right="206"/>
        <w:jc w:val="left"/>
      </w:pPr>
      <w:r>
        <w:rPr/>
        <w:t>行为的通知》（证监发</w:t>
      </w:r>
      <w:r>
        <w:rPr>
          <w:rFonts w:ascii="宋体" w:hAnsi="宋体" w:cs="宋体" w:eastAsia="宋体" w:hint="default"/>
        </w:rPr>
        <w:t>[2005]120</w:t>
      </w:r>
      <w:r>
        <w:rPr/>
        <w:t>号）的有关规定，严格控制对外担保风险和关 联方资金占用风险；</w:t>
      </w:r>
    </w:p>
    <w:p>
      <w:pPr>
        <w:pStyle w:val="BodyText"/>
        <w:spacing w:line="477" w:lineRule="auto" w:before="192"/>
        <w:ind w:left="600" w:right="1286"/>
        <w:jc w:val="left"/>
      </w:pPr>
      <w:r>
        <w:rPr/>
        <w:t>报告期内，公司不存在控股股东及其他关联方占用资金的情况； 报告期内，公司不存在对外担保的情形；</w:t>
      </w:r>
    </w:p>
    <w:p>
      <w:pPr>
        <w:pStyle w:val="BodyText"/>
        <w:spacing w:line="357" w:lineRule="auto" w:before="72"/>
        <w:ind w:right="189" w:firstLine="479"/>
        <w:jc w:val="left"/>
      </w:pPr>
      <w:r>
        <w:rPr>
          <w:spacing w:val="-3"/>
        </w:rPr>
        <w:t>（</w:t>
      </w:r>
      <w:r>
        <w:rPr>
          <w:rFonts w:ascii="宋体" w:hAnsi="宋体" w:cs="宋体" w:eastAsia="宋体" w:hint="default"/>
          <w:spacing w:val="-3"/>
        </w:rPr>
        <w:t>12</w:t>
      </w:r>
      <w:r>
        <w:rPr>
          <w:spacing w:val="-3"/>
        </w:rPr>
        <w:t>）关于投资建设电子支付技术苏州研发基地项目的议案发表如下的独立</w:t>
      </w:r>
      <w:r>
        <w:rPr/>
        <w:t> 意见：</w:t>
      </w:r>
    </w:p>
    <w:p>
      <w:pPr>
        <w:pStyle w:val="BodyText"/>
        <w:spacing w:line="357" w:lineRule="auto" w:before="193"/>
        <w:ind w:right="86" w:firstLine="479"/>
        <w:jc w:val="left"/>
      </w:pPr>
      <w:r>
        <w:rPr>
          <w:spacing w:val="-3"/>
        </w:rPr>
        <w:t>本议案经公司第二届董事会第二次会议审议通过，内容及通过程序符合《深</w:t>
      </w:r>
      <w:r>
        <w:rPr/>
        <w:t> </w:t>
      </w:r>
      <w:r>
        <w:rPr>
          <w:spacing w:val="-3"/>
        </w:rPr>
        <w:t>圳证券交易所创业板上市公司规范运作指引》中关于上市公司募集资金使用的相</w:t>
      </w:r>
      <w:r>
        <w:rPr>
          <w:spacing w:val="-109"/>
        </w:rPr>
        <w:t> </w:t>
      </w:r>
      <w:r>
        <w:rPr>
          <w:spacing w:val="-109"/>
        </w:rPr>
      </w:r>
      <w:r>
        <w:rPr/>
        <w:t>关规定，有助于提高募集资金使用效率，不影响募集资金投资项目的正常进行， </w:t>
      </w:r>
      <w:r>
        <w:rPr>
          <w:spacing w:val="-3"/>
        </w:rPr>
        <w:t>不存在变相改变募集资金投向和损害股东利益的情况。公司本次使用超募资金投</w:t>
      </w:r>
      <w:r>
        <w:rPr>
          <w:spacing w:val="-109"/>
        </w:rPr>
        <w:t> </w:t>
      </w:r>
      <w:r>
        <w:rPr>
          <w:spacing w:val="-109"/>
        </w:rPr>
      </w:r>
      <w:r>
        <w:rPr>
          <w:spacing w:val="-3"/>
        </w:rPr>
        <w:t>资建设电子支付技术苏州研发基地项目的行为符合维护公司发展利益的需要，符</w:t>
      </w:r>
      <w:r>
        <w:rPr>
          <w:spacing w:val="-109"/>
        </w:rPr>
        <w:t> </w:t>
      </w:r>
      <w:r>
        <w:rPr>
          <w:spacing w:val="-109"/>
        </w:rPr>
      </w:r>
      <w:r>
        <w:rPr>
          <w:spacing w:val="-3"/>
        </w:rPr>
        <w:t>合维护全体股东利益的需要，对本次使用超募资金投资建设电子支付技术苏州研</w:t>
      </w:r>
      <w:r>
        <w:rPr>
          <w:spacing w:val="-109"/>
        </w:rPr>
        <w:t> </w:t>
      </w:r>
      <w:r>
        <w:rPr>
          <w:spacing w:val="-109"/>
        </w:rPr>
      </w:r>
      <w:r>
        <w:rPr/>
        <w:t>发基地项目事宜没有异议。</w:t>
      </w:r>
    </w:p>
    <w:p>
      <w:pPr>
        <w:pStyle w:val="BodyText"/>
        <w:spacing w:line="357" w:lineRule="auto" w:before="192"/>
        <w:ind w:right="189" w:firstLine="479"/>
        <w:jc w:val="left"/>
      </w:pPr>
      <w:r>
        <w:rPr>
          <w:spacing w:val="-3"/>
        </w:rPr>
        <w:t>（</w:t>
      </w:r>
      <w:r>
        <w:rPr>
          <w:rFonts w:ascii="宋体" w:hAnsi="宋体" w:cs="宋体" w:eastAsia="宋体" w:hint="default"/>
          <w:spacing w:val="-3"/>
        </w:rPr>
        <w:t>13</w:t>
      </w:r>
      <w:r>
        <w:rPr>
          <w:spacing w:val="-3"/>
        </w:rPr>
        <w:t>）对公司第二届董事会第三次会议审议的《关于审议与泰德信关联交易</w:t>
      </w:r>
      <w:r>
        <w:rPr/>
        <w:t> 的议案》发表如下独立意见：</w:t>
      </w:r>
    </w:p>
    <w:p>
      <w:pPr>
        <w:pStyle w:val="BodyText"/>
        <w:spacing w:line="357" w:lineRule="auto" w:before="192"/>
        <w:ind w:right="87" w:firstLine="479"/>
        <w:jc w:val="left"/>
      </w:pPr>
      <w:r>
        <w:rPr/>
        <w:t>公司第二届董事会第三次会议审议的《关于审议与泰德信关联交易的议案》 </w:t>
      </w:r>
      <w:r>
        <w:rPr>
          <w:spacing w:val="-3"/>
        </w:rPr>
        <w:t>内容及程序，符合《深圳证券交易所创业板股票上市规则》、《深圳证券交易所</w:t>
      </w:r>
      <w:r>
        <w:rPr>
          <w:spacing w:val="-111"/>
        </w:rPr>
        <w:t> </w:t>
      </w:r>
      <w:r>
        <w:rPr>
          <w:spacing w:val="-111"/>
        </w:rPr>
      </w:r>
      <w:r>
        <w:rPr/>
        <w:t>创业板上市公司规范运作指引》及公司章程的相关规定。</w:t>
      </w:r>
    </w:p>
    <w:p>
      <w:pPr>
        <w:pStyle w:val="BodyText"/>
        <w:spacing w:line="357" w:lineRule="auto" w:before="193"/>
        <w:ind w:right="186" w:firstLine="479"/>
        <w:jc w:val="left"/>
      </w:pPr>
      <w:r>
        <w:rPr>
          <w:spacing w:val="-3"/>
        </w:rPr>
        <w:t>本次关联交易价格是公允、合理的。公司本次关联交易不存在损害公司及股</w:t>
      </w:r>
      <w:r>
        <w:rPr/>
        <w:t> 东利益的情形。</w:t>
      </w:r>
    </w:p>
    <w:p>
      <w:pPr>
        <w:pStyle w:val="BodyText"/>
        <w:spacing w:line="357" w:lineRule="auto" w:before="192"/>
        <w:ind w:right="189" w:firstLine="479"/>
        <w:jc w:val="left"/>
      </w:pPr>
      <w:r>
        <w:rPr>
          <w:spacing w:val="-3"/>
        </w:rPr>
        <w:t>（</w:t>
      </w:r>
      <w:r>
        <w:rPr>
          <w:rFonts w:ascii="宋体" w:hAnsi="宋体" w:cs="宋体" w:eastAsia="宋体" w:hint="default"/>
          <w:spacing w:val="-3"/>
        </w:rPr>
        <w:t>14</w:t>
      </w:r>
      <w:r>
        <w:rPr>
          <w:spacing w:val="-3"/>
        </w:rPr>
        <w:t>）对公司第二届董事会第三次会议审议的《关于审议使用部分超募资金</w:t>
      </w:r>
      <w:r>
        <w:rPr/>
        <w:t> 永久补充流动资金的议案》发表如下独立意见：</w:t>
      </w:r>
    </w:p>
    <w:p>
      <w:pPr>
        <w:pStyle w:val="BodyText"/>
        <w:spacing w:line="357" w:lineRule="auto" w:before="192"/>
        <w:ind w:right="207" w:firstLine="479"/>
        <w:jc w:val="left"/>
      </w:pPr>
      <w:r>
        <w:rPr/>
        <w:t>公司本次拟使用</w:t>
      </w:r>
      <w:r>
        <w:rPr>
          <w:rFonts w:ascii="宋体" w:hAnsi="宋体" w:cs="宋体" w:eastAsia="宋体" w:hint="default"/>
        </w:rPr>
        <w:t>4,500</w:t>
      </w:r>
      <w:r>
        <w:rPr/>
        <w:t>万元超募资金永久补充流动资金，有利于提高募集资 金使用效率，提高公司盈利能力，符合全体股东的利益。</w:t>
      </w:r>
    </w:p>
    <w:p>
      <w:pPr>
        <w:pStyle w:val="BodyText"/>
        <w:spacing w:line="357" w:lineRule="auto" w:before="192"/>
        <w:ind w:right="186" w:firstLine="479"/>
        <w:jc w:val="left"/>
      </w:pPr>
      <w:r>
        <w:rPr>
          <w:spacing w:val="-3"/>
        </w:rPr>
        <w:t>公司第二届董事会第三次会议审议的《关于审议使用部分超募资金永久补充</w:t>
      </w:r>
      <w:r>
        <w:rPr/>
        <w:t> </w:t>
      </w:r>
      <w:r>
        <w:rPr>
          <w:spacing w:val="-10"/>
        </w:rPr>
        <w:t>流动资金的议案》内容及程序符合《深圳证券交易所创业板股票上市规则》、《深</w:t>
      </w:r>
    </w:p>
    <w:p>
      <w:pPr>
        <w:spacing w:after="0" w:line="357" w:lineRule="auto"/>
        <w:jc w:val="left"/>
        <w:sectPr>
          <w:pgSz w:w="11910" w:h="16840"/>
          <w:pgMar w:header="0" w:footer="1195" w:top="1460" w:bottom="1380" w:left="1680" w:right="1600"/>
        </w:sectPr>
      </w:pPr>
    </w:p>
    <w:p>
      <w:pPr>
        <w:pStyle w:val="BodyText"/>
        <w:spacing w:line="357" w:lineRule="auto" w:before="1"/>
        <w:ind w:right="111"/>
        <w:jc w:val="left"/>
      </w:pPr>
      <w:r>
        <w:rPr>
          <w:spacing w:val="-3"/>
        </w:rPr>
        <w:t>圳证券交易所创业板上市公司规范运作指引》中关于上市公司募集资金使用的相</w:t>
      </w:r>
      <w:r>
        <w:rPr>
          <w:spacing w:val="-109"/>
        </w:rPr>
        <w:t> </w:t>
      </w:r>
      <w:r>
        <w:rPr>
          <w:spacing w:val="-109"/>
        </w:rPr>
      </w:r>
      <w:r>
        <w:rPr/>
        <w:t>关规定，有助于提高募集资金使用效率。</w:t>
      </w:r>
    </w:p>
    <w:p>
      <w:pPr>
        <w:pStyle w:val="BodyText"/>
        <w:spacing w:line="357" w:lineRule="auto" w:before="192"/>
        <w:ind w:right="117" w:firstLine="479"/>
        <w:jc w:val="both"/>
      </w:pPr>
      <w:r>
        <w:rPr>
          <w:spacing w:val="-3"/>
        </w:rPr>
        <w:t>公司本次使用超募资金永久性补充流动资金，与公司募集资金投资项目的实</w:t>
      </w:r>
      <w:r>
        <w:rPr/>
        <w:t> </w:t>
      </w:r>
      <w:r>
        <w:rPr>
          <w:spacing w:val="-3"/>
        </w:rPr>
        <w:t>施计划不存在相互抵触的情形，不会影响募集资金投资项目的正常实施，也不存</w:t>
      </w:r>
      <w:r>
        <w:rPr>
          <w:spacing w:val="-111"/>
        </w:rPr>
        <w:t> </w:t>
      </w:r>
      <w:r>
        <w:rPr>
          <w:spacing w:val="-111"/>
        </w:rPr>
      </w:r>
      <w:r>
        <w:rPr/>
        <w:t>在变相改变募集资金投向、损害股东利益的情形。</w:t>
      </w:r>
    </w:p>
    <w:p>
      <w:pPr>
        <w:pStyle w:val="BodyText"/>
        <w:spacing w:line="477" w:lineRule="auto" w:before="192"/>
        <w:ind w:right="1087" w:firstLine="719"/>
        <w:jc w:val="left"/>
      </w:pPr>
      <w:r>
        <w:rPr/>
        <w:t>同意公司用超募资金中的</w:t>
      </w:r>
      <w:r>
        <w:rPr>
          <w:rFonts w:ascii="宋体" w:hAnsi="宋体" w:cs="宋体" w:eastAsia="宋体" w:hint="default"/>
        </w:rPr>
        <w:t>4,500</w:t>
      </w:r>
      <w:r>
        <w:rPr/>
        <w:t>万元人民币永久补充流动资金。 </w:t>
      </w:r>
      <w:r>
        <w:rPr>
          <w:rFonts w:ascii="宋体" w:hAnsi="宋体" w:cs="宋体" w:eastAsia="宋体" w:hint="default"/>
        </w:rPr>
        <w:t>3</w:t>
      </w:r>
      <w:r>
        <w:rPr/>
        <w:t>、其他事项</w:t>
      </w:r>
    </w:p>
    <w:p>
      <w:pPr>
        <w:pStyle w:val="BodyText"/>
        <w:spacing w:line="357" w:lineRule="auto" w:before="72"/>
        <w:ind w:right="118" w:firstLine="479"/>
        <w:jc w:val="both"/>
      </w:pPr>
      <w:r>
        <w:rPr>
          <w:color w:val="2B2B2B"/>
          <w:spacing w:val="-3"/>
        </w:rPr>
        <w:t>报告期内，</w:t>
      </w:r>
      <w:r>
        <w:rPr>
          <w:spacing w:val="-3"/>
        </w:rPr>
        <w:t>无提议召开董事会的情况、无提议解聘会计师事务所的情况、无</w:t>
      </w:r>
      <w:r>
        <w:rPr/>
        <w:t> 独立聘请外部审计机构和咨询机构的情况。</w:t>
      </w:r>
    </w:p>
    <w:p>
      <w:pPr>
        <w:pStyle w:val="Heading7"/>
        <w:spacing w:line="240" w:lineRule="auto"/>
        <w:ind w:right="0"/>
        <w:jc w:val="left"/>
        <w:rPr>
          <w:b w:val="0"/>
          <w:bCs w:val="0"/>
        </w:rPr>
      </w:pPr>
      <w:r>
        <w:rPr/>
        <w:t>四、公司投资情况：</w:t>
      </w:r>
      <w:r>
        <w:rPr>
          <w:b w:val="0"/>
          <w:bCs w:val="0"/>
        </w:rPr>
      </w:r>
    </w:p>
    <w:p>
      <w:pPr>
        <w:spacing w:line="240" w:lineRule="auto" w:before="9"/>
        <w:rPr>
          <w:rFonts w:ascii="宋体" w:hAnsi="宋体" w:cs="宋体" w:eastAsia="宋体" w:hint="default"/>
          <w:b/>
          <w:bCs/>
          <w:sz w:val="23"/>
          <w:szCs w:val="23"/>
        </w:rPr>
      </w:pPr>
    </w:p>
    <w:p>
      <w:pPr>
        <w:pStyle w:val="Heading7"/>
        <w:spacing w:line="477" w:lineRule="auto" w:before="0"/>
        <w:ind w:right="4551"/>
        <w:jc w:val="left"/>
        <w:rPr>
          <w:b w:val="0"/>
          <w:bCs w:val="0"/>
        </w:rPr>
      </w:pPr>
      <w:r>
        <w:rPr/>
        <w:t>（一）报告期内募集资金的使用情况</w:t>
      </w:r>
      <w:r>
        <w:rPr>
          <w:w w:val="99"/>
        </w:rPr>
        <w:t> </w:t>
      </w:r>
      <w:r>
        <w:rPr>
          <w:rFonts w:ascii="宋体" w:hAnsi="宋体" w:cs="宋体" w:eastAsia="宋体" w:hint="default"/>
        </w:rPr>
        <w:t>1</w:t>
      </w:r>
      <w:r>
        <w:rPr/>
        <w:t>、募集资金到位情况</w:t>
      </w:r>
      <w:r>
        <w:rPr>
          <w:b w:val="0"/>
          <w:bCs w:val="0"/>
        </w:rPr>
      </w:r>
    </w:p>
    <w:p>
      <w:pPr>
        <w:pStyle w:val="BodyText"/>
        <w:spacing w:line="357" w:lineRule="auto" w:before="72"/>
        <w:ind w:right="116" w:firstLine="479"/>
        <w:jc w:val="both"/>
      </w:pPr>
      <w:r>
        <w:rPr>
          <w:spacing w:val="-3"/>
        </w:rPr>
        <w:t>中国证券监督管理委员会“证监许可</w:t>
      </w:r>
      <w:r>
        <w:rPr>
          <w:rFonts w:ascii="宋体" w:hAnsi="宋体" w:cs="宋体" w:eastAsia="宋体" w:hint="default"/>
          <w:spacing w:val="-3"/>
        </w:rPr>
        <w:t>[2010]1292</w:t>
      </w:r>
      <w:r>
        <w:rPr>
          <w:spacing w:val="-3"/>
        </w:rPr>
        <w:t>号”文核准，本公司公开发</w:t>
      </w:r>
      <w:r>
        <w:rPr/>
        <w:t> 行人民币普通股</w:t>
      </w:r>
      <w:r>
        <w:rPr>
          <w:rFonts w:ascii="宋体" w:hAnsi="宋体" w:cs="宋体" w:eastAsia="宋体" w:hint="default"/>
        </w:rPr>
        <w:t>1,600 </w:t>
      </w:r>
      <w:r>
        <w:rPr>
          <w:spacing w:val="-3"/>
        </w:rPr>
        <w:t>万股，每股面值</w:t>
      </w:r>
      <w:r>
        <w:rPr>
          <w:rFonts w:ascii="宋体" w:hAnsi="宋体" w:cs="宋体" w:eastAsia="宋体" w:hint="default"/>
          <w:spacing w:val="-3"/>
        </w:rPr>
        <w:t>1.00</w:t>
      </w:r>
      <w:r>
        <w:rPr>
          <w:rFonts w:ascii="宋体" w:hAnsi="宋体" w:cs="宋体" w:eastAsia="宋体" w:hint="default"/>
          <w:spacing w:val="8"/>
        </w:rPr>
        <w:t> </w:t>
      </w:r>
      <w:r>
        <w:rPr>
          <w:spacing w:val="-4"/>
        </w:rPr>
        <w:t>元，发行价格每股</w:t>
      </w:r>
      <w:r>
        <w:rPr>
          <w:rFonts w:ascii="宋体" w:hAnsi="宋体" w:cs="宋体" w:eastAsia="宋体" w:hint="default"/>
          <w:spacing w:val="-4"/>
        </w:rPr>
        <w:t>43.33</w:t>
      </w:r>
      <w:r>
        <w:rPr>
          <w:spacing w:val="-4"/>
        </w:rPr>
        <w:t>元，募集资</w:t>
      </w:r>
      <w:r>
        <w:rPr/>
        <w:t> 金总额：</w:t>
      </w:r>
      <w:r>
        <w:rPr>
          <w:rFonts w:ascii="宋体" w:hAnsi="宋体" w:cs="宋体" w:eastAsia="宋体" w:hint="default"/>
        </w:rPr>
        <w:t>693,280,000.00</w:t>
      </w:r>
      <w:r>
        <w:rPr/>
        <w:t>元，扣除各项发行费用</w:t>
      </w:r>
      <w:r>
        <w:rPr>
          <w:rFonts w:ascii="宋体" w:hAnsi="宋体" w:cs="宋体" w:eastAsia="宋体" w:hint="default"/>
        </w:rPr>
        <w:t>46,945,065.67</w:t>
      </w:r>
      <w:r>
        <w:rPr/>
        <w:t>元，公司募集资 </w:t>
      </w:r>
      <w:r>
        <w:rPr>
          <w:spacing w:val="-5"/>
        </w:rPr>
        <w:t>金净额为：</w:t>
      </w:r>
      <w:r>
        <w:rPr>
          <w:rFonts w:ascii="宋体" w:hAnsi="宋体" w:cs="宋体" w:eastAsia="宋体" w:hint="default"/>
          <w:spacing w:val="-5"/>
        </w:rPr>
        <w:t>646,334,934.33</w:t>
      </w:r>
      <w:r>
        <w:rPr>
          <w:spacing w:val="-5"/>
        </w:rPr>
        <w:t>元。以上募集资金已由立信大华验字</w:t>
      </w:r>
      <w:r>
        <w:rPr>
          <w:rFonts w:ascii="宋体" w:hAnsi="宋体" w:cs="宋体" w:eastAsia="宋体" w:hint="default"/>
          <w:spacing w:val="-5"/>
        </w:rPr>
        <w:t>[2010]124</w:t>
      </w:r>
      <w:r>
        <w:rPr>
          <w:spacing w:val="-5"/>
        </w:rPr>
        <w:t>号《验</w:t>
      </w:r>
      <w:r>
        <w:rPr>
          <w:spacing w:val="-102"/>
        </w:rPr>
        <w:t> </w:t>
      </w:r>
      <w:r>
        <w:rPr>
          <w:spacing w:val="-102"/>
        </w:rPr>
      </w:r>
      <w:r>
        <w:rPr/>
        <w:t>资报告》验证确认</w:t>
      </w:r>
    </w:p>
    <w:p>
      <w:pPr>
        <w:pStyle w:val="BodyText"/>
        <w:spacing w:line="240" w:lineRule="auto" w:before="193"/>
        <w:ind w:left="600" w:right="0"/>
        <w:jc w:val="left"/>
      </w:pPr>
      <w:r>
        <w:rPr>
          <w:rFonts w:ascii="宋体" w:hAnsi="宋体" w:cs="宋体" w:eastAsia="宋体" w:hint="default"/>
        </w:rPr>
        <w:t>2</w:t>
      </w:r>
      <w:r>
        <w:rPr/>
        <w:t>、募集资金管理情况</w:t>
      </w:r>
    </w:p>
    <w:p>
      <w:pPr>
        <w:spacing w:line="240" w:lineRule="auto" w:before="9"/>
        <w:rPr>
          <w:rFonts w:ascii="宋体" w:hAnsi="宋体" w:cs="宋体" w:eastAsia="宋体" w:hint="default"/>
          <w:sz w:val="23"/>
          <w:szCs w:val="23"/>
        </w:rPr>
      </w:pPr>
    </w:p>
    <w:p>
      <w:pPr>
        <w:pStyle w:val="Heading7"/>
        <w:spacing w:line="240" w:lineRule="auto" w:before="0"/>
        <w:ind w:left="602" w:right="0"/>
        <w:jc w:val="left"/>
        <w:rPr>
          <w:b w:val="0"/>
          <w:bCs w:val="0"/>
        </w:rPr>
      </w:pPr>
      <w:r>
        <w:rPr/>
        <w:t>（</w:t>
      </w:r>
      <w:r>
        <w:rPr>
          <w:rFonts w:ascii="宋体" w:hAnsi="宋体" w:cs="宋体" w:eastAsia="宋体" w:hint="default"/>
        </w:rPr>
        <w:t>1</w:t>
      </w:r>
      <w:r>
        <w:rPr/>
        <w:t>）募集资金管理情况</w:t>
      </w:r>
      <w:r>
        <w:rPr>
          <w:b w:val="0"/>
          <w:bCs w:val="0"/>
        </w:rPr>
      </w:r>
    </w:p>
    <w:p>
      <w:pPr>
        <w:spacing w:after="0" w:line="240" w:lineRule="auto"/>
        <w:jc w:val="left"/>
        <w:sectPr>
          <w:pgSz w:w="11910" w:h="16840"/>
          <w:pgMar w:header="0" w:footer="1195" w:top="1460" w:bottom="1380" w:left="1680" w:right="1680"/>
        </w:sectPr>
      </w:pPr>
    </w:p>
    <w:p>
      <w:pPr>
        <w:pStyle w:val="BodyText"/>
        <w:spacing w:line="357" w:lineRule="auto" w:before="1"/>
        <w:ind w:left="140" w:right="0" w:firstLine="599"/>
        <w:jc w:val="left"/>
      </w:pPr>
      <w:r>
        <w:rPr/>
        <w:t>为了规范募集资金的管理和使用，提高募集资金使用效率，保护投资者权 </w:t>
      </w:r>
      <w:r>
        <w:rPr>
          <w:spacing w:val="-16"/>
        </w:rPr>
        <w:t>益，本公司依照《公司法》、《证券法》、《首次公开发行股票并上市管理办法》和</w:t>
      </w:r>
      <w:r>
        <w:rPr>
          <w:spacing w:val="-108"/>
        </w:rPr>
        <w:t> </w:t>
      </w:r>
      <w:r>
        <w:rPr>
          <w:spacing w:val="-108"/>
        </w:rPr>
      </w:r>
      <w:r>
        <w:rPr>
          <w:spacing w:val="-3"/>
        </w:rPr>
        <w:t>深圳证券交易所发布的《上市公司募集资金管理办法》及《创业板上市公司规范</w:t>
      </w:r>
      <w:r>
        <w:rPr>
          <w:spacing w:val="-111"/>
        </w:rPr>
        <w:t> </w:t>
      </w:r>
      <w:r>
        <w:rPr>
          <w:spacing w:val="-111"/>
        </w:rPr>
      </w:r>
      <w:r>
        <w:rPr>
          <w:spacing w:val="-3"/>
        </w:rPr>
        <w:t>运作指引》等有关法律法规的规定，结合公司实际情况，制订了《深圳市新国都</w:t>
      </w:r>
      <w:r>
        <w:rPr>
          <w:spacing w:val="-111"/>
        </w:rPr>
        <w:t> </w:t>
      </w:r>
      <w:r>
        <w:rPr>
          <w:spacing w:val="-111"/>
        </w:rPr>
      </w:r>
      <w:r>
        <w:rPr>
          <w:spacing w:val="-13"/>
        </w:rPr>
        <w:t>技术股份有限公司募集资金管理制度》（以下简称“管理制度”）。该《管理制度》</w:t>
      </w:r>
      <w:r>
        <w:rPr>
          <w:spacing w:val="-95"/>
        </w:rPr>
        <w:t> </w:t>
      </w:r>
      <w:r>
        <w:rPr>
          <w:spacing w:val="-95"/>
        </w:rPr>
      </w:r>
      <w:r>
        <w:rPr/>
        <w:t>经本公司于第一届董事会第五次会议修订，由 </w:t>
      </w:r>
      <w:r>
        <w:rPr>
          <w:rFonts w:ascii="宋体" w:hAnsi="宋体" w:cs="宋体" w:eastAsia="宋体" w:hint="default"/>
        </w:rPr>
        <w:t>09</w:t>
      </w:r>
      <w:r>
        <w:rPr>
          <w:rFonts w:ascii="宋体" w:hAnsi="宋体" w:cs="宋体" w:eastAsia="宋体" w:hint="default"/>
          <w:spacing w:val="-95"/>
        </w:rPr>
        <w:t> </w:t>
      </w:r>
      <w:r>
        <w:rPr/>
        <w:t>年第一次临时股东大会审议通 </w:t>
      </w:r>
      <w:r>
        <w:rPr>
          <w:spacing w:val="-3"/>
        </w:rPr>
        <w:t>过。根据《管理制度》的要求并结合公司经营需要，本公司对募集资金实行专户</w:t>
      </w:r>
      <w:r>
        <w:rPr>
          <w:spacing w:val="-109"/>
        </w:rPr>
        <w:t> </w:t>
      </w:r>
      <w:r>
        <w:rPr>
          <w:spacing w:val="-109"/>
        </w:rPr>
      </w:r>
      <w:r>
        <w:rPr>
          <w:spacing w:val="-3"/>
        </w:rPr>
        <w:t>存储。并对募集资金的使用实行严格的审批手续，以保证专款专用；授权保荐代</w:t>
      </w:r>
      <w:r>
        <w:rPr>
          <w:spacing w:val="-112"/>
        </w:rPr>
        <w:t> </w:t>
      </w:r>
      <w:r>
        <w:rPr>
          <w:spacing w:val="-112"/>
        </w:rPr>
      </w:r>
      <w:r>
        <w:rPr>
          <w:spacing w:val="-3"/>
        </w:rPr>
        <w:t>表人可以随时到开设募集资金专户的银行查询募集资金专户资料，并要求保荐代</w:t>
      </w:r>
      <w:r>
        <w:rPr>
          <w:spacing w:val="-109"/>
        </w:rPr>
        <w:t> </w:t>
      </w:r>
      <w:r>
        <w:rPr>
          <w:spacing w:val="-109"/>
        </w:rPr>
      </w:r>
      <w:r>
        <w:rPr>
          <w:spacing w:val="-3"/>
        </w:rPr>
        <w:t>表人每季度对募集资金管理和使用情况至少进行现场调查一次。根据本公司与中</w:t>
      </w:r>
      <w:r>
        <w:rPr>
          <w:spacing w:val="-109"/>
        </w:rPr>
        <w:t> </w:t>
      </w:r>
      <w:r>
        <w:rPr>
          <w:spacing w:val="-109"/>
        </w:rPr>
      </w:r>
      <w:r>
        <w:rPr>
          <w:spacing w:val="-9"/>
        </w:rPr>
        <w:t>信证券有限责任公司签订的《保荐协议》，公司单次或</w:t>
      </w:r>
      <w:r>
        <w:rPr>
          <w:spacing w:val="-59"/>
        </w:rPr>
        <w:t> </w:t>
      </w:r>
      <w:r>
        <w:rPr>
          <w:rFonts w:ascii="宋体" w:hAnsi="宋体" w:cs="宋体" w:eastAsia="宋体" w:hint="default"/>
        </w:rPr>
        <w:t>12</w:t>
      </w:r>
      <w:r>
        <w:rPr>
          <w:rFonts w:ascii="宋体" w:hAnsi="宋体" w:cs="宋体" w:eastAsia="宋体" w:hint="default"/>
          <w:spacing w:val="-59"/>
        </w:rPr>
        <w:t> </w:t>
      </w:r>
      <w:r>
        <w:rPr/>
        <w:t>个月以内累计从专户中</w:t>
      </w:r>
    </w:p>
    <w:p>
      <w:pPr>
        <w:pStyle w:val="BodyText"/>
        <w:spacing w:line="357" w:lineRule="auto" w:before="36"/>
        <w:ind w:left="140" w:right="1036"/>
        <w:jc w:val="both"/>
      </w:pPr>
      <w:r>
        <w:rPr/>
        <w:t>支取的金额超过人民币</w:t>
      </w:r>
      <w:r>
        <w:rPr>
          <w:spacing w:val="-59"/>
        </w:rPr>
        <w:t> </w:t>
      </w:r>
      <w:r>
        <w:rPr>
          <w:rFonts w:ascii="宋体" w:hAnsi="宋体" w:cs="宋体" w:eastAsia="宋体" w:hint="default"/>
        </w:rPr>
        <w:t>1,000</w:t>
      </w:r>
      <w:r>
        <w:rPr>
          <w:rFonts w:ascii="宋体" w:hAnsi="宋体" w:cs="宋体" w:eastAsia="宋体" w:hint="default"/>
          <w:spacing w:val="-59"/>
        </w:rPr>
        <w:t> </w:t>
      </w:r>
      <w:r>
        <w:rPr>
          <w:spacing w:val="-10"/>
        </w:rPr>
        <w:t>万元（按照孰低原则在</w:t>
      </w:r>
      <w:r>
        <w:rPr>
          <w:spacing w:val="-59"/>
        </w:rPr>
        <w:t> </w:t>
      </w:r>
      <w:r>
        <w:rPr>
          <w:rFonts w:ascii="宋体" w:hAnsi="宋体" w:cs="宋体" w:eastAsia="宋体" w:hint="default"/>
        </w:rPr>
        <w:t>1,000</w:t>
      </w:r>
      <w:r>
        <w:rPr>
          <w:rFonts w:ascii="宋体" w:hAnsi="宋体" w:cs="宋体" w:eastAsia="宋体" w:hint="default"/>
          <w:spacing w:val="-59"/>
        </w:rPr>
        <w:t> </w:t>
      </w:r>
      <w:r>
        <w:rPr/>
        <w:t>万元或募集资金净额 的</w:t>
      </w:r>
      <w:r>
        <w:rPr>
          <w:spacing w:val="-91"/>
        </w:rPr>
        <w:t> </w:t>
      </w:r>
      <w:r>
        <w:rPr>
          <w:rFonts w:ascii="宋体" w:hAnsi="宋体" w:cs="宋体" w:eastAsia="宋体" w:hint="default"/>
        </w:rPr>
        <w:t>10%</w:t>
      </w:r>
      <w:r>
        <w:rPr/>
        <w:t>之间确定）的，公司应当以书面形式知会保荐代表人，同时经公司董事会 </w:t>
      </w:r>
      <w:r>
        <w:rPr>
          <w:spacing w:val="-3"/>
        </w:rPr>
        <w:t>授权，保荐代表人可以根据需要随时到开设募集资金专户的商业银行查询募集资</w:t>
      </w:r>
      <w:r>
        <w:rPr>
          <w:spacing w:val="-109"/>
        </w:rPr>
        <w:t> </w:t>
      </w:r>
      <w:r>
        <w:rPr>
          <w:spacing w:val="-109"/>
        </w:rPr>
      </w:r>
      <w:r>
        <w:rPr/>
        <w:t>金专户资料。</w:t>
      </w:r>
    </w:p>
    <w:p>
      <w:pPr>
        <w:pStyle w:val="BodyText"/>
        <w:spacing w:line="240" w:lineRule="auto" w:before="113"/>
        <w:ind w:left="457" w:right="0"/>
        <w:jc w:val="left"/>
      </w:pPr>
      <w:r>
        <w:rPr/>
        <w:t>（</w:t>
      </w:r>
      <w:r>
        <w:rPr>
          <w:rFonts w:ascii="宋体" w:hAnsi="宋体" w:cs="宋体" w:eastAsia="宋体" w:hint="default"/>
        </w:rPr>
        <w:t>2</w:t>
      </w:r>
      <w:r>
        <w:rPr/>
        <w:t>）募集资金专户存储情况</w:t>
      </w:r>
    </w:p>
    <w:p>
      <w:pPr>
        <w:pStyle w:val="BodyText"/>
        <w:spacing w:line="240" w:lineRule="auto" w:before="77"/>
        <w:ind w:left="620" w:right="0"/>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 </w:t>
      </w:r>
      <w:r>
        <w:rPr>
          <w:rFonts w:ascii="宋体" w:hAnsi="宋体" w:cs="宋体" w:eastAsia="宋体" w:hint="default"/>
        </w:rPr>
        <w:t>31</w:t>
      </w:r>
      <w:r>
        <w:rPr>
          <w:rFonts w:ascii="宋体" w:hAnsi="宋体" w:cs="宋体" w:eastAsia="宋体" w:hint="default"/>
          <w:spacing w:val="-60"/>
        </w:rPr>
        <w:t> </w:t>
      </w:r>
      <w:r>
        <w:rPr/>
        <w:t>日止，募集资金的存储情况列示如下：</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746"/>
        <w:gridCol w:w="2679"/>
        <w:gridCol w:w="2410"/>
        <w:gridCol w:w="1419"/>
        <w:gridCol w:w="1985"/>
      </w:tblGrid>
      <w:tr>
        <w:trPr>
          <w:trHeight w:val="32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开户行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帐号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存款类型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326"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3"/>
              <w:ind w:right="5"/>
              <w:jc w:val="center"/>
              <w:rPr>
                <w:rFonts w:ascii="宋体" w:hAnsi="宋体" w:cs="宋体" w:eastAsia="宋体" w:hint="default"/>
                <w:sz w:val="21"/>
                <w:szCs w:val="21"/>
              </w:rPr>
            </w:pPr>
            <w:r>
              <w:rPr>
                <w:rFonts w:ascii="宋体"/>
                <w:w w:val="100"/>
                <w:sz w:val="21"/>
              </w:rPr>
              <w:t>1</w:t>
            </w:r>
          </w:p>
        </w:tc>
        <w:tc>
          <w:tcPr>
            <w:tcW w:w="2679" w:type="dxa"/>
            <w:vMerge w:val="restart"/>
            <w:tcBorders>
              <w:top w:val="single" w:sz="4" w:space="0" w:color="000000"/>
              <w:left w:val="single" w:sz="4" w:space="0" w:color="000000"/>
              <w:right w:val="single" w:sz="4" w:space="0" w:color="000000"/>
            </w:tcBorders>
          </w:tcPr>
          <w:p>
            <w:pPr>
              <w:pStyle w:val="TableParagraph"/>
              <w:spacing w:line="273" w:lineRule="auto"/>
              <w:ind w:left="1226" w:right="175" w:hanging="1050"/>
              <w:jc w:val="left"/>
              <w:rPr>
                <w:rFonts w:ascii="宋体" w:hAnsi="宋体" w:cs="宋体" w:eastAsia="宋体" w:hint="default"/>
                <w:sz w:val="21"/>
                <w:szCs w:val="21"/>
              </w:rPr>
            </w:pPr>
            <w:r>
              <w:rPr>
                <w:rFonts w:ascii="宋体" w:hAnsi="宋体" w:cs="宋体" w:eastAsia="宋体" w:hint="default"/>
                <w:spacing w:val="-2"/>
                <w:sz w:val="21"/>
                <w:szCs w:val="21"/>
              </w:rPr>
              <w:t>浦发银行深圳凤凰大厦支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3"/>
              <w:ind w:left="307" w:right="0"/>
              <w:jc w:val="left"/>
              <w:rPr>
                <w:rFonts w:ascii="宋体" w:hAnsi="宋体" w:cs="宋体" w:eastAsia="宋体" w:hint="default"/>
                <w:sz w:val="21"/>
                <w:szCs w:val="21"/>
              </w:rPr>
            </w:pPr>
            <w:r>
              <w:rPr>
                <w:rFonts w:ascii="宋体"/>
                <w:sz w:val="21"/>
              </w:rPr>
              <w:t>79030155200000423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3,083.34</w:t>
            </w:r>
          </w:p>
        </w:tc>
      </w:tr>
      <w:tr>
        <w:trPr>
          <w:trHeight w:val="324"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53,820,000.00</w:t>
            </w:r>
          </w:p>
        </w:tc>
      </w:tr>
      <w:tr>
        <w:trPr>
          <w:trHeight w:val="327"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3"/>
              <w:ind w:right="5"/>
              <w:jc w:val="center"/>
              <w:rPr>
                <w:rFonts w:ascii="宋体" w:hAnsi="宋体" w:cs="宋体" w:eastAsia="宋体" w:hint="default"/>
                <w:sz w:val="21"/>
                <w:szCs w:val="21"/>
              </w:rPr>
            </w:pPr>
            <w:r>
              <w:rPr>
                <w:rFonts w:ascii="宋体"/>
                <w:w w:val="100"/>
                <w:sz w:val="21"/>
              </w:rPr>
              <w:t>2</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153"/>
              <w:ind w:left="491" w:right="0"/>
              <w:jc w:val="left"/>
              <w:rPr>
                <w:rFonts w:ascii="宋体" w:hAnsi="宋体" w:cs="宋体" w:eastAsia="宋体" w:hint="default"/>
                <w:sz w:val="21"/>
                <w:szCs w:val="21"/>
              </w:rPr>
            </w:pPr>
            <w:r>
              <w:rPr>
                <w:rFonts w:ascii="宋体" w:hAnsi="宋体" w:cs="宋体" w:eastAsia="宋体" w:hint="default"/>
                <w:sz w:val="21"/>
                <w:szCs w:val="21"/>
              </w:rPr>
              <w:t>招行深纺大厦支行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3"/>
              <w:ind w:left="413" w:right="0"/>
              <w:jc w:val="left"/>
              <w:rPr>
                <w:rFonts w:ascii="宋体" w:hAnsi="宋体" w:cs="宋体" w:eastAsia="宋体" w:hint="default"/>
                <w:sz w:val="21"/>
                <w:szCs w:val="21"/>
              </w:rPr>
            </w:pPr>
            <w:r>
              <w:rPr>
                <w:rFonts w:ascii="宋体"/>
                <w:sz w:val="21"/>
              </w:rPr>
              <w:t>755903916010909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8,444.20</w:t>
            </w:r>
          </w:p>
        </w:tc>
      </w:tr>
      <w:tr>
        <w:trPr>
          <w:trHeight w:val="324"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20,023,110.32</w:t>
            </w:r>
          </w:p>
        </w:tc>
      </w:tr>
      <w:tr>
        <w:trPr>
          <w:trHeight w:val="324"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3"/>
              <w:ind w:right="5"/>
              <w:jc w:val="center"/>
              <w:rPr>
                <w:rFonts w:ascii="宋体" w:hAnsi="宋体" w:cs="宋体" w:eastAsia="宋体" w:hint="default"/>
                <w:sz w:val="21"/>
                <w:szCs w:val="21"/>
              </w:rPr>
            </w:pPr>
            <w:r>
              <w:rPr>
                <w:rFonts w:ascii="宋体"/>
                <w:w w:val="100"/>
                <w:sz w:val="21"/>
              </w:rPr>
              <w:t>3</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153"/>
              <w:ind w:left="283" w:right="0"/>
              <w:jc w:val="left"/>
              <w:rPr>
                <w:rFonts w:ascii="宋体" w:hAnsi="宋体" w:cs="宋体" w:eastAsia="宋体" w:hint="default"/>
                <w:sz w:val="21"/>
                <w:szCs w:val="21"/>
              </w:rPr>
            </w:pPr>
            <w:r>
              <w:rPr>
                <w:rFonts w:ascii="宋体" w:hAnsi="宋体" w:cs="宋体" w:eastAsia="宋体" w:hint="default"/>
                <w:sz w:val="21"/>
                <w:szCs w:val="21"/>
              </w:rPr>
              <w:t>浦发银行深圳泰然支行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3"/>
              <w:ind w:left="307" w:right="0"/>
              <w:jc w:val="left"/>
              <w:rPr>
                <w:rFonts w:ascii="宋体" w:hAnsi="宋体" w:cs="宋体" w:eastAsia="宋体" w:hint="default"/>
                <w:sz w:val="21"/>
                <w:szCs w:val="21"/>
              </w:rPr>
            </w:pPr>
            <w:r>
              <w:rPr>
                <w:rFonts w:ascii="宋体"/>
                <w:sz w:val="21"/>
              </w:rPr>
              <w:t>79100155200000790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190.03</w:t>
            </w:r>
          </w:p>
        </w:tc>
      </w:tr>
      <w:tr>
        <w:trPr>
          <w:trHeight w:val="326"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141,880,000.00</w:t>
            </w:r>
          </w:p>
        </w:tc>
      </w:tr>
      <w:tr>
        <w:trPr>
          <w:trHeight w:val="324"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0"/>
              <w:ind w:right="5"/>
              <w:jc w:val="center"/>
              <w:rPr>
                <w:rFonts w:ascii="宋体" w:hAnsi="宋体" w:cs="宋体" w:eastAsia="宋体" w:hint="default"/>
                <w:sz w:val="21"/>
                <w:szCs w:val="21"/>
              </w:rPr>
            </w:pPr>
            <w:r>
              <w:rPr>
                <w:rFonts w:ascii="宋体"/>
                <w:w w:val="100"/>
                <w:sz w:val="21"/>
              </w:rPr>
              <w:t>4</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150"/>
              <w:ind w:left="283" w:right="0"/>
              <w:jc w:val="left"/>
              <w:rPr>
                <w:rFonts w:ascii="宋体" w:hAnsi="宋体" w:cs="宋体" w:eastAsia="宋体" w:hint="default"/>
                <w:sz w:val="21"/>
                <w:szCs w:val="21"/>
              </w:rPr>
            </w:pPr>
            <w:r>
              <w:rPr>
                <w:rFonts w:ascii="宋体" w:hAnsi="宋体" w:cs="宋体" w:eastAsia="宋体" w:hint="default"/>
                <w:sz w:val="21"/>
                <w:szCs w:val="21"/>
              </w:rPr>
              <w:t>中信银行市民中心支行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0"/>
              <w:ind w:left="201" w:right="0"/>
              <w:jc w:val="left"/>
              <w:rPr>
                <w:rFonts w:ascii="宋体" w:hAnsi="宋体" w:cs="宋体" w:eastAsia="宋体" w:hint="default"/>
                <w:sz w:val="21"/>
                <w:szCs w:val="21"/>
              </w:rPr>
            </w:pPr>
            <w:r>
              <w:rPr>
                <w:rFonts w:ascii="宋体"/>
                <w:sz w:val="21"/>
              </w:rPr>
              <w:t>7442410182600061107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z w:val="21"/>
              </w:rPr>
              <w:t>12,565.31</w:t>
            </w:r>
          </w:p>
        </w:tc>
      </w:tr>
      <w:tr>
        <w:trPr>
          <w:trHeight w:val="326"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138,027,000.00</w:t>
            </w:r>
          </w:p>
        </w:tc>
      </w:tr>
      <w:tr>
        <w:trPr>
          <w:trHeight w:val="324"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0"/>
              <w:ind w:right="5"/>
              <w:jc w:val="center"/>
              <w:rPr>
                <w:rFonts w:ascii="宋体" w:hAnsi="宋体" w:cs="宋体" w:eastAsia="宋体" w:hint="default"/>
                <w:sz w:val="21"/>
                <w:szCs w:val="21"/>
              </w:rPr>
            </w:pPr>
            <w:r>
              <w:rPr>
                <w:rFonts w:ascii="宋体"/>
                <w:w w:val="100"/>
                <w:sz w:val="21"/>
              </w:rPr>
              <w:t>5</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150"/>
              <w:ind w:left="703" w:right="0"/>
              <w:jc w:val="left"/>
              <w:rPr>
                <w:rFonts w:ascii="宋体" w:hAnsi="宋体" w:cs="宋体" w:eastAsia="宋体" w:hint="default"/>
                <w:sz w:val="21"/>
                <w:szCs w:val="21"/>
              </w:rPr>
            </w:pPr>
            <w:r>
              <w:rPr>
                <w:rFonts w:ascii="宋体" w:hAnsi="宋体" w:cs="宋体" w:eastAsia="宋体" w:hint="default"/>
                <w:sz w:val="21"/>
                <w:szCs w:val="21"/>
              </w:rPr>
              <w:t>中行沙河支行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0"/>
              <w:ind w:left="569" w:right="0"/>
              <w:jc w:val="left"/>
              <w:rPr>
                <w:rFonts w:ascii="宋体" w:hAnsi="宋体" w:cs="宋体" w:eastAsia="宋体" w:hint="default"/>
                <w:sz w:val="21"/>
                <w:szCs w:val="21"/>
              </w:rPr>
            </w:pPr>
            <w:r>
              <w:rPr>
                <w:rFonts w:ascii="宋体"/>
                <w:sz w:val="21"/>
              </w:rPr>
              <w:t>760158276832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w w:val="100"/>
                <w:sz w:val="21"/>
              </w:rPr>
              <w:t>-</w:t>
            </w:r>
          </w:p>
        </w:tc>
      </w:tr>
      <w:tr>
        <w:trPr>
          <w:trHeight w:val="326"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135,014,000.00</w:t>
            </w:r>
          </w:p>
        </w:tc>
      </w:tr>
      <w:tr>
        <w:trPr>
          <w:trHeight w:val="324" w:hRule="exact"/>
        </w:trPr>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50"/>
              <w:ind w:right="5"/>
              <w:jc w:val="center"/>
              <w:rPr>
                <w:rFonts w:ascii="宋体" w:hAnsi="宋体" w:cs="宋体" w:eastAsia="宋体" w:hint="default"/>
                <w:sz w:val="21"/>
                <w:szCs w:val="21"/>
              </w:rPr>
            </w:pPr>
            <w:r>
              <w:rPr>
                <w:rFonts w:ascii="宋体"/>
                <w:w w:val="100"/>
                <w:sz w:val="21"/>
              </w:rPr>
              <w:t>6</w:t>
            </w:r>
          </w:p>
        </w:tc>
        <w:tc>
          <w:tcPr>
            <w:tcW w:w="2679" w:type="dxa"/>
            <w:vMerge w:val="restart"/>
            <w:tcBorders>
              <w:top w:val="single" w:sz="4" w:space="0" w:color="000000"/>
              <w:left w:val="single" w:sz="4" w:space="0" w:color="000000"/>
              <w:right w:val="single" w:sz="4" w:space="0" w:color="000000"/>
            </w:tcBorders>
          </w:tcPr>
          <w:p>
            <w:pPr>
              <w:pStyle w:val="TableParagraph"/>
              <w:spacing w:line="240" w:lineRule="auto" w:before="150"/>
              <w:ind w:left="386" w:right="0"/>
              <w:jc w:val="left"/>
              <w:rPr>
                <w:rFonts w:ascii="宋体" w:hAnsi="宋体" w:cs="宋体" w:eastAsia="宋体" w:hint="default"/>
                <w:sz w:val="21"/>
                <w:szCs w:val="21"/>
              </w:rPr>
            </w:pPr>
            <w:r>
              <w:rPr>
                <w:rFonts w:ascii="宋体" w:hAnsi="宋体" w:cs="宋体" w:eastAsia="宋体" w:hint="default"/>
                <w:sz w:val="21"/>
                <w:szCs w:val="21"/>
              </w:rPr>
              <w:t>广发行深圳红桂支行</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50"/>
              <w:ind w:left="254" w:right="0"/>
              <w:jc w:val="left"/>
              <w:rPr>
                <w:rFonts w:ascii="宋体" w:hAnsi="宋体" w:cs="宋体" w:eastAsia="宋体" w:hint="default"/>
                <w:sz w:val="21"/>
                <w:szCs w:val="21"/>
              </w:rPr>
            </w:pPr>
            <w:r>
              <w:rPr>
                <w:rFonts w:ascii="宋体"/>
                <w:sz w:val="21"/>
              </w:rPr>
              <w:t>102002516010003905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w w:val="100"/>
                <w:sz w:val="21"/>
              </w:rPr>
              <w:t>-</w:t>
            </w:r>
          </w:p>
        </w:tc>
      </w:tr>
      <w:tr>
        <w:trPr>
          <w:trHeight w:val="324" w:hRule="exact"/>
        </w:trPr>
        <w:tc>
          <w:tcPr>
            <w:tcW w:w="746" w:type="dxa"/>
            <w:vMerge/>
            <w:tcBorders>
              <w:left w:val="single" w:sz="4" w:space="0" w:color="000000"/>
              <w:bottom w:val="single" w:sz="4" w:space="0" w:color="000000"/>
              <w:right w:val="single" w:sz="4" w:space="0" w:color="000000"/>
            </w:tcBorders>
          </w:tcPr>
          <w:p>
            <w:pPr/>
          </w:p>
        </w:tc>
        <w:tc>
          <w:tcPr>
            <w:tcW w:w="2679"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定期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100,104,830.55</w:t>
            </w:r>
          </w:p>
        </w:tc>
      </w:tr>
      <w:tr>
        <w:trPr>
          <w:trHeight w:val="332" w:hRule="exact"/>
        </w:trPr>
        <w:tc>
          <w:tcPr>
            <w:tcW w:w="746" w:type="dxa"/>
            <w:tcBorders>
              <w:top w:val="single" w:sz="4" w:space="0" w:color="000000"/>
              <w:left w:val="nil" w:sz="6" w:space="0" w:color="auto"/>
              <w:bottom w:val="single" w:sz="8" w:space="0" w:color="000000"/>
              <w:right w:val="nil" w:sz="6" w:space="0" w:color="auto"/>
            </w:tcBorders>
          </w:tcPr>
          <w:p>
            <w:pPr/>
          </w:p>
        </w:tc>
        <w:tc>
          <w:tcPr>
            <w:tcW w:w="2679" w:type="dxa"/>
            <w:tcBorders>
              <w:top w:val="single" w:sz="4" w:space="0" w:color="000000"/>
              <w:left w:val="nil" w:sz="6" w:space="0" w:color="auto"/>
              <w:bottom w:val="single" w:sz="8"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nil" w:sz="6" w:space="0" w:color="auto"/>
              <w:bottom w:val="single" w:sz="8" w:space="0" w:color="000000"/>
              <w:right w:val="nil" w:sz="6" w:space="0" w:color="auto"/>
            </w:tcBorders>
          </w:tcPr>
          <w:p>
            <w:pPr/>
          </w:p>
        </w:tc>
        <w:tc>
          <w:tcPr>
            <w:tcW w:w="1419" w:type="dxa"/>
            <w:tcBorders>
              <w:top w:val="single" w:sz="4" w:space="0" w:color="000000"/>
              <w:left w:val="nil" w:sz="6" w:space="0" w:color="auto"/>
              <w:bottom w:val="single" w:sz="8" w:space="0" w:color="000000"/>
              <w:right w:val="nil" w:sz="6" w:space="0" w:color="auto"/>
            </w:tcBorders>
          </w:tcPr>
          <w:p>
            <w:pPr/>
          </w:p>
        </w:tc>
        <w:tc>
          <w:tcPr>
            <w:tcW w:w="1985" w:type="dxa"/>
            <w:tcBorders>
              <w:top w:val="single" w:sz="4" w:space="0" w:color="000000"/>
              <w:left w:val="nil" w:sz="6" w:space="0" w:color="auto"/>
              <w:bottom w:val="single" w:sz="8"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sz w:val="21"/>
              </w:rPr>
              <w:t>588,893,223.75</w:t>
            </w:r>
          </w:p>
        </w:tc>
      </w:tr>
    </w:tbl>
    <w:p>
      <w:pPr>
        <w:spacing w:line="240" w:lineRule="auto" w:before="12"/>
        <w:rPr>
          <w:rFonts w:ascii="宋体" w:hAnsi="宋体" w:cs="宋体" w:eastAsia="宋体" w:hint="default"/>
          <w:sz w:val="12"/>
          <w:szCs w:val="12"/>
        </w:rPr>
      </w:pPr>
    </w:p>
    <w:p>
      <w:pPr>
        <w:pStyle w:val="Heading7"/>
        <w:spacing w:line="240" w:lineRule="auto" w:before="26"/>
        <w:ind w:left="140" w:right="0"/>
        <w:jc w:val="left"/>
        <w:rPr>
          <w:b w:val="0"/>
          <w:bCs w:val="0"/>
        </w:rPr>
      </w:pPr>
      <w:r>
        <w:rPr>
          <w:rFonts w:ascii="宋体" w:hAnsi="宋体" w:cs="宋体" w:eastAsia="宋体" w:hint="default"/>
        </w:rPr>
        <w:t>3</w:t>
      </w:r>
      <w:r>
        <w:rPr/>
        <w:t>、募集资金的具体使用情况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620" w:right="0"/>
        <w:jc w:val="left"/>
      </w:pPr>
      <w:r>
        <w:rPr/>
        <w:t>截止到 </w:t>
      </w:r>
      <w:r>
        <w:rPr>
          <w:rFonts w:ascii="宋体" w:hAnsi="宋体" w:cs="宋体" w:eastAsia="宋体" w:hint="default"/>
        </w:rPr>
        <w:t>2011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16"/>
        </w:rPr>
        <w:t> </w:t>
      </w:r>
      <w:r>
        <w:rPr>
          <w:spacing w:val="-5"/>
        </w:rPr>
        <w:t>日，募集资金项目具体情况见如下的募集资金使用</w:t>
      </w:r>
    </w:p>
    <w:p>
      <w:pPr>
        <w:spacing w:after="0" w:line="240" w:lineRule="auto"/>
        <w:jc w:val="left"/>
        <w:sectPr>
          <w:footerReference w:type="default" r:id="rId24"/>
          <w:pgSz w:w="11910" w:h="16840"/>
          <w:pgMar w:footer="1195" w:header="0" w:top="1460" w:bottom="1380" w:left="1660" w:right="760"/>
        </w:sectPr>
      </w:pPr>
    </w:p>
    <w:p>
      <w:pPr>
        <w:pStyle w:val="BodyText"/>
        <w:spacing w:line="240" w:lineRule="auto" w:before="1"/>
        <w:ind w:left="900" w:right="1633"/>
        <w:jc w:val="left"/>
      </w:pPr>
      <w:r>
        <w:rPr/>
        <w:t>情况对照表：</w:t>
      </w:r>
    </w:p>
    <w:p>
      <w:pPr>
        <w:spacing w:line="240" w:lineRule="auto" w:before="9"/>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1820"/>
        <w:gridCol w:w="556"/>
        <w:gridCol w:w="956"/>
        <w:gridCol w:w="706"/>
        <w:gridCol w:w="902"/>
        <w:gridCol w:w="106"/>
        <w:gridCol w:w="626"/>
        <w:gridCol w:w="748"/>
        <w:gridCol w:w="1123"/>
        <w:gridCol w:w="206"/>
        <w:gridCol w:w="570"/>
        <w:gridCol w:w="658"/>
        <w:gridCol w:w="853"/>
      </w:tblGrid>
      <w:tr>
        <w:trPr>
          <w:trHeight w:val="166" w:hRule="exact"/>
        </w:trPr>
        <w:tc>
          <w:tcPr>
            <w:tcW w:w="333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103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714" w:type="dxa"/>
            <w:gridSpan w:val="3"/>
            <w:vMerge w:val="restart"/>
            <w:tcBorders>
              <w:top w:val="single" w:sz="4" w:space="0" w:color="000000"/>
              <w:left w:val="single" w:sz="12" w:space="0" w:color="DCDCDC"/>
              <w:right w:val="single" w:sz="10" w:space="0" w:color="DCDCDC"/>
            </w:tcBorders>
          </w:tcPr>
          <w:p>
            <w:pPr>
              <w:pStyle w:val="TableParagraph"/>
              <w:spacing w:line="262" w:lineRule="exact"/>
              <w:ind w:left="361" w:right="0"/>
              <w:jc w:val="left"/>
              <w:rPr>
                <w:rFonts w:ascii="宋体" w:hAnsi="宋体" w:cs="宋体" w:eastAsia="宋体" w:hint="default"/>
                <w:sz w:val="21"/>
                <w:szCs w:val="21"/>
              </w:rPr>
            </w:pPr>
            <w:r>
              <w:rPr>
                <w:rFonts w:ascii="宋体"/>
                <w:sz w:val="21"/>
              </w:rPr>
              <w:t>64,633.40</w:t>
            </w:r>
          </w:p>
        </w:tc>
        <w:tc>
          <w:tcPr>
            <w:tcW w:w="2703"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148"/>
              <w:ind w:left="661" w:right="0"/>
              <w:jc w:val="left"/>
              <w:rPr>
                <w:rFonts w:ascii="宋体" w:hAnsi="宋体" w:cs="宋体" w:eastAsia="宋体" w:hint="default"/>
                <w:sz w:val="21"/>
                <w:szCs w:val="21"/>
              </w:rPr>
            </w:pPr>
            <w:r>
              <w:rPr>
                <w:rFonts w:ascii="宋体"/>
                <w:sz w:val="21"/>
              </w:rPr>
              <w:t>7106.55</w:t>
            </w:r>
          </w:p>
        </w:tc>
      </w:tr>
      <w:tr>
        <w:trPr>
          <w:trHeight w:val="156" w:hRule="exact"/>
        </w:trPr>
        <w:tc>
          <w:tcPr>
            <w:tcW w:w="3332" w:type="dxa"/>
            <w:gridSpan w:val="3"/>
            <w:vMerge/>
            <w:tcBorders>
              <w:left w:val="single" w:sz="4" w:space="0" w:color="000000"/>
              <w:bottom w:val="single" w:sz="4" w:space="0" w:color="000000"/>
              <w:right w:val="single" w:sz="4" w:space="0" w:color="000000"/>
            </w:tcBorders>
            <w:shd w:val="clear" w:color="auto" w:fill="DCDCDC"/>
          </w:tcPr>
          <w:p>
            <w:pPr/>
          </w:p>
        </w:tc>
        <w:tc>
          <w:tcPr>
            <w:tcW w:w="1714" w:type="dxa"/>
            <w:gridSpan w:val="3"/>
            <w:vMerge/>
            <w:tcBorders>
              <w:left w:val="single" w:sz="12" w:space="0" w:color="DCDCDC"/>
              <w:bottom w:val="single" w:sz="4" w:space="0" w:color="000000"/>
              <w:right w:val="single" w:sz="10" w:space="0" w:color="DCDCDC"/>
            </w:tcBorders>
          </w:tcPr>
          <w:p>
            <w:pPr/>
          </w:p>
        </w:tc>
        <w:tc>
          <w:tcPr>
            <w:tcW w:w="2703" w:type="dxa"/>
            <w:gridSpan w:val="4"/>
            <w:vMerge w:val="restart"/>
            <w:tcBorders>
              <w:top w:val="nil" w:sz="6" w:space="0" w:color="auto"/>
              <w:left w:val="single" w:sz="13" w:space="0" w:color="DCDCDC"/>
              <w:right w:val="single" w:sz="12" w:space="0" w:color="DCDCDC"/>
            </w:tcBorders>
          </w:tcPr>
          <w:p>
            <w:pPr>
              <w:pStyle w:val="TableParagraph"/>
              <w:spacing w:line="26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CDCDC" w:color="auto" w:val="clear"/>
              </w:rPr>
              <w:t> </w:t>
            </w:r>
            <w:r>
              <w:rPr>
                <w:rFonts w:ascii="宋体" w:hAnsi="宋体" w:cs="宋体" w:eastAsia="宋体" w:hint="default"/>
                <w:sz w:val="21"/>
                <w:szCs w:val="21"/>
                <w:shd w:fill="DCDCDC" w:color="auto" w:val="clear"/>
              </w:rPr>
              <w:t>本报告期投入募集资金总额</w:t>
            </w:r>
            <w:r>
              <w:rPr>
                <w:rFonts w:ascii="宋体" w:hAnsi="宋体" w:cs="宋体" w:eastAsia="宋体" w:hint="default"/>
                <w:sz w:val="21"/>
                <w:szCs w:val="21"/>
              </w:rPr>
            </w:r>
          </w:p>
        </w:tc>
        <w:tc>
          <w:tcPr>
            <w:tcW w:w="2081" w:type="dxa"/>
            <w:gridSpan w:val="3"/>
            <w:vMerge/>
            <w:tcBorders>
              <w:left w:val="single" w:sz="9" w:space="0" w:color="DCDCDC"/>
              <w:right w:val="single" w:sz="4" w:space="0" w:color="000000"/>
            </w:tcBorders>
          </w:tcPr>
          <w:p>
            <w:pPr/>
          </w:p>
        </w:tc>
      </w:tr>
      <w:tr>
        <w:trPr>
          <w:trHeight w:val="156" w:hRule="exact"/>
        </w:trPr>
        <w:tc>
          <w:tcPr>
            <w:tcW w:w="333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714" w:type="dxa"/>
            <w:gridSpan w:val="3"/>
            <w:vMerge w:val="restart"/>
            <w:tcBorders>
              <w:top w:val="single" w:sz="4" w:space="0" w:color="000000"/>
              <w:left w:val="single" w:sz="12" w:space="0" w:color="DCDCDC"/>
              <w:right w:val="single" w:sz="10" w:space="0" w:color="DCDCDC"/>
            </w:tcBorders>
          </w:tcPr>
          <w:p>
            <w:pPr>
              <w:pStyle w:val="TableParagraph"/>
              <w:spacing w:line="262" w:lineRule="exact"/>
              <w:ind w:right="11"/>
              <w:jc w:val="center"/>
              <w:rPr>
                <w:rFonts w:ascii="宋体" w:hAnsi="宋体" w:cs="宋体" w:eastAsia="宋体" w:hint="default"/>
                <w:sz w:val="21"/>
                <w:szCs w:val="21"/>
              </w:rPr>
            </w:pPr>
            <w:r>
              <w:rPr>
                <w:rFonts w:ascii="宋体"/>
                <w:sz w:val="21"/>
              </w:rPr>
              <w:t>0.00</w:t>
            </w:r>
          </w:p>
        </w:tc>
        <w:tc>
          <w:tcPr>
            <w:tcW w:w="2703" w:type="dxa"/>
            <w:gridSpan w:val="4"/>
            <w:vMerge/>
            <w:tcBorders>
              <w:left w:val="single" w:sz="13" w:space="0" w:color="DCDCDC"/>
              <w:bottom w:val="nil" w:sz="6" w:space="0" w:color="auto"/>
              <w:right w:val="single" w:sz="12" w:space="0" w:color="DCDCDC"/>
            </w:tcBorders>
          </w:tcPr>
          <w:p>
            <w:pPr/>
          </w:p>
        </w:tc>
        <w:tc>
          <w:tcPr>
            <w:tcW w:w="2081" w:type="dxa"/>
            <w:gridSpan w:val="3"/>
            <w:vMerge/>
            <w:tcBorders>
              <w:left w:val="single" w:sz="9" w:space="0" w:color="DCDCDC"/>
              <w:right w:val="single" w:sz="4" w:space="0" w:color="000000"/>
            </w:tcBorders>
          </w:tcPr>
          <w:p>
            <w:pPr/>
          </w:p>
        </w:tc>
      </w:tr>
      <w:tr>
        <w:trPr>
          <w:trHeight w:val="166" w:hRule="exact"/>
        </w:trPr>
        <w:tc>
          <w:tcPr>
            <w:tcW w:w="3332" w:type="dxa"/>
            <w:gridSpan w:val="3"/>
            <w:vMerge/>
            <w:tcBorders>
              <w:left w:val="single" w:sz="4" w:space="0" w:color="000000"/>
              <w:bottom w:val="single" w:sz="4" w:space="0" w:color="000000"/>
              <w:right w:val="single" w:sz="4" w:space="0" w:color="000000"/>
            </w:tcBorders>
            <w:shd w:val="clear" w:color="auto" w:fill="DCDCDC"/>
          </w:tcPr>
          <w:p>
            <w:pPr/>
          </w:p>
        </w:tc>
        <w:tc>
          <w:tcPr>
            <w:tcW w:w="1714" w:type="dxa"/>
            <w:gridSpan w:val="3"/>
            <w:vMerge/>
            <w:tcBorders>
              <w:left w:val="single" w:sz="12" w:space="0" w:color="DCDCDC"/>
              <w:bottom w:val="single" w:sz="4" w:space="0" w:color="000000"/>
              <w:right w:val="single" w:sz="10" w:space="0" w:color="DCDCDC"/>
            </w:tcBorders>
          </w:tcPr>
          <w:p>
            <w:pPr/>
          </w:p>
        </w:tc>
        <w:tc>
          <w:tcPr>
            <w:tcW w:w="2703"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168" w:hRule="exact"/>
        </w:trPr>
        <w:tc>
          <w:tcPr>
            <w:tcW w:w="333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714" w:type="dxa"/>
            <w:gridSpan w:val="3"/>
            <w:vMerge w:val="restart"/>
            <w:tcBorders>
              <w:top w:val="single" w:sz="4" w:space="0" w:color="000000"/>
              <w:left w:val="single" w:sz="12" w:space="0" w:color="DCDCDC"/>
              <w:right w:val="single" w:sz="10" w:space="0" w:color="DCDCDC"/>
            </w:tcBorders>
          </w:tcPr>
          <w:p>
            <w:pPr>
              <w:pStyle w:val="TableParagraph"/>
              <w:spacing w:line="262" w:lineRule="exact"/>
              <w:ind w:right="11"/>
              <w:jc w:val="center"/>
              <w:rPr>
                <w:rFonts w:ascii="宋体" w:hAnsi="宋体" w:cs="宋体" w:eastAsia="宋体" w:hint="default"/>
                <w:sz w:val="21"/>
                <w:szCs w:val="21"/>
              </w:rPr>
            </w:pPr>
            <w:r>
              <w:rPr>
                <w:rFonts w:ascii="宋体"/>
                <w:sz w:val="21"/>
              </w:rPr>
              <w:t>0.00</w:t>
            </w:r>
          </w:p>
        </w:tc>
        <w:tc>
          <w:tcPr>
            <w:tcW w:w="2703"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150"/>
              <w:ind w:left="661" w:right="0"/>
              <w:jc w:val="left"/>
              <w:rPr>
                <w:rFonts w:ascii="宋体" w:hAnsi="宋体" w:cs="宋体" w:eastAsia="宋体" w:hint="default"/>
                <w:sz w:val="21"/>
                <w:szCs w:val="21"/>
              </w:rPr>
            </w:pPr>
            <w:r>
              <w:rPr>
                <w:rFonts w:ascii="宋体"/>
                <w:sz w:val="21"/>
              </w:rPr>
              <w:t>7106.55</w:t>
            </w:r>
          </w:p>
        </w:tc>
      </w:tr>
      <w:tr>
        <w:trPr>
          <w:trHeight w:val="155" w:hRule="exact"/>
        </w:trPr>
        <w:tc>
          <w:tcPr>
            <w:tcW w:w="3332" w:type="dxa"/>
            <w:gridSpan w:val="3"/>
            <w:vMerge/>
            <w:tcBorders>
              <w:left w:val="single" w:sz="4" w:space="0" w:color="000000"/>
              <w:bottom w:val="single" w:sz="4" w:space="0" w:color="000000"/>
              <w:right w:val="single" w:sz="4" w:space="0" w:color="000000"/>
            </w:tcBorders>
            <w:shd w:val="clear" w:color="auto" w:fill="DCDCDC"/>
          </w:tcPr>
          <w:p>
            <w:pPr/>
          </w:p>
        </w:tc>
        <w:tc>
          <w:tcPr>
            <w:tcW w:w="1714" w:type="dxa"/>
            <w:gridSpan w:val="3"/>
            <w:vMerge/>
            <w:tcBorders>
              <w:left w:val="single" w:sz="12" w:space="0" w:color="DCDCDC"/>
              <w:bottom w:val="single" w:sz="4" w:space="0" w:color="000000"/>
              <w:right w:val="single" w:sz="10" w:space="0" w:color="DCDCDC"/>
            </w:tcBorders>
          </w:tcPr>
          <w:p>
            <w:pPr/>
          </w:p>
        </w:tc>
        <w:tc>
          <w:tcPr>
            <w:tcW w:w="2703"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tcBorders>
              <w:left w:val="single" w:sz="9" w:space="0" w:color="DCDCDC"/>
              <w:right w:val="single" w:sz="4" w:space="0" w:color="000000"/>
            </w:tcBorders>
          </w:tcPr>
          <w:p>
            <w:pPr/>
          </w:p>
        </w:tc>
      </w:tr>
      <w:tr>
        <w:trPr>
          <w:trHeight w:val="157" w:hRule="exact"/>
        </w:trPr>
        <w:tc>
          <w:tcPr>
            <w:tcW w:w="333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4" w:lineRule="exact"/>
              <w:ind w:left="8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714" w:type="dxa"/>
            <w:gridSpan w:val="3"/>
            <w:vMerge w:val="restart"/>
            <w:tcBorders>
              <w:top w:val="single" w:sz="4" w:space="0" w:color="000000"/>
              <w:left w:val="single" w:sz="12" w:space="0" w:color="DCDCDC"/>
              <w:right w:val="single" w:sz="10" w:space="0" w:color="DCDCDC"/>
            </w:tcBorders>
          </w:tcPr>
          <w:p>
            <w:pPr>
              <w:pStyle w:val="TableParagraph"/>
              <w:spacing w:line="264" w:lineRule="exact"/>
              <w:ind w:right="11"/>
              <w:jc w:val="center"/>
              <w:rPr>
                <w:rFonts w:ascii="宋体" w:hAnsi="宋体" w:cs="宋体" w:eastAsia="宋体" w:hint="default"/>
                <w:sz w:val="21"/>
                <w:szCs w:val="21"/>
              </w:rPr>
            </w:pPr>
            <w:r>
              <w:rPr>
                <w:rFonts w:ascii="宋体"/>
                <w:sz w:val="21"/>
              </w:rPr>
              <w:t>0.00%</w:t>
            </w:r>
          </w:p>
        </w:tc>
        <w:tc>
          <w:tcPr>
            <w:tcW w:w="2703"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9" w:space="0" w:color="DCDCDC"/>
              <w:right w:val="single" w:sz="4" w:space="0" w:color="000000"/>
            </w:tcBorders>
          </w:tcPr>
          <w:p>
            <w:pPr/>
          </w:p>
        </w:tc>
      </w:tr>
      <w:tr>
        <w:trPr>
          <w:trHeight w:val="161" w:hRule="exact"/>
        </w:trPr>
        <w:tc>
          <w:tcPr>
            <w:tcW w:w="3332" w:type="dxa"/>
            <w:gridSpan w:val="3"/>
            <w:vMerge/>
            <w:tcBorders>
              <w:left w:val="single" w:sz="4" w:space="0" w:color="000000"/>
              <w:bottom w:val="single" w:sz="4" w:space="0" w:color="000000"/>
              <w:right w:val="single" w:sz="4" w:space="0" w:color="000000"/>
            </w:tcBorders>
            <w:shd w:val="clear" w:color="auto" w:fill="DCDCDC"/>
          </w:tcPr>
          <w:p>
            <w:pPr/>
          </w:p>
        </w:tc>
        <w:tc>
          <w:tcPr>
            <w:tcW w:w="1714" w:type="dxa"/>
            <w:gridSpan w:val="3"/>
            <w:vMerge/>
            <w:tcBorders>
              <w:left w:val="single" w:sz="12" w:space="0" w:color="DCDCDC"/>
              <w:bottom w:val="single" w:sz="4" w:space="0" w:color="000000"/>
              <w:right w:val="single" w:sz="10" w:space="0" w:color="DCDCDC"/>
            </w:tcBorders>
          </w:tcPr>
          <w:p>
            <w:pPr/>
          </w:p>
        </w:tc>
        <w:tc>
          <w:tcPr>
            <w:tcW w:w="2703"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166"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4" w:right="57"/>
              <w:jc w:val="center"/>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956" w:type="dxa"/>
            <w:vMerge w:val="restart"/>
            <w:tcBorders>
              <w:top w:val="single" w:sz="4" w:space="0" w:color="000000"/>
              <w:left w:val="single" w:sz="4" w:space="0" w:color="000000"/>
              <w:right w:val="single" w:sz="4" w:space="0" w:color="000000"/>
            </w:tcBorders>
            <w:shd w:val="clear" w:color="auto" w:fill="DCDCDC"/>
          </w:tcPr>
          <w:p>
            <w:pPr/>
          </w:p>
        </w:tc>
        <w:tc>
          <w:tcPr>
            <w:tcW w:w="706" w:type="dxa"/>
            <w:vMerge w:val="restart"/>
            <w:tcBorders>
              <w:top w:val="single" w:sz="4" w:space="0" w:color="000000"/>
              <w:left w:val="single" w:sz="4" w:space="0" w:color="000000"/>
              <w:right w:val="single" w:sz="4" w:space="0" w:color="000000"/>
            </w:tcBorders>
            <w:shd w:val="clear" w:color="auto" w:fill="DCDCDC"/>
          </w:tcPr>
          <w:p>
            <w:pPr/>
          </w:p>
        </w:tc>
        <w:tc>
          <w:tcPr>
            <w:tcW w:w="1008" w:type="dxa"/>
            <w:gridSpan w:val="2"/>
            <w:vMerge w:val="restart"/>
            <w:tcBorders>
              <w:top w:val="single" w:sz="4" w:space="0" w:color="000000"/>
              <w:left w:val="single" w:sz="4" w:space="0" w:color="000000"/>
              <w:right w:val="single" w:sz="4" w:space="0" w:color="000000"/>
            </w:tcBorders>
            <w:shd w:val="clear" w:color="auto" w:fill="DCDCDC"/>
          </w:tcPr>
          <w:p>
            <w:pPr/>
          </w:p>
        </w:tc>
        <w:tc>
          <w:tcPr>
            <w:tcW w:w="626" w:type="dxa"/>
            <w:vMerge w:val="restart"/>
            <w:tcBorders>
              <w:top w:val="single" w:sz="4" w:space="0" w:color="000000"/>
              <w:left w:val="single" w:sz="4" w:space="0" w:color="000000"/>
              <w:right w:val="single" w:sz="4" w:space="0" w:color="000000"/>
            </w:tcBorders>
            <w:shd w:val="clear" w:color="auto" w:fill="DCDCDC"/>
          </w:tcPr>
          <w:p>
            <w:pPr/>
          </w:p>
        </w:tc>
        <w:tc>
          <w:tcPr>
            <w:tcW w:w="7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3" w:type="dxa"/>
            <w:vMerge w:val="restart"/>
            <w:tcBorders>
              <w:top w:val="single" w:sz="4" w:space="0" w:color="000000"/>
              <w:left w:val="single" w:sz="4" w:space="0" w:color="000000"/>
              <w:right w:val="single" w:sz="4" w:space="0" w:color="000000"/>
            </w:tcBorders>
            <w:shd w:val="clear" w:color="auto" w:fill="DCDCDC"/>
          </w:tcPr>
          <w:p>
            <w:pPr/>
          </w:p>
        </w:tc>
        <w:tc>
          <w:tcPr>
            <w:tcW w:w="776" w:type="dxa"/>
            <w:gridSpan w:val="2"/>
            <w:vMerge w:val="restart"/>
            <w:tcBorders>
              <w:top w:val="single" w:sz="4" w:space="0" w:color="000000"/>
              <w:left w:val="single" w:sz="4" w:space="0" w:color="000000"/>
              <w:right w:val="single" w:sz="4" w:space="0" w:color="000000"/>
            </w:tcBorders>
            <w:shd w:val="clear" w:color="auto" w:fill="DCDCDC"/>
          </w:tcPr>
          <w:p>
            <w:pPr/>
          </w:p>
        </w:tc>
        <w:tc>
          <w:tcPr>
            <w:tcW w:w="658" w:type="dxa"/>
            <w:vMerge w:val="restart"/>
            <w:tcBorders>
              <w:top w:val="single" w:sz="4" w:space="0" w:color="000000"/>
              <w:left w:val="single" w:sz="4" w:space="0" w:color="000000"/>
              <w:right w:val="single" w:sz="4" w:space="0" w:color="000000"/>
            </w:tcBorders>
            <w:shd w:val="clear" w:color="auto" w:fill="DCDCDC"/>
          </w:tcPr>
          <w:p>
            <w:pPr/>
          </w:p>
        </w:tc>
        <w:tc>
          <w:tcPr>
            <w:tcW w:w="853"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bottom w:val="nil" w:sz="6" w:space="0" w:color="auto"/>
              <w:right w:val="single" w:sz="4" w:space="0" w:color="000000"/>
            </w:tcBorders>
            <w:shd w:val="clear" w:color="auto" w:fill="DCDCDC"/>
          </w:tcPr>
          <w:p>
            <w:pPr/>
          </w:p>
        </w:tc>
        <w:tc>
          <w:tcPr>
            <w:tcW w:w="74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53" w:right="49"/>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53" w:right="49"/>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p>
            <w:pPr>
              <w:pStyle w:val="TableParagraph"/>
              <w:spacing w:line="240" w:lineRule="auto" w:before="7"/>
              <w:ind w:left="1" w:right="0"/>
              <w:jc w:val="center"/>
              <w:rPr>
                <w:rFonts w:ascii="宋体" w:hAnsi="宋体" w:cs="宋体" w:eastAsia="宋体" w:hint="default"/>
                <w:sz w:val="21"/>
                <w:szCs w:val="21"/>
              </w:rPr>
            </w:pPr>
            <w:r>
              <w:rPr>
                <w:rFonts w:ascii="宋体"/>
                <w:w w:val="100"/>
                <w:sz w:val="21"/>
              </w:rPr>
              <w:t>)</w:t>
            </w: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91" w:right="10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(2)</w:t>
            </w: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1" w:right="107"/>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bottom w:val="nil" w:sz="6" w:space="0" w:color="auto"/>
              <w:right w:val="single" w:sz="4" w:space="0" w:color="000000"/>
            </w:tcBorders>
            <w:shd w:val="clear" w:color="auto" w:fill="DCDCDC"/>
          </w:tcPr>
          <w:p>
            <w:pPr/>
          </w:p>
        </w:tc>
        <w:tc>
          <w:tcPr>
            <w:tcW w:w="706" w:type="dxa"/>
            <w:vMerge/>
            <w:tcBorders>
              <w:left w:val="single" w:sz="4" w:space="0" w:color="000000"/>
              <w:bottom w:val="nil" w:sz="6" w:space="0" w:color="auto"/>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76" w:type="dxa"/>
            <w:gridSpan w:val="2"/>
            <w:vMerge/>
            <w:tcBorders>
              <w:left w:val="single" w:sz="4" w:space="0" w:color="000000"/>
              <w:bottom w:val="nil" w:sz="6" w:space="0" w:color="auto"/>
              <w:right w:val="single" w:sz="4" w:space="0" w:color="000000"/>
            </w:tcBorders>
            <w:shd w:val="clear" w:color="auto" w:fill="DCDCDC"/>
          </w:tcPr>
          <w:p>
            <w:pPr/>
          </w:p>
        </w:tc>
        <w:tc>
          <w:tcPr>
            <w:tcW w:w="65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11" w:right="11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56" w:right="45"/>
              <w:jc w:val="center"/>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70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(1)</w:t>
            </w:r>
          </w:p>
        </w:tc>
        <w:tc>
          <w:tcPr>
            <w:tcW w:w="1008" w:type="dxa"/>
            <w:gridSpan w:val="2"/>
            <w:vMerge/>
            <w:tcBorders>
              <w:left w:val="single" w:sz="4" w:space="0" w:color="000000"/>
              <w:bottom w:val="nil" w:sz="6" w:space="0" w:color="auto"/>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2" w:right="24"/>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76"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7" w:right="63"/>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625"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379" w:right="60"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73" w:right="79"/>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bottom w:val="nil" w:sz="6" w:space="0" w:color="auto"/>
              <w:right w:val="single" w:sz="4" w:space="0" w:color="000000"/>
            </w:tcBorders>
            <w:shd w:val="clear" w:color="auto" w:fill="DCDCDC"/>
          </w:tcPr>
          <w:p>
            <w:pPr/>
          </w:p>
        </w:tc>
        <w:tc>
          <w:tcPr>
            <w:tcW w:w="706" w:type="dxa"/>
            <w:vMerge/>
            <w:tcBorders>
              <w:left w:val="single" w:sz="4" w:space="0" w:color="000000"/>
              <w:bottom w:val="nil" w:sz="6" w:space="0" w:color="auto"/>
              <w:right w:val="single" w:sz="4" w:space="0" w:color="000000"/>
            </w:tcBorders>
            <w:shd w:val="clear" w:color="auto" w:fill="DCDCDC"/>
          </w:tcPr>
          <w:p>
            <w:pPr/>
          </w:p>
        </w:tc>
        <w:tc>
          <w:tcPr>
            <w:tcW w:w="1008" w:type="dxa"/>
            <w:gridSpan w:val="2"/>
            <w:vMerge w:val="restart"/>
            <w:tcBorders>
              <w:top w:val="nil" w:sz="6" w:space="0" w:color="auto"/>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76" w:type="dxa"/>
            <w:gridSpan w:val="2"/>
            <w:vMerge/>
            <w:tcBorders>
              <w:left w:val="single" w:sz="4" w:space="0" w:color="000000"/>
              <w:bottom w:val="nil" w:sz="6" w:space="0" w:color="auto"/>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
        </w:tc>
        <w:tc>
          <w:tcPr>
            <w:tcW w:w="706" w:type="dxa"/>
            <w:vMerge w:val="restart"/>
            <w:tcBorders>
              <w:top w:val="nil" w:sz="6" w:space="0" w:color="auto"/>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
        </w:tc>
        <w:tc>
          <w:tcPr>
            <w:tcW w:w="776" w:type="dxa"/>
            <w:gridSpan w:val="2"/>
            <w:vMerge w:val="restart"/>
            <w:tcBorders>
              <w:top w:val="nil" w:sz="6" w:space="0" w:color="auto"/>
              <w:left w:val="single" w:sz="4" w:space="0" w:color="000000"/>
              <w:right w:val="single" w:sz="4" w:space="0" w:color="000000"/>
            </w:tcBorders>
            <w:shd w:val="clear" w:color="auto" w:fill="DCDCDC"/>
          </w:tcPr>
          <w:p>
            <w:pPr/>
          </w:p>
        </w:tc>
        <w:tc>
          <w:tcPr>
            <w:tcW w:w="658"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tcBorders>
              <w:left w:val="single" w:sz="4" w:space="0" w:color="000000"/>
              <w:bottom w:val="nil" w:sz="6" w:space="0" w:color="auto"/>
              <w:right w:val="single" w:sz="4" w:space="0" w:color="000000"/>
            </w:tcBorders>
            <w:shd w:val="clear" w:color="auto" w:fill="DCDCDC"/>
          </w:tcPr>
          <w:p>
            <w:pPr/>
          </w:p>
        </w:tc>
        <w:tc>
          <w:tcPr>
            <w:tcW w:w="748"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956" w:type="dxa"/>
            <w:vMerge/>
            <w:tcBorders>
              <w:left w:val="single" w:sz="4" w:space="0" w:color="000000"/>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1008" w:type="dxa"/>
            <w:gridSpan w:val="2"/>
            <w:vMerge/>
            <w:tcBorders>
              <w:left w:val="single" w:sz="4" w:space="0" w:color="000000"/>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
        </w:tc>
        <w:tc>
          <w:tcPr>
            <w:tcW w:w="748" w:type="dxa"/>
            <w:vMerge/>
            <w:tcBorders>
              <w:left w:val="single" w:sz="4" w:space="0" w:color="000000"/>
              <w:bottom w:val="nil" w:sz="6" w:space="0" w:color="auto"/>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76" w:type="dxa"/>
            <w:gridSpan w:val="2"/>
            <w:vMerge/>
            <w:tcBorders>
              <w:left w:val="single" w:sz="4" w:space="0" w:color="000000"/>
              <w:right w:val="single" w:sz="4" w:space="0" w:color="000000"/>
            </w:tcBorders>
            <w:shd w:val="clear" w:color="auto" w:fill="DCDCDC"/>
          </w:tcPr>
          <w:p>
            <w:pPr/>
          </w:p>
        </w:tc>
        <w:tc>
          <w:tcPr>
            <w:tcW w:w="658"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6" w:type="dxa"/>
            <w:vMerge/>
            <w:tcBorders>
              <w:left w:val="single" w:sz="4" w:space="0" w:color="000000"/>
              <w:bottom w:val="single" w:sz="4" w:space="0" w:color="000000"/>
              <w:right w:val="single" w:sz="4" w:space="0" w:color="000000"/>
            </w:tcBorders>
            <w:shd w:val="clear" w:color="auto" w:fill="DCDCDC"/>
          </w:tcPr>
          <w:p>
            <w:pPr/>
          </w:p>
        </w:tc>
        <w:tc>
          <w:tcPr>
            <w:tcW w:w="956" w:type="dxa"/>
            <w:vMerge/>
            <w:tcBorders>
              <w:left w:val="single" w:sz="4" w:space="0" w:color="000000"/>
              <w:bottom w:val="single" w:sz="4" w:space="0" w:color="000000"/>
              <w:right w:val="single" w:sz="4" w:space="0" w:color="000000"/>
            </w:tcBorders>
            <w:shd w:val="clear" w:color="auto" w:fill="DCDCDC"/>
          </w:tcPr>
          <w:p>
            <w:pPr/>
          </w:p>
        </w:tc>
        <w:tc>
          <w:tcPr>
            <w:tcW w:w="706" w:type="dxa"/>
            <w:vMerge/>
            <w:tcBorders>
              <w:left w:val="single" w:sz="4" w:space="0" w:color="000000"/>
              <w:bottom w:val="single" w:sz="4" w:space="0" w:color="000000"/>
              <w:right w:val="single" w:sz="4" w:space="0" w:color="000000"/>
            </w:tcBorders>
            <w:shd w:val="clear" w:color="auto" w:fill="DCDCDC"/>
          </w:tcPr>
          <w:p>
            <w:pPr/>
          </w:p>
        </w:tc>
        <w:tc>
          <w:tcPr>
            <w:tcW w:w="1008" w:type="dxa"/>
            <w:gridSpan w:val="2"/>
            <w:vMerge/>
            <w:tcBorders>
              <w:left w:val="single" w:sz="4" w:space="0" w:color="000000"/>
              <w:bottom w:val="single" w:sz="4" w:space="0" w:color="000000"/>
              <w:right w:val="single" w:sz="4" w:space="0" w:color="000000"/>
            </w:tcBorders>
            <w:shd w:val="clear" w:color="auto" w:fill="DCDCDC"/>
          </w:tcPr>
          <w:p>
            <w:pPr/>
          </w:p>
        </w:tc>
        <w:tc>
          <w:tcPr>
            <w:tcW w:w="626" w:type="dxa"/>
            <w:vMerge/>
            <w:tcBorders>
              <w:left w:val="single" w:sz="4" w:space="0" w:color="000000"/>
              <w:bottom w:val="single" w:sz="4" w:space="0" w:color="000000"/>
              <w:right w:val="single" w:sz="4" w:space="0" w:color="000000"/>
            </w:tcBorders>
            <w:shd w:val="clear" w:color="auto" w:fill="DCDCDC"/>
          </w:tcPr>
          <w:p>
            <w:pPr/>
          </w:p>
        </w:tc>
        <w:tc>
          <w:tcPr>
            <w:tcW w:w="7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3" w:type="dxa"/>
            <w:vMerge/>
            <w:tcBorders>
              <w:left w:val="single" w:sz="4" w:space="0" w:color="000000"/>
              <w:bottom w:val="single" w:sz="4" w:space="0" w:color="000000"/>
              <w:right w:val="single" w:sz="4" w:space="0" w:color="000000"/>
            </w:tcBorders>
            <w:shd w:val="clear" w:color="auto" w:fill="DCDCDC"/>
          </w:tcPr>
          <w:p>
            <w:pPr/>
          </w:p>
        </w:tc>
        <w:tc>
          <w:tcPr>
            <w:tcW w:w="776" w:type="dxa"/>
            <w:gridSpan w:val="2"/>
            <w:vMerge/>
            <w:tcBorders>
              <w:left w:val="single" w:sz="4" w:space="0" w:color="000000"/>
              <w:bottom w:val="single" w:sz="4" w:space="0" w:color="000000"/>
              <w:right w:val="single" w:sz="4" w:space="0" w:color="000000"/>
            </w:tcBorders>
            <w:shd w:val="clear" w:color="auto" w:fill="DCDCDC"/>
          </w:tcPr>
          <w:p>
            <w:pPr/>
          </w:p>
        </w:tc>
        <w:tc>
          <w:tcPr>
            <w:tcW w:w="658" w:type="dxa"/>
            <w:vMerge/>
            <w:tcBorders>
              <w:left w:val="single" w:sz="4" w:space="0" w:color="000000"/>
              <w:bottom w:val="single" w:sz="4" w:space="0" w:color="000000"/>
              <w:right w:val="single" w:sz="4" w:space="0" w:color="000000"/>
            </w:tcBorders>
            <w:shd w:val="clear" w:color="auto" w:fill="DCDCDC"/>
          </w:tcPr>
          <w:p>
            <w:pPr/>
          </w:p>
        </w:tc>
        <w:tc>
          <w:tcPr>
            <w:tcW w:w="853"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011" w:type="dxa"/>
            <w:gridSpan w:val="12"/>
            <w:tcBorders>
              <w:top w:val="single" w:sz="4" w:space="0" w:color="000000"/>
              <w:left w:val="single" w:sz="12" w:space="0" w:color="DCDCDC"/>
              <w:bottom w:val="single" w:sz="4" w:space="0" w:color="000000"/>
              <w:right w:val="single" w:sz="4" w:space="0" w:color="000000"/>
            </w:tcBorders>
          </w:tcPr>
          <w:p>
            <w:pP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60" w:hanging="31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运营销售服务网</w:t>
            </w:r>
            <w:r>
              <w:rPr>
                <w:rFonts w:ascii="宋体" w:hAnsi="宋体" w:cs="宋体" w:eastAsia="宋体" w:hint="default"/>
                <w:w w:val="100"/>
                <w:sz w:val="21"/>
                <w:szCs w:val="21"/>
              </w:rPr>
              <w:t> </w:t>
            </w:r>
            <w:r>
              <w:rPr>
                <w:rFonts w:ascii="宋体" w:hAnsi="宋体" w:cs="宋体" w:eastAsia="宋体" w:hint="default"/>
                <w:sz w:val="21"/>
                <w:szCs w:val="21"/>
              </w:rPr>
              <w:t>络建设项目</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sz w:val="15"/>
              </w:rPr>
              <w:t>2,690.00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2,690.00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750.27</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5"/>
                <w:szCs w:val="15"/>
              </w:rPr>
            </w:pPr>
            <w:r>
              <w:rPr>
                <w:rFonts w:ascii="宋体"/>
                <w:sz w:val="15"/>
              </w:rPr>
              <w:t>750.27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4" w:right="0"/>
              <w:jc w:val="left"/>
              <w:rPr>
                <w:rFonts w:ascii="宋体" w:hAnsi="宋体" w:cs="宋体" w:eastAsia="宋体" w:hint="default"/>
                <w:sz w:val="15"/>
                <w:szCs w:val="15"/>
              </w:rPr>
            </w:pPr>
            <w:r>
              <w:rPr>
                <w:rFonts w:ascii="宋体"/>
                <w:sz w:val="15"/>
              </w:rPr>
              <w:t>27.89%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112"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60" w:hanging="31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电子支付终端设</w:t>
            </w:r>
            <w:r>
              <w:rPr>
                <w:rFonts w:ascii="宋体" w:hAnsi="宋体" w:cs="宋体" w:eastAsia="宋体" w:hint="default"/>
                <w:w w:val="100"/>
                <w:sz w:val="21"/>
                <w:szCs w:val="21"/>
              </w:rPr>
              <w:t> </w:t>
            </w:r>
            <w:r>
              <w:rPr>
                <w:rFonts w:ascii="宋体" w:hAnsi="宋体" w:cs="宋体" w:eastAsia="宋体" w:hint="default"/>
                <w:sz w:val="21"/>
                <w:szCs w:val="21"/>
              </w:rPr>
              <w:t>备运营项目</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sz w:val="15"/>
              </w:rPr>
              <w:t>5,621.00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5,621.00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380.57</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5"/>
                <w:szCs w:val="15"/>
              </w:rPr>
            </w:pPr>
            <w:r>
              <w:rPr>
                <w:rFonts w:ascii="宋体"/>
                <w:sz w:val="15"/>
              </w:rPr>
              <w:t>380.57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5"/>
                <w:szCs w:val="15"/>
              </w:rPr>
            </w:pPr>
            <w:r>
              <w:rPr>
                <w:rFonts w:ascii="宋体"/>
                <w:sz w:val="15"/>
              </w:rPr>
              <w:t>6.77%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112"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60" w:hanging="107"/>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电子支付技术产</w:t>
            </w:r>
            <w:r>
              <w:rPr>
                <w:rFonts w:ascii="宋体" w:hAnsi="宋体" w:cs="宋体" w:eastAsia="宋体" w:hint="default"/>
                <w:w w:val="100"/>
                <w:sz w:val="21"/>
                <w:szCs w:val="21"/>
              </w:rPr>
              <w:t> </w:t>
            </w:r>
            <w:r>
              <w:rPr>
                <w:rFonts w:ascii="宋体" w:hAnsi="宋体" w:cs="宋体" w:eastAsia="宋体" w:hint="default"/>
                <w:sz w:val="21"/>
                <w:szCs w:val="21"/>
              </w:rPr>
              <w:t>研基地建设项目</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15,306.00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5"/>
                <w:szCs w:val="15"/>
              </w:rPr>
            </w:pPr>
            <w:r>
              <w:rPr>
                <w:rFonts w:ascii="宋体"/>
                <w:sz w:val="15"/>
              </w:rPr>
              <w:t>15,306.0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1,475.71</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5"/>
                <w:szCs w:val="15"/>
              </w:rPr>
            </w:pPr>
            <w:r>
              <w:rPr>
                <w:rFonts w:ascii="宋体"/>
                <w:sz w:val="15"/>
              </w:rPr>
              <w:t>1,475.71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5"/>
                <w:szCs w:val="15"/>
              </w:rPr>
            </w:pPr>
            <w:r>
              <w:rPr>
                <w:rFonts w:ascii="宋体"/>
                <w:sz w:val="15"/>
              </w:rPr>
              <w:t>9.64%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112"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5"/>
              <w:jc w:val="right"/>
              <w:rPr>
                <w:rFonts w:ascii="宋体" w:hAnsi="宋体" w:cs="宋体" w:eastAsia="宋体" w:hint="default"/>
                <w:sz w:val="21"/>
                <w:szCs w:val="21"/>
              </w:rPr>
            </w:pPr>
            <w:r>
              <w:rPr>
                <w:rFonts w:ascii="宋体"/>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23,617.00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5"/>
                <w:szCs w:val="15"/>
              </w:rPr>
            </w:pPr>
            <w:r>
              <w:rPr>
                <w:rFonts w:ascii="宋体"/>
                <w:sz w:val="15"/>
              </w:rPr>
              <w:t>23,617.0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2,606.55</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5"/>
                <w:szCs w:val="15"/>
              </w:rPr>
            </w:pPr>
            <w:r>
              <w:rPr>
                <w:rFonts w:ascii="宋体"/>
                <w:sz w:val="15"/>
              </w:rPr>
              <w:t>2,606.55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4" w:right="0"/>
              <w:jc w:val="left"/>
              <w:rPr>
                <w:rFonts w:ascii="宋体" w:hAnsi="宋体" w:cs="宋体" w:eastAsia="宋体" w:hint="default"/>
                <w:sz w:val="15"/>
                <w:szCs w:val="15"/>
              </w:rPr>
            </w:pPr>
            <w:r>
              <w:rPr>
                <w:rFonts w:ascii="宋体"/>
                <w:sz w:val="15"/>
              </w:rPr>
              <w:t>11.04%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w w:val="100"/>
                <w:sz w:val="21"/>
              </w:rPr>
              <w:t>-</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7" w:right="0"/>
              <w:jc w:val="lef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
              <w:jc w:val="center"/>
              <w:rPr>
                <w:rFonts w:ascii="宋体" w:hAnsi="宋体" w:cs="宋体" w:eastAsia="宋体" w:hint="default"/>
                <w:sz w:val="21"/>
                <w:szCs w:val="21"/>
              </w:rPr>
            </w:pPr>
            <w:r>
              <w:rPr>
                <w:rFonts w:ascii="宋体"/>
                <w:w w:val="100"/>
                <w:sz w:val="21"/>
              </w:rPr>
              <w:t>-</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11" w:type="dxa"/>
            <w:gridSpan w:val="12"/>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增资易联技术公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司开展电子支付服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务项目</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sz w:val="15"/>
              </w:rPr>
              <w:t>10,000.00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10,000.0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
        </w:tc>
        <w:tc>
          <w:tcPr>
            <w:tcW w:w="732" w:type="dxa"/>
            <w:gridSpan w:val="2"/>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5" w:right="112"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60" w:hanging="10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电子支付技术苏</w:t>
            </w:r>
            <w:r>
              <w:rPr>
                <w:rFonts w:ascii="宋体" w:hAnsi="宋体" w:cs="宋体" w:eastAsia="宋体" w:hint="default"/>
                <w:w w:val="100"/>
                <w:sz w:val="21"/>
                <w:szCs w:val="21"/>
              </w:rPr>
              <w:t> </w:t>
            </w:r>
            <w:r>
              <w:rPr>
                <w:rFonts w:ascii="宋体" w:hAnsi="宋体" w:cs="宋体" w:eastAsia="宋体" w:hint="default"/>
                <w:sz w:val="21"/>
                <w:szCs w:val="21"/>
              </w:rPr>
              <w:t>州研发基地项目</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13,500.00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15"/>
                <w:szCs w:val="15"/>
              </w:rPr>
            </w:pPr>
            <w:r>
              <w:rPr>
                <w:rFonts w:ascii="宋体"/>
                <w:sz w:val="15"/>
              </w:rPr>
              <w:t>13,500.0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
        </w:tc>
        <w:tc>
          <w:tcPr>
            <w:tcW w:w="732" w:type="dxa"/>
            <w:gridSpan w:val="2"/>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76" w:type="dxa"/>
            <w:gridSpan w:val="2"/>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6" w:right="60"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5"/>
              <w:jc w:val="right"/>
              <w:rPr>
                <w:rFonts w:ascii="宋体" w:hAnsi="宋体" w:cs="宋体" w:eastAsia="宋体" w:hint="default"/>
                <w:sz w:val="21"/>
                <w:szCs w:val="21"/>
              </w:rPr>
            </w:pPr>
            <w:r>
              <w:rPr>
                <w:rFonts w:ascii="宋体"/>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32" w:type="dxa"/>
            <w:gridSpan w:val="2"/>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w w:val="100"/>
                <w:sz w:val="21"/>
              </w:rPr>
              <w:t>-</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w w:val="100"/>
                <w:sz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7" w:right="0"/>
              <w:jc w:val="lef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
              <w:jc w:val="center"/>
              <w:rPr>
                <w:rFonts w:ascii="宋体" w:hAnsi="宋体" w:cs="宋体" w:eastAsia="宋体" w:hint="default"/>
                <w:sz w:val="21"/>
                <w:szCs w:val="21"/>
              </w:rPr>
            </w:pPr>
            <w:r>
              <w:rPr>
                <w:rFonts w:ascii="宋体"/>
                <w:w w:val="100"/>
                <w:sz w:val="21"/>
              </w:rPr>
              <w:t>-</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6" w:right="60"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sz w:val="15"/>
              </w:rPr>
              <w:t>4,500.00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4,500.00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4,500.00</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5"/>
                <w:szCs w:val="15"/>
              </w:rPr>
            </w:pPr>
            <w:r>
              <w:rPr>
                <w:rFonts w:ascii="宋体"/>
                <w:sz w:val="15"/>
              </w:rPr>
              <w:t>4,500.00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sz w:val="15"/>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w w:val="100"/>
                <w:sz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7" w:right="0"/>
              <w:jc w:val="lef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w w:val="100"/>
                <w:sz w:val="21"/>
              </w:rPr>
              <w:t>-</w:t>
            </w:r>
          </w:p>
        </w:tc>
      </w:tr>
      <w:tr>
        <w:trPr>
          <w:trHeight w:val="6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5"/>
              <w:jc w:val="right"/>
              <w:rPr>
                <w:rFonts w:ascii="宋体" w:hAnsi="宋体" w:cs="宋体" w:eastAsia="宋体" w:hint="default"/>
                <w:sz w:val="21"/>
                <w:szCs w:val="21"/>
              </w:rPr>
            </w:pPr>
            <w:r>
              <w:rPr>
                <w:rFonts w:ascii="宋体"/>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28,000.00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center"/>
              <w:rPr>
                <w:rFonts w:ascii="宋体" w:hAnsi="宋体" w:cs="宋体" w:eastAsia="宋体" w:hint="default"/>
                <w:sz w:val="15"/>
                <w:szCs w:val="15"/>
              </w:rPr>
            </w:pPr>
            <w:r>
              <w:rPr>
                <w:rFonts w:ascii="宋体"/>
                <w:sz w:val="15"/>
              </w:rPr>
              <w:t>28,000.0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4,500.00</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5"/>
                <w:szCs w:val="15"/>
              </w:rPr>
            </w:pPr>
            <w:r>
              <w:rPr>
                <w:rFonts w:ascii="宋体"/>
                <w:sz w:val="15"/>
              </w:rPr>
              <w:t>4,500.00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sz w:val="15"/>
              </w:rPr>
              <w:t>16.07%-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w w:val="100"/>
                <w:sz w:val="21"/>
              </w:rPr>
              <w:t>-</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7" w:right="0"/>
              <w:jc w:val="lef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
              <w:jc w:val="center"/>
              <w:rPr>
                <w:rFonts w:ascii="宋体" w:hAnsi="宋体" w:cs="宋体" w:eastAsia="宋体" w:hint="default"/>
                <w:sz w:val="21"/>
                <w:szCs w:val="21"/>
              </w:rPr>
            </w:pPr>
            <w:r>
              <w:rPr>
                <w:rFonts w:ascii="宋体"/>
                <w:w w:val="100"/>
                <w:sz w:val="21"/>
              </w:rPr>
              <w:t>-</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5"/>
              <w:jc w:val="right"/>
              <w:rPr>
                <w:rFonts w:ascii="宋体" w:hAnsi="宋体" w:cs="宋体" w:eastAsia="宋体" w:hint="default"/>
                <w:sz w:val="21"/>
                <w:szCs w:val="21"/>
              </w:rPr>
            </w:pPr>
            <w:r>
              <w:rPr>
                <w:rFonts w:ascii="宋体"/>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sz w:val="15"/>
              </w:rPr>
              <w:t>51,617.00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15"/>
                <w:szCs w:val="15"/>
              </w:rPr>
            </w:pPr>
            <w:r>
              <w:rPr>
                <w:rFonts w:ascii="宋体"/>
                <w:sz w:val="15"/>
              </w:rPr>
              <w:t>51,617.0</w:t>
            </w:r>
          </w:p>
          <w:p>
            <w:pPr>
              <w:pStyle w:val="TableParagraph"/>
              <w:spacing w:line="240" w:lineRule="auto" w:before="115"/>
              <w:ind w:left="2" w:right="0"/>
              <w:jc w:val="center"/>
              <w:rPr>
                <w:rFonts w:ascii="宋体" w:hAnsi="宋体" w:cs="宋体" w:eastAsia="宋体" w:hint="default"/>
                <w:sz w:val="15"/>
                <w:szCs w:val="15"/>
              </w:rPr>
            </w:pPr>
            <w:r>
              <w:rPr>
                <w:rFonts w:ascii="宋体"/>
                <w:w w:val="100"/>
                <w:sz w:val="15"/>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7,106.55</w:t>
            </w:r>
          </w:p>
        </w:tc>
        <w:tc>
          <w:tcPr>
            <w:tcW w:w="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5"/>
                <w:szCs w:val="15"/>
              </w:rPr>
            </w:pPr>
            <w:r>
              <w:rPr>
                <w:rFonts w:ascii="宋体"/>
                <w:sz w:val="15"/>
              </w:rPr>
              <w:t>7,106.55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sz w:val="15"/>
              </w:rPr>
              <w:t>13.77%-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w:t>
            </w:r>
          </w:p>
        </w:tc>
        <w:tc>
          <w:tcPr>
            <w:tcW w:w="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7" w:right="0"/>
              <w:jc w:val="lef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w w:val="100"/>
                <w:sz w:val="21"/>
              </w:rPr>
              <w:t>-</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60" w:firstLine="40"/>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56" w:type="dxa"/>
            <w:tcBorders>
              <w:top w:val="single" w:sz="4" w:space="0" w:color="000000"/>
              <w:left w:val="nil" w:sz="6" w:space="0" w:color="auto"/>
              <w:bottom w:val="single" w:sz="4" w:space="0" w:color="000000"/>
              <w:right w:val="nil" w:sz="6" w:space="0" w:color="auto"/>
            </w:tcBorders>
          </w:tcPr>
          <w:p>
            <w:pPr/>
          </w:p>
        </w:tc>
        <w:tc>
          <w:tcPr>
            <w:tcW w:w="706" w:type="dxa"/>
            <w:tcBorders>
              <w:top w:val="single" w:sz="4" w:space="0" w:color="000000"/>
              <w:left w:val="nil" w:sz="6" w:space="0" w:color="auto"/>
              <w:bottom w:val="single" w:sz="4" w:space="0" w:color="000000"/>
              <w:right w:val="nil" w:sz="6" w:space="0" w:color="auto"/>
            </w:tcBorders>
          </w:tcPr>
          <w:p>
            <w:pPr/>
          </w:p>
        </w:tc>
        <w:tc>
          <w:tcPr>
            <w:tcW w:w="902" w:type="dxa"/>
            <w:tcBorders>
              <w:top w:val="single" w:sz="4" w:space="0" w:color="000000"/>
              <w:left w:val="nil" w:sz="6" w:space="0" w:color="auto"/>
              <w:bottom w:val="single" w:sz="4" w:space="0" w:color="000000"/>
              <w:right w:val="nil" w:sz="6" w:space="0" w:color="auto"/>
            </w:tcBorders>
          </w:tcPr>
          <w:p>
            <w:pPr/>
          </w:p>
        </w:tc>
        <w:tc>
          <w:tcPr>
            <w:tcW w:w="106" w:type="dxa"/>
            <w:tcBorders>
              <w:top w:val="single" w:sz="4" w:space="0" w:color="000000"/>
              <w:left w:val="nil" w:sz="6" w:space="0" w:color="auto"/>
              <w:bottom w:val="single" w:sz="4" w:space="0" w:color="000000"/>
              <w:right w:val="nil" w:sz="6" w:space="0" w:color="auto"/>
            </w:tcBorders>
          </w:tcPr>
          <w:p>
            <w:pPr/>
          </w:p>
        </w:tc>
        <w:tc>
          <w:tcPr>
            <w:tcW w:w="137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23" w:type="dxa"/>
            <w:tcBorders>
              <w:top w:val="single" w:sz="4" w:space="0" w:color="000000"/>
              <w:left w:val="nil" w:sz="6" w:space="0" w:color="auto"/>
              <w:bottom w:val="single" w:sz="4" w:space="0" w:color="000000"/>
              <w:right w:val="nil" w:sz="6" w:space="0" w:color="auto"/>
            </w:tcBorders>
          </w:tcPr>
          <w:p>
            <w:pPr/>
          </w:p>
        </w:tc>
        <w:tc>
          <w:tcPr>
            <w:tcW w:w="206" w:type="dxa"/>
            <w:tcBorders>
              <w:top w:val="single" w:sz="4" w:space="0" w:color="000000"/>
              <w:left w:val="nil" w:sz="6" w:space="0" w:color="auto"/>
              <w:bottom w:val="single" w:sz="4" w:space="0" w:color="000000"/>
              <w:right w:val="nil" w:sz="6" w:space="0" w:color="auto"/>
            </w:tcBorders>
          </w:tcPr>
          <w:p>
            <w:pPr/>
          </w:p>
        </w:tc>
        <w:tc>
          <w:tcPr>
            <w:tcW w:w="570" w:type="dxa"/>
            <w:tcBorders>
              <w:top w:val="single" w:sz="4" w:space="0" w:color="000000"/>
              <w:left w:val="nil" w:sz="6" w:space="0" w:color="auto"/>
              <w:bottom w:val="single" w:sz="4" w:space="0" w:color="000000"/>
              <w:right w:val="nil" w:sz="6" w:space="0" w:color="auto"/>
            </w:tcBorders>
          </w:tcPr>
          <w:p>
            <w:pPr/>
          </w:p>
        </w:tc>
        <w:tc>
          <w:tcPr>
            <w:tcW w:w="658" w:type="dxa"/>
            <w:tcBorders>
              <w:top w:val="single" w:sz="4" w:space="0" w:color="000000"/>
              <w:left w:val="nil" w:sz="6" w:space="0" w:color="auto"/>
              <w:bottom w:val="single" w:sz="4" w:space="0" w:color="000000"/>
              <w:right w:val="nil" w:sz="6" w:space="0" w:color="auto"/>
            </w:tcBorders>
          </w:tcPr>
          <w:p>
            <w:pPr/>
          </w:p>
        </w:tc>
        <w:tc>
          <w:tcPr>
            <w:tcW w:w="853" w:type="dxa"/>
            <w:tcBorders>
              <w:top w:val="single" w:sz="4" w:space="0" w:color="000000"/>
              <w:left w:val="nil" w:sz="6" w:space="0" w:color="auto"/>
              <w:bottom w:val="single" w:sz="4" w:space="0" w:color="000000"/>
              <w:right w:val="single" w:sz="4" w:space="0" w:color="000000"/>
            </w:tcBorders>
          </w:tcPr>
          <w:p>
            <w:pP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01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spacing w:val="-3"/>
                <w:w w:val="100"/>
                <w:sz w:val="21"/>
                <w:szCs w:val="21"/>
              </w:rPr>
              <w:t> </w:t>
            </w:r>
            <w:r>
              <w:rPr>
                <w:rFonts w:ascii="宋体" w:hAnsi="宋体" w:cs="宋体" w:eastAsia="宋体" w:hint="default"/>
                <w:sz w:val="21"/>
                <w:szCs w:val="21"/>
              </w:rPr>
              <w:t>用途及使用进展情</w:t>
            </w:r>
          </w:p>
        </w:tc>
        <w:tc>
          <w:tcPr>
            <w:tcW w:w="801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适用</w:t>
            </w:r>
          </w:p>
        </w:tc>
      </w:tr>
      <w:tr>
        <w:trPr>
          <w:trHeight w:val="324"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日召开，审议通过了《关于审议</w:t>
            </w:r>
          </w:p>
        </w:tc>
      </w:tr>
    </w:tbl>
    <w:p>
      <w:pPr>
        <w:spacing w:after="0" w:line="262" w:lineRule="exact"/>
        <w:jc w:val="left"/>
        <w:rPr>
          <w:rFonts w:ascii="宋体" w:hAnsi="宋体" w:cs="宋体" w:eastAsia="宋体" w:hint="default"/>
          <w:sz w:val="21"/>
          <w:szCs w:val="21"/>
        </w:rPr>
        <w:sectPr>
          <w:footerReference w:type="default" r:id="rId25"/>
          <w:pgSz w:w="11910" w:h="16840"/>
          <w:pgMar w:footer="1195" w:header="0" w:top="1460" w:bottom="1380" w:left="900" w:right="940"/>
          <w:pgNumType w:start="41"/>
        </w:sectPr>
      </w:pPr>
    </w:p>
    <w:p>
      <w:pPr>
        <w:spacing w:line="240" w:lineRule="auto" w:before="2"/>
        <w:rPr>
          <w:rFonts w:ascii="宋体" w:hAnsi="宋体" w:cs="宋体" w:eastAsia="宋体" w:hint="default"/>
          <w:sz w:val="27"/>
          <w:szCs w:val="27"/>
        </w:rPr>
      </w:pPr>
    </w:p>
    <w:p>
      <w:pPr>
        <w:spacing w:before="36"/>
        <w:ind w:left="0" w:right="114" w:firstLine="0"/>
        <w:jc w:val="right"/>
        <w:rPr>
          <w:rFonts w:ascii="宋体" w:hAnsi="宋体" w:cs="宋体" w:eastAsia="宋体" w:hint="default"/>
          <w:sz w:val="21"/>
          <w:szCs w:val="21"/>
        </w:rPr>
      </w:pPr>
      <w:r>
        <w:rPr/>
        <w:pict>
          <v:shape style="position:absolute;margin-left:50.759998pt;margin-top:-13.676335pt;width:492.25pt;height:504.3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8011"/>
                  </w:tblGrid>
                  <w:tr>
                    <w:trPr>
                      <w:trHeight w:val="31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使用部分其他与主营业务相关的营运资金对全资子公司深圳市新国都软件技术有限公</w:t>
                        </w:r>
                        <w:r>
                          <w:rPr>
                            <w:rFonts w:ascii="宋体" w:hAnsi="宋体" w:cs="宋体" w:eastAsia="宋体" w:hint="default"/>
                            <w:w w:val="100"/>
                            <w:sz w:val="21"/>
                            <w:szCs w:val="21"/>
                          </w:rPr>
                          <w:t> </w:t>
                        </w:r>
                        <w:r>
                          <w:rPr>
                            <w:rFonts w:ascii="宋体" w:hAnsi="宋体" w:cs="宋体" w:eastAsia="宋体" w:hint="default"/>
                            <w:spacing w:val="-3"/>
                            <w:w w:val="100"/>
                            <w:sz w:val="21"/>
                            <w:szCs w:val="21"/>
                          </w:rPr>
                          <w:t>司增资的议案》</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公司于</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2011</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4</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日使用超募资金</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spacing w:val="-11"/>
                            <w:w w:val="100"/>
                            <w:sz w:val="21"/>
                            <w:szCs w:val="21"/>
                          </w:rPr>
                          <w:t>亿增资新国都软件公司。（注</w:t>
                        </w:r>
                        <w:r>
                          <w:rPr>
                            <w:rFonts w:ascii="宋体" w:hAnsi="宋体" w:cs="宋体" w:eastAsia="宋体" w:hint="default"/>
                            <w:w w:val="100"/>
                            <w:sz w:val="21"/>
                            <w:szCs w:val="21"/>
                          </w:rPr>
                          <w:t> </w:t>
                        </w:r>
                        <w:r>
                          <w:rPr>
                            <w:rFonts w:ascii="宋体" w:hAnsi="宋体" w:cs="宋体" w:eastAsia="宋体" w:hint="default"/>
                            <w:spacing w:val="-7"/>
                            <w:w w:val="100"/>
                            <w:sz w:val="21"/>
                            <w:szCs w:val="21"/>
                          </w:rPr>
                          <w:t>现已更名为深圳市易联技术有限公司）。</w:t>
                        </w:r>
                      </w:p>
                      <w:p>
                        <w:pPr>
                          <w:pStyle w:val="TableParagraph"/>
                          <w:spacing w:line="273" w:lineRule="auto" w:before="7"/>
                          <w:ind w:left="23" w:right="17"/>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、本公司于</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pacing w:val="-3"/>
                            <w:sz w:val="21"/>
                            <w:szCs w:val="21"/>
                          </w:rPr>
                          <w:t>日召开第二届董事会第二次会议，会议通过了《关于投资建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w w:val="100"/>
                            <w:sz w:val="21"/>
                            <w:szCs w:val="21"/>
                          </w:rPr>
                          <w:t>设“电子支付技术苏州研发基地”的议案》，同意从其他与主营业务相关的营运资金</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超</w:t>
                        </w:r>
                        <w:r>
                          <w:rPr>
                            <w:rFonts w:ascii="宋体" w:hAnsi="宋体" w:cs="宋体" w:eastAsia="宋体" w:hint="default"/>
                            <w:spacing w:val="-97"/>
                            <w:w w:val="100"/>
                            <w:sz w:val="21"/>
                            <w:szCs w:val="21"/>
                          </w:rPr>
                          <w:t> </w:t>
                        </w:r>
                        <w:r>
                          <w:rPr>
                            <w:rFonts w:ascii="宋体" w:hAnsi="宋体" w:cs="宋体" w:eastAsia="宋体" w:hint="default"/>
                            <w:sz w:val="21"/>
                            <w:szCs w:val="21"/>
                          </w:rPr>
                          <w:t>募资金</w:t>
                        </w:r>
                        <w:r>
                          <w:rPr>
                            <w:rFonts w:ascii="宋体" w:hAnsi="宋体" w:cs="宋体" w:eastAsia="宋体" w:hint="default"/>
                            <w:sz w:val="21"/>
                            <w:szCs w:val="21"/>
                          </w:rPr>
                          <w:t>)</w:t>
                        </w:r>
                        <w:r>
                          <w:rPr>
                            <w:rFonts w:ascii="宋体" w:hAnsi="宋体" w:cs="宋体" w:eastAsia="宋体" w:hint="default"/>
                            <w:sz w:val="21"/>
                            <w:szCs w:val="21"/>
                          </w:rPr>
                          <w:t>中支出</w:t>
                        </w:r>
                        <w:r>
                          <w:rPr>
                            <w:rFonts w:ascii="宋体" w:hAnsi="宋体" w:cs="宋体" w:eastAsia="宋体" w:hint="default"/>
                            <w:spacing w:val="-53"/>
                            <w:sz w:val="21"/>
                            <w:szCs w:val="21"/>
                          </w:rPr>
                          <w:t> </w:t>
                        </w:r>
                        <w:r>
                          <w:rPr>
                            <w:rFonts w:ascii="宋体" w:hAnsi="宋体" w:cs="宋体" w:eastAsia="宋体" w:hint="default"/>
                            <w:sz w:val="21"/>
                            <w:szCs w:val="21"/>
                          </w:rPr>
                          <w:t>1.35</w:t>
                        </w:r>
                        <w:r>
                          <w:rPr>
                            <w:rFonts w:ascii="宋体" w:hAnsi="宋体" w:cs="宋体" w:eastAsia="宋体" w:hint="default"/>
                            <w:spacing w:val="-53"/>
                            <w:sz w:val="21"/>
                            <w:szCs w:val="21"/>
                          </w:rPr>
                          <w:t> </w:t>
                        </w:r>
                        <w:r>
                          <w:rPr>
                            <w:rFonts w:ascii="宋体" w:hAnsi="宋体" w:cs="宋体" w:eastAsia="宋体" w:hint="default"/>
                            <w:sz w:val="21"/>
                            <w:szCs w:val="21"/>
                          </w:rPr>
                          <w:t>亿元人民币，以货币资金形式对苏州新国都投资。</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、本公司于</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25</w:t>
                        </w:r>
                        <w:r>
                          <w:rPr>
                            <w:rFonts w:ascii="宋体" w:hAnsi="宋体" w:cs="宋体" w:eastAsia="宋体" w:hint="default"/>
                            <w:spacing w:val="-45"/>
                            <w:sz w:val="21"/>
                            <w:szCs w:val="21"/>
                          </w:rPr>
                          <w:t> </w:t>
                        </w:r>
                        <w:r>
                          <w:rPr>
                            <w:rFonts w:ascii="宋体" w:hAnsi="宋体" w:cs="宋体" w:eastAsia="宋体" w:hint="default"/>
                            <w:spacing w:val="-3"/>
                            <w:sz w:val="21"/>
                            <w:szCs w:val="21"/>
                          </w:rPr>
                          <w:t>日召开第二届董事会第三次会议，会议通过了《关于使用</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部分</w:t>
                        </w:r>
                        <w:r>
                          <w:rPr>
                            <w:rFonts w:ascii="宋体" w:hAnsi="宋体" w:cs="宋体" w:eastAsia="宋体" w:hint="default"/>
                            <w:spacing w:val="-3"/>
                            <w:w w:val="100"/>
                            <w:sz w:val="21"/>
                            <w:szCs w:val="21"/>
                          </w:rPr>
                          <w:t>超</w:t>
                        </w:r>
                        <w:r>
                          <w:rPr>
                            <w:rFonts w:ascii="宋体" w:hAnsi="宋体" w:cs="宋体" w:eastAsia="宋体" w:hint="default"/>
                            <w:w w:val="100"/>
                            <w:sz w:val="21"/>
                            <w:szCs w:val="21"/>
                          </w:rPr>
                          <w:t>幕</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永</w:t>
                        </w:r>
                        <w:r>
                          <w:rPr>
                            <w:rFonts w:ascii="宋体" w:hAnsi="宋体" w:cs="宋体" w:eastAsia="宋体" w:hint="default"/>
                            <w:w w:val="100"/>
                            <w:sz w:val="21"/>
                            <w:szCs w:val="21"/>
                          </w:rPr>
                          <w:t>久</w:t>
                        </w:r>
                        <w:r>
                          <w:rPr>
                            <w:rFonts w:ascii="宋体" w:hAnsi="宋体" w:cs="宋体" w:eastAsia="宋体" w:hint="default"/>
                            <w:spacing w:val="-3"/>
                            <w:w w:val="100"/>
                            <w:sz w:val="21"/>
                            <w:szCs w:val="21"/>
                          </w:rPr>
                          <w:t>补</w:t>
                        </w:r>
                        <w:r>
                          <w:rPr>
                            <w:rFonts w:ascii="宋体" w:hAnsi="宋体" w:cs="宋体" w:eastAsia="宋体" w:hint="default"/>
                            <w:w w:val="100"/>
                            <w:sz w:val="21"/>
                            <w:szCs w:val="21"/>
                          </w:rPr>
                          <w:t>充</w:t>
                        </w:r>
                        <w:r>
                          <w:rPr>
                            <w:rFonts w:ascii="宋体" w:hAnsi="宋体" w:cs="宋体" w:eastAsia="宋体" w:hint="default"/>
                            <w:spacing w:val="-3"/>
                            <w:w w:val="100"/>
                            <w:sz w:val="21"/>
                            <w:szCs w:val="21"/>
                          </w:rPr>
                          <w:t>流</w:t>
                        </w:r>
                        <w:r>
                          <w:rPr>
                            <w:rFonts w:ascii="宋体" w:hAnsi="宋体" w:cs="宋体" w:eastAsia="宋体" w:hint="default"/>
                            <w:w w:val="100"/>
                            <w:sz w:val="21"/>
                            <w:szCs w:val="21"/>
                          </w:rPr>
                          <w:t>动资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2"/>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使用</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超</w:t>
                        </w:r>
                        <w:r>
                          <w:rPr>
                            <w:rFonts w:ascii="宋体" w:hAnsi="宋体" w:cs="宋体" w:eastAsia="宋体" w:hint="default"/>
                            <w:w w:val="100"/>
                            <w:sz w:val="21"/>
                            <w:szCs w:val="21"/>
                          </w:rPr>
                          <w:t>幕</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宋体" w:hAnsi="宋体" w:cs="宋体" w:eastAsia="宋体" w:hint="default"/>
                            <w:spacing w:val="-3"/>
                            <w:w w:val="100"/>
                            <w:sz w:val="21"/>
                            <w:szCs w:val="21"/>
                          </w:rPr>
                          <w:t>4</w:t>
                        </w:r>
                        <w:r>
                          <w:rPr>
                            <w:rFonts w:ascii="宋体" w:hAnsi="宋体" w:cs="宋体" w:eastAsia="宋体" w:hint="default"/>
                            <w:w w:val="100"/>
                            <w:sz w:val="21"/>
                            <w:szCs w:val="21"/>
                          </w:rPr>
                          <w:t>500</w:t>
                        </w:r>
                        <w:r>
                          <w:rPr>
                            <w:rFonts w:ascii="宋体" w:hAnsi="宋体" w:cs="宋体" w:eastAsia="宋体" w:hint="default"/>
                            <w:spacing w:val="-5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元永</w:t>
                        </w:r>
                        <w:r>
                          <w:rPr>
                            <w:rFonts w:ascii="宋体" w:hAnsi="宋体" w:cs="宋体" w:eastAsia="宋体" w:hint="default"/>
                            <w:spacing w:val="-3"/>
                            <w:w w:val="100"/>
                            <w:sz w:val="21"/>
                            <w:szCs w:val="21"/>
                          </w:rPr>
                          <w:t>久</w:t>
                        </w:r>
                        <w:r>
                          <w:rPr>
                            <w:rFonts w:ascii="宋体" w:hAnsi="宋体" w:cs="宋体" w:eastAsia="宋体" w:hint="default"/>
                            <w:w w:val="100"/>
                            <w:sz w:val="21"/>
                            <w:szCs w:val="21"/>
                          </w:rPr>
                          <w:t>补</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充流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发</w:t>
                        </w:r>
                        <w:r>
                          <w:rPr>
                            <w:rFonts w:ascii="宋体" w:hAnsi="宋体" w:cs="宋体" w:eastAsia="宋体" w:hint="default"/>
                            <w:w w:val="100"/>
                            <w:sz w:val="21"/>
                            <w:szCs w:val="21"/>
                          </w:rPr>
                          <w:t>表</w:t>
                        </w:r>
                        <w:r>
                          <w:rPr>
                            <w:rFonts w:ascii="宋体" w:hAnsi="宋体" w:cs="宋体" w:eastAsia="宋体" w:hint="default"/>
                            <w:spacing w:val="-3"/>
                            <w:w w:val="100"/>
                            <w:sz w:val="21"/>
                            <w:szCs w:val="21"/>
                          </w:rPr>
                          <w:t>相</w:t>
                        </w:r>
                        <w:r>
                          <w:rPr>
                            <w:rFonts w:ascii="宋体" w:hAnsi="宋体" w:cs="宋体" w:eastAsia="宋体" w:hint="default"/>
                            <w:w w:val="100"/>
                            <w:sz w:val="21"/>
                            <w:szCs w:val="21"/>
                          </w:rPr>
                          <w:t>关公</w:t>
                        </w:r>
                        <w:r>
                          <w:rPr>
                            <w:rFonts w:ascii="宋体" w:hAnsi="宋体" w:cs="宋体" w:eastAsia="宋体" w:hint="default"/>
                            <w:spacing w:val="-20"/>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17"/>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1"/>
                            <w:w w:val="100"/>
                            <w:sz w:val="21"/>
                            <w:szCs w:val="21"/>
                          </w:rPr>
                          <w:t>5</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20"/>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从</w:t>
                        </w:r>
                        <w:r>
                          <w:rPr>
                            <w:rFonts w:ascii="宋体" w:hAnsi="宋体" w:cs="宋体" w:eastAsia="宋体" w:hint="default"/>
                            <w:spacing w:val="-3"/>
                            <w:w w:val="100"/>
                            <w:sz w:val="21"/>
                            <w:szCs w:val="21"/>
                          </w:rPr>
                          <w:t>募</w:t>
                        </w:r>
                        <w:r>
                          <w:rPr>
                            <w:rFonts w:ascii="宋体" w:hAnsi="宋体" w:cs="宋体" w:eastAsia="宋体" w:hint="default"/>
                            <w:w w:val="100"/>
                            <w:sz w:val="21"/>
                            <w:szCs w:val="21"/>
                          </w:rPr>
                          <w:t>集资</w:t>
                        </w:r>
                        <w:r>
                          <w:rPr>
                            <w:rFonts w:ascii="宋体" w:hAnsi="宋体" w:cs="宋体" w:eastAsia="宋体" w:hint="default"/>
                            <w:spacing w:val="-3"/>
                            <w:w w:val="100"/>
                            <w:sz w:val="21"/>
                            <w:szCs w:val="21"/>
                          </w:rPr>
                          <w:t>金</w:t>
                        </w:r>
                        <w:r>
                          <w:rPr>
                            <w:rFonts w:ascii="宋体" w:hAnsi="宋体" w:cs="宋体" w:eastAsia="宋体" w:hint="default"/>
                            <w:w w:val="100"/>
                            <w:sz w:val="21"/>
                            <w:szCs w:val="21"/>
                          </w:rPr>
                          <w:t>账</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户支取人民币</w:t>
                        </w:r>
                        <w:r>
                          <w:rPr>
                            <w:rFonts w:ascii="宋体" w:hAnsi="宋体" w:cs="宋体" w:eastAsia="宋体" w:hint="default"/>
                            <w:spacing w:val="-53"/>
                            <w:sz w:val="21"/>
                            <w:szCs w:val="21"/>
                          </w:rPr>
                          <w:t> </w:t>
                        </w:r>
                        <w:r>
                          <w:rPr>
                            <w:rFonts w:ascii="宋体" w:hAnsi="宋体" w:cs="宋体" w:eastAsia="宋体" w:hint="default"/>
                            <w:sz w:val="21"/>
                            <w:szCs w:val="21"/>
                          </w:rPr>
                          <w:t>4500</w:t>
                        </w:r>
                        <w:r>
                          <w:rPr>
                            <w:rFonts w:ascii="宋体" w:hAnsi="宋体" w:cs="宋体" w:eastAsia="宋体" w:hint="default"/>
                            <w:spacing w:val="-56"/>
                            <w:sz w:val="21"/>
                            <w:szCs w:val="21"/>
                          </w:rPr>
                          <w:t> </w:t>
                        </w:r>
                        <w:r>
                          <w:rPr>
                            <w:rFonts w:ascii="宋体" w:hAnsi="宋体" w:cs="宋体" w:eastAsia="宋体" w:hint="default"/>
                            <w:sz w:val="21"/>
                            <w:szCs w:val="21"/>
                          </w:rPr>
                          <w:t>万元用于永久补充流动资金。</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4"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适用</w:t>
                        </w:r>
                      </w:p>
                    </w:tc>
                  </w:tr>
                  <w:tr>
                    <w:trPr>
                      <w:trHeight w:val="1882"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电子支付技术产研基地建设项目，截止</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日公司已利用自筹资金先行投</w:t>
                        </w:r>
                      </w:p>
                      <w:p>
                        <w:pPr>
                          <w:pStyle w:val="TableParagraph"/>
                          <w:spacing w:line="273" w:lineRule="auto" w:before="37"/>
                          <w:ind w:left="23" w:right="-9"/>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55"/>
                            <w:sz w:val="21"/>
                            <w:szCs w:val="21"/>
                          </w:rPr>
                          <w:t> </w:t>
                        </w:r>
                        <w:r>
                          <w:rPr>
                            <w:rFonts w:ascii="宋体" w:hAnsi="宋体" w:cs="宋体" w:eastAsia="宋体" w:hint="default"/>
                            <w:sz w:val="21"/>
                            <w:szCs w:val="21"/>
                          </w:rPr>
                          <w:t>1,293</w:t>
                        </w:r>
                        <w:r>
                          <w:rPr>
                            <w:rFonts w:ascii="宋体" w:hAnsi="宋体" w:cs="宋体" w:eastAsia="宋体" w:hint="default"/>
                            <w:spacing w:val="-54"/>
                            <w:sz w:val="21"/>
                            <w:szCs w:val="21"/>
                          </w:rPr>
                          <w:t> </w:t>
                        </w:r>
                        <w:r>
                          <w:rPr>
                            <w:rFonts w:ascii="宋体" w:hAnsi="宋体" w:cs="宋体" w:eastAsia="宋体" w:hint="default"/>
                            <w:sz w:val="21"/>
                            <w:szCs w:val="21"/>
                          </w:rPr>
                          <w:t>万元，业经立信大华会计师事务所有限公司出具的立信大华核字</w:t>
                        </w:r>
                        <w:r>
                          <w:rPr>
                            <w:rFonts w:ascii="宋体" w:hAnsi="宋体" w:cs="宋体" w:eastAsia="宋体" w:hint="default"/>
                            <w:sz w:val="21"/>
                            <w:szCs w:val="21"/>
                          </w:rPr>
                          <w:t>[2010]2404</w:t>
                        </w:r>
                        <w:r>
                          <w:rPr>
                            <w:rFonts w:ascii="宋体" w:hAnsi="宋体" w:cs="宋体" w:eastAsia="宋体" w:hint="default"/>
                            <w:w w:val="100"/>
                            <w:sz w:val="21"/>
                            <w:szCs w:val="21"/>
                          </w:rPr>
                          <w:t> </w:t>
                        </w:r>
                        <w:r>
                          <w:rPr>
                            <w:rFonts w:ascii="宋体" w:hAnsi="宋体" w:cs="宋体" w:eastAsia="宋体" w:hint="default"/>
                            <w:spacing w:val="-2"/>
                            <w:sz w:val="21"/>
                            <w:szCs w:val="21"/>
                          </w:rPr>
                          <w:t>号《首次公开发行股票募集资金投资项目实际自筹资金使用情况专项审核报告》确认，</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经本公司</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日第一届董事会第十四次会议决议通过，使用募集资金置换公</w:t>
                        </w:r>
                      </w:p>
                      <w:p>
                        <w:pPr>
                          <w:pStyle w:val="TableParagraph"/>
                          <w:spacing w:line="273" w:lineRule="auto" w:before="8"/>
                          <w:ind w:left="23" w:right="17"/>
                          <w:jc w:val="left"/>
                          <w:rPr>
                            <w:rFonts w:ascii="宋体" w:hAnsi="宋体" w:cs="宋体" w:eastAsia="宋体" w:hint="default"/>
                            <w:sz w:val="21"/>
                            <w:szCs w:val="21"/>
                          </w:rPr>
                        </w:pPr>
                        <w:r>
                          <w:rPr>
                            <w:rFonts w:ascii="宋体" w:hAnsi="宋体" w:cs="宋体" w:eastAsia="宋体" w:hint="default"/>
                            <w:sz w:val="21"/>
                            <w:szCs w:val="21"/>
                          </w:rPr>
                          <w:t>司预先投入募集资金项目建设的自筹资金</w:t>
                        </w:r>
                        <w:r>
                          <w:rPr>
                            <w:rFonts w:ascii="宋体" w:hAnsi="宋体" w:cs="宋体" w:eastAsia="宋体" w:hint="default"/>
                            <w:spacing w:val="-57"/>
                            <w:sz w:val="21"/>
                            <w:szCs w:val="21"/>
                          </w:rPr>
                          <w:t> </w:t>
                        </w:r>
                        <w:r>
                          <w:rPr>
                            <w:rFonts w:ascii="宋体" w:hAnsi="宋体" w:cs="宋体" w:eastAsia="宋体" w:hint="default"/>
                            <w:sz w:val="21"/>
                            <w:szCs w:val="21"/>
                          </w:rPr>
                          <w:t>1293</w:t>
                        </w:r>
                        <w:r>
                          <w:rPr>
                            <w:rFonts w:ascii="宋体" w:hAnsi="宋体" w:cs="宋体" w:eastAsia="宋体" w:hint="default"/>
                            <w:spacing w:val="-58"/>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公司于</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日办理了银</w:t>
                        </w:r>
                        <w:r>
                          <w:rPr>
                            <w:rFonts w:ascii="宋体" w:hAnsi="宋体" w:cs="宋体" w:eastAsia="宋体" w:hint="default"/>
                            <w:w w:val="100"/>
                            <w:sz w:val="21"/>
                            <w:szCs w:val="21"/>
                          </w:rPr>
                          <w:t> </w:t>
                        </w:r>
                        <w:r>
                          <w:rPr>
                            <w:rFonts w:ascii="宋体" w:hAnsi="宋体" w:cs="宋体" w:eastAsia="宋体" w:hint="default"/>
                            <w:sz w:val="21"/>
                            <w:szCs w:val="21"/>
                          </w:rPr>
                          <w:t>行资金置换手续</w:t>
                        </w:r>
                        <w:r>
                          <w:rPr>
                            <w:rFonts w:ascii="宋体" w:hAnsi="宋体" w:cs="宋体" w:eastAsia="宋体" w:hint="default"/>
                            <w:sz w:val="21"/>
                            <w:szCs w:val="21"/>
                          </w:rPr>
                          <w:t>.</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76" w:right="60"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尚未使用的募集资金均存放在公司的募集资金专户</w:t>
                        </w:r>
                      </w:p>
                    </w:tc>
                  </w:tr>
                  <w:tr>
                    <w:trPr>
                      <w:trHeight w:val="9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357" w:lineRule="auto" w:before="26"/>
        <w:ind w:left="900" w:right="926" w:firstLine="479"/>
        <w:jc w:val="left"/>
      </w:pPr>
      <w:r>
        <w:rPr>
          <w:spacing w:val="-3"/>
        </w:rPr>
        <w:t>公司将根据公司的发展规划和市场需求，稳妥安排超募资金的使用，待公司</w:t>
      </w:r>
      <w:r>
        <w:rPr/>
        <w:t> 董事会拟定详细使用计划并履行相关程序后使用。</w:t>
      </w:r>
    </w:p>
    <w:p>
      <w:pPr>
        <w:spacing w:line="477" w:lineRule="auto" w:before="192"/>
        <w:ind w:left="1380" w:right="2986"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、变更募集资金投资项目的资金使用情况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报告期内，公司未变更募集资金投资项目的资金使用。</w:t>
      </w:r>
    </w:p>
    <w:p>
      <w:pPr>
        <w:spacing w:line="477" w:lineRule="auto" w:before="72"/>
        <w:ind w:left="1380" w:right="931" w:hanging="48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、会计师事务所对募集资金使用情况的专项审核意见</w:t>
      </w:r>
      <w:r>
        <w:rPr>
          <w:rFonts w:ascii="宋体" w:hAnsi="宋体" w:cs="宋体" w:eastAsia="宋体" w:hint="default"/>
          <w:b/>
          <w:bCs/>
          <w:w w:val="99"/>
          <w:sz w:val="24"/>
          <w:szCs w:val="24"/>
        </w:rPr>
        <w:t> </w:t>
      </w:r>
      <w:r>
        <w:rPr>
          <w:rFonts w:ascii="宋体" w:hAnsi="宋体" w:cs="宋体" w:eastAsia="宋体" w:hint="default"/>
          <w:spacing w:val="-3"/>
          <w:sz w:val="24"/>
          <w:szCs w:val="24"/>
        </w:rPr>
        <w:t>大华会计师事务所有限公司出具了《关于</w:t>
      </w:r>
      <w:r>
        <w:rPr>
          <w:rFonts w:ascii="宋体" w:hAnsi="宋体" w:cs="宋体" w:eastAsia="宋体" w:hint="default"/>
          <w:spacing w:val="-3"/>
          <w:sz w:val="24"/>
          <w:szCs w:val="24"/>
        </w:rPr>
        <w:t>2011</w:t>
      </w:r>
      <w:r>
        <w:rPr>
          <w:rFonts w:ascii="宋体" w:hAnsi="宋体" w:cs="宋体" w:eastAsia="宋体" w:hint="default"/>
          <w:spacing w:val="-3"/>
          <w:sz w:val="24"/>
          <w:szCs w:val="24"/>
        </w:rPr>
        <w:t>年度募集资金存放与使用情况</w:t>
      </w:r>
    </w:p>
    <w:p>
      <w:pPr>
        <w:spacing w:after="0" w:line="477" w:lineRule="auto"/>
        <w:jc w:val="left"/>
        <w:rPr>
          <w:rFonts w:ascii="宋体" w:hAnsi="宋体" w:cs="宋体" w:eastAsia="宋体" w:hint="default"/>
          <w:sz w:val="24"/>
          <w:szCs w:val="24"/>
        </w:rPr>
        <w:sectPr>
          <w:pgSz w:w="11910" w:h="16840"/>
          <w:pgMar w:header="0" w:footer="1195" w:top="1340" w:bottom="1380" w:left="900" w:right="860"/>
        </w:sectPr>
      </w:pPr>
    </w:p>
    <w:p>
      <w:pPr>
        <w:pStyle w:val="BodyText"/>
        <w:spacing w:line="357" w:lineRule="auto" w:before="1"/>
        <w:ind w:right="217"/>
        <w:jc w:val="both"/>
      </w:pPr>
      <w:r>
        <w:rPr>
          <w:spacing w:val="-6"/>
        </w:rPr>
        <w:t>的鉴证报告》（大华核字</w:t>
      </w:r>
      <w:r>
        <w:rPr>
          <w:rFonts w:ascii="宋体" w:hAnsi="宋体" w:cs="宋体" w:eastAsia="宋体" w:hint="default"/>
          <w:spacing w:val="-6"/>
        </w:rPr>
        <w:t>[2012]180</w:t>
      </w:r>
      <w:r>
        <w:rPr>
          <w:spacing w:val="-6"/>
        </w:rPr>
        <w:t>号），认为：公司严格按照《公司法》、《证</w:t>
      </w:r>
      <w:r>
        <w:rPr>
          <w:spacing w:val="-97"/>
        </w:rPr>
        <w:t> </w:t>
      </w:r>
      <w:r>
        <w:rPr>
          <w:spacing w:val="-97"/>
        </w:rPr>
      </w:r>
      <w:r>
        <w:rPr>
          <w:spacing w:val="-3"/>
        </w:rPr>
        <w:t>券法》、《深圳证券交易所创业板股票上市规则》、《深圳证券交易所创业板上</w:t>
      </w:r>
      <w:r>
        <w:rPr>
          <w:spacing w:val="-113"/>
        </w:rPr>
        <w:t> </w:t>
      </w:r>
      <w:r>
        <w:rPr>
          <w:spacing w:val="-113"/>
        </w:rPr>
      </w:r>
      <w:r>
        <w:rPr>
          <w:spacing w:val="-3"/>
        </w:rPr>
        <w:t>市公司规范运作指引》以及中国证监会相关法律法规的规定和要求、《募集资金</w:t>
      </w:r>
      <w:r>
        <w:rPr>
          <w:spacing w:val="-110"/>
        </w:rPr>
        <w:t> </w:t>
      </w:r>
      <w:r>
        <w:rPr>
          <w:spacing w:val="-110"/>
        </w:rPr>
      </w:r>
      <w:r>
        <w:rPr>
          <w:spacing w:val="-3"/>
        </w:rPr>
        <w:t>管理制度》等规定使用募集资金，并及时、真实、准确、完整履行相关信息披露</w:t>
      </w:r>
      <w:r>
        <w:rPr>
          <w:spacing w:val="-115"/>
        </w:rPr>
        <w:t> </w:t>
      </w:r>
      <w:r>
        <w:rPr>
          <w:spacing w:val="-115"/>
        </w:rPr>
      </w:r>
      <w:r>
        <w:rPr/>
        <w:t>工作，不存在违规使用募集资金的情形。</w:t>
      </w:r>
    </w:p>
    <w:p>
      <w:pPr>
        <w:pStyle w:val="BodyText"/>
        <w:spacing w:line="240" w:lineRule="auto" w:before="192"/>
        <w:ind w:left="600" w:right="94"/>
        <w:jc w:val="left"/>
      </w:pPr>
      <w:r>
        <w:rPr/>
        <w:t>（二）报告期内公司未发生重大非募集资金投资情况。</w:t>
      </w:r>
    </w:p>
    <w:p>
      <w:pPr>
        <w:spacing w:line="240" w:lineRule="auto" w:before="10"/>
        <w:rPr>
          <w:rFonts w:ascii="宋体" w:hAnsi="宋体" w:cs="宋体" w:eastAsia="宋体" w:hint="default"/>
          <w:sz w:val="23"/>
          <w:szCs w:val="23"/>
        </w:rPr>
      </w:pPr>
    </w:p>
    <w:p>
      <w:pPr>
        <w:pStyle w:val="Heading7"/>
        <w:spacing w:line="357" w:lineRule="auto" w:before="0"/>
        <w:ind w:right="94"/>
        <w:jc w:val="left"/>
        <w:rPr>
          <w:b w:val="0"/>
          <w:bCs w:val="0"/>
        </w:rPr>
      </w:pPr>
      <w:r>
        <w:rPr>
          <w:w w:val="95"/>
        </w:rPr>
        <w:t>（三）报告期内，公司没有持有其他上市公司股权、参股商业银行、证券公司、</w:t>
      </w:r>
      <w:r>
        <w:rPr>
          <w:spacing w:val="64"/>
          <w:w w:val="95"/>
        </w:rPr>
        <w:t> </w:t>
      </w:r>
      <w:r>
        <w:rPr>
          <w:spacing w:val="64"/>
          <w:w w:val="95"/>
        </w:rPr>
      </w:r>
      <w:r>
        <w:rPr>
          <w:spacing w:val="3"/>
        </w:rPr>
        <w:t>保险公司、信托公司和期货公司等金融企业股权，没有买卖其他上市公司股份</w:t>
      </w:r>
      <w:r>
        <w:rPr>
          <w:spacing w:val="4"/>
          <w:w w:val="99"/>
        </w:rPr>
        <w:t> </w:t>
      </w:r>
      <w:r>
        <w:rPr/>
        <w:t>的情况。</w:t>
      </w:r>
      <w:r>
        <w:rPr>
          <w:b w:val="0"/>
          <w:bCs w:val="0"/>
        </w:rPr>
      </w:r>
    </w:p>
    <w:p>
      <w:pPr>
        <w:pStyle w:val="Heading7"/>
        <w:spacing w:line="477" w:lineRule="auto"/>
        <w:ind w:right="1760"/>
        <w:jc w:val="left"/>
        <w:rPr>
          <w:b w:val="0"/>
          <w:bCs w:val="0"/>
        </w:rPr>
      </w:pPr>
      <w:r>
        <w:rPr/>
        <w:t>（四）报告期内无持有以公允价值计量的金融资产情况。</w:t>
      </w:r>
      <w:r>
        <w:rPr>
          <w:w w:val="99"/>
        </w:rPr>
        <w:t> </w:t>
      </w:r>
      <w:r>
        <w:rPr/>
        <w:t>五、报告期财务会计报告审计情况及会计政策、会计估计变更：</w:t>
      </w:r>
      <w:r>
        <w:rPr>
          <w:b w:val="0"/>
          <w:bCs w:val="0"/>
        </w:rPr>
      </w:r>
    </w:p>
    <w:p>
      <w:pPr>
        <w:pStyle w:val="Heading7"/>
        <w:spacing w:line="240" w:lineRule="auto" w:before="72"/>
        <w:ind w:right="94"/>
        <w:jc w:val="left"/>
        <w:rPr>
          <w:b w:val="0"/>
          <w:bCs w:val="0"/>
        </w:rPr>
      </w:pPr>
      <w:r>
        <w:rPr/>
        <w:t>（一）报告期财务会计报告审计情况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12" w:firstLine="479"/>
        <w:jc w:val="left"/>
      </w:pPr>
      <w:r>
        <w:rPr>
          <w:spacing w:val="-3"/>
        </w:rPr>
        <w:t>经立信大华会计师事务所有限公司审计，对本公司</w:t>
      </w:r>
      <w:r>
        <w:rPr>
          <w:rFonts w:ascii="宋体" w:hAnsi="宋体" w:cs="宋体" w:eastAsia="宋体" w:hint="default"/>
          <w:spacing w:val="-3"/>
        </w:rPr>
        <w:t>2011</w:t>
      </w:r>
      <w:r>
        <w:rPr>
          <w:spacing w:val="-3"/>
        </w:rPr>
        <w:t>年度财务报告出具了</w:t>
      </w:r>
      <w:r>
        <w:rPr/>
        <w:t> 标准无保留意见的审计报告。</w:t>
      </w:r>
    </w:p>
    <w:p>
      <w:pPr>
        <w:pStyle w:val="Heading7"/>
        <w:spacing w:line="240" w:lineRule="auto"/>
        <w:ind w:right="94"/>
        <w:jc w:val="left"/>
        <w:rPr>
          <w:b w:val="0"/>
          <w:bCs w:val="0"/>
        </w:rPr>
      </w:pPr>
      <w:r>
        <w:rPr/>
        <w:t>（二）公司会计政策、会计估计变更情况及对公司的影响说明和分析</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206" w:firstLine="479"/>
        <w:jc w:val="left"/>
      </w:pPr>
      <w:r>
        <w:rPr>
          <w:spacing w:val="-3"/>
        </w:rPr>
        <w:t>报告期内，公司没有重大会计政策变化、会计估计变更情况，未发生重大会</w:t>
      </w:r>
      <w:r>
        <w:rPr/>
        <w:t> 计差错。</w:t>
      </w:r>
    </w:p>
    <w:p>
      <w:pPr>
        <w:pStyle w:val="Heading7"/>
        <w:spacing w:line="240" w:lineRule="auto" w:before="193"/>
        <w:ind w:right="94"/>
        <w:jc w:val="left"/>
        <w:rPr>
          <w:b w:val="0"/>
          <w:bCs w:val="0"/>
        </w:rPr>
      </w:pPr>
      <w:r>
        <w:rPr/>
        <w:t>六、董事会本次利润分配或资本公积金转增股本预案</w:t>
      </w:r>
      <w:r>
        <w:rPr>
          <w:b w:val="0"/>
          <w:bCs w:val="0"/>
        </w:rPr>
      </w:r>
    </w:p>
    <w:p>
      <w:pPr>
        <w:spacing w:line="240" w:lineRule="auto" w:before="9"/>
        <w:rPr>
          <w:rFonts w:ascii="宋体" w:hAnsi="宋体" w:cs="宋体" w:eastAsia="宋体" w:hint="default"/>
          <w:b/>
          <w:bCs/>
          <w:sz w:val="23"/>
          <w:szCs w:val="23"/>
        </w:rPr>
      </w:pPr>
    </w:p>
    <w:p>
      <w:pPr>
        <w:pStyle w:val="Heading7"/>
        <w:spacing w:line="240" w:lineRule="auto" w:before="0"/>
        <w:ind w:right="94"/>
        <w:jc w:val="left"/>
        <w:rPr>
          <w:b w:val="0"/>
          <w:bCs w:val="0"/>
        </w:rPr>
      </w:pPr>
      <w:r>
        <w:rPr/>
        <w:t>（一）</w:t>
      </w:r>
      <w:r>
        <w:rPr>
          <w:rFonts w:ascii="宋体" w:hAnsi="宋体" w:cs="宋体" w:eastAsia="宋体" w:hint="default"/>
        </w:rPr>
        <w:t>2011</w:t>
      </w:r>
      <w:r>
        <w:rPr>
          <w:rFonts w:ascii="宋体" w:hAnsi="宋体" w:cs="宋体" w:eastAsia="宋体" w:hint="default"/>
          <w:spacing w:val="-65"/>
        </w:rPr>
        <w:t> </w:t>
      </w:r>
      <w:r>
        <w:rPr/>
        <w:t>年利润分配及资本公积金转增股本的预案</w:t>
      </w:r>
      <w:r>
        <w:rPr>
          <w:b w:val="0"/>
          <w:bCs w:val="0"/>
        </w:rPr>
      </w:r>
    </w:p>
    <w:p>
      <w:pPr>
        <w:spacing w:line="240" w:lineRule="auto" w:before="12"/>
        <w:rPr>
          <w:rFonts w:ascii="宋体" w:hAnsi="宋体" w:cs="宋体" w:eastAsia="宋体" w:hint="default"/>
          <w:b/>
          <w:bCs/>
          <w:sz w:val="24"/>
          <w:szCs w:val="24"/>
        </w:rPr>
      </w:pPr>
    </w:p>
    <w:p>
      <w:pPr>
        <w:spacing w:line="391" w:lineRule="auto" w:before="0"/>
        <w:ind w:left="120" w:right="94" w:firstLine="549"/>
        <w:jc w:val="left"/>
        <w:rPr>
          <w:rFonts w:ascii="宋体" w:hAnsi="宋体" w:cs="宋体" w:eastAsia="宋体" w:hint="default"/>
          <w:sz w:val="22"/>
          <w:szCs w:val="22"/>
        </w:rPr>
      </w:pPr>
      <w:r>
        <w:rPr>
          <w:rFonts w:ascii="宋体" w:hAnsi="宋体" w:cs="宋体" w:eastAsia="宋体" w:hint="default"/>
          <w:sz w:val="22"/>
          <w:szCs w:val="22"/>
        </w:rPr>
        <w:t>经大华会计师事务所有限公司审计，公司</w:t>
      </w:r>
      <w:r>
        <w:rPr>
          <w:rFonts w:ascii="宋体" w:hAnsi="宋体" w:cs="宋体" w:eastAsia="宋体" w:hint="default"/>
          <w:sz w:val="22"/>
          <w:szCs w:val="22"/>
        </w:rPr>
        <w:t>2011</w:t>
      </w:r>
      <w:r>
        <w:rPr>
          <w:rFonts w:ascii="宋体" w:hAnsi="宋体" w:cs="宋体" w:eastAsia="宋体" w:hint="default"/>
          <w:sz w:val="22"/>
          <w:szCs w:val="22"/>
        </w:rPr>
        <w:t>年度实现归属于上市公司股东的净</w:t>
      </w:r>
      <w:r>
        <w:rPr>
          <w:rFonts w:ascii="宋体" w:hAnsi="宋体" w:cs="宋体" w:eastAsia="宋体" w:hint="default"/>
          <w:w w:val="100"/>
          <w:sz w:val="22"/>
          <w:szCs w:val="22"/>
        </w:rPr>
        <w:t> </w:t>
      </w:r>
      <w:r>
        <w:rPr>
          <w:rFonts w:ascii="宋体" w:hAnsi="宋体" w:cs="宋体" w:eastAsia="宋体" w:hint="default"/>
          <w:spacing w:val="-2"/>
          <w:sz w:val="22"/>
          <w:szCs w:val="22"/>
        </w:rPr>
        <w:t>利润</w:t>
      </w:r>
      <w:r>
        <w:rPr>
          <w:rFonts w:ascii="宋体" w:hAnsi="宋体" w:cs="宋体" w:eastAsia="宋体" w:hint="default"/>
          <w:spacing w:val="-2"/>
          <w:sz w:val="22"/>
          <w:szCs w:val="22"/>
        </w:rPr>
        <w:t>75,741,882.90</w:t>
      </w:r>
      <w:r>
        <w:rPr>
          <w:rFonts w:ascii="宋体" w:hAnsi="宋体" w:cs="宋体" w:eastAsia="宋体" w:hint="default"/>
          <w:spacing w:val="-2"/>
          <w:sz w:val="22"/>
          <w:szCs w:val="22"/>
        </w:rPr>
        <w:t>元，其中，母公司实现净利润</w:t>
      </w:r>
      <w:r>
        <w:rPr>
          <w:rFonts w:ascii="宋体" w:hAnsi="宋体" w:cs="宋体" w:eastAsia="宋体" w:hint="default"/>
          <w:spacing w:val="-2"/>
          <w:sz w:val="22"/>
          <w:szCs w:val="22"/>
        </w:rPr>
        <w:t>37,753,847.23</w:t>
      </w:r>
      <w:r>
        <w:rPr>
          <w:rFonts w:ascii="宋体" w:hAnsi="宋体" w:cs="宋体" w:eastAsia="宋体" w:hint="default"/>
          <w:spacing w:val="-2"/>
          <w:sz w:val="22"/>
          <w:szCs w:val="22"/>
        </w:rPr>
        <w:t>元。根据《公司法》和</w:t>
      </w:r>
    </w:p>
    <w:p>
      <w:pPr>
        <w:spacing w:line="376" w:lineRule="auto" w:before="41"/>
        <w:ind w:left="120" w:right="94" w:firstLine="0"/>
        <w:jc w:val="left"/>
        <w:rPr>
          <w:rFonts w:ascii="宋体" w:hAnsi="宋体" w:cs="宋体" w:eastAsia="宋体" w:hint="default"/>
          <w:sz w:val="22"/>
          <w:szCs w:val="22"/>
        </w:rPr>
      </w:pPr>
      <w:r>
        <w:rPr>
          <w:rFonts w:ascii="宋体" w:hAnsi="宋体" w:cs="宋体" w:eastAsia="宋体" w:hint="default"/>
          <w:spacing w:val="-1"/>
          <w:sz w:val="22"/>
          <w:szCs w:val="22"/>
        </w:rPr>
        <w:t>《公司章程》的有关规定，母公司提取</w:t>
      </w:r>
      <w:r>
        <w:rPr>
          <w:rFonts w:ascii="宋体" w:hAnsi="宋体" w:cs="宋体" w:eastAsia="宋体" w:hint="default"/>
          <w:spacing w:val="-1"/>
          <w:sz w:val="22"/>
          <w:szCs w:val="22"/>
        </w:rPr>
        <w:t>10%</w:t>
      </w:r>
      <w:r>
        <w:rPr>
          <w:rFonts w:ascii="宋体" w:hAnsi="宋体" w:cs="宋体" w:eastAsia="宋体" w:hint="default"/>
          <w:spacing w:val="-1"/>
          <w:sz w:val="22"/>
          <w:szCs w:val="22"/>
        </w:rPr>
        <w:t>法定盈余公积金</w:t>
      </w:r>
      <w:r>
        <w:rPr>
          <w:rFonts w:ascii="宋体" w:hAnsi="宋体" w:cs="宋体" w:eastAsia="宋体" w:hint="default"/>
          <w:spacing w:val="-1"/>
          <w:sz w:val="22"/>
          <w:szCs w:val="22"/>
        </w:rPr>
        <w:t>3,775,384.72</w:t>
      </w:r>
      <w:r>
        <w:rPr>
          <w:rFonts w:ascii="宋体" w:hAnsi="宋体" w:cs="宋体" w:eastAsia="宋体" w:hint="default"/>
          <w:spacing w:val="-1"/>
          <w:sz w:val="22"/>
          <w:szCs w:val="22"/>
        </w:rPr>
        <w:t>元。截止</w:t>
      </w:r>
      <w:r>
        <w:rPr>
          <w:rFonts w:ascii="宋体" w:hAnsi="宋体" w:cs="宋体" w:eastAsia="宋体" w:hint="default"/>
          <w:spacing w:val="-1"/>
          <w:sz w:val="22"/>
          <w:szCs w:val="22"/>
        </w:rPr>
        <w:t>2011</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r>
        <w:rPr>
          <w:rFonts w:ascii="宋体" w:hAnsi="宋体" w:cs="宋体" w:eastAsia="宋体" w:hint="default"/>
          <w:sz w:val="24"/>
          <w:szCs w:val="24"/>
        </w:rPr>
        <w:t>公司可供股东分配的</w:t>
      </w:r>
      <w:r>
        <w:rPr>
          <w:rFonts w:ascii="宋体" w:hAnsi="宋体" w:cs="宋体" w:eastAsia="宋体" w:hint="default"/>
          <w:sz w:val="22"/>
          <w:szCs w:val="22"/>
        </w:rPr>
        <w:t>利润为</w:t>
      </w:r>
      <w:r>
        <w:rPr>
          <w:rFonts w:ascii="宋体" w:hAnsi="宋体" w:cs="宋体" w:eastAsia="宋体" w:hint="default"/>
          <w:sz w:val="22"/>
          <w:szCs w:val="22"/>
        </w:rPr>
        <w:t>168,030,408.69</w:t>
      </w:r>
      <w:r>
        <w:rPr>
          <w:rFonts w:ascii="宋体" w:hAnsi="宋体" w:cs="宋体" w:eastAsia="宋体" w:hint="default"/>
          <w:sz w:val="22"/>
          <w:szCs w:val="22"/>
        </w:rPr>
        <w:t>元。</w:t>
      </w:r>
    </w:p>
    <w:p>
      <w:pPr>
        <w:pStyle w:val="BodyText"/>
        <w:spacing w:line="357" w:lineRule="auto" w:before="173"/>
        <w:ind w:right="226" w:firstLine="479"/>
        <w:jc w:val="left"/>
      </w:pPr>
      <w:r>
        <w:rPr/>
        <w:t>公司拟以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11430</w:t>
      </w:r>
      <w:r>
        <w:rPr/>
        <w:t>万股为基数，按每</w:t>
      </w:r>
      <w:r>
        <w:rPr>
          <w:rFonts w:ascii="宋体" w:hAnsi="宋体" w:cs="宋体" w:eastAsia="宋体" w:hint="default"/>
        </w:rPr>
        <w:t>10</w:t>
      </w:r>
      <w:r>
        <w:rPr/>
        <w:t>股派发现金 红利</w:t>
      </w:r>
      <w:r>
        <w:rPr>
          <w:rFonts w:ascii="宋体" w:hAnsi="宋体" w:cs="宋体" w:eastAsia="宋体" w:hint="default"/>
        </w:rPr>
        <w:t>1</w:t>
      </w:r>
      <w:r>
        <w:rPr/>
        <w:t>元（含税），共分配现金股利</w:t>
      </w:r>
      <w:r>
        <w:rPr>
          <w:rFonts w:ascii="宋体" w:hAnsi="宋体" w:cs="宋体" w:eastAsia="宋体" w:hint="default"/>
        </w:rPr>
        <w:t>1143</w:t>
      </w:r>
      <w:r>
        <w:rPr/>
        <w:t>万元，剩余未分配利润结转以后年度。</w:t>
      </w:r>
    </w:p>
    <w:p>
      <w:pPr>
        <w:spacing w:after="0" w:line="357" w:lineRule="auto"/>
        <w:jc w:val="left"/>
        <w:sectPr>
          <w:pgSz w:w="11910" w:h="16840"/>
          <w:pgMar w:header="0" w:footer="1195" w:top="1460" w:bottom="1380" w:left="1680" w:right="1580"/>
        </w:sectPr>
      </w:pPr>
    </w:p>
    <w:p>
      <w:pPr>
        <w:pStyle w:val="BodyText"/>
        <w:spacing w:line="240" w:lineRule="auto" w:before="1"/>
        <w:ind w:left="700" w:right="226"/>
        <w:jc w:val="left"/>
      </w:pPr>
      <w:r>
        <w:rPr/>
        <w:t>上述预案尚需提交公司</w:t>
      </w:r>
      <w:r>
        <w:rPr>
          <w:rFonts w:ascii="宋体" w:hAnsi="宋体" w:cs="宋体" w:eastAsia="宋体" w:hint="default"/>
        </w:rPr>
        <w:t>2011</w:t>
      </w:r>
      <w:r>
        <w:rPr/>
        <w:t>年股东大会审议。</w:t>
      </w:r>
    </w:p>
    <w:p>
      <w:pPr>
        <w:spacing w:line="240" w:lineRule="auto" w:before="9"/>
        <w:rPr>
          <w:rFonts w:ascii="宋体" w:hAnsi="宋体" w:cs="宋体" w:eastAsia="宋体" w:hint="default"/>
          <w:sz w:val="23"/>
          <w:szCs w:val="23"/>
        </w:rPr>
      </w:pPr>
    </w:p>
    <w:p>
      <w:pPr>
        <w:pStyle w:val="Heading7"/>
        <w:spacing w:line="240" w:lineRule="auto" w:before="0"/>
        <w:ind w:left="220" w:right="226"/>
        <w:jc w:val="left"/>
        <w:rPr>
          <w:b w:val="0"/>
          <w:bCs w:val="0"/>
        </w:rPr>
      </w:pPr>
      <w:r>
        <w:rPr/>
        <w:t>（二）公司前三年现金分红情况：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700" w:right="102"/>
        <w:jc w:val="left"/>
        <w:rPr>
          <w:rFonts w:ascii="宋体" w:hAnsi="宋体" w:cs="宋体" w:eastAsia="宋体" w:hint="default"/>
        </w:rPr>
      </w:pPr>
      <w:r>
        <w:rPr>
          <w:rFonts w:ascii="宋体" w:hAnsi="宋体" w:cs="宋体" w:eastAsia="宋体" w:hint="default"/>
          <w:spacing w:val="-4"/>
        </w:rPr>
        <w:t>1</w:t>
      </w:r>
      <w:r>
        <w:rPr>
          <w:spacing w:val="-4"/>
        </w:rPr>
        <w:t>、</w:t>
      </w:r>
      <w:r>
        <w:rPr>
          <w:rFonts w:ascii="宋体" w:hAnsi="宋体" w:cs="宋体" w:eastAsia="宋体" w:hint="default"/>
          <w:spacing w:val="-4"/>
        </w:rPr>
        <w:t>2009</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4"/>
        </w:rPr>
        <w:t>日，公司召开</w:t>
      </w:r>
      <w:r>
        <w:rPr>
          <w:spacing w:val="-59"/>
        </w:rPr>
        <w:t> </w:t>
      </w:r>
      <w:r>
        <w:rPr>
          <w:rFonts w:ascii="宋体" w:hAnsi="宋体" w:cs="宋体" w:eastAsia="宋体" w:hint="default"/>
        </w:rPr>
        <w:t>2008</w:t>
      </w:r>
      <w:r>
        <w:rPr>
          <w:rFonts w:ascii="宋体" w:hAnsi="宋体" w:cs="宋体" w:eastAsia="宋体" w:hint="default"/>
          <w:spacing w:val="-59"/>
        </w:rPr>
        <w:t> </w:t>
      </w:r>
      <w:r>
        <w:rPr>
          <w:spacing w:val="-4"/>
        </w:rPr>
        <w:t>年度股东大会，通过《关于审议</w:t>
      </w:r>
      <w:r>
        <w:rPr>
          <w:spacing w:val="-59"/>
        </w:rPr>
        <w:t> </w:t>
      </w:r>
      <w:r>
        <w:rPr>
          <w:rFonts w:ascii="宋体" w:hAnsi="宋体" w:cs="宋体" w:eastAsia="宋体" w:hint="default"/>
        </w:rPr>
        <w:t>2008</w:t>
      </w:r>
    </w:p>
    <w:p>
      <w:pPr>
        <w:pStyle w:val="BodyText"/>
        <w:spacing w:line="240" w:lineRule="auto" w:before="154"/>
        <w:ind w:left="220" w:right="102"/>
        <w:jc w:val="left"/>
        <w:rPr>
          <w:rFonts w:ascii="宋体" w:hAnsi="宋体" w:cs="宋体" w:eastAsia="宋体" w:hint="default"/>
        </w:rPr>
      </w:pPr>
      <w:r>
        <w:rPr/>
        <w:t>年度利润分配方案的议案</w:t>
      </w:r>
      <w:r>
        <w:rPr>
          <w:spacing w:val="-120"/>
        </w:rPr>
        <w:t>》</w:t>
      </w:r>
      <w:r>
        <w:rPr>
          <w:spacing w:val="-94"/>
        </w:rPr>
        <w:t>，</w:t>
      </w:r>
      <w:r>
        <w:rPr/>
        <w:t>公司以</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4750</w:t>
      </w:r>
      <w:r>
        <w:rPr>
          <w:rFonts w:ascii="宋体" w:hAnsi="宋体" w:cs="宋体" w:eastAsia="宋体" w:hint="default"/>
          <w:spacing w:val="-60"/>
        </w:rPr>
        <w:t> </w:t>
      </w:r>
      <w:r>
        <w:rPr/>
        <w:t>万股为基数</w:t>
      </w:r>
      <w:r>
        <w:rPr>
          <w:rFonts w:ascii="宋体" w:hAnsi="宋体" w:cs="宋体" w:eastAsia="宋体" w:hint="default"/>
        </w:rPr>
        <w:t>,</w:t>
      </w:r>
    </w:p>
    <w:p>
      <w:pPr>
        <w:pStyle w:val="BodyText"/>
        <w:spacing w:line="357" w:lineRule="auto" w:before="154"/>
        <w:ind w:left="220" w:right="133"/>
        <w:jc w:val="left"/>
      </w:pPr>
      <w:r>
        <w:rPr>
          <w:spacing w:val="-1"/>
        </w:rPr>
        <w:t>以未分配利润向全体股东按每</w:t>
      </w:r>
      <w:r>
        <w:rPr>
          <w:spacing w:val="-59"/>
        </w:rPr>
        <w:t> </w:t>
      </w:r>
      <w:r>
        <w:rPr>
          <w:rFonts w:ascii="宋体" w:hAnsi="宋体" w:cs="宋体" w:eastAsia="宋体" w:hint="default"/>
        </w:rPr>
        <w:t>10</w:t>
      </w:r>
      <w:r>
        <w:rPr>
          <w:rFonts w:ascii="宋体" w:hAnsi="宋体" w:cs="宋体" w:eastAsia="宋体" w:hint="default"/>
          <w:spacing w:val="-59"/>
        </w:rPr>
        <w:t> </w:t>
      </w:r>
      <w:r>
        <w:rPr/>
        <w:t>股派发现金红利</w:t>
      </w:r>
      <w:r>
        <w:rPr>
          <w:spacing w:val="-59"/>
        </w:rPr>
        <w:t> </w:t>
      </w:r>
      <w:r>
        <w:rPr>
          <w:rFonts w:ascii="宋体" w:hAnsi="宋体" w:cs="宋体" w:eastAsia="宋体" w:hint="default"/>
        </w:rPr>
        <w:t>2</w:t>
      </w:r>
      <w:r>
        <w:rPr>
          <w:rFonts w:ascii="宋体" w:hAnsi="宋体" w:cs="宋体" w:eastAsia="宋体" w:hint="default"/>
          <w:spacing w:val="-59"/>
        </w:rPr>
        <w:t> </w:t>
      </w:r>
      <w:r>
        <w:rPr>
          <w:spacing w:val="-15"/>
        </w:rPr>
        <w:t>元（含税），合计</w:t>
      </w:r>
      <w:r>
        <w:rPr>
          <w:spacing w:val="-59"/>
        </w:rPr>
        <w:t> </w:t>
      </w:r>
      <w:r>
        <w:rPr>
          <w:rFonts w:ascii="宋体" w:hAnsi="宋体" w:cs="宋体" w:eastAsia="宋体" w:hint="default"/>
        </w:rPr>
        <w:t>950</w:t>
      </w:r>
      <w:r>
        <w:rPr>
          <w:rFonts w:ascii="宋体" w:hAnsi="宋体" w:cs="宋体" w:eastAsia="宋体" w:hint="default"/>
          <w:spacing w:val="-59"/>
        </w:rPr>
        <w:t> </w:t>
      </w:r>
      <w:r>
        <w:rPr/>
        <w:t>万元， 公司代扣代缴相应的所得税金。</w:t>
      </w:r>
    </w:p>
    <w:p>
      <w:pPr>
        <w:pStyle w:val="BodyText"/>
        <w:spacing w:line="240" w:lineRule="auto" w:before="193"/>
        <w:ind w:left="700" w:right="226"/>
        <w:jc w:val="left"/>
      </w:pPr>
      <w:r>
        <w:rPr>
          <w:rFonts w:ascii="宋体" w:hAnsi="宋体" w:cs="宋体" w:eastAsia="宋体" w:hint="default"/>
        </w:rPr>
        <w:t>2</w:t>
      </w:r>
      <w:r>
        <w:rPr/>
        <w:t>、</w:t>
      </w:r>
      <w:r>
        <w:rPr>
          <w:rFonts w:ascii="宋体" w:hAnsi="宋体" w:cs="宋体" w:eastAsia="宋体" w:hint="default"/>
        </w:rPr>
        <w:t>2009</w:t>
      </w:r>
      <w:r>
        <w:rPr>
          <w:rFonts w:ascii="宋体" w:hAnsi="宋体" w:cs="宋体" w:eastAsia="宋体" w:hint="default"/>
          <w:spacing w:val="-60"/>
        </w:rPr>
        <w:t> </w:t>
      </w:r>
      <w:r>
        <w:rPr/>
        <w:t>年度未进行现金股利分配。</w:t>
      </w:r>
    </w:p>
    <w:p>
      <w:pPr>
        <w:spacing w:line="240" w:lineRule="auto" w:before="9"/>
        <w:rPr>
          <w:rFonts w:ascii="宋体" w:hAnsi="宋体" w:cs="宋体" w:eastAsia="宋体" w:hint="default"/>
          <w:sz w:val="23"/>
          <w:szCs w:val="23"/>
        </w:rPr>
      </w:pPr>
    </w:p>
    <w:p>
      <w:pPr>
        <w:pStyle w:val="BodyText"/>
        <w:spacing w:line="360" w:lineRule="auto"/>
        <w:ind w:left="220" w:right="226" w:firstLine="479"/>
        <w:jc w:val="left"/>
        <w:rPr>
          <w:sz w:val="23"/>
          <w:szCs w:val="23"/>
        </w:rPr>
      </w:pPr>
      <w:r>
        <w:rPr>
          <w:rFonts w:ascii="宋体" w:hAnsi="宋体" w:cs="宋体" w:eastAsia="宋体" w:hint="default"/>
          <w:spacing w:val="-3"/>
        </w:rPr>
        <w:t>3</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日，公司召开</w:t>
      </w:r>
      <w:r>
        <w:rPr>
          <w:rFonts w:ascii="宋体" w:hAnsi="宋体" w:cs="宋体" w:eastAsia="宋体" w:hint="default"/>
          <w:spacing w:val="-3"/>
        </w:rPr>
        <w:t>2010</w:t>
      </w:r>
      <w:r>
        <w:rPr>
          <w:spacing w:val="-3"/>
        </w:rPr>
        <w:t>年年度股东大会审议通过</w:t>
      </w:r>
      <w:r>
        <w:rPr>
          <w:rFonts w:ascii="宋体" w:hAnsi="宋体" w:cs="宋体" w:eastAsia="宋体" w:hint="default"/>
          <w:spacing w:val="-3"/>
        </w:rPr>
        <w:t>2010</w:t>
      </w:r>
      <w:r>
        <w:rPr>
          <w:spacing w:val="-3"/>
        </w:rPr>
        <w:t>年度权益分</w:t>
      </w:r>
      <w:r>
        <w:rPr/>
        <w:t> </w:t>
      </w:r>
      <w:r>
        <w:rPr>
          <w:spacing w:val="-3"/>
        </w:rPr>
        <w:t>配方案，公司以</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6350</w:t>
      </w:r>
      <w:r>
        <w:rPr>
          <w:spacing w:val="-3"/>
        </w:rPr>
        <w:t>万股为基数，按每</w:t>
      </w:r>
      <w:r>
        <w:rPr>
          <w:rFonts w:ascii="宋体" w:hAnsi="宋体" w:cs="宋体" w:eastAsia="宋体" w:hint="default"/>
          <w:spacing w:val="-3"/>
        </w:rPr>
        <w:t>10</w:t>
      </w:r>
      <w:r>
        <w:rPr>
          <w:spacing w:val="-3"/>
        </w:rPr>
        <w:t>股派发现金</w:t>
      </w:r>
      <w:r>
        <w:rPr>
          <w:spacing w:val="-91"/>
        </w:rPr>
        <w:t> </w:t>
      </w:r>
      <w:r>
        <w:rPr>
          <w:spacing w:val="-4"/>
        </w:rPr>
        <w:t>红利</w:t>
      </w:r>
      <w:r>
        <w:rPr>
          <w:rFonts w:ascii="宋体" w:hAnsi="宋体" w:cs="宋体" w:eastAsia="宋体" w:hint="default"/>
          <w:spacing w:val="-4"/>
        </w:rPr>
        <w:t>2</w:t>
      </w:r>
      <w:r>
        <w:rPr>
          <w:spacing w:val="-4"/>
        </w:rPr>
        <w:t>元（含税），共分配现金股利</w:t>
      </w:r>
      <w:r>
        <w:rPr>
          <w:rFonts w:ascii="宋体" w:hAnsi="宋体" w:cs="宋体" w:eastAsia="宋体" w:hint="default"/>
          <w:spacing w:val="-4"/>
        </w:rPr>
        <w:t>1270</w:t>
      </w:r>
      <w:r>
        <w:rPr>
          <w:spacing w:val="-4"/>
        </w:rPr>
        <w:t>万元，剩余未分配利润结转以后年度。</w:t>
      </w:r>
      <w:r>
        <w:rPr>
          <w:spacing w:val="-93"/>
        </w:rPr>
        <w:t> </w:t>
      </w:r>
      <w:r>
        <w:rPr>
          <w:sz w:val="23"/>
          <w:szCs w:val="23"/>
        </w:rPr>
        <w:t>三年现金分红情况表：</w:t>
      </w:r>
    </w:p>
    <w:tbl>
      <w:tblPr>
        <w:tblW w:w="0" w:type="auto"/>
        <w:jc w:val="left"/>
        <w:tblInd w:w="107" w:type="dxa"/>
        <w:tblLayout w:type="fixed"/>
        <w:tblCellMar>
          <w:top w:w="0" w:type="dxa"/>
          <w:left w:w="0" w:type="dxa"/>
          <w:bottom w:w="0" w:type="dxa"/>
          <w:right w:w="0" w:type="dxa"/>
        </w:tblCellMar>
        <w:tblLook w:val="01E0"/>
      </w:tblPr>
      <w:tblGrid>
        <w:gridCol w:w="1714"/>
        <w:gridCol w:w="1714"/>
        <w:gridCol w:w="2494"/>
        <w:gridCol w:w="2411"/>
      </w:tblGrid>
      <w:tr>
        <w:trPr>
          <w:trHeight w:val="94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0"/>
              <w:jc w:val="center"/>
              <w:rPr>
                <w:rFonts w:ascii="宋体" w:hAnsi="宋体" w:cs="宋体" w:eastAsia="宋体" w:hint="default"/>
                <w:sz w:val="21"/>
                <w:szCs w:val="21"/>
              </w:rPr>
            </w:pPr>
            <w:r>
              <w:rPr>
                <w:rFonts w:ascii="宋体" w:hAnsi="宋体" w:cs="宋体" w:eastAsia="宋体" w:hint="default"/>
                <w:spacing w:val="-2"/>
                <w:sz w:val="21"/>
                <w:szCs w:val="21"/>
              </w:rPr>
              <w:t>分红年度合并报表中归</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属于上市公司股东的净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利润（元）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9" w:right="146"/>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市公司股东的净利润的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比率（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9,500,000.00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31,118,544.38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30.53</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44,395,399.78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12,700,000.00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57,894,445.26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21.94</w:t>
            </w:r>
          </w:p>
        </w:tc>
      </w:tr>
      <w:tr>
        <w:trPr>
          <w:trHeight w:val="322" w:hRule="exact"/>
        </w:trPr>
        <w:tc>
          <w:tcPr>
            <w:tcW w:w="59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最近三年累计现金分红金额占最近三年年均净利润的比例（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49.92</w:t>
            </w:r>
          </w:p>
        </w:tc>
      </w:tr>
    </w:tbl>
    <w:p>
      <w:pPr>
        <w:spacing w:line="240" w:lineRule="auto" w:before="3"/>
        <w:rPr>
          <w:rFonts w:ascii="宋体" w:hAnsi="宋体" w:cs="宋体" w:eastAsia="宋体" w:hint="default"/>
          <w:sz w:val="13"/>
          <w:szCs w:val="13"/>
        </w:rPr>
      </w:pPr>
    </w:p>
    <w:p>
      <w:pPr>
        <w:spacing w:line="477" w:lineRule="auto" w:before="26"/>
        <w:ind w:left="700" w:right="1686" w:hanging="480"/>
        <w:jc w:val="left"/>
        <w:rPr>
          <w:rFonts w:ascii="宋体" w:hAnsi="宋体" w:cs="宋体" w:eastAsia="宋体" w:hint="default"/>
          <w:sz w:val="24"/>
          <w:szCs w:val="24"/>
        </w:rPr>
      </w:pPr>
      <w:r>
        <w:rPr>
          <w:rFonts w:ascii="宋体" w:hAnsi="宋体" w:cs="宋体" w:eastAsia="宋体" w:hint="default"/>
          <w:b/>
          <w:bCs/>
          <w:sz w:val="24"/>
          <w:szCs w:val="24"/>
        </w:rPr>
        <w:t>（三）公司最近三年股本变动情况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z w:val="24"/>
          <w:szCs w:val="24"/>
        </w:rPr>
        <w:t>年股本未发生变化，</w:t>
      </w:r>
      <w:r>
        <w:rPr>
          <w:rFonts w:ascii="宋体" w:hAnsi="宋体" w:cs="宋体" w:eastAsia="宋体" w:hint="default"/>
          <w:sz w:val="24"/>
          <w:szCs w:val="24"/>
        </w:rPr>
        <w:t>2009</w:t>
      </w:r>
      <w:r>
        <w:rPr>
          <w:rFonts w:ascii="宋体" w:hAnsi="宋体" w:cs="宋体" w:eastAsia="宋体" w:hint="default"/>
          <w:sz w:val="24"/>
          <w:szCs w:val="24"/>
        </w:rPr>
        <w:t>年末公司股本为</w:t>
      </w:r>
      <w:r>
        <w:rPr>
          <w:rFonts w:ascii="宋体" w:hAnsi="宋体" w:cs="宋体" w:eastAsia="宋体" w:hint="default"/>
          <w:sz w:val="24"/>
          <w:szCs w:val="24"/>
        </w:rPr>
        <w:t>4750</w:t>
      </w:r>
      <w:r>
        <w:rPr>
          <w:rFonts w:ascii="宋体" w:hAnsi="宋体" w:cs="宋体" w:eastAsia="宋体" w:hint="default"/>
          <w:sz w:val="24"/>
          <w:szCs w:val="24"/>
        </w:rPr>
        <w:t>万股。</w:t>
      </w:r>
    </w:p>
    <w:p>
      <w:pPr>
        <w:pStyle w:val="BodyText"/>
        <w:spacing w:line="357" w:lineRule="auto" w:before="73"/>
        <w:ind w:left="220" w:right="102" w:firstLine="479"/>
        <w:jc w:val="left"/>
      </w:pP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10</w:t>
      </w:r>
      <w:r>
        <w:rPr/>
        <w:t>月，经中国证券监督管理委员会“证监许可</w:t>
      </w:r>
      <w:r>
        <w:rPr>
          <w:rFonts w:ascii="宋体" w:hAnsi="宋体" w:cs="宋体" w:eastAsia="宋体" w:hint="default"/>
        </w:rPr>
        <w:t>[2010]1292</w:t>
      </w:r>
      <w:r>
        <w:rPr/>
        <w:t>号”文 </w:t>
      </w:r>
      <w:r>
        <w:rPr>
          <w:spacing w:val="-3"/>
        </w:rPr>
        <w:t>核准，本公司公开发行人民币普通股</w:t>
      </w:r>
      <w:r>
        <w:rPr>
          <w:rFonts w:ascii="宋体" w:hAnsi="宋体" w:cs="宋体" w:eastAsia="宋体" w:hint="default"/>
          <w:spacing w:val="-3"/>
        </w:rPr>
        <w:t>1,600 </w:t>
      </w:r>
      <w:r>
        <w:rPr>
          <w:spacing w:val="-3"/>
        </w:rPr>
        <w:t>万股。本次发行采用网下向配售对象</w:t>
      </w:r>
      <w:r>
        <w:rPr>
          <w:spacing w:val="-102"/>
        </w:rPr>
        <w:t> </w:t>
      </w:r>
      <w:r>
        <w:rPr>
          <w:spacing w:val="-102"/>
        </w:rPr>
      </w:r>
      <w:r>
        <w:rPr>
          <w:spacing w:val="-3"/>
        </w:rPr>
        <w:t>询价配售（以下简称“网下配售”）和网上向社会公众投资者定价发行（以下简</w:t>
      </w:r>
      <w:r>
        <w:rPr>
          <w:spacing w:val="-111"/>
        </w:rPr>
        <w:t> </w:t>
      </w:r>
      <w:r>
        <w:rPr>
          <w:spacing w:val="-111"/>
        </w:rPr>
      </w:r>
      <w:r>
        <w:rPr>
          <w:spacing w:val="-6"/>
        </w:rPr>
        <w:t>称“网上发行”）相结合的方式，其中，网下配售</w:t>
      </w:r>
      <w:r>
        <w:rPr>
          <w:rFonts w:ascii="宋体" w:hAnsi="宋体" w:cs="宋体" w:eastAsia="宋体" w:hint="default"/>
          <w:spacing w:val="-6"/>
        </w:rPr>
        <w:t>320</w:t>
      </w:r>
      <w:r>
        <w:rPr>
          <w:spacing w:val="-6"/>
        </w:rPr>
        <w:t>万股，网上发行</w:t>
      </w:r>
      <w:r>
        <w:rPr>
          <w:rFonts w:ascii="宋体" w:hAnsi="宋体" w:cs="宋体" w:eastAsia="宋体" w:hint="default"/>
          <w:spacing w:val="-6"/>
        </w:rPr>
        <w:t>1,280</w:t>
      </w:r>
      <w:r>
        <w:rPr>
          <w:spacing w:val="-6"/>
        </w:rPr>
        <w:t>万股，</w:t>
      </w:r>
      <w:r>
        <w:rPr>
          <w:spacing w:val="-96"/>
        </w:rPr>
        <w:t> </w:t>
      </w:r>
      <w:r>
        <w:rPr>
          <w:spacing w:val="-3"/>
        </w:rPr>
        <w:t>发行价格为</w:t>
      </w:r>
      <w:r>
        <w:rPr>
          <w:rFonts w:ascii="宋体" w:hAnsi="宋体" w:cs="宋体" w:eastAsia="宋体" w:hint="default"/>
          <w:spacing w:val="-3"/>
        </w:rPr>
        <w:t>43.33</w:t>
      </w:r>
      <w:r>
        <w:rPr>
          <w:spacing w:val="-3"/>
        </w:rPr>
        <w:t>元</w:t>
      </w:r>
      <w:r>
        <w:rPr>
          <w:rFonts w:ascii="宋体" w:hAnsi="宋体" w:cs="宋体" w:eastAsia="宋体" w:hint="default"/>
          <w:spacing w:val="-3"/>
        </w:rPr>
        <w:t>/</w:t>
      </w:r>
      <w:r>
        <w:rPr>
          <w:spacing w:val="-3"/>
        </w:rPr>
        <w:t>股。经深圳证券交易所《关于深圳市新国都技术股份有限公</w:t>
      </w:r>
      <w:r>
        <w:rPr>
          <w:spacing w:val="-101"/>
        </w:rPr>
        <w:t> </w:t>
      </w:r>
      <w:r>
        <w:rPr>
          <w:spacing w:val="-101"/>
        </w:rPr>
      </w:r>
      <w:r>
        <w:rPr/>
        <w:t>司人民币普通股股票在创业板上市的通知》（深证上</w:t>
      </w:r>
      <w:r>
        <w:rPr>
          <w:rFonts w:ascii="宋体" w:hAnsi="宋体" w:cs="宋体" w:eastAsia="宋体" w:hint="default"/>
        </w:rPr>
        <w:t>[2010]332</w:t>
      </w:r>
      <w:r>
        <w:rPr/>
        <w:t>号）同意，本公 司发行的人民币普通股股票在深圳证券交易所创业板上市，股票简称“新国 都”，股票代码“</w:t>
      </w:r>
      <w:r>
        <w:rPr>
          <w:rFonts w:ascii="宋体" w:hAnsi="宋体" w:cs="宋体" w:eastAsia="宋体" w:hint="default"/>
        </w:rPr>
        <w:t>300130</w:t>
      </w:r>
      <w:r>
        <w:rPr/>
        <w:t>”，公司总股本增至</w:t>
      </w:r>
      <w:r>
        <w:rPr>
          <w:rFonts w:ascii="宋体" w:hAnsi="宋体" w:cs="宋体" w:eastAsia="宋体" w:hint="default"/>
        </w:rPr>
        <w:t>6350</w:t>
      </w:r>
      <w:r>
        <w:rPr/>
        <w:t>万股。</w:t>
      </w:r>
    </w:p>
    <w:p>
      <w:pPr>
        <w:pStyle w:val="BodyText"/>
        <w:spacing w:line="240" w:lineRule="auto" w:before="192"/>
        <w:ind w:left="700" w:right="226"/>
        <w:jc w:val="left"/>
      </w:pPr>
      <w:r>
        <w:rPr>
          <w:rFonts w:ascii="宋体" w:hAnsi="宋体" w:cs="宋体" w:eastAsia="宋体" w:hint="default"/>
          <w:spacing w:val="-3"/>
        </w:rPr>
        <w:t>3</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日，公司召开</w:t>
      </w:r>
      <w:r>
        <w:rPr>
          <w:rFonts w:ascii="宋体" w:hAnsi="宋体" w:cs="宋体" w:eastAsia="宋体" w:hint="default"/>
          <w:spacing w:val="-3"/>
        </w:rPr>
        <w:t>2010</w:t>
      </w:r>
      <w:r>
        <w:rPr>
          <w:spacing w:val="-3"/>
        </w:rPr>
        <w:t>年年度股东大会审议通过</w:t>
      </w:r>
      <w:r>
        <w:rPr>
          <w:rFonts w:ascii="宋体" w:hAnsi="宋体" w:cs="宋体" w:eastAsia="宋体" w:hint="default"/>
          <w:spacing w:val="-3"/>
        </w:rPr>
        <w:t>2010</w:t>
      </w:r>
      <w:r>
        <w:rPr>
          <w:spacing w:val="-3"/>
        </w:rPr>
        <w:t>年度权益分</w:t>
      </w:r>
    </w:p>
    <w:p>
      <w:pPr>
        <w:spacing w:after="0" w:line="240" w:lineRule="auto"/>
        <w:jc w:val="left"/>
        <w:sectPr>
          <w:footerReference w:type="default" r:id="rId26"/>
          <w:pgSz w:w="11910" w:h="16840"/>
          <w:pgMar w:footer="1195" w:header="0" w:top="1460" w:bottom="1380" w:left="1580" w:right="1560"/>
          <w:pgNumType w:start="44"/>
        </w:sectPr>
      </w:pPr>
    </w:p>
    <w:p>
      <w:pPr>
        <w:pStyle w:val="BodyText"/>
        <w:spacing w:line="357" w:lineRule="auto" w:before="1"/>
        <w:ind w:right="196"/>
        <w:jc w:val="both"/>
      </w:pPr>
      <w:r>
        <w:rPr>
          <w:spacing w:val="-3"/>
        </w:rPr>
        <w:t>配方案，公司以</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6350</w:t>
      </w:r>
      <w:r>
        <w:rPr>
          <w:spacing w:val="-3"/>
        </w:rPr>
        <w:t>万股为基数，由资本公积金向全</w:t>
      </w:r>
      <w:r>
        <w:rPr>
          <w:spacing w:val="-93"/>
        </w:rPr>
        <w:t> </w:t>
      </w:r>
      <w:r>
        <w:rPr>
          <w:spacing w:val="-93"/>
        </w:rPr>
      </w:r>
      <w:r>
        <w:rPr/>
        <w:t>体股东每</w:t>
      </w:r>
      <w:r>
        <w:rPr>
          <w:rFonts w:ascii="宋体" w:hAnsi="宋体" w:cs="宋体" w:eastAsia="宋体" w:hint="default"/>
        </w:rPr>
        <w:t>10</w:t>
      </w:r>
      <w:r>
        <w:rPr>
          <w:rFonts w:ascii="宋体" w:hAnsi="宋体" w:cs="宋体" w:eastAsia="宋体" w:hint="default"/>
          <w:spacing w:val="-1"/>
        </w:rPr>
        <w:t> </w:t>
      </w:r>
      <w:r>
        <w:rPr>
          <w:spacing w:val="-3"/>
        </w:rPr>
        <w:t>股转增</w:t>
      </w:r>
      <w:r>
        <w:rPr>
          <w:rFonts w:ascii="宋体" w:hAnsi="宋体" w:cs="宋体" w:eastAsia="宋体" w:hint="default"/>
          <w:spacing w:val="-3"/>
        </w:rPr>
        <w:t>8</w:t>
      </w:r>
      <w:r>
        <w:rPr>
          <w:spacing w:val="-3"/>
        </w:rPr>
        <w:t>股，合计转增股本</w:t>
      </w:r>
      <w:r>
        <w:rPr>
          <w:rFonts w:ascii="宋体" w:hAnsi="宋体" w:cs="宋体" w:eastAsia="宋体" w:hint="default"/>
          <w:spacing w:val="-3"/>
        </w:rPr>
        <w:t>5080</w:t>
      </w:r>
      <w:r>
        <w:rPr>
          <w:spacing w:val="-3"/>
        </w:rPr>
        <w:t>万股。转增股本完成后，公司总股本</w:t>
      </w:r>
      <w:r>
        <w:rPr/>
        <w:t> </w:t>
      </w:r>
      <w:r>
        <w:rPr>
          <w:rFonts w:ascii="宋体" w:hAnsi="宋体" w:cs="宋体" w:eastAsia="宋体" w:hint="default"/>
        </w:rPr>
        <w:t>11430</w:t>
      </w:r>
      <w:r>
        <w:rPr/>
        <w:t>万股。</w:t>
      </w:r>
    </w:p>
    <w:p>
      <w:pPr>
        <w:pStyle w:val="BodyText"/>
        <w:spacing w:line="417" w:lineRule="auto" w:before="113"/>
        <w:ind w:left="600" w:right="185" w:hanging="480"/>
        <w:jc w:val="left"/>
      </w:pPr>
      <w:r>
        <w:rPr/>
        <w:t>（四）公司的利润分配政策 </w:t>
      </w:r>
      <w:r>
        <w:rPr>
          <w:spacing w:val="-3"/>
        </w:rPr>
        <w:t>根据公司现有的《公司章程》规定：公司应实施积极的利润分配政策，利润</w:t>
      </w:r>
    </w:p>
    <w:p>
      <w:pPr>
        <w:pStyle w:val="BodyText"/>
        <w:spacing w:line="290" w:lineRule="exact"/>
        <w:ind w:right="86"/>
        <w:jc w:val="left"/>
      </w:pPr>
      <w:r>
        <w:rPr>
          <w:spacing w:val="-3"/>
        </w:rPr>
        <w:t>分配政策保持连续性和稳定性，最近三年以现金方式累计分配的利润不少于最近</w:t>
      </w:r>
    </w:p>
    <w:p>
      <w:pPr>
        <w:pStyle w:val="BodyText"/>
        <w:spacing w:line="357" w:lineRule="auto" w:before="154"/>
        <w:ind w:right="191"/>
        <w:jc w:val="left"/>
      </w:pPr>
      <w:r>
        <w:rPr>
          <w:spacing w:val="-3"/>
        </w:rPr>
        <w:t>三年实现的年均可分配利润的百分之三十；在有条件的情况下，公司可以进行中</w:t>
      </w:r>
      <w:r>
        <w:rPr>
          <w:spacing w:val="-111"/>
        </w:rPr>
        <w:t> </w:t>
      </w:r>
      <w:r>
        <w:rPr>
          <w:spacing w:val="-111"/>
        </w:rPr>
      </w:r>
      <w:r>
        <w:rPr/>
        <w:t>期现金分红。</w:t>
      </w:r>
    </w:p>
    <w:p>
      <w:pPr>
        <w:pStyle w:val="Heading7"/>
        <w:spacing w:line="240" w:lineRule="auto"/>
        <w:ind w:right="185"/>
        <w:jc w:val="left"/>
        <w:rPr>
          <w:b w:val="0"/>
          <w:bCs w:val="0"/>
        </w:rPr>
      </w:pPr>
      <w:r>
        <w:rPr/>
        <w:t>七、其它需要披露的事项</w:t>
      </w:r>
      <w:r>
        <w:rPr>
          <w:b w:val="0"/>
          <w:bCs w:val="0"/>
        </w:rPr>
      </w:r>
    </w:p>
    <w:p>
      <w:pPr>
        <w:spacing w:line="620" w:lineRule="atLeast" w:before="4"/>
        <w:ind w:left="600" w:right="185" w:hanging="480"/>
        <w:jc w:val="left"/>
        <w:rPr>
          <w:rFonts w:ascii="宋体" w:hAnsi="宋体" w:cs="宋体" w:eastAsia="宋体" w:hint="default"/>
          <w:sz w:val="24"/>
          <w:szCs w:val="24"/>
        </w:rPr>
      </w:pPr>
      <w:r>
        <w:rPr>
          <w:rFonts w:ascii="宋体" w:hAnsi="宋体" w:cs="宋体" w:eastAsia="宋体" w:hint="default"/>
          <w:b/>
          <w:bCs/>
          <w:sz w:val="24"/>
          <w:szCs w:val="24"/>
        </w:rPr>
        <w:t>（一）公司内幕信息知情人管理制度建立和执行情况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为了进一步规范公司内幕信息管理行为，加强内幕信息保密工作，维护公司</w:t>
      </w:r>
    </w:p>
    <w:p>
      <w:pPr>
        <w:pStyle w:val="BodyText"/>
        <w:spacing w:line="357" w:lineRule="auto" w:before="154"/>
        <w:ind w:right="86"/>
        <w:jc w:val="left"/>
      </w:pPr>
      <w:r>
        <w:rPr>
          <w:spacing w:val="-3"/>
        </w:rPr>
        <w:t>信息披露的公开、公平、公正原则，公司董事会于</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15</w:t>
      </w:r>
      <w:r>
        <w:rPr>
          <w:spacing w:val="-3"/>
        </w:rPr>
        <w:t>日召开第一届董</w:t>
      </w:r>
      <w:r>
        <w:rPr>
          <w:spacing w:val="-99"/>
        </w:rPr>
        <w:t> </w:t>
      </w:r>
      <w:r>
        <w:rPr>
          <w:spacing w:val="-3"/>
        </w:rPr>
        <w:t>事会第十二次会议，审议通过《关于审议内幕信息知情人管理制度的议案》。制</w:t>
      </w:r>
      <w:r>
        <w:rPr>
          <w:spacing w:val="-111"/>
        </w:rPr>
        <w:t> </w:t>
      </w:r>
      <w:r>
        <w:rPr>
          <w:spacing w:val="-111"/>
        </w:rPr>
      </w:r>
      <w:r>
        <w:rPr>
          <w:spacing w:val="-3"/>
        </w:rPr>
        <w:t>度明确规定内幕信息的管理工作由董事会负责，董事会秘书组织实施。公司证券</w:t>
      </w:r>
      <w:r>
        <w:rPr>
          <w:spacing w:val="-111"/>
        </w:rPr>
        <w:t> </w:t>
      </w:r>
      <w:r>
        <w:rPr>
          <w:spacing w:val="-111"/>
        </w:rPr>
      </w:r>
      <w:r>
        <w:rPr/>
        <w:t>部是公司信息披露管理、投资者关系管理、内幕信息登记备案的日常办事机构， </w:t>
      </w:r>
      <w:r>
        <w:rPr>
          <w:spacing w:val="-3"/>
        </w:rPr>
        <w:t>并负责公司内幕信息的监管工作。另外还对内幕信息和内幕信息知情人范围进行</w:t>
      </w:r>
      <w:r>
        <w:rPr>
          <w:spacing w:val="-109"/>
        </w:rPr>
        <w:t> </w:t>
      </w:r>
      <w:r>
        <w:rPr>
          <w:spacing w:val="-109"/>
        </w:rPr>
      </w:r>
      <w:r>
        <w:rPr/>
        <w:t>明确界定，并对其实行登记备案管理。</w:t>
      </w:r>
    </w:p>
    <w:p>
      <w:pPr>
        <w:pStyle w:val="BodyText"/>
        <w:spacing w:line="357" w:lineRule="auto" w:before="192"/>
        <w:ind w:right="191" w:firstLine="479"/>
        <w:jc w:val="left"/>
      </w:pPr>
      <w:r>
        <w:rPr>
          <w:rFonts w:ascii="宋体" w:hAnsi="宋体" w:cs="宋体" w:eastAsia="宋体" w:hint="default"/>
          <w:spacing w:val="-3"/>
        </w:rPr>
        <w:t>2011</w:t>
      </w:r>
      <w:r>
        <w:rPr>
          <w:spacing w:val="-3"/>
        </w:rPr>
        <w:t>年，公司严格按制度要求，公司发布重大事项公告、业绩预告和定期报</w:t>
      </w:r>
      <w:r>
        <w:rPr/>
        <w:t> </w:t>
      </w:r>
      <w:r>
        <w:rPr>
          <w:spacing w:val="-3"/>
        </w:rPr>
        <w:t>告等情况下均对未披露信息知情人做登记备案。经自查，报告期内，没发现公司</w:t>
      </w:r>
      <w:r>
        <w:rPr>
          <w:spacing w:val="-111"/>
        </w:rPr>
        <w:t> </w:t>
      </w:r>
      <w:r>
        <w:rPr>
          <w:spacing w:val="-111"/>
        </w:rPr>
      </w:r>
      <w:r>
        <w:rPr/>
        <w:t>内幕信息知情人涉嫌内幕交易的情况，没出现被监管部门查处和要求整改的情 况。</w:t>
      </w:r>
    </w:p>
    <w:p>
      <w:pPr>
        <w:pStyle w:val="Heading7"/>
        <w:spacing w:line="240" w:lineRule="auto"/>
        <w:ind w:right="185"/>
        <w:jc w:val="left"/>
        <w:rPr>
          <w:b w:val="0"/>
          <w:bCs w:val="0"/>
        </w:rPr>
      </w:pPr>
      <w:r>
        <w:rPr/>
        <w:t>（二）公司投资者关系管理情况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196" w:firstLine="479"/>
        <w:jc w:val="both"/>
      </w:pPr>
      <w:r>
        <w:rPr>
          <w:spacing w:val="-3"/>
        </w:rPr>
        <w:t>公司自上市以来，以投资者关系管理专栏、投资者关系邮箱、投资者热线电</w:t>
      </w:r>
      <w:r>
        <w:rPr/>
        <w:t> </w:t>
      </w:r>
      <w:r>
        <w:rPr>
          <w:spacing w:val="-3"/>
        </w:rPr>
        <w:t>话、设定“投资接待日”接受投资者来访等多种形式与广大投资者进行联系与沟</w:t>
      </w:r>
      <w:r>
        <w:rPr>
          <w:spacing w:val="-110"/>
        </w:rPr>
        <w:t> </w:t>
      </w:r>
      <w:r>
        <w:rPr>
          <w:spacing w:val="-110"/>
        </w:rPr>
      </w:r>
      <w:r>
        <w:rPr>
          <w:spacing w:val="-3"/>
        </w:rPr>
        <w:t>通，关注各类媒体关于公司的相关报道，及时澄清市场上的不实传闻，对市场舆</w:t>
      </w:r>
      <w:r>
        <w:rPr>
          <w:spacing w:val="-111"/>
        </w:rPr>
        <w:t> </w:t>
      </w:r>
      <w:r>
        <w:rPr>
          <w:spacing w:val="-111"/>
        </w:rPr>
      </w:r>
      <w:r>
        <w:rPr>
          <w:spacing w:val="-3"/>
        </w:rPr>
        <w:t>论、研究机构分析员的分析报告进行正确引导。同时，积极做好投资者关系活动</w:t>
      </w:r>
      <w:r>
        <w:rPr>
          <w:spacing w:val="-111"/>
        </w:rPr>
        <w:t> </w:t>
      </w:r>
      <w:r>
        <w:rPr>
          <w:spacing w:val="-111"/>
        </w:rPr>
      </w:r>
      <w:r>
        <w:rPr/>
        <w:t>档案的建立和保管，并切实做好相关信息的保密工作。</w:t>
      </w:r>
    </w:p>
    <w:p>
      <w:pPr>
        <w:spacing w:after="0" w:line="357" w:lineRule="auto"/>
        <w:jc w:val="both"/>
        <w:sectPr>
          <w:pgSz w:w="11910" w:h="16840"/>
          <w:pgMar w:header="0" w:footer="1195" w:top="1460" w:bottom="1380" w:left="1680" w:right="1600"/>
        </w:sectPr>
      </w:pPr>
    </w:p>
    <w:p>
      <w:pPr>
        <w:pStyle w:val="Heading7"/>
        <w:spacing w:line="240" w:lineRule="auto" w:before="1"/>
        <w:ind w:right="0"/>
        <w:jc w:val="left"/>
        <w:rPr>
          <w:b w:val="0"/>
          <w:bCs w:val="0"/>
        </w:rPr>
      </w:pPr>
      <w:bookmarkStart w:name="_bookmark2" w:id="4"/>
      <w:bookmarkEnd w:id="4"/>
      <w:r>
        <w:rPr>
          <w:b w:val="0"/>
          <w:bCs w:val="0"/>
        </w:rPr>
      </w:r>
      <w:r>
        <w:rPr/>
        <w:t>（三）信息披露媒体</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106" w:firstLine="479"/>
        <w:jc w:val="left"/>
      </w:pPr>
      <w:r>
        <w:rPr>
          <w:spacing w:val="-3"/>
        </w:rPr>
        <w:t>报告期内，公司指定信息披露媒体为《中国证券报》、《证券时报》、《上</w:t>
      </w:r>
      <w:r>
        <w:rPr/>
        <w:t> 海证券部》、巨潮资讯网（</w:t>
      </w:r>
      <w:hyperlink r:id="rId11">
        <w:r>
          <w:rPr>
            <w:rFonts w:ascii="宋体" w:hAnsi="宋体" w:cs="宋体" w:eastAsia="宋体" w:hint="default"/>
          </w:rPr>
          <w:t>www.cninfo.com.cn</w:t>
        </w:r>
      </w:hyperlink>
      <w:r>
        <w:rPr/>
        <w:t>）。</w:t>
      </w:r>
    </w:p>
    <w:p>
      <w:pPr>
        <w:spacing w:after="0" w:line="357" w:lineRule="auto"/>
        <w:jc w:val="left"/>
        <w:sectPr>
          <w:pgSz w:w="11910" w:h="16840"/>
          <w:pgMar w:header="0" w:footer="1195" w:top="1460" w:bottom="1380" w:left="1680" w:right="1680"/>
        </w:sectPr>
      </w:pPr>
    </w:p>
    <w:p>
      <w:pPr>
        <w:pStyle w:val="Heading1"/>
        <w:spacing w:line="433" w:lineRule="exact"/>
        <w:ind w:left="3130" w:right="1867"/>
        <w:jc w:val="left"/>
        <w:rPr>
          <w:b w:val="0"/>
          <w:bCs w:val="0"/>
        </w:rPr>
      </w:pPr>
      <w:r>
        <w:rPr/>
        <w:t>第四节</w:t>
      </w:r>
      <w:r>
        <w:rPr>
          <w:spacing w:val="-8"/>
        </w:rPr>
        <w:t> </w:t>
      </w:r>
      <w:r>
        <w:rPr/>
        <w:t>重要事项</w:t>
      </w:r>
      <w:r>
        <w:rPr>
          <w:b w:val="0"/>
          <w:bCs w:val="0"/>
        </w:rPr>
      </w:r>
    </w:p>
    <w:p>
      <w:pPr>
        <w:tabs>
          <w:tab w:pos="960" w:val="left" w:leader="none"/>
        </w:tabs>
        <w:spacing w:line="355" w:lineRule="auto" w:before="241"/>
        <w:ind w:left="120" w:right="3763" w:firstLine="0"/>
        <w:jc w:val="left"/>
        <w:rPr>
          <w:rFonts w:ascii="宋体" w:hAnsi="宋体" w:cs="宋体" w:eastAsia="宋体" w:hint="default"/>
          <w:sz w:val="28"/>
          <w:szCs w:val="28"/>
        </w:rPr>
      </w:pPr>
      <w:r>
        <w:rPr>
          <w:rFonts w:ascii="宋体" w:hAnsi="宋体" w:cs="宋体" w:eastAsia="宋体" w:hint="default"/>
          <w:b/>
          <w:bCs/>
          <w:w w:val="95"/>
          <w:sz w:val="28"/>
          <w:szCs w:val="28"/>
        </w:rPr>
        <w:t>一、</w:t>
        <w:tab/>
      </w:r>
      <w:r>
        <w:rPr>
          <w:rFonts w:ascii="宋体" w:hAnsi="宋体" w:cs="宋体" w:eastAsia="宋体" w:hint="default"/>
          <w:b/>
          <w:bCs/>
          <w:sz w:val="28"/>
          <w:szCs w:val="28"/>
        </w:rPr>
        <w:t>重大诉讼、仲裁事项</w:t>
      </w:r>
      <w:r>
        <w:rPr>
          <w:rFonts w:ascii="宋体" w:hAnsi="宋体" w:cs="宋体" w:eastAsia="宋体" w:hint="default"/>
          <w:b/>
          <w:bCs/>
          <w:w w:val="99"/>
          <w:sz w:val="28"/>
          <w:szCs w:val="28"/>
        </w:rPr>
        <w:t> </w:t>
      </w:r>
      <w:r>
        <w:rPr>
          <w:rFonts w:ascii="宋体" w:hAnsi="宋体" w:cs="宋体" w:eastAsia="宋体" w:hint="default"/>
          <w:sz w:val="24"/>
          <w:szCs w:val="24"/>
        </w:rPr>
        <w:t>报告期内，公司无重大诉讼、仲裁事项。 </w:t>
      </w:r>
      <w:r>
        <w:rPr>
          <w:rFonts w:ascii="宋体" w:hAnsi="宋体" w:cs="宋体" w:eastAsia="宋体" w:hint="default"/>
          <w:b/>
          <w:bCs/>
          <w:w w:val="95"/>
          <w:sz w:val="28"/>
          <w:szCs w:val="28"/>
        </w:rPr>
        <w:t>二、</w:t>
        <w:tab/>
      </w:r>
      <w:r>
        <w:rPr>
          <w:rFonts w:ascii="宋体" w:hAnsi="宋体" w:cs="宋体" w:eastAsia="宋体" w:hint="default"/>
          <w:b/>
          <w:bCs/>
          <w:sz w:val="28"/>
          <w:szCs w:val="28"/>
        </w:rPr>
        <w:t>破产相关事项</w:t>
      </w:r>
      <w:r>
        <w:rPr>
          <w:rFonts w:ascii="宋体" w:hAnsi="宋体" w:cs="宋体" w:eastAsia="宋体" w:hint="default"/>
          <w:b/>
          <w:bCs/>
          <w:w w:val="99"/>
          <w:sz w:val="28"/>
          <w:szCs w:val="28"/>
        </w:rPr>
        <w:t> </w:t>
      </w:r>
      <w:r>
        <w:rPr>
          <w:rFonts w:ascii="宋体" w:hAnsi="宋体" w:cs="宋体" w:eastAsia="宋体" w:hint="default"/>
          <w:sz w:val="24"/>
          <w:szCs w:val="24"/>
        </w:rPr>
        <w:t>报告期内，公司未发生破产重组等相关事项。 </w:t>
      </w:r>
      <w:r>
        <w:rPr>
          <w:rFonts w:ascii="宋体" w:hAnsi="宋体" w:cs="宋体" w:eastAsia="宋体" w:hint="default"/>
          <w:b/>
          <w:bCs/>
          <w:w w:val="95"/>
          <w:sz w:val="28"/>
          <w:szCs w:val="28"/>
        </w:rPr>
        <w:t>三、</w:t>
        <w:tab/>
      </w:r>
      <w:r>
        <w:rPr>
          <w:rFonts w:ascii="宋体" w:hAnsi="宋体" w:cs="宋体" w:eastAsia="宋体" w:hint="default"/>
          <w:b/>
          <w:bCs/>
          <w:sz w:val="28"/>
          <w:szCs w:val="28"/>
        </w:rPr>
        <w:t>收购及出售资产、企业合并事项</w:t>
      </w:r>
      <w:r>
        <w:rPr>
          <w:rFonts w:ascii="宋体" w:hAnsi="宋体" w:cs="宋体" w:eastAsia="宋体" w:hint="default"/>
          <w:sz w:val="28"/>
          <w:szCs w:val="28"/>
        </w:rPr>
      </w:r>
    </w:p>
    <w:p>
      <w:pPr>
        <w:pStyle w:val="BodyText"/>
        <w:tabs>
          <w:tab w:pos="960" w:val="left" w:leader="none"/>
        </w:tabs>
        <w:spacing w:line="355" w:lineRule="auto" w:before="53"/>
        <w:ind w:right="2563"/>
        <w:jc w:val="left"/>
      </w:pPr>
      <w:r>
        <w:rPr/>
        <w:t>报告期内，公司未发生收购及出售资产、吸收合并事项。 </w:t>
      </w:r>
      <w:r>
        <w:rPr>
          <w:rFonts w:ascii="宋体" w:hAnsi="宋体" w:cs="宋体" w:eastAsia="宋体" w:hint="default"/>
          <w:b/>
          <w:bCs/>
          <w:w w:val="95"/>
          <w:sz w:val="28"/>
          <w:szCs w:val="28"/>
        </w:rPr>
        <w:t>四、</w:t>
        <w:tab/>
      </w:r>
      <w:r>
        <w:rPr>
          <w:rFonts w:ascii="宋体" w:hAnsi="宋体" w:cs="宋体" w:eastAsia="宋体" w:hint="default"/>
          <w:b/>
          <w:bCs/>
          <w:sz w:val="28"/>
          <w:szCs w:val="28"/>
        </w:rPr>
        <w:t>股权激励计划</w:t>
      </w:r>
      <w:r>
        <w:rPr>
          <w:rFonts w:ascii="宋体" w:hAnsi="宋体" w:cs="宋体" w:eastAsia="宋体" w:hint="default"/>
          <w:b/>
          <w:bCs/>
          <w:w w:val="99"/>
          <w:sz w:val="28"/>
          <w:szCs w:val="28"/>
        </w:rPr>
        <w:t> </w:t>
      </w:r>
      <w:r>
        <w:rPr/>
        <w:t>报告期内，公司未实行股权激励计划。</w:t>
      </w:r>
    </w:p>
    <w:p>
      <w:pPr>
        <w:pStyle w:val="Heading3"/>
        <w:tabs>
          <w:tab w:pos="960" w:val="left" w:leader="none"/>
        </w:tabs>
        <w:spacing w:line="240" w:lineRule="auto" w:before="30"/>
        <w:ind w:right="1867"/>
        <w:jc w:val="left"/>
        <w:rPr>
          <w:b w:val="0"/>
          <w:bCs w:val="0"/>
        </w:rPr>
      </w:pPr>
      <w:r>
        <w:rPr>
          <w:w w:val="95"/>
        </w:rPr>
        <w:t>五、</w:t>
        <w:tab/>
      </w:r>
      <w:r>
        <w:rPr/>
        <w:t>重大关联交易事项</w:t>
      </w:r>
      <w:r>
        <w:rPr>
          <w:b w:val="0"/>
          <w:bCs w:val="0"/>
        </w:rPr>
      </w:r>
    </w:p>
    <w:p>
      <w:pPr>
        <w:pStyle w:val="BodyText"/>
        <w:spacing w:line="357" w:lineRule="auto" w:before="186"/>
        <w:ind w:right="258" w:firstLine="479"/>
        <w:jc w:val="both"/>
      </w:pP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日，公司与泰德信签订</w:t>
      </w:r>
      <w:r>
        <w:rPr>
          <w:rFonts w:ascii="宋体" w:hAnsi="宋体" w:cs="宋体" w:eastAsia="宋体" w:hint="default"/>
          <w:spacing w:val="-3"/>
        </w:rPr>
        <w:t>2009</w:t>
      </w:r>
      <w:r>
        <w:rPr>
          <w:spacing w:val="-3"/>
        </w:rPr>
        <w:t>年房屋租赁合同，泰德信将其于深</w:t>
      </w:r>
      <w:r>
        <w:rPr/>
        <w:t> 圳市福田区泰然大道东路泰然劲松大厦</w:t>
      </w:r>
      <w:r>
        <w:rPr>
          <w:rFonts w:ascii="宋体" w:hAnsi="宋体" w:cs="宋体" w:eastAsia="宋体" w:hint="default"/>
        </w:rPr>
        <w:t>17A</w:t>
      </w:r>
      <w:r>
        <w:rPr/>
        <w:t>、</w:t>
      </w:r>
      <w:r>
        <w:rPr>
          <w:rFonts w:ascii="宋体" w:hAnsi="宋体" w:cs="宋体" w:eastAsia="宋体" w:hint="default"/>
        </w:rPr>
        <w:t>17B</w:t>
      </w:r>
      <w:r>
        <w:rPr/>
        <w:t>、</w:t>
      </w:r>
      <w:r>
        <w:rPr>
          <w:rFonts w:ascii="宋体" w:hAnsi="宋体" w:cs="宋体" w:eastAsia="宋体" w:hint="default"/>
        </w:rPr>
        <w:t>17C</w:t>
      </w:r>
      <w:r>
        <w:rPr/>
        <w:t>、</w:t>
      </w:r>
      <w:r>
        <w:rPr>
          <w:rFonts w:ascii="宋体" w:hAnsi="宋体" w:cs="宋体" w:eastAsia="宋体" w:hint="default"/>
        </w:rPr>
        <w:t>17D</w:t>
      </w:r>
      <w:r>
        <w:rPr/>
        <w:t>建筑面积</w:t>
      </w:r>
      <w:r>
        <w:rPr>
          <w:rFonts w:ascii="宋体" w:hAnsi="宋体" w:cs="宋体" w:eastAsia="宋体" w:hint="default"/>
        </w:rPr>
        <w:t>886.6</w:t>
      </w:r>
      <w:r>
        <w:rPr/>
        <w:t>平方 </w:t>
      </w:r>
      <w:r>
        <w:rPr>
          <w:spacing w:val="-3"/>
        </w:rPr>
        <w:t>米的房屋租赁给本公司使用，租赁期自</w:t>
      </w:r>
      <w:r>
        <w:rPr>
          <w:rFonts w:ascii="宋体" w:hAnsi="宋体" w:cs="宋体" w:eastAsia="宋体" w:hint="default"/>
          <w:spacing w:val="-3"/>
        </w:rPr>
        <w:t>2009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日止，月</w:t>
      </w:r>
      <w:r>
        <w:rPr>
          <w:spacing w:val="-90"/>
        </w:rPr>
        <w:t> </w:t>
      </w:r>
      <w:r>
        <w:rPr>
          <w:spacing w:val="-90"/>
        </w:rPr>
      </w:r>
      <w:r>
        <w:rPr/>
        <w:t>租金为</w:t>
      </w:r>
      <w:r>
        <w:rPr>
          <w:rFonts w:ascii="宋体" w:hAnsi="宋体" w:cs="宋体" w:eastAsia="宋体" w:hint="default"/>
        </w:rPr>
        <w:t>70,928.00</w:t>
      </w:r>
      <w:r>
        <w:rPr/>
        <w:t>元，租金率</w:t>
      </w:r>
      <w:r>
        <w:rPr>
          <w:rFonts w:ascii="宋体" w:hAnsi="宋体" w:cs="宋体" w:eastAsia="宋体" w:hint="default"/>
        </w:rPr>
        <w:t>80</w:t>
      </w:r>
      <w:r>
        <w:rPr/>
        <w:t>元</w:t>
      </w:r>
      <w:r>
        <w:rPr>
          <w:rFonts w:ascii="宋体" w:hAnsi="宋体" w:cs="宋体" w:eastAsia="宋体" w:hint="default"/>
        </w:rPr>
        <w:t>/</w:t>
      </w:r>
      <w:r>
        <w:rPr/>
        <w:t>月</w:t>
      </w:r>
      <w:r>
        <w:rPr>
          <w:rFonts w:ascii="宋体" w:hAnsi="宋体" w:cs="宋体" w:eastAsia="宋体" w:hint="default"/>
        </w:rPr>
        <w:t>/</w:t>
      </w:r>
      <w:r>
        <w:rPr/>
        <w:t>平方米。</w:t>
      </w:r>
    </w:p>
    <w:p>
      <w:pPr>
        <w:pStyle w:val="BodyText"/>
        <w:tabs>
          <w:tab w:pos="960" w:val="left" w:leader="none"/>
        </w:tabs>
        <w:spacing w:line="355" w:lineRule="auto" w:before="36"/>
        <w:ind w:right="259" w:firstLine="479"/>
        <w:jc w:val="left"/>
        <w:rPr>
          <w:rFonts w:ascii="宋体" w:hAnsi="宋体" w:cs="宋体" w:eastAsia="宋体" w:hint="default"/>
          <w:sz w:val="28"/>
          <w:szCs w:val="28"/>
        </w:rPr>
      </w:pP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27</w:t>
      </w:r>
      <w:r>
        <w:rPr/>
        <w:t>日，公司与泰德信签订</w:t>
      </w:r>
      <w:r>
        <w:rPr>
          <w:rFonts w:ascii="宋体" w:hAnsi="宋体" w:cs="宋体" w:eastAsia="宋体" w:hint="default"/>
        </w:rPr>
        <w:t>2009</w:t>
      </w:r>
      <w:r>
        <w:rPr/>
        <w:t>年房屋租赁合同的补充合同，由于 租金市场价格下降，补充合同规定自</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w:t>
      </w:r>
      <w:r>
        <w:rPr/>
        <w:t>日起月租金由原来的</w:t>
      </w:r>
      <w:r>
        <w:rPr>
          <w:rFonts w:ascii="宋体" w:hAnsi="宋体" w:cs="宋体" w:eastAsia="宋体" w:hint="default"/>
        </w:rPr>
        <w:t>70,928.00 </w:t>
      </w:r>
      <w:r>
        <w:rPr/>
        <w:t>元变更为</w:t>
      </w:r>
      <w:r>
        <w:rPr>
          <w:rFonts w:ascii="宋体" w:hAnsi="宋体" w:cs="宋体" w:eastAsia="宋体" w:hint="default"/>
        </w:rPr>
        <w:t>63,835.00</w:t>
      </w:r>
      <w:r>
        <w:rPr/>
        <w:t>元，租金为</w:t>
      </w:r>
      <w:r>
        <w:rPr>
          <w:rFonts w:ascii="宋体" w:hAnsi="宋体" w:cs="宋体" w:eastAsia="宋体" w:hint="default"/>
        </w:rPr>
        <w:t>72</w:t>
      </w:r>
      <w:r>
        <w:rPr/>
        <w:t>元</w:t>
      </w:r>
      <w:r>
        <w:rPr>
          <w:rFonts w:ascii="宋体" w:hAnsi="宋体" w:cs="宋体" w:eastAsia="宋体" w:hint="default"/>
        </w:rPr>
        <w:t>/</w:t>
      </w:r>
      <w:r>
        <w:rPr/>
        <w:t>月</w:t>
      </w:r>
      <w:r>
        <w:rPr>
          <w:rFonts w:ascii="宋体" w:hAnsi="宋体" w:cs="宋体" w:eastAsia="宋体" w:hint="default"/>
        </w:rPr>
        <w:t>/</w:t>
      </w:r>
      <w:r>
        <w:rPr/>
        <w:t>平方米。</w:t>
      </w:r>
      <w:r>
        <w:rPr>
          <w:rFonts w:ascii="宋体" w:hAnsi="宋体" w:cs="宋体" w:eastAsia="宋体" w:hint="default"/>
        </w:rPr>
        <w:t>2011</w:t>
      </w:r>
      <w:r>
        <w:rPr/>
        <w:t>年</w:t>
      </w:r>
      <w:r>
        <w:rPr>
          <w:rFonts w:ascii="宋体" w:hAnsi="宋体" w:cs="宋体" w:eastAsia="宋体" w:hint="default"/>
        </w:rPr>
        <w:t>10</w:t>
      </w:r>
      <w:r>
        <w:rPr/>
        <w:t>月，由于同类物业市 </w:t>
      </w:r>
      <w:r>
        <w:rPr>
          <w:spacing w:val="-3"/>
        </w:rPr>
        <w:t>场价格上升，公司与泰德信双方签订《房屋租赁合同》的补充合同，将房屋单位</w:t>
      </w:r>
      <w:r>
        <w:rPr>
          <w:spacing w:val="-111"/>
        </w:rPr>
        <w:t> </w:t>
      </w:r>
      <w:r>
        <w:rPr>
          <w:spacing w:val="-111"/>
        </w:rPr>
      </w:r>
      <w:r>
        <w:rPr/>
        <w:t>租金上调至</w:t>
      </w:r>
      <w:r>
        <w:rPr>
          <w:rFonts w:ascii="宋体" w:hAnsi="宋体" w:cs="宋体" w:eastAsia="宋体" w:hint="default"/>
        </w:rPr>
        <w:t>95</w:t>
      </w:r>
      <w:r>
        <w:rPr/>
        <w:t>元</w:t>
      </w:r>
      <w:r>
        <w:rPr>
          <w:rFonts w:ascii="宋体" w:hAnsi="宋体" w:cs="宋体" w:eastAsia="宋体" w:hint="default"/>
        </w:rPr>
        <w:t>/</w:t>
      </w:r>
      <w:r>
        <w:rPr/>
        <w:t>平方米</w:t>
      </w:r>
      <w:r>
        <w:rPr>
          <w:rFonts w:ascii="宋体" w:hAnsi="宋体" w:cs="宋体" w:eastAsia="宋体" w:hint="default"/>
        </w:rPr>
        <w:t>/</w:t>
      </w:r>
      <w:r>
        <w:rPr/>
        <w:t>月，调整后，月总租金为</w:t>
      </w:r>
      <w:r>
        <w:rPr>
          <w:rFonts w:ascii="宋体" w:hAnsi="宋体" w:cs="宋体" w:eastAsia="宋体" w:hint="default"/>
        </w:rPr>
        <w:t>84,227.00</w:t>
      </w:r>
      <w:r>
        <w:rPr/>
        <w:t>元，其余条款仍按 原合同执行。租金调整时间自</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w:t>
      </w:r>
      <w:r>
        <w:rPr/>
        <w:t>日起计算，至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 </w:t>
      </w:r>
      <w:r>
        <w:rPr>
          <w:rFonts w:ascii="宋体" w:hAnsi="宋体" w:cs="宋体" w:eastAsia="宋体" w:hint="default"/>
          <w:b/>
          <w:bCs/>
          <w:w w:val="95"/>
          <w:sz w:val="28"/>
          <w:szCs w:val="28"/>
        </w:rPr>
        <w:t>六、</w:t>
        <w:tab/>
      </w:r>
      <w:r>
        <w:rPr>
          <w:rFonts w:ascii="宋体" w:hAnsi="宋体" w:cs="宋体" w:eastAsia="宋体" w:hint="default"/>
          <w:b/>
          <w:bCs/>
          <w:sz w:val="28"/>
          <w:szCs w:val="28"/>
        </w:rPr>
        <w:t>公司关联方资金占用情况</w:t>
      </w:r>
      <w:r>
        <w:rPr>
          <w:rFonts w:ascii="宋体" w:hAnsi="宋体" w:cs="宋体" w:eastAsia="宋体" w:hint="default"/>
          <w:sz w:val="28"/>
          <w:szCs w:val="28"/>
        </w:rPr>
      </w:r>
    </w:p>
    <w:p>
      <w:pPr>
        <w:pStyle w:val="BodyText"/>
        <w:spacing w:line="240" w:lineRule="auto" w:before="52"/>
        <w:ind w:left="600" w:right="1867"/>
        <w:jc w:val="left"/>
      </w:pPr>
      <w:r>
        <w:rPr/>
        <w:t>报告期内，公司未发生关联方资金占用情况。</w:t>
      </w:r>
    </w:p>
    <w:p>
      <w:pPr>
        <w:pStyle w:val="Heading3"/>
        <w:tabs>
          <w:tab w:pos="960" w:val="left" w:leader="none"/>
        </w:tabs>
        <w:spacing w:line="357" w:lineRule="auto" w:before="143"/>
        <w:ind w:left="571" w:right="114" w:hanging="452"/>
        <w:jc w:val="left"/>
        <w:rPr>
          <w:b w:val="0"/>
          <w:bCs w:val="0"/>
        </w:rPr>
      </w:pPr>
      <w:r>
        <w:rPr>
          <w:w w:val="95"/>
        </w:rPr>
        <w:t>七、</w:t>
        <w:tab/>
      </w:r>
      <w:r>
        <w:rPr>
          <w:spacing w:val="-10"/>
        </w:rPr>
        <w:t>报告期内，公司持有其他上市公司、参股商业银行、证券公司、</w:t>
      </w:r>
      <w:r>
        <w:rPr>
          <w:spacing w:val="-125"/>
        </w:rPr>
        <w:t> </w:t>
      </w:r>
      <w:r>
        <w:rPr>
          <w:spacing w:val="-125"/>
        </w:rPr>
      </w:r>
      <w:r>
        <w:rPr/>
        <w:t>保险公司、信托公司和期货公司等金融企业股权，也无买卖其他</w:t>
      </w:r>
      <w:r>
        <w:rPr>
          <w:w w:val="99"/>
        </w:rPr>
        <w:t> </w:t>
      </w:r>
      <w:r>
        <w:rPr/>
        <w:t>上市公司股份情况。</w:t>
      </w:r>
      <w:r>
        <w:rPr>
          <w:b w:val="0"/>
          <w:bCs w:val="0"/>
        </w:rPr>
      </w:r>
    </w:p>
    <w:p>
      <w:pPr>
        <w:pStyle w:val="Heading3"/>
        <w:tabs>
          <w:tab w:pos="960" w:val="left" w:leader="none"/>
        </w:tabs>
        <w:spacing w:line="240" w:lineRule="auto" w:before="41"/>
        <w:ind w:right="1867"/>
        <w:jc w:val="left"/>
        <w:rPr>
          <w:b w:val="0"/>
          <w:bCs w:val="0"/>
        </w:rPr>
      </w:pPr>
      <w:r>
        <w:rPr>
          <w:w w:val="95"/>
        </w:rPr>
        <w:t>八、</w:t>
        <w:tab/>
      </w:r>
      <w:r>
        <w:rPr/>
        <w:t>重大合同及其履行情况</w:t>
      </w:r>
      <w:r>
        <w:rPr>
          <w:b w:val="0"/>
          <w:bCs w:val="0"/>
        </w:rPr>
      </w:r>
    </w:p>
    <w:p>
      <w:pPr>
        <w:pStyle w:val="BodyText"/>
        <w:spacing w:line="470" w:lineRule="atLeast" w:before="30"/>
        <w:ind w:right="114" w:firstLine="479"/>
        <w:jc w:val="left"/>
      </w:pPr>
      <w:r>
        <w:rPr>
          <w:spacing w:val="-7"/>
        </w:rPr>
        <w:t>（一）报告期内，公司未发生或以前期间发生但延续到报告期的托管、承包、</w:t>
      </w:r>
      <w:r>
        <w:rPr/>
        <w:t> 租赁其他公司资产或其他公司托管、承包、租赁公司资产的重大事项。</w:t>
      </w:r>
    </w:p>
    <w:p>
      <w:pPr>
        <w:spacing w:after="0" w:line="470" w:lineRule="atLeast"/>
        <w:jc w:val="left"/>
        <w:sectPr>
          <w:pgSz w:w="11910" w:h="16840"/>
          <w:pgMar w:header="0" w:footer="1195" w:top="1400" w:bottom="1380" w:left="1680" w:right="1540"/>
        </w:sectPr>
      </w:pPr>
    </w:p>
    <w:p>
      <w:pPr>
        <w:pStyle w:val="BodyText"/>
        <w:spacing w:line="240" w:lineRule="auto" w:before="1"/>
        <w:ind w:left="600" w:right="0"/>
        <w:jc w:val="left"/>
      </w:pPr>
      <w:r>
        <w:rPr/>
        <w:t>（二）报告期内，公司未发生对外担保事项</w:t>
      </w:r>
    </w:p>
    <w:p>
      <w:pPr>
        <w:pStyle w:val="BodyText"/>
        <w:spacing w:line="240" w:lineRule="auto" w:before="154"/>
        <w:ind w:left="600" w:right="0"/>
        <w:jc w:val="left"/>
      </w:pPr>
      <w:r>
        <w:rPr/>
        <w:t>（三）报告期内，公司未发生委托他人进行现金资产管理事项</w:t>
      </w:r>
    </w:p>
    <w:p>
      <w:pPr>
        <w:pStyle w:val="BodyText"/>
        <w:spacing w:line="357" w:lineRule="auto" w:before="151"/>
        <w:ind w:right="5767" w:firstLine="479"/>
        <w:jc w:val="left"/>
      </w:pPr>
      <w:r>
        <w:rPr/>
        <w:t>（四）其他重大合同 </w:t>
      </w:r>
      <w:r>
        <w:rPr>
          <w:rFonts w:ascii="宋体" w:hAnsi="宋体" w:cs="宋体" w:eastAsia="宋体" w:hint="default"/>
        </w:rPr>
        <w:t>1</w:t>
      </w:r>
      <w:r>
        <w:rPr/>
        <w:t>、重大销售合同</w:t>
      </w:r>
    </w:p>
    <w:p>
      <w:pPr>
        <w:spacing w:before="196"/>
        <w:ind w:left="0" w:right="545"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9"/>
        <w:rPr>
          <w:rFonts w:ascii="宋体" w:hAnsi="宋体" w:cs="宋体" w:eastAsia="宋体" w:hint="default"/>
          <w:sz w:val="24"/>
          <w:szCs w:val="24"/>
        </w:rPr>
      </w:pPr>
    </w:p>
    <w:tbl>
      <w:tblPr>
        <w:tblW w:w="0" w:type="auto"/>
        <w:jc w:val="left"/>
        <w:tblInd w:w="338" w:type="dxa"/>
        <w:tblLayout w:type="fixed"/>
        <w:tblCellMar>
          <w:top w:w="0" w:type="dxa"/>
          <w:left w:w="0" w:type="dxa"/>
          <w:bottom w:w="0" w:type="dxa"/>
          <w:right w:w="0" w:type="dxa"/>
        </w:tblCellMar>
        <w:tblLook w:val="01E0"/>
      </w:tblPr>
      <w:tblGrid>
        <w:gridCol w:w="2597"/>
        <w:gridCol w:w="2696"/>
        <w:gridCol w:w="2569"/>
      </w:tblGrid>
      <w:tr>
        <w:trPr>
          <w:trHeight w:val="733" w:hRule="exact"/>
        </w:trPr>
        <w:tc>
          <w:tcPr>
            <w:tcW w:w="2597"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是否存在关联交易</w:t>
            </w:r>
          </w:p>
        </w:tc>
      </w:tr>
      <w:tr>
        <w:trPr>
          <w:trHeight w:val="730"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9" w:right="0"/>
              <w:jc w:val="left"/>
              <w:rPr>
                <w:rFonts w:ascii="宋体" w:hAnsi="宋体" w:cs="宋体" w:eastAsia="宋体" w:hint="default"/>
                <w:sz w:val="21"/>
                <w:szCs w:val="21"/>
              </w:rPr>
            </w:pPr>
            <w:r>
              <w:rPr>
                <w:rFonts w:ascii="宋体" w:hAnsi="宋体" w:cs="宋体" w:eastAsia="宋体" w:hint="default"/>
                <w:sz w:val="21"/>
                <w:szCs w:val="21"/>
              </w:rPr>
              <w:t>前五名客户合计销售金额</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26,286.95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166"/>
        <w:ind w:right="0"/>
        <w:jc w:val="left"/>
      </w:pPr>
      <w:r>
        <w:rPr>
          <w:rFonts w:ascii="宋体" w:hAnsi="宋体" w:cs="宋体" w:eastAsia="宋体" w:hint="default"/>
        </w:rPr>
        <w:t>2</w:t>
      </w:r>
      <w:r>
        <w:rPr/>
        <w:t>、重大采购合同</w:t>
      </w:r>
    </w:p>
    <w:p>
      <w:pPr>
        <w:spacing w:line="240" w:lineRule="auto" w:before="9"/>
        <w:rPr>
          <w:rFonts w:ascii="宋体" w:hAnsi="宋体" w:cs="宋体" w:eastAsia="宋体" w:hint="default"/>
          <w:sz w:val="14"/>
          <w:szCs w:val="14"/>
        </w:rPr>
      </w:pPr>
    </w:p>
    <w:tbl>
      <w:tblPr>
        <w:tblW w:w="0" w:type="auto"/>
        <w:jc w:val="left"/>
        <w:tblInd w:w="242" w:type="dxa"/>
        <w:tblLayout w:type="fixed"/>
        <w:tblCellMar>
          <w:top w:w="0" w:type="dxa"/>
          <w:left w:w="0" w:type="dxa"/>
          <w:bottom w:w="0" w:type="dxa"/>
          <w:right w:w="0" w:type="dxa"/>
        </w:tblCellMar>
        <w:tblLook w:val="01E0"/>
      </w:tblPr>
      <w:tblGrid>
        <w:gridCol w:w="2684"/>
        <w:gridCol w:w="2686"/>
        <w:gridCol w:w="2684"/>
      </w:tblGrid>
      <w:tr>
        <w:trPr>
          <w:trHeight w:val="420"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是否存在关联关系</w:t>
            </w:r>
          </w:p>
        </w:tc>
      </w:tr>
      <w:tr>
        <w:trPr>
          <w:trHeight w:val="418"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前五名供应商合计</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90,367,853.13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166"/>
        <w:ind w:right="0"/>
        <w:jc w:val="left"/>
      </w:pPr>
      <w:r>
        <w:rPr>
          <w:rFonts w:ascii="宋体" w:hAnsi="宋体" w:cs="宋体" w:eastAsia="宋体" w:hint="default"/>
        </w:rPr>
        <w:t>3</w:t>
      </w:r>
      <w:r>
        <w:rPr/>
        <w:t>、购房合同</w:t>
      </w:r>
    </w:p>
    <w:p>
      <w:pPr>
        <w:pStyle w:val="BodyText"/>
        <w:spacing w:line="240" w:lineRule="auto" w:before="151"/>
        <w:ind w:left="600" w:right="0"/>
        <w:jc w:val="left"/>
      </w:pPr>
      <w:r>
        <w:rPr/>
        <w:t>报告期内，公司未签订购房合同。</w:t>
      </w:r>
    </w:p>
    <w:p>
      <w:pPr>
        <w:pStyle w:val="Heading3"/>
        <w:tabs>
          <w:tab w:pos="960" w:val="left" w:leader="none"/>
        </w:tabs>
        <w:spacing w:line="357" w:lineRule="auto" w:before="145"/>
        <w:ind w:left="571" w:right="116" w:hanging="452"/>
        <w:jc w:val="left"/>
        <w:rPr>
          <w:b w:val="0"/>
          <w:bCs w:val="0"/>
        </w:rPr>
      </w:pPr>
      <w:r>
        <w:rPr>
          <w:w w:val="95"/>
        </w:rPr>
        <w:t>九、</w:t>
        <w:tab/>
      </w:r>
      <w:r>
        <w:rPr>
          <w:spacing w:val="-5"/>
        </w:rPr>
        <w:t>公司或持有公司股份</w:t>
      </w:r>
      <w:r>
        <w:rPr>
          <w:rFonts w:ascii="宋体" w:hAnsi="宋体" w:cs="宋体" w:eastAsia="宋体" w:hint="default"/>
          <w:spacing w:val="-5"/>
        </w:rPr>
        <w:t>5%</w:t>
      </w:r>
      <w:r>
        <w:rPr>
          <w:spacing w:val="-5"/>
        </w:rPr>
        <w:t>以上（含</w:t>
      </w:r>
      <w:r>
        <w:rPr>
          <w:rFonts w:ascii="宋体" w:hAnsi="宋体" w:cs="宋体" w:eastAsia="宋体" w:hint="default"/>
          <w:spacing w:val="-5"/>
        </w:rPr>
        <w:t>5%</w:t>
      </w:r>
      <w:r>
        <w:rPr>
          <w:spacing w:val="-5"/>
        </w:rPr>
        <w:t>）的股东在报告期内发生或</w:t>
      </w:r>
      <w:r>
        <w:rPr>
          <w:spacing w:val="-125"/>
        </w:rPr>
        <w:t> </w:t>
      </w:r>
      <w:r>
        <w:rPr>
          <w:spacing w:val="-125"/>
        </w:rPr>
      </w:r>
      <w:r>
        <w:rPr/>
        <w:t>持续到报告期内的承诺事项。</w:t>
      </w:r>
      <w:r>
        <w:rPr>
          <w:b w:val="0"/>
          <w:bCs w:val="0"/>
        </w:rPr>
      </w:r>
    </w:p>
    <w:p>
      <w:pPr>
        <w:spacing w:line="726" w:lineRule="exact" w:before="90"/>
        <w:ind w:left="600" w:right="0"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、避免同业竞争承诺</w:t>
      </w:r>
      <w:r>
        <w:rPr>
          <w:rFonts w:ascii="宋体" w:hAnsi="宋体" w:cs="宋体" w:eastAsia="宋体" w:hint="default"/>
          <w:b/>
          <w:bCs/>
          <w:w w:val="99"/>
          <w:sz w:val="24"/>
          <w:szCs w:val="24"/>
        </w:rPr>
        <w:t> </w:t>
      </w:r>
      <w:r>
        <w:rPr>
          <w:rFonts w:ascii="宋体" w:hAnsi="宋体" w:cs="宋体" w:eastAsia="宋体" w:hint="default"/>
          <w:spacing w:val="4"/>
          <w:sz w:val="24"/>
          <w:szCs w:val="24"/>
        </w:rPr>
        <w:t>为避免同业竞争损害公司及其他股东的利益，公司实际控制人刘祥及持股</w:t>
      </w:r>
      <w:r>
        <w:rPr>
          <w:rFonts w:ascii="宋体" w:hAnsi="宋体" w:cs="宋体" w:eastAsia="宋体" w:hint="default"/>
          <w:sz w:val="24"/>
          <w:szCs w:val="24"/>
        </w:rPr>
      </w:r>
    </w:p>
    <w:p>
      <w:pPr>
        <w:pStyle w:val="BodyText"/>
        <w:spacing w:line="240" w:lineRule="auto" w:before="42"/>
        <w:ind w:right="0"/>
        <w:jc w:val="left"/>
      </w:pPr>
      <w:r>
        <w:rPr>
          <w:rFonts w:ascii="宋体" w:hAnsi="宋体" w:cs="宋体" w:eastAsia="宋体" w:hint="default"/>
        </w:rPr>
        <w:t>5%</w:t>
      </w:r>
      <w:r>
        <w:rPr/>
        <w:t>以上的股东刘亚、江汉共同做出了以下承诺：</w:t>
      </w:r>
    </w:p>
    <w:p>
      <w:pPr>
        <w:pStyle w:val="BodyText"/>
        <w:spacing w:line="357" w:lineRule="auto" w:before="154"/>
        <w:ind w:right="120" w:firstLine="479"/>
        <w:jc w:val="both"/>
      </w:pPr>
      <w:r>
        <w:rPr/>
        <w:t>（</w:t>
      </w:r>
      <w:r>
        <w:rPr>
          <w:rFonts w:ascii="宋体" w:hAnsi="宋体" w:cs="宋体" w:eastAsia="宋体" w:hint="default"/>
        </w:rPr>
        <w:t>1</w:t>
      </w:r>
      <w:r>
        <w:rPr/>
        <w:t>）刘祥、刘亚及江汉共同保证，不以自营或以合资、合作等方式经营任 </w:t>
      </w:r>
      <w:r>
        <w:rPr>
          <w:spacing w:val="-3"/>
        </w:rPr>
        <w:t>何与发行人现从事的业务有竞争的业务，刘祥、刘亚及江汉现有的或将来成立的</w:t>
      </w:r>
      <w:r>
        <w:rPr>
          <w:spacing w:val="-111"/>
        </w:rPr>
        <w:t> </w:t>
      </w:r>
      <w:r>
        <w:rPr>
          <w:spacing w:val="-111"/>
        </w:rPr>
      </w:r>
      <w:r>
        <w:rPr>
          <w:spacing w:val="-3"/>
        </w:rPr>
        <w:t>全资子公司、控股子公司以及其他受刘祥、刘亚及江汉控制的企业亦不会经营与</w:t>
      </w:r>
      <w:r>
        <w:rPr>
          <w:spacing w:val="-111"/>
        </w:rPr>
        <w:t> </w:t>
      </w:r>
      <w:r>
        <w:rPr>
          <w:spacing w:val="-111"/>
        </w:rPr>
      </w:r>
      <w:r>
        <w:rPr/>
        <w:t>发行人现从事的业务有竞争的业务。</w:t>
      </w:r>
    </w:p>
    <w:p>
      <w:pPr>
        <w:pStyle w:val="BodyText"/>
        <w:spacing w:line="357" w:lineRule="auto" w:before="36"/>
        <w:ind w:right="124" w:firstLine="479"/>
        <w:jc w:val="both"/>
      </w:pPr>
      <w:r>
        <w:rPr/>
        <w:t>（</w:t>
      </w:r>
      <w:r>
        <w:rPr>
          <w:rFonts w:ascii="宋体" w:hAnsi="宋体" w:cs="宋体" w:eastAsia="宋体" w:hint="default"/>
        </w:rPr>
        <w:t>2</w:t>
      </w:r>
      <w:r>
        <w:rPr/>
        <w:t>）如违反上述承诺，刘祥、刘亚及江汉同意承担给发行人造成的全部损 失。</w:t>
      </w:r>
    </w:p>
    <w:p>
      <w:pPr>
        <w:pStyle w:val="BodyText"/>
        <w:spacing w:line="240" w:lineRule="auto" w:before="36"/>
        <w:ind w:left="600" w:right="0"/>
        <w:jc w:val="left"/>
      </w:pPr>
      <w:r>
        <w:rPr/>
        <w:t>（</w:t>
      </w:r>
      <w:r>
        <w:rPr>
          <w:rFonts w:ascii="宋体" w:hAnsi="宋体" w:cs="宋体" w:eastAsia="宋体" w:hint="default"/>
        </w:rPr>
        <w:t>3</w:t>
      </w:r>
      <w:r>
        <w:rPr/>
        <w:t>）本承诺函自出具之日起生效，并在刘祥、刘亚及江汉作为发行人股东</w:t>
      </w:r>
    </w:p>
    <w:p>
      <w:pPr>
        <w:pStyle w:val="BodyText"/>
        <w:spacing w:line="240" w:lineRule="auto" w:before="154"/>
        <w:ind w:right="0"/>
        <w:jc w:val="left"/>
      </w:pPr>
      <w:r>
        <w:rPr/>
        <w:t>或关联方的整个期间持续有效。</w:t>
      </w:r>
    </w:p>
    <w:p>
      <w:pPr>
        <w:spacing w:after="0" w:line="240" w:lineRule="auto"/>
        <w:jc w:val="left"/>
        <w:sectPr>
          <w:footerReference w:type="default" r:id="rId27"/>
          <w:pgSz w:w="11910" w:h="16840"/>
          <w:pgMar w:footer="1195" w:header="0" w:top="1380" w:bottom="1380" w:left="1680" w:right="1680"/>
          <w:pgNumType w:start="48"/>
        </w:sectPr>
      </w:pPr>
    </w:p>
    <w:p>
      <w:pPr>
        <w:pStyle w:val="Heading7"/>
        <w:spacing w:line="240" w:lineRule="auto" w:before="3"/>
        <w:ind w:right="0"/>
        <w:jc w:val="left"/>
        <w:rPr>
          <w:b w:val="0"/>
          <w:bCs w:val="0"/>
        </w:rPr>
      </w:pPr>
      <w:r>
        <w:rPr>
          <w:rFonts w:ascii="宋体" w:hAnsi="宋体" w:cs="宋体" w:eastAsia="宋体" w:hint="default"/>
        </w:rPr>
        <w:t>2</w:t>
      </w:r>
      <w:r>
        <w:rPr/>
        <w:t>、关于税务风险的承诺</w:t>
      </w:r>
      <w:r>
        <w:rPr>
          <w:b w:val="0"/>
          <w:bCs w:val="0"/>
        </w:rPr>
      </w:r>
    </w:p>
    <w:p>
      <w:pPr>
        <w:spacing w:line="240" w:lineRule="auto" w:before="5"/>
        <w:rPr>
          <w:rFonts w:ascii="宋体" w:hAnsi="宋体" w:cs="宋体" w:eastAsia="宋体" w:hint="default"/>
          <w:b/>
          <w:bCs/>
          <w:sz w:val="31"/>
          <w:szCs w:val="31"/>
        </w:rPr>
      </w:pPr>
    </w:p>
    <w:p>
      <w:pPr>
        <w:pStyle w:val="BodyText"/>
        <w:spacing w:line="357" w:lineRule="auto"/>
        <w:ind w:right="236" w:firstLine="479"/>
        <w:jc w:val="both"/>
      </w:pPr>
      <w:r>
        <w:rPr/>
        <w:t>公司实际控制人刘祥及持股</w:t>
      </w:r>
      <w:r>
        <w:rPr>
          <w:spacing w:val="23"/>
        </w:rPr>
        <w:t> </w:t>
      </w:r>
      <w:r>
        <w:rPr>
          <w:rFonts w:ascii="宋体" w:hAnsi="宋体" w:cs="宋体" w:eastAsia="宋体" w:hint="default"/>
        </w:rPr>
        <w:t>5%</w:t>
      </w:r>
      <w:r>
        <w:rPr/>
        <w:t>以上的股东刘亚和江汉共同承诺：“如公司 </w:t>
      </w:r>
      <w:r>
        <w:rPr>
          <w:rFonts w:ascii="宋体" w:hAnsi="宋体" w:cs="宋体" w:eastAsia="宋体" w:hint="default"/>
          <w:spacing w:val="-3"/>
        </w:rPr>
        <w:t>(</w:t>
      </w:r>
      <w:r>
        <w:rPr>
          <w:spacing w:val="-3"/>
        </w:rPr>
        <w:t>含下属子公司</w:t>
      </w:r>
      <w:r>
        <w:rPr>
          <w:rFonts w:ascii="宋体" w:hAnsi="宋体" w:cs="宋体" w:eastAsia="宋体" w:hint="default"/>
          <w:spacing w:val="-3"/>
        </w:rPr>
        <w:t>)</w:t>
      </w:r>
      <w:r>
        <w:rPr>
          <w:spacing w:val="-3"/>
        </w:rPr>
        <w:t>因任何违反税收征管的法律、法规而遭受税务主管机关追讨欠税</w:t>
      </w:r>
      <w:r>
        <w:rPr>
          <w:spacing w:val="-106"/>
        </w:rPr>
        <w:t> </w:t>
      </w:r>
      <w:r>
        <w:rPr>
          <w:spacing w:val="-106"/>
        </w:rPr>
      </w:r>
      <w:r>
        <w:rPr/>
        <w:t>并处罚的情况，本人同意全额承担相关的责任。”</w:t>
      </w:r>
    </w:p>
    <w:p>
      <w:pPr>
        <w:spacing w:line="240" w:lineRule="auto" w:before="10"/>
        <w:rPr>
          <w:rFonts w:ascii="宋体" w:hAnsi="宋体" w:cs="宋体" w:eastAsia="宋体" w:hint="default"/>
          <w:sz w:val="22"/>
          <w:szCs w:val="22"/>
        </w:rPr>
      </w:pPr>
    </w:p>
    <w:p>
      <w:pPr>
        <w:pStyle w:val="Heading7"/>
        <w:spacing w:line="240" w:lineRule="auto" w:before="0"/>
        <w:ind w:right="0"/>
        <w:jc w:val="left"/>
        <w:rPr>
          <w:b w:val="0"/>
          <w:bCs w:val="0"/>
        </w:rPr>
      </w:pPr>
      <w:r>
        <w:rPr>
          <w:rFonts w:ascii="宋体" w:hAnsi="宋体" w:cs="宋体" w:eastAsia="宋体" w:hint="default"/>
        </w:rPr>
        <w:t>3</w:t>
      </w:r>
      <w:r>
        <w:rPr/>
        <w:t>、关于住房公积金风险的承诺</w:t>
      </w:r>
      <w:r>
        <w:rPr>
          <w:b w:val="0"/>
          <w:bCs w:val="0"/>
        </w:rPr>
      </w:r>
    </w:p>
    <w:p>
      <w:pPr>
        <w:spacing w:line="240" w:lineRule="auto" w:before="8"/>
        <w:rPr>
          <w:rFonts w:ascii="宋体" w:hAnsi="宋体" w:cs="宋体" w:eastAsia="宋体" w:hint="default"/>
          <w:b/>
          <w:bCs/>
          <w:sz w:val="31"/>
          <w:szCs w:val="31"/>
        </w:rPr>
      </w:pPr>
    </w:p>
    <w:p>
      <w:pPr>
        <w:pStyle w:val="BodyText"/>
        <w:spacing w:line="357" w:lineRule="auto"/>
        <w:ind w:right="237" w:firstLine="479"/>
        <w:jc w:val="both"/>
      </w:pPr>
      <w:r>
        <w:rPr/>
        <w:t>公司实际控制人及持股</w:t>
      </w:r>
      <w:r>
        <w:rPr>
          <w:spacing w:val="20"/>
        </w:rPr>
        <w:t> </w:t>
      </w:r>
      <w:r>
        <w:rPr>
          <w:rFonts w:ascii="宋体" w:hAnsi="宋体" w:cs="宋体" w:eastAsia="宋体" w:hint="default"/>
        </w:rPr>
        <w:t>5%</w:t>
      </w:r>
      <w:r>
        <w:rPr/>
        <w:t>以上股东刘亚、江汉出具承诺函：“如今后贵司 </w:t>
      </w:r>
      <w:r>
        <w:rPr>
          <w:spacing w:val="-3"/>
        </w:rPr>
        <w:t>因上市前执行住房公积金政策事宜被要求补缴住房公积金、缴纳罚款或因此而遭</w:t>
      </w:r>
      <w:r>
        <w:rPr>
          <w:spacing w:val="-109"/>
        </w:rPr>
        <w:t> </w:t>
      </w:r>
      <w:r>
        <w:rPr>
          <w:spacing w:val="-109"/>
        </w:rPr>
      </w:r>
      <w:r>
        <w:rPr/>
        <w:t>受任何损失时，我们将及时、无条件、全额补偿贵司由此遭受的一切损失”。</w:t>
      </w:r>
    </w:p>
    <w:p>
      <w:pPr>
        <w:spacing w:line="240" w:lineRule="auto" w:before="10"/>
        <w:rPr>
          <w:rFonts w:ascii="宋体" w:hAnsi="宋体" w:cs="宋体" w:eastAsia="宋体" w:hint="default"/>
          <w:sz w:val="22"/>
          <w:szCs w:val="22"/>
        </w:rPr>
      </w:pPr>
    </w:p>
    <w:p>
      <w:pPr>
        <w:pStyle w:val="Heading7"/>
        <w:spacing w:line="240" w:lineRule="auto" w:before="0"/>
        <w:ind w:right="0"/>
        <w:jc w:val="left"/>
        <w:rPr>
          <w:b w:val="0"/>
          <w:bCs w:val="0"/>
        </w:rPr>
      </w:pPr>
      <w:r>
        <w:rPr>
          <w:rFonts w:ascii="宋体" w:hAnsi="宋体" w:cs="宋体" w:eastAsia="宋体" w:hint="default"/>
        </w:rPr>
        <w:t>4</w:t>
      </w:r>
      <w:r>
        <w:rPr/>
        <w:t>、关于生产场地被迫搬迁的补偿承诺</w:t>
      </w:r>
      <w:r>
        <w:rPr>
          <w:b w:val="0"/>
          <w:bCs w:val="0"/>
        </w:rPr>
      </w:r>
    </w:p>
    <w:p>
      <w:pPr>
        <w:spacing w:line="240" w:lineRule="auto" w:before="7"/>
        <w:rPr>
          <w:rFonts w:ascii="宋体" w:hAnsi="宋体" w:cs="宋体" w:eastAsia="宋体" w:hint="default"/>
          <w:b/>
          <w:bCs/>
          <w:sz w:val="31"/>
          <w:szCs w:val="31"/>
        </w:rPr>
      </w:pPr>
    </w:p>
    <w:p>
      <w:pPr>
        <w:pStyle w:val="BodyText"/>
        <w:spacing w:line="357" w:lineRule="auto"/>
        <w:ind w:right="235" w:firstLine="479"/>
        <w:jc w:val="both"/>
      </w:pPr>
      <w:r>
        <w:rPr>
          <w:spacing w:val="-3"/>
        </w:rPr>
        <w:t>公司实际控制人刘祥及股东刘亚和江汉共同承诺：“在中国证监会核准发行</w:t>
      </w:r>
      <w:r>
        <w:rPr/>
        <w:t> </w:t>
      </w:r>
      <w:r>
        <w:rPr>
          <w:spacing w:val="-3"/>
        </w:rPr>
        <w:t>人本次发行股票并上市，且发行人公开发行的股票在证券交易所正式挂牌后，若</w:t>
      </w:r>
      <w:r>
        <w:rPr>
          <w:spacing w:val="-111"/>
        </w:rPr>
        <w:t> </w:t>
      </w:r>
      <w:r>
        <w:rPr>
          <w:spacing w:val="-111"/>
        </w:rPr>
      </w:r>
      <w:r>
        <w:rPr>
          <w:spacing w:val="-3"/>
        </w:rPr>
        <w:t>因公司租赁厂房的产权瑕疵导致发行人被迫搬迁生产场地，承诺人将以连带责任</w:t>
      </w:r>
      <w:r>
        <w:rPr>
          <w:spacing w:val="-109"/>
        </w:rPr>
        <w:t> </w:t>
      </w:r>
      <w:r>
        <w:rPr>
          <w:spacing w:val="-109"/>
        </w:rPr>
      </w:r>
      <w:r>
        <w:rPr>
          <w:spacing w:val="3"/>
        </w:rPr>
        <w:t>方式全额承担补偿深圳市新国都技术股份有限公司的搬迁费用和因生产停滞所</w:t>
      </w:r>
      <w:r>
        <w:rPr>
          <w:spacing w:val="-99"/>
        </w:rPr>
        <w:t> </w:t>
      </w:r>
      <w:r>
        <w:rPr>
          <w:spacing w:val="-99"/>
        </w:rPr>
      </w:r>
      <w:r>
        <w:rPr/>
        <w:t>造成的损失。”</w:t>
      </w:r>
    </w:p>
    <w:p>
      <w:pPr>
        <w:spacing w:line="240" w:lineRule="auto" w:before="10"/>
        <w:rPr>
          <w:rFonts w:ascii="宋体" w:hAnsi="宋体" w:cs="宋体" w:eastAsia="宋体" w:hint="default"/>
          <w:sz w:val="22"/>
          <w:szCs w:val="22"/>
        </w:rPr>
      </w:pPr>
    </w:p>
    <w:p>
      <w:pPr>
        <w:pStyle w:val="Heading7"/>
        <w:spacing w:line="240" w:lineRule="auto" w:before="0"/>
        <w:ind w:right="0"/>
        <w:jc w:val="left"/>
        <w:rPr>
          <w:b w:val="0"/>
          <w:bCs w:val="0"/>
        </w:rPr>
      </w:pPr>
      <w:r>
        <w:rPr>
          <w:rFonts w:ascii="宋体" w:hAnsi="宋体" w:cs="宋体" w:eastAsia="宋体" w:hint="default"/>
        </w:rPr>
        <w:t>5</w:t>
      </w:r>
      <w:r>
        <w:rPr/>
        <w:t>、关于股份锁定的承诺</w:t>
      </w:r>
      <w:r>
        <w:rPr>
          <w:b w:val="0"/>
          <w:bCs w:val="0"/>
        </w:rPr>
      </w:r>
    </w:p>
    <w:p>
      <w:pPr>
        <w:spacing w:line="240" w:lineRule="auto" w:before="5"/>
        <w:rPr>
          <w:rFonts w:ascii="宋体" w:hAnsi="宋体" w:cs="宋体" w:eastAsia="宋体" w:hint="default"/>
          <w:b/>
          <w:bCs/>
          <w:sz w:val="31"/>
          <w:szCs w:val="31"/>
        </w:rPr>
      </w:pPr>
    </w:p>
    <w:p>
      <w:pPr>
        <w:pStyle w:val="BodyText"/>
        <w:spacing w:line="357" w:lineRule="auto"/>
        <w:ind w:right="237" w:firstLine="479"/>
        <w:jc w:val="both"/>
      </w:pPr>
      <w:r>
        <w:rPr>
          <w:spacing w:val="-3"/>
        </w:rPr>
        <w:t>刘祥、刘亚、江汉承诺：“自公司股票上市之日起三十六个月内，不转让或</w:t>
      </w:r>
      <w:r>
        <w:rPr/>
        <w:t> </w:t>
      </w:r>
      <w:r>
        <w:rPr>
          <w:spacing w:val="-3"/>
        </w:rPr>
        <w:t>者委托他人管理本人直接或间接持有的公司公开发行股票前已发行的股份，也不</w:t>
      </w:r>
      <w:r>
        <w:rPr>
          <w:spacing w:val="-109"/>
        </w:rPr>
        <w:t> </w:t>
      </w:r>
      <w:r>
        <w:rPr>
          <w:spacing w:val="-109"/>
        </w:rPr>
      </w:r>
      <w:r>
        <w:rPr/>
        <w:t>由新国都回购本人直接或间接持有的公司公开发行股票前已发行的股份。”</w:t>
      </w:r>
    </w:p>
    <w:p>
      <w:pPr>
        <w:pStyle w:val="BodyText"/>
        <w:spacing w:line="357" w:lineRule="auto" w:before="36"/>
        <w:ind w:right="102" w:firstLine="479"/>
        <w:jc w:val="left"/>
      </w:pPr>
      <w:r>
        <w:rPr>
          <w:spacing w:val="-7"/>
        </w:rPr>
        <w:t>自然人股东李俊、栾承岚、陈希芬、汪洋、韦余红、李林杰、赵辉、徐金芳、</w:t>
      </w:r>
      <w:r>
        <w:rPr/>
        <w:t> </w:t>
      </w:r>
      <w:r>
        <w:rPr>
          <w:spacing w:val="-6"/>
        </w:rPr>
        <w:t>聂淼、张燕民、蔡衍军、陈新华、李妍、许芹、王巍、里维宁、王凌海、徐兴春、</w:t>
      </w:r>
      <w:r>
        <w:rPr/>
        <w:t> </w:t>
      </w:r>
      <w:r>
        <w:rPr>
          <w:spacing w:val="-7"/>
        </w:rPr>
        <w:t>钟可颐、谢建龙、黄健生、欧阳伟强承诺：“自公司股票上市之日起十二个月内，</w:t>
      </w:r>
      <w:r>
        <w:rPr>
          <w:spacing w:val="-85"/>
        </w:rPr>
        <w:t> </w:t>
      </w:r>
      <w:r>
        <w:rPr>
          <w:spacing w:val="-85"/>
        </w:rPr>
      </w:r>
      <w:r>
        <w:rPr>
          <w:spacing w:val="3"/>
        </w:rPr>
        <w:t>不转让或者委托他人管理本人直接或间接持有的公司公开发行股票前已发行的</w:t>
      </w:r>
      <w:r>
        <w:rPr>
          <w:spacing w:val="-99"/>
        </w:rPr>
        <w:t> </w:t>
      </w:r>
      <w:r>
        <w:rPr>
          <w:spacing w:val="-99"/>
        </w:rPr>
      </w:r>
      <w:r>
        <w:rPr>
          <w:spacing w:val="3"/>
        </w:rPr>
        <w:t>股份，也不由公司回购本人直接或间接持有的公司公开发行股票前已发行的股</w:t>
      </w:r>
      <w:r>
        <w:rPr>
          <w:spacing w:val="-98"/>
        </w:rPr>
        <w:t> </w:t>
      </w:r>
      <w:r>
        <w:rPr>
          <w:spacing w:val="-98"/>
        </w:rPr>
      </w:r>
      <w:r>
        <w:rPr/>
        <w:t>份。”</w:t>
      </w:r>
    </w:p>
    <w:p>
      <w:pPr>
        <w:pStyle w:val="BodyText"/>
        <w:spacing w:line="357" w:lineRule="auto" w:before="36"/>
        <w:ind w:right="236" w:firstLine="479"/>
        <w:jc w:val="both"/>
      </w:pPr>
      <w:r>
        <w:rPr>
          <w:spacing w:val="-3"/>
        </w:rPr>
        <w:t>法人股东深创投、福田资本、瑞驰丰和承诺：“自公司股票上市之日起十二</w:t>
      </w:r>
      <w:r>
        <w:rPr/>
        <w:t> </w:t>
      </w:r>
      <w:r>
        <w:rPr>
          <w:spacing w:val="-3"/>
        </w:rPr>
        <w:t>个月内，不转让或者委托他人管理本公司直接或间接持有的公司公开发行股票前</w:t>
      </w:r>
    </w:p>
    <w:p>
      <w:pPr>
        <w:spacing w:after="0" w:line="357" w:lineRule="auto"/>
        <w:jc w:val="both"/>
        <w:sectPr>
          <w:footerReference w:type="default" r:id="rId28"/>
          <w:pgSz w:w="11910" w:h="16840"/>
          <w:pgMar w:footer="1195" w:header="0" w:top="1460" w:bottom="1380" w:left="1680" w:right="1560"/>
          <w:pgNumType w:start="4"/>
        </w:sectPr>
      </w:pPr>
    </w:p>
    <w:p>
      <w:pPr>
        <w:pStyle w:val="BodyText"/>
        <w:spacing w:line="357" w:lineRule="auto" w:before="1"/>
        <w:ind w:left="140" w:right="197"/>
        <w:jc w:val="both"/>
      </w:pPr>
      <w:r>
        <w:rPr>
          <w:spacing w:val="-3"/>
        </w:rPr>
        <w:t>已发行的股份，也不由公司回购本公司直接或间接持有的公司公开发行股票前已</w:t>
      </w:r>
      <w:r>
        <w:rPr>
          <w:spacing w:val="-109"/>
        </w:rPr>
        <w:t> </w:t>
      </w:r>
      <w:r>
        <w:rPr>
          <w:spacing w:val="-109"/>
        </w:rPr>
      </w:r>
      <w:r>
        <w:rPr/>
        <w:t>发行的股份。”</w:t>
      </w:r>
    </w:p>
    <w:p>
      <w:pPr>
        <w:pStyle w:val="BodyText"/>
        <w:spacing w:line="357" w:lineRule="auto" w:before="36"/>
        <w:ind w:left="140" w:right="87" w:firstLine="479"/>
        <w:jc w:val="left"/>
      </w:pPr>
      <w:r>
        <w:rPr/>
        <w:t>在公司担任董事、监事、高级管理人员的股东刘祥、江汉、汪洋、韦余红、 </w:t>
      </w:r>
      <w:r>
        <w:rPr>
          <w:spacing w:val="-3"/>
        </w:rPr>
        <w:t>李林杰、栾承岚、赵辉承诺在其本人及关联方担任董事、监事、高级管理人员职</w:t>
      </w:r>
      <w:r>
        <w:rPr>
          <w:spacing w:val="-111"/>
        </w:rPr>
        <w:t> </w:t>
      </w:r>
      <w:r>
        <w:rPr>
          <w:spacing w:val="-111"/>
        </w:rPr>
      </w:r>
      <w:r>
        <w:rPr/>
        <w:t>务期间，每年转让的公司股份不超过其所持有的股份总数的</w:t>
      </w:r>
      <w:r>
        <w:rPr>
          <w:spacing w:val="-73"/>
        </w:rPr>
        <w:t> </w:t>
      </w:r>
      <w:r>
        <w:rPr>
          <w:rFonts w:ascii="宋体" w:hAnsi="宋体" w:cs="宋体" w:eastAsia="宋体" w:hint="default"/>
        </w:rPr>
        <w:t>25%</w:t>
      </w:r>
      <w:r>
        <w:rPr/>
        <w:t>；离职后半年内 </w:t>
      </w:r>
      <w:r>
        <w:rPr>
          <w:spacing w:val="-3"/>
        </w:rPr>
        <w:t>不转让其所持有的公司的股份；在申报离任六个月后的十二月内通过证券交易所</w:t>
      </w:r>
      <w:r>
        <w:rPr>
          <w:spacing w:val="-109"/>
        </w:rPr>
        <w:t> </w:t>
      </w:r>
      <w:r>
        <w:rPr>
          <w:spacing w:val="-109"/>
        </w:rPr>
      </w:r>
      <w:r>
        <w:rPr>
          <w:spacing w:val="12"/>
        </w:rPr>
        <w:t>挂牌交易出售公司股票数量占其所持有公司股票总数的比例不超过百分之五</w:t>
      </w:r>
      <w:r>
        <w:rPr>
          <w:spacing w:val="12"/>
        </w:rPr>
        <w:t> </w:t>
      </w:r>
      <w:r>
        <w:rPr/>
        <w:t>十。”</w:t>
      </w:r>
    </w:p>
    <w:p>
      <w:pPr>
        <w:pStyle w:val="BodyText"/>
        <w:spacing w:line="271" w:lineRule="exact"/>
        <w:ind w:left="140" w:right="94" w:firstLine="479"/>
        <w:jc w:val="left"/>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月，在公司担任董事、监事、高级管理人员的股东刘祥、江汉、</w:t>
      </w:r>
    </w:p>
    <w:p>
      <w:pPr>
        <w:pStyle w:val="BodyText"/>
        <w:spacing w:line="357" w:lineRule="auto" w:before="154"/>
        <w:ind w:left="140" w:right="196"/>
        <w:jc w:val="both"/>
      </w:pPr>
      <w:r>
        <w:rPr>
          <w:spacing w:val="-3"/>
        </w:rPr>
        <w:t>汪洋、韦余红、李林杰、栾承岚、赵辉承诺：若在首次公开发行股票上市之日起</w:t>
      </w:r>
      <w:r>
        <w:rPr>
          <w:spacing w:val="-111"/>
        </w:rPr>
        <w:t> </w:t>
      </w:r>
      <w:r>
        <w:rPr>
          <w:spacing w:val="-111"/>
        </w:rPr>
      </w:r>
      <w:r>
        <w:rPr>
          <w:spacing w:val="-3"/>
        </w:rPr>
        <w:t>六个月内（含第六个月）申报离职，将自申报离职之日起十八个月（含第十八个</w:t>
      </w:r>
      <w:r>
        <w:rPr>
          <w:spacing w:val="-111"/>
        </w:rPr>
        <w:t> </w:t>
      </w:r>
      <w:r>
        <w:rPr>
          <w:spacing w:val="-111"/>
        </w:rPr>
      </w:r>
      <w:r>
        <w:rPr>
          <w:spacing w:val="-3"/>
        </w:rPr>
        <w:t>月）内不转让本人直接持有的本公司股份；本人若在首次公开发行股票上市之日</w:t>
      </w:r>
      <w:r>
        <w:rPr>
          <w:spacing w:val="-111"/>
        </w:rPr>
        <w:t> </w:t>
      </w:r>
      <w:r>
        <w:rPr>
          <w:spacing w:val="-111"/>
        </w:rPr>
      </w:r>
      <w:r>
        <w:rPr>
          <w:spacing w:val="-3"/>
        </w:rPr>
        <w:t>起第七个月至第十二个月（含第七个月、第十二个月）之间申报离职，将自申报</w:t>
      </w:r>
      <w:r>
        <w:rPr>
          <w:spacing w:val="-111"/>
        </w:rPr>
        <w:t> </w:t>
      </w:r>
      <w:r>
        <w:rPr>
          <w:spacing w:val="-111"/>
        </w:rPr>
      </w:r>
      <w:r>
        <w:rPr>
          <w:spacing w:val="-3"/>
        </w:rPr>
        <w:t>离职之日起十二个月内（含第十二个月）不转让本人直接持有的本公司股份。因</w:t>
      </w:r>
      <w:r>
        <w:rPr>
          <w:spacing w:val="-111"/>
        </w:rPr>
        <w:t> </w:t>
      </w:r>
      <w:r>
        <w:rPr>
          <w:spacing w:val="-111"/>
        </w:rPr>
      </w:r>
      <w:r>
        <w:rPr>
          <w:spacing w:val="-3"/>
        </w:rPr>
        <w:t>上市公司进行权益分派等导致本人直接持有本公司股份发生变化的，本人仍遵守</w:t>
      </w:r>
      <w:r>
        <w:rPr>
          <w:spacing w:val="-109"/>
        </w:rPr>
        <w:t> </w:t>
      </w:r>
      <w:r>
        <w:rPr>
          <w:spacing w:val="-109"/>
        </w:rPr>
      </w:r>
      <w:r>
        <w:rPr/>
        <w:t>前款承诺。</w:t>
      </w:r>
    </w:p>
    <w:p>
      <w:pPr>
        <w:pStyle w:val="BodyText"/>
        <w:spacing w:line="240" w:lineRule="auto" w:before="113"/>
        <w:ind w:left="620" w:right="94"/>
        <w:jc w:val="left"/>
      </w:pPr>
      <w:r>
        <w:rPr/>
        <w:t>报告期内，公司股东、董事、监事、高级管理人员均遵守了上述承诺。</w:t>
      </w:r>
    </w:p>
    <w:p>
      <w:pPr>
        <w:pStyle w:val="Heading3"/>
        <w:spacing w:line="240" w:lineRule="auto" w:before="66"/>
        <w:ind w:left="140" w:right="0"/>
        <w:jc w:val="both"/>
        <w:rPr>
          <w:b w:val="0"/>
          <w:bCs w:val="0"/>
        </w:rPr>
      </w:pPr>
      <w:r>
        <w:rPr/>
        <w:t>十、</w:t>
      </w:r>
      <w:r>
        <w:rPr>
          <w:spacing w:val="136"/>
        </w:rPr>
        <w:t> </w:t>
      </w:r>
      <w:r>
        <w:rPr/>
        <w:t>解聘、聘任会计师事务所情况及支付报酬情况</w:t>
      </w:r>
      <w:r>
        <w:rPr>
          <w:b w:val="0"/>
          <w:bCs w:val="0"/>
        </w:rPr>
      </w:r>
    </w:p>
    <w:p>
      <w:pPr>
        <w:spacing w:line="355" w:lineRule="auto" w:before="186"/>
        <w:ind w:left="116" w:right="187" w:firstLine="508"/>
        <w:jc w:val="left"/>
        <w:rPr>
          <w:rFonts w:ascii="宋体" w:hAnsi="宋体" w:cs="宋体" w:eastAsia="宋体" w:hint="default"/>
          <w:sz w:val="28"/>
          <w:szCs w:val="28"/>
        </w:rPr>
      </w:pPr>
      <w:r>
        <w:rPr>
          <w:rFonts w:ascii="宋体" w:hAnsi="宋体" w:cs="宋体" w:eastAsia="宋体" w:hint="default"/>
          <w:spacing w:val="-3"/>
          <w:sz w:val="24"/>
          <w:szCs w:val="24"/>
        </w:rPr>
        <w:t>经公司</w:t>
      </w:r>
      <w:r>
        <w:rPr>
          <w:rFonts w:ascii="宋体" w:hAnsi="宋体" w:cs="宋体" w:eastAsia="宋体" w:hint="default"/>
          <w:spacing w:val="-3"/>
          <w:sz w:val="24"/>
          <w:szCs w:val="24"/>
        </w:rPr>
        <w:t>2010</w:t>
      </w:r>
      <w:r>
        <w:rPr>
          <w:rFonts w:ascii="宋体" w:hAnsi="宋体" w:cs="宋体" w:eastAsia="宋体" w:hint="default"/>
          <w:spacing w:val="-3"/>
          <w:sz w:val="24"/>
          <w:szCs w:val="24"/>
        </w:rPr>
        <w:t>年度股东大会审议通过，聘任大华会计师事务所有限公司为公司</w:t>
      </w:r>
      <w:r>
        <w:rPr>
          <w:rFonts w:ascii="宋体" w:hAnsi="宋体" w:cs="宋体" w:eastAsia="宋体" w:hint="default"/>
          <w:sz w:val="24"/>
          <w:szCs w:val="24"/>
        </w:rPr>
        <w:t> </w:t>
      </w:r>
      <w:r>
        <w:rPr>
          <w:rFonts w:ascii="宋体" w:hAnsi="宋体" w:cs="宋体" w:eastAsia="宋体" w:hint="default"/>
          <w:spacing w:val="-3"/>
          <w:sz w:val="24"/>
          <w:szCs w:val="24"/>
        </w:rPr>
        <w:t>2011</w:t>
      </w:r>
      <w:r>
        <w:rPr>
          <w:rFonts w:ascii="宋体" w:hAnsi="宋体" w:cs="宋体" w:eastAsia="宋体" w:hint="default"/>
          <w:spacing w:val="-3"/>
          <w:sz w:val="24"/>
          <w:szCs w:val="24"/>
        </w:rPr>
        <w:t>年度审计机构，聘期一年。目前立信大华会计师事务所有限公司已经为公司</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提供</w:t>
      </w:r>
      <w:r>
        <w:rPr>
          <w:rFonts w:ascii="宋体" w:hAnsi="宋体" w:cs="宋体" w:eastAsia="宋体" w:hint="default"/>
          <w:sz w:val="24"/>
          <w:szCs w:val="24"/>
        </w:rPr>
        <w:t>3</w:t>
      </w:r>
      <w:r>
        <w:rPr>
          <w:rFonts w:ascii="宋体" w:hAnsi="宋体" w:cs="宋体" w:eastAsia="宋体" w:hint="default"/>
          <w:sz w:val="24"/>
          <w:szCs w:val="24"/>
        </w:rPr>
        <w:t>年的审计服务。 </w:t>
      </w:r>
      <w:r>
        <w:rPr>
          <w:rFonts w:ascii="宋体" w:hAnsi="宋体" w:cs="宋体" w:eastAsia="宋体" w:hint="default"/>
          <w:b/>
          <w:bCs/>
          <w:sz w:val="28"/>
          <w:szCs w:val="28"/>
        </w:rPr>
        <w:t>十一、受监管部门处罚、通报批评、公开谴责等情况</w:t>
      </w:r>
      <w:r>
        <w:rPr>
          <w:rFonts w:ascii="宋体" w:hAnsi="宋体" w:cs="宋体" w:eastAsia="宋体" w:hint="default"/>
          <w:sz w:val="28"/>
          <w:szCs w:val="28"/>
        </w:rPr>
      </w:r>
    </w:p>
    <w:p>
      <w:pPr>
        <w:spacing w:line="355" w:lineRule="auto" w:before="52"/>
        <w:ind w:left="116" w:right="94" w:firstLine="508"/>
        <w:jc w:val="left"/>
        <w:rPr>
          <w:rFonts w:ascii="宋体" w:hAnsi="宋体" w:cs="宋体" w:eastAsia="宋体" w:hint="default"/>
          <w:sz w:val="28"/>
          <w:szCs w:val="28"/>
        </w:rPr>
      </w:pPr>
      <w:r>
        <w:rPr>
          <w:rFonts w:ascii="宋体" w:hAnsi="宋体" w:cs="宋体" w:eastAsia="宋体" w:hint="default"/>
          <w:spacing w:val="-4"/>
          <w:sz w:val="24"/>
          <w:szCs w:val="24"/>
        </w:rPr>
        <w:t>报告期内，公司及其董事、监事、高级管理人员、公司控股股东、实际控制</w:t>
      </w:r>
      <w:r>
        <w:rPr>
          <w:rFonts w:ascii="宋体" w:hAnsi="宋体" w:cs="宋体" w:eastAsia="宋体" w:hint="default"/>
          <w:sz w:val="24"/>
          <w:szCs w:val="24"/>
        </w:rPr>
        <w:t> </w:t>
      </w:r>
      <w:r>
        <w:rPr>
          <w:rFonts w:ascii="宋体" w:hAnsi="宋体" w:cs="宋体" w:eastAsia="宋体" w:hint="default"/>
          <w:spacing w:val="-3"/>
          <w:sz w:val="24"/>
          <w:szCs w:val="24"/>
        </w:rPr>
        <w:t>人不存在受有权机关调查、司法纪检部门采取强制措施、被移送司法机关或追究</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刑事责任、中国证监会稽查、中国证监会行政处罚、证券市场禁入、认定为不适</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当人选被其他行政管理部门处罚及证券交易所公开谴责的情形。 </w:t>
      </w:r>
      <w:r>
        <w:rPr>
          <w:rFonts w:ascii="宋体" w:hAnsi="宋体" w:cs="宋体" w:eastAsia="宋体" w:hint="default"/>
          <w:b/>
          <w:bCs/>
          <w:sz w:val="28"/>
          <w:szCs w:val="28"/>
        </w:rPr>
        <w:t>十二、报告期内，中国证监会及其派出机构对公司提出整改意见。</w:t>
      </w:r>
      <w:r>
        <w:rPr>
          <w:rFonts w:ascii="宋体" w:hAnsi="宋体" w:cs="宋体" w:eastAsia="宋体" w:hint="default"/>
          <w:b/>
          <w:bCs/>
          <w:spacing w:val="-121"/>
          <w:sz w:val="28"/>
          <w:szCs w:val="28"/>
        </w:rPr>
        <w:t> </w:t>
      </w:r>
      <w:r>
        <w:rPr>
          <w:rFonts w:ascii="宋体" w:hAnsi="宋体" w:cs="宋体" w:eastAsia="宋体" w:hint="default"/>
          <w:b/>
          <w:bCs/>
          <w:spacing w:val="-121"/>
          <w:sz w:val="28"/>
          <w:szCs w:val="28"/>
        </w:rPr>
      </w:r>
      <w:r>
        <w:rPr>
          <w:rFonts w:ascii="宋体" w:hAnsi="宋体" w:cs="宋体" w:eastAsia="宋体" w:hint="default"/>
          <w:b/>
          <w:bCs/>
          <w:spacing w:val="-4"/>
          <w:sz w:val="28"/>
          <w:szCs w:val="28"/>
        </w:rPr>
        <w:t>十三、报告期内，公司和子公司发生的《证券法》第六十七条、《上</w:t>
      </w:r>
      <w:r>
        <w:rPr>
          <w:rFonts w:ascii="宋体" w:hAnsi="宋体" w:cs="宋体" w:eastAsia="宋体" w:hint="default"/>
          <w:spacing w:val="-4"/>
          <w:sz w:val="28"/>
          <w:szCs w:val="28"/>
        </w:rPr>
      </w:r>
    </w:p>
    <w:p>
      <w:pPr>
        <w:pStyle w:val="Heading3"/>
        <w:spacing w:line="240" w:lineRule="auto" w:before="44"/>
        <w:ind w:left="567" w:right="94"/>
        <w:jc w:val="left"/>
        <w:rPr>
          <w:b w:val="0"/>
          <w:bCs w:val="0"/>
        </w:rPr>
      </w:pPr>
      <w:r>
        <w:rPr/>
        <w:t>市公司信息披露管理办法》第三十条所列的重大事件，以及公司</w:t>
      </w:r>
      <w:r>
        <w:rPr>
          <w:b w:val="0"/>
          <w:bCs w:val="0"/>
        </w:rPr>
      </w:r>
    </w:p>
    <w:p>
      <w:pPr>
        <w:spacing w:after="0" w:line="240" w:lineRule="auto"/>
        <w:jc w:val="left"/>
        <w:sectPr>
          <w:pgSz w:w="11910" w:h="16840"/>
          <w:pgMar w:header="0" w:footer="1195" w:top="1460" w:bottom="1380" w:left="1660" w:right="1600"/>
        </w:sectPr>
      </w:pPr>
    </w:p>
    <w:p>
      <w:pPr>
        <w:pStyle w:val="Heading3"/>
        <w:spacing w:line="360" w:lineRule="exact"/>
        <w:ind w:left="647" w:right="226"/>
        <w:jc w:val="left"/>
        <w:rPr>
          <w:b w:val="0"/>
          <w:bCs w:val="0"/>
        </w:rPr>
      </w:pPr>
      <w:r>
        <w:rPr/>
        <w:t>董事会判断为重大事件的事项</w:t>
      </w:r>
      <w:r>
        <w:rPr>
          <w:b w:val="0"/>
          <w:bCs w:val="0"/>
        </w:rPr>
      </w:r>
    </w:p>
    <w:p>
      <w:pPr>
        <w:pStyle w:val="Heading3"/>
        <w:spacing w:line="357" w:lineRule="auto" w:before="178"/>
        <w:ind w:left="563" w:right="226" w:hanging="428"/>
        <w:jc w:val="left"/>
        <w:rPr>
          <w:b w:val="0"/>
          <w:bCs w:val="0"/>
        </w:rPr>
      </w:pPr>
      <w:r>
        <w:rPr>
          <w:w w:val="99"/>
        </w:rPr>
        <w:t>十四、</w:t>
      </w:r>
      <w:r>
        <w:rPr>
          <w:spacing w:val="-45"/>
          <w:w w:val="99"/>
        </w:rPr>
        <w:t> </w:t>
      </w:r>
      <w:r>
        <w:rPr>
          <w:spacing w:val="-5"/>
          <w:w w:val="99"/>
        </w:rPr>
        <w:t>公司内部审计机构的设置、人员安排和内部审计制度的执行情</w:t>
      </w:r>
      <w:r>
        <w:rPr>
          <w:spacing w:val="-139"/>
          <w:w w:val="99"/>
        </w:rPr>
        <w:t> </w:t>
      </w:r>
      <w:r>
        <w:rPr>
          <w:spacing w:val="-139"/>
          <w:w w:val="99"/>
        </w:rPr>
      </w:r>
      <w:r>
        <w:rPr/>
        <w:t>况</w:t>
      </w:r>
      <w:r>
        <w:rPr>
          <w:b w:val="0"/>
          <w:bCs w:val="0"/>
        </w:rPr>
      </w:r>
    </w:p>
    <w:p>
      <w:pPr>
        <w:pStyle w:val="BodyText"/>
        <w:spacing w:line="357" w:lineRule="auto" w:before="128"/>
        <w:ind w:left="220" w:right="226" w:firstLine="424"/>
        <w:jc w:val="left"/>
      </w:pPr>
      <w:r>
        <w:rPr>
          <w:spacing w:val="-2"/>
        </w:rPr>
        <w:t>公司根据制定的《内部审计工作制度》设立有独立的内部审计机构，配备了</w:t>
      </w:r>
      <w:r>
        <w:rPr/>
        <w:t> 专职的内部审计人员，严格按制度执行，定期进行了内部审计工作。</w:t>
      </w:r>
    </w:p>
    <w:p>
      <w:pPr>
        <w:pStyle w:val="Heading3"/>
        <w:tabs>
          <w:tab w:pos="1480" w:val="left" w:leader="none"/>
        </w:tabs>
        <w:spacing w:line="315" w:lineRule="exact"/>
        <w:ind w:left="220" w:right="226"/>
        <w:jc w:val="left"/>
        <w:rPr>
          <w:b w:val="0"/>
          <w:bCs w:val="0"/>
        </w:rPr>
      </w:pPr>
      <w:r>
        <w:rPr>
          <w:w w:val="95"/>
        </w:rPr>
        <w:t>十五、</w:t>
        <w:tab/>
      </w:r>
      <w:r>
        <w:rPr/>
        <w:t>报告期内重大信息索引</w:t>
      </w:r>
      <w:r>
        <w:rPr>
          <w:b w:val="0"/>
          <w:bCs w:val="0"/>
        </w:rPr>
      </w:r>
    </w:p>
    <w:p>
      <w:pPr>
        <w:spacing w:line="240" w:lineRule="auto" w:before="5"/>
        <w:rPr>
          <w:rFonts w:ascii="宋体" w:hAnsi="宋体" w:cs="宋体" w:eastAsia="宋体"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674"/>
        <w:gridCol w:w="1136"/>
        <w:gridCol w:w="3828"/>
        <w:gridCol w:w="1275"/>
        <w:gridCol w:w="1611"/>
      </w:tblGrid>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披露信息网站</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2011-01-17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告公告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2011-01-18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12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关于使用部分其他与主营业务相关的营</w:t>
            </w:r>
          </w:p>
          <w:p>
            <w:pPr>
              <w:pStyle w:val="TableParagraph"/>
              <w:spacing w:line="355" w:lineRule="auto" w:before="135"/>
              <w:ind w:left="103" w:right="139"/>
              <w:jc w:val="left"/>
              <w:rPr>
                <w:rFonts w:ascii="宋体" w:hAnsi="宋体" w:cs="宋体" w:eastAsia="宋体" w:hint="default"/>
                <w:sz w:val="21"/>
                <w:szCs w:val="21"/>
              </w:rPr>
            </w:pPr>
            <w:r>
              <w:rPr>
                <w:rFonts w:ascii="宋体" w:hAnsi="宋体" w:cs="宋体" w:eastAsia="宋体" w:hint="default"/>
                <w:spacing w:val="-2"/>
                <w:sz w:val="21"/>
                <w:szCs w:val="21"/>
              </w:rPr>
              <w:t>运资金向全资子公司深圳市新国都软件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技术有限公司增资的公告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使用募集资金置换预先投入募集资金投</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资项目的自筹资金的公告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关于超募资金使用计划的公告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2011-004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2011-03-04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2011-009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2011-03-22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关于投资者接待日的公告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2011-011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2011-03-31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2011-03-31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年年度业绩网上说明会</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2011-04-12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第一届监事会第十一次会议决议公告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2011-04-21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第一届董事会第十六次会议决议公告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2011-04-21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2011-04-21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2010-021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2011-04-21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2011-022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年年度权益分配实施的公告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sz w:val="21"/>
              </w:rPr>
              <w:t>2011-04-28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关于股东股权质押的公告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2011-07-12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关于延期披露半年度报告并停牌的公告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2011-08-05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2011-08-08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bl>
    <w:p>
      <w:pPr>
        <w:spacing w:after="0" w:line="241" w:lineRule="exact"/>
        <w:jc w:val="left"/>
        <w:rPr>
          <w:rFonts w:ascii="宋体" w:hAnsi="宋体" w:cs="宋体" w:eastAsia="宋体" w:hint="default"/>
          <w:sz w:val="21"/>
          <w:szCs w:val="21"/>
        </w:rPr>
        <w:sectPr>
          <w:footerReference w:type="default" r:id="rId29"/>
          <w:pgSz w:w="11910" w:h="16840"/>
          <w:pgMar w:footer="1195" w:header="0" w:top="1380" w:bottom="1380" w:left="1580" w:right="1560"/>
          <w:pgNumType w:start="51"/>
        </w:sectPr>
      </w:pPr>
    </w:p>
    <w:p>
      <w:pPr>
        <w:spacing w:line="240" w:lineRule="auto" w:before="3"/>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674"/>
        <w:gridCol w:w="1136"/>
        <w:gridCol w:w="3828"/>
        <w:gridCol w:w="1275"/>
        <w:gridCol w:w="1611"/>
      </w:tblGrid>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2011-08-09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2011-027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关于超募资金使用计划的公告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2011-08-09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2011-029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年第二次临时股东大会会议决议公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2011-08-24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2011-030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关于会计师事务所更名的公告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2011-10-10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首次公开发行前已发行股份上市流通的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2011-10-14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2011-036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2011-10-25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关于使用部分超募资金永久补充流动资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2011-10-25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2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第二届监事会第三次会议决议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2011-10-25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4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第二届董事会第三次会议决议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2011-10-25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关于全资子公司签订募集资金三方监管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协议的公告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2011-11-28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关于公司签订募集资金三方监管协议的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2011-12-05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巨潮咨询网</w:t>
            </w:r>
          </w:p>
        </w:tc>
      </w:tr>
    </w:tbl>
    <w:p>
      <w:pPr>
        <w:spacing w:line="240" w:lineRule="auto" w:before="7"/>
        <w:rPr>
          <w:rFonts w:ascii="宋体" w:hAnsi="宋体" w:cs="宋体" w:eastAsia="宋体" w:hint="default"/>
          <w:b/>
          <w:bCs/>
          <w:sz w:val="26"/>
          <w:szCs w:val="26"/>
        </w:rPr>
      </w:pPr>
    </w:p>
    <w:p>
      <w:pPr>
        <w:pStyle w:val="Heading3"/>
        <w:tabs>
          <w:tab w:pos="1480" w:val="left" w:leader="none"/>
        </w:tabs>
        <w:spacing w:line="240" w:lineRule="auto" w:before="14"/>
        <w:ind w:left="220" w:right="226"/>
        <w:jc w:val="left"/>
        <w:rPr>
          <w:b w:val="0"/>
          <w:bCs w:val="0"/>
        </w:rPr>
      </w:pPr>
      <w:r>
        <w:rPr>
          <w:w w:val="95"/>
        </w:rPr>
        <w:t>十六、</w:t>
        <w:tab/>
      </w:r>
      <w:r>
        <w:rPr/>
        <w:t>报告期内接待调研、沟通、采访等活动情况</w:t>
      </w:r>
      <w:r>
        <w:rPr>
          <w:b w:val="0"/>
          <w:bCs w:val="0"/>
        </w:rPr>
      </w:r>
    </w:p>
    <w:p>
      <w:pPr>
        <w:spacing w:after="0" w:line="240" w:lineRule="auto"/>
        <w:jc w:val="left"/>
        <w:sectPr>
          <w:pgSz w:w="11910" w:h="16840"/>
          <w:pgMar w:header="0" w:footer="1195" w:top="1340" w:bottom="1380" w:left="1580" w:right="1560"/>
        </w:sectPr>
      </w:pPr>
    </w:p>
    <w:p>
      <w:pPr>
        <w:pStyle w:val="BodyText"/>
        <w:spacing w:line="240" w:lineRule="auto" w:before="1"/>
        <w:ind w:left="1873" w:right="0"/>
        <w:jc w:val="left"/>
      </w:pPr>
      <w:bookmarkStart w:name="_bookmark3" w:id="5"/>
      <w:bookmarkEnd w:id="5"/>
      <w:r>
        <w:rPr/>
      </w:r>
      <w:r>
        <w:rPr/>
        <w:t>报告期内接待调研、沟通、采访等活动情况表</w:t>
      </w:r>
    </w:p>
    <w:p>
      <w:pPr>
        <w:spacing w:line="240" w:lineRule="auto" w:before="11"/>
        <w:rPr>
          <w:rFonts w:ascii="宋体" w:hAnsi="宋体" w:cs="宋体" w:eastAsia="宋体" w:hint="default"/>
          <w:sz w:val="14"/>
          <w:szCs w:val="14"/>
        </w:rPr>
      </w:pPr>
    </w:p>
    <w:tbl>
      <w:tblPr>
        <w:tblW w:w="0" w:type="auto"/>
        <w:jc w:val="left"/>
        <w:tblInd w:w="242" w:type="dxa"/>
        <w:tblLayout w:type="fixed"/>
        <w:tblCellMar>
          <w:top w:w="0" w:type="dxa"/>
          <w:left w:w="0" w:type="dxa"/>
          <w:bottom w:w="0" w:type="dxa"/>
          <w:right w:w="0" w:type="dxa"/>
        </w:tblCellMar>
        <w:tblLook w:val="01E0"/>
      </w:tblPr>
      <w:tblGrid>
        <w:gridCol w:w="1241"/>
        <w:gridCol w:w="1277"/>
        <w:gridCol w:w="1275"/>
        <w:gridCol w:w="2413"/>
        <w:gridCol w:w="1848"/>
      </w:tblGrid>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及提供的资料</w:t>
            </w:r>
          </w:p>
        </w:tc>
      </w:tr>
      <w:tr>
        <w:trPr>
          <w:trHeight w:val="205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4</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firstLine="105"/>
              <w:jc w:val="left"/>
              <w:rPr>
                <w:rFonts w:ascii="宋体" w:hAnsi="宋体" w:cs="宋体" w:eastAsia="宋体" w:hint="default"/>
                <w:sz w:val="21"/>
                <w:szCs w:val="21"/>
              </w:rPr>
            </w:pPr>
            <w:r>
              <w:rPr>
                <w:rFonts w:ascii="宋体" w:hAnsi="宋体" w:cs="宋体" w:eastAsia="宋体" w:hint="default"/>
                <w:sz w:val="21"/>
                <w:szCs w:val="21"/>
              </w:rPr>
              <w:t>国信证券股份有限公</w:t>
            </w:r>
          </w:p>
          <w:p>
            <w:pPr>
              <w:pStyle w:val="TableParagraph"/>
              <w:spacing w:line="357" w:lineRule="auto" w:before="135"/>
              <w:ind w:left="148" w:right="149"/>
              <w:jc w:val="both"/>
              <w:rPr>
                <w:rFonts w:ascii="宋体" w:hAnsi="宋体" w:cs="宋体" w:eastAsia="宋体" w:hint="default"/>
                <w:sz w:val="21"/>
                <w:szCs w:val="21"/>
              </w:rPr>
            </w:pPr>
            <w:r>
              <w:rPr>
                <w:rFonts w:ascii="宋体" w:hAnsi="宋体" w:cs="宋体" w:eastAsia="宋体" w:hint="default"/>
                <w:spacing w:val="-2"/>
                <w:sz w:val="21"/>
                <w:szCs w:val="21"/>
              </w:rPr>
              <w:t>司、中信证券股份有限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公司、中银国际证券有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限公司、华创证券有限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责任公司、华泰证券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公司经营情况</w:t>
            </w: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4</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8" w:right="0"/>
              <w:jc w:val="left"/>
              <w:rPr>
                <w:rFonts w:ascii="宋体" w:hAnsi="宋体" w:cs="宋体" w:eastAsia="宋体" w:hint="default"/>
                <w:sz w:val="21"/>
                <w:szCs w:val="21"/>
              </w:rPr>
            </w:pPr>
            <w:r>
              <w:rPr>
                <w:rFonts w:ascii="宋体" w:hAnsi="宋体" w:cs="宋体" w:eastAsia="宋体" w:hint="default"/>
                <w:sz w:val="21"/>
                <w:szCs w:val="21"/>
              </w:rPr>
              <w:t>公司经营情况</w:t>
            </w: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金元证券股份有限公司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公司经营情况</w:t>
            </w:r>
          </w:p>
        </w:tc>
      </w:tr>
      <w:tr>
        <w:trPr>
          <w:trHeight w:val="450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齐鲁证券有限公司、国</w:t>
            </w:r>
          </w:p>
          <w:p>
            <w:pPr>
              <w:pStyle w:val="TableParagraph"/>
              <w:spacing w:line="357" w:lineRule="auto" w:before="133"/>
              <w:ind w:left="103" w:right="-3" w:hanging="108"/>
              <w:jc w:val="center"/>
              <w:rPr>
                <w:rFonts w:ascii="宋体" w:hAnsi="宋体" w:cs="宋体" w:eastAsia="宋体" w:hint="default"/>
                <w:sz w:val="21"/>
                <w:szCs w:val="21"/>
              </w:rPr>
            </w:pPr>
            <w:r>
              <w:rPr>
                <w:rFonts w:ascii="宋体" w:hAnsi="宋体" w:cs="宋体" w:eastAsia="宋体" w:hint="default"/>
                <w:sz w:val="21"/>
                <w:szCs w:val="21"/>
              </w:rPr>
              <w:t>金证券股份有限公司、</w:t>
            </w:r>
            <w:r>
              <w:rPr>
                <w:rFonts w:ascii="宋体" w:hAnsi="宋体" w:cs="宋体" w:eastAsia="宋体" w:hint="default"/>
                <w:w w:val="100"/>
                <w:sz w:val="21"/>
                <w:szCs w:val="21"/>
              </w:rPr>
              <w:t> </w:t>
            </w:r>
            <w:r>
              <w:rPr>
                <w:rFonts w:ascii="宋体" w:hAnsi="宋体" w:cs="宋体" w:eastAsia="宋体" w:hint="default"/>
                <w:sz w:val="21"/>
                <w:szCs w:val="21"/>
              </w:rPr>
              <w:t>华林证券有限责任公</w:t>
            </w:r>
            <w:r>
              <w:rPr>
                <w:rFonts w:ascii="宋体" w:hAnsi="宋体" w:cs="宋体" w:eastAsia="宋体" w:hint="default"/>
                <w:w w:val="100"/>
                <w:sz w:val="21"/>
                <w:szCs w:val="21"/>
              </w:rPr>
              <w:t> </w:t>
            </w:r>
            <w:r>
              <w:rPr>
                <w:rFonts w:ascii="宋体" w:hAnsi="宋体" w:cs="宋体" w:eastAsia="宋体" w:hint="default"/>
                <w:spacing w:val="-3"/>
                <w:sz w:val="21"/>
                <w:szCs w:val="21"/>
              </w:rPr>
              <w:t>司、平安证券有限公司、</w:t>
            </w:r>
            <w:r>
              <w:rPr>
                <w:rFonts w:ascii="宋体" w:hAnsi="宋体" w:cs="宋体" w:eastAsia="宋体" w:hint="default"/>
                <w:w w:val="100"/>
                <w:sz w:val="21"/>
                <w:szCs w:val="21"/>
              </w:rPr>
              <w:t> </w:t>
            </w:r>
            <w:r>
              <w:rPr>
                <w:rFonts w:ascii="宋体" w:hAnsi="宋体" w:cs="宋体" w:eastAsia="宋体" w:hint="default"/>
                <w:sz w:val="21"/>
                <w:szCs w:val="21"/>
              </w:rPr>
              <w:t>景泰利丰资产管理有限</w:t>
            </w:r>
            <w:r>
              <w:rPr>
                <w:rFonts w:ascii="宋体" w:hAnsi="宋体" w:cs="宋体" w:eastAsia="宋体" w:hint="default"/>
                <w:w w:val="100"/>
                <w:sz w:val="21"/>
                <w:szCs w:val="21"/>
              </w:rPr>
              <w:t> </w:t>
            </w:r>
            <w:r>
              <w:rPr>
                <w:rFonts w:ascii="宋体" w:hAnsi="宋体" w:cs="宋体" w:eastAsia="宋体" w:hint="default"/>
                <w:sz w:val="21"/>
                <w:szCs w:val="21"/>
              </w:rPr>
              <w:t>公司、常州投资集团有</w:t>
            </w:r>
            <w:r>
              <w:rPr>
                <w:rFonts w:ascii="宋体" w:hAnsi="宋体" w:cs="宋体" w:eastAsia="宋体" w:hint="default"/>
                <w:w w:val="100"/>
                <w:sz w:val="21"/>
                <w:szCs w:val="21"/>
              </w:rPr>
              <w:t> </w:t>
            </w:r>
            <w:r>
              <w:rPr>
                <w:rFonts w:ascii="宋体" w:hAnsi="宋体" w:cs="宋体" w:eastAsia="宋体" w:hint="default"/>
                <w:sz w:val="21"/>
                <w:szCs w:val="21"/>
              </w:rPr>
              <w:t>限公司、深圳华强鼎信</w:t>
            </w:r>
            <w:r>
              <w:rPr>
                <w:rFonts w:ascii="宋体" w:hAnsi="宋体" w:cs="宋体" w:eastAsia="宋体" w:hint="default"/>
                <w:w w:val="100"/>
                <w:sz w:val="21"/>
                <w:szCs w:val="21"/>
              </w:rPr>
              <w:t> </w:t>
            </w:r>
            <w:r>
              <w:rPr>
                <w:rFonts w:ascii="宋体" w:hAnsi="宋体" w:cs="宋体" w:eastAsia="宋体" w:hint="default"/>
                <w:sz w:val="21"/>
                <w:szCs w:val="21"/>
              </w:rPr>
              <w:t>投资有限公司、深圳市</w:t>
            </w:r>
            <w:r>
              <w:rPr>
                <w:rFonts w:ascii="宋体" w:hAnsi="宋体" w:cs="宋体" w:eastAsia="宋体" w:hint="default"/>
                <w:w w:val="100"/>
                <w:sz w:val="21"/>
                <w:szCs w:val="21"/>
              </w:rPr>
              <w:t> </w:t>
            </w:r>
            <w:r>
              <w:rPr>
                <w:rFonts w:ascii="宋体" w:hAnsi="宋体" w:cs="宋体" w:eastAsia="宋体" w:hint="default"/>
                <w:sz w:val="21"/>
                <w:szCs w:val="21"/>
              </w:rPr>
              <w:t>新同方投资管理公司、</w:t>
            </w:r>
            <w:r>
              <w:rPr>
                <w:rFonts w:ascii="宋体" w:hAnsi="宋体" w:cs="宋体" w:eastAsia="宋体" w:hint="default"/>
                <w:w w:val="100"/>
                <w:sz w:val="21"/>
                <w:szCs w:val="21"/>
              </w:rPr>
              <w:t> </w:t>
            </w:r>
            <w:r>
              <w:rPr>
                <w:rFonts w:ascii="宋体" w:hAnsi="宋体" w:cs="宋体" w:eastAsia="宋体" w:hint="default"/>
                <w:sz w:val="21"/>
                <w:szCs w:val="21"/>
              </w:rPr>
              <w:t>国信证券（香港）经纪</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公司经营情况</w:t>
            </w:r>
          </w:p>
        </w:tc>
      </w:tr>
    </w:tbl>
    <w:p>
      <w:pPr>
        <w:spacing w:after="0" w:line="241" w:lineRule="exact"/>
        <w:jc w:val="left"/>
        <w:rPr>
          <w:rFonts w:ascii="宋体" w:hAnsi="宋体" w:cs="宋体" w:eastAsia="宋体" w:hint="default"/>
          <w:sz w:val="21"/>
          <w:szCs w:val="21"/>
        </w:rPr>
        <w:sectPr>
          <w:pgSz w:w="11910" w:h="16840"/>
          <w:pgMar w:header="0" w:footer="1195" w:top="1380" w:bottom="1380" w:left="1680" w:right="1680"/>
        </w:sectPr>
      </w:pPr>
    </w:p>
    <w:p>
      <w:pPr>
        <w:pStyle w:val="Heading1"/>
        <w:spacing w:line="433" w:lineRule="exact"/>
        <w:ind w:left="2985" w:right="0"/>
        <w:jc w:val="left"/>
        <w:rPr>
          <w:b w:val="0"/>
          <w:bCs w:val="0"/>
        </w:rPr>
      </w:pPr>
      <w:r>
        <w:rPr/>
        <w:t>第五节</w:t>
      </w:r>
      <w:r>
        <w:rPr>
          <w:spacing w:val="-8"/>
        </w:rPr>
        <w:t> </w:t>
      </w:r>
      <w:r>
        <w:rPr/>
        <w:t>股本变动及股东情况</w:t>
      </w:r>
      <w:r>
        <w:rPr>
          <w:b w:val="0"/>
          <w:bCs w:val="0"/>
        </w:rPr>
      </w:r>
    </w:p>
    <w:p>
      <w:pPr>
        <w:spacing w:line="240" w:lineRule="auto" w:before="6"/>
        <w:rPr>
          <w:rFonts w:ascii="宋体" w:hAnsi="宋体" w:cs="宋体" w:eastAsia="宋体" w:hint="default"/>
          <w:b/>
          <w:bCs/>
          <w:sz w:val="38"/>
          <w:szCs w:val="38"/>
        </w:rPr>
      </w:pPr>
    </w:p>
    <w:p>
      <w:pPr>
        <w:pStyle w:val="Heading3"/>
        <w:spacing w:line="240" w:lineRule="auto"/>
        <w:ind w:left="880" w:right="0"/>
        <w:jc w:val="left"/>
        <w:rPr>
          <w:b w:val="0"/>
          <w:bCs w:val="0"/>
        </w:rPr>
      </w:pPr>
      <w:r>
        <w:rPr/>
        <w:t>一、股份变动情况表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85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616"/>
        <w:gridCol w:w="922"/>
        <w:gridCol w:w="910"/>
        <w:gridCol w:w="910"/>
        <w:gridCol w:w="910"/>
        <w:gridCol w:w="910"/>
        <w:gridCol w:w="913"/>
        <w:gridCol w:w="910"/>
        <w:gridCol w:w="910"/>
        <w:gridCol w:w="910"/>
      </w:tblGrid>
      <w:tr>
        <w:trPr>
          <w:trHeight w:val="32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1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45" w:right="24"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1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vMerge/>
            <w:tcBorders>
              <w:left w:val="single" w:sz="4" w:space="0" w:color="000000"/>
              <w:right w:val="single" w:sz="4" w:space="0" w:color="000000"/>
            </w:tcBorders>
            <w:shd w:val="clear" w:color="auto" w:fill="DCDCDC"/>
          </w:tcPr>
          <w:p>
            <w:pPr/>
          </w:p>
        </w:tc>
        <w:tc>
          <w:tcPr>
            <w:tcW w:w="913"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3"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92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50,700,0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z w:val="21"/>
              </w:rPr>
              <w:t>79.84%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40,560,0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8" w:right="0"/>
              <w:jc w:val="left"/>
              <w:rPr>
                <w:rFonts w:ascii="宋体" w:hAnsi="宋体" w:cs="宋体" w:eastAsia="宋体" w:hint="default"/>
                <w:sz w:val="21"/>
                <w:szCs w:val="21"/>
              </w:rPr>
            </w:pPr>
            <w:r>
              <w:rPr>
                <w:rFonts w:ascii="宋体"/>
                <w:sz w:val="21"/>
              </w:rPr>
              <w:t>-37,395,</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3,165,00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53,865,0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z w:val="21"/>
              </w:rPr>
              <w:t>47.13%</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20,200,0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244" w:right="0"/>
              <w:jc w:val="left"/>
              <w:rPr>
                <w:rFonts w:ascii="宋体" w:hAnsi="宋体" w:cs="宋体" w:eastAsia="宋体" w:hint="default"/>
                <w:sz w:val="21"/>
                <w:szCs w:val="21"/>
              </w:rPr>
            </w:pPr>
            <w:r>
              <w:rPr>
                <w:rFonts w:ascii="宋体"/>
                <w:sz w:val="21"/>
              </w:rPr>
              <w:t>31.81%</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16,160,0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vMerge w:val="restart"/>
            <w:tcBorders>
              <w:top w:val="single" w:sz="4" w:space="0" w:color="000000"/>
              <w:left w:val="single" w:sz="4" w:space="0" w:color="000000"/>
              <w:right w:val="single" w:sz="4" w:space="0" w:color="000000"/>
            </w:tcBorders>
          </w:tcPr>
          <w:p>
            <w:pPr>
              <w:pStyle w:val="TableParagraph"/>
              <w:spacing w:line="265" w:lineRule="exact"/>
              <w:ind w:left="38" w:right="0"/>
              <w:jc w:val="left"/>
              <w:rPr>
                <w:rFonts w:ascii="宋体" w:hAnsi="宋体" w:cs="宋体" w:eastAsia="宋体" w:hint="default"/>
                <w:sz w:val="21"/>
                <w:szCs w:val="21"/>
              </w:rPr>
            </w:pPr>
            <w:r>
              <w:rPr>
                <w:rFonts w:ascii="宋体"/>
                <w:sz w:val="21"/>
              </w:rPr>
              <w:t>-23,670,</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-7,510,0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12,690,0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247" w:right="0"/>
              <w:jc w:val="left"/>
              <w:rPr>
                <w:rFonts w:ascii="宋体" w:hAnsi="宋体" w:cs="宋体" w:eastAsia="宋体" w:hint="default"/>
                <w:sz w:val="21"/>
                <w:szCs w:val="21"/>
              </w:rPr>
            </w:pPr>
            <w:r>
              <w:rPr>
                <w:rFonts w:ascii="宋体"/>
                <w:sz w:val="21"/>
              </w:rPr>
              <w:t>11.10%</w:t>
            </w:r>
          </w:p>
        </w:tc>
      </w:tr>
      <w:tr>
        <w:trPr>
          <w:trHeight w:val="312" w:hRule="exact"/>
        </w:trPr>
        <w:tc>
          <w:tcPr>
            <w:tcW w:w="1616" w:type="dxa"/>
            <w:tcBorders>
              <w:top w:val="nil" w:sz="6" w:space="0" w:color="auto"/>
              <w:left w:val="single" w:sz="13" w:space="0" w:color="DCDCDC"/>
              <w:bottom w:val="nil" w:sz="6" w:space="0" w:color="auto"/>
              <w:right w:val="single" w:sz="13" w:space="0" w:color="DCDCDC"/>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4" w:firstLine="106"/>
              <w:jc w:val="left"/>
              <w:rPr>
                <w:rFonts w:ascii="宋体" w:hAnsi="宋体" w:cs="宋体" w:eastAsia="宋体" w:hint="default"/>
                <w:sz w:val="21"/>
                <w:szCs w:val="21"/>
              </w:rPr>
            </w:pPr>
            <w:r>
              <w:rPr>
                <w:rFonts w:ascii="宋体" w:hAnsi="宋体" w:cs="宋体" w:eastAsia="宋体" w:hint="default"/>
                <w:sz w:val="21"/>
                <w:szCs w:val="21"/>
              </w:rPr>
              <w:t>其中：境内非国</w:t>
            </w:r>
            <w:r>
              <w:rPr>
                <w:rFonts w:ascii="宋体" w:hAnsi="宋体" w:cs="宋体" w:eastAsia="宋体" w:hint="default"/>
                <w:w w:val="100"/>
                <w:sz w:val="21"/>
                <w:szCs w:val="21"/>
              </w:rPr>
              <w:t> </w:t>
            </w:r>
            <w:r>
              <w:rPr>
                <w:rFonts w:ascii="宋体" w:hAnsi="宋体" w:cs="宋体" w:eastAsia="宋体" w:hint="default"/>
                <w:sz w:val="21"/>
                <w:szCs w:val="21"/>
              </w:rPr>
              <w:t>有法人持股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5,400,00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8.50%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4,320,00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-9,720,0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-5,400,0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14,800,0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23.31%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11,840,0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-13,950,</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-2,110,0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12,690,0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11.10%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4" w:firstLine="106"/>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30,500,0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244" w:right="0"/>
              <w:jc w:val="left"/>
              <w:rPr>
                <w:rFonts w:ascii="宋体" w:hAnsi="宋体" w:cs="宋体" w:eastAsia="宋体" w:hint="default"/>
                <w:sz w:val="21"/>
                <w:szCs w:val="21"/>
              </w:rPr>
            </w:pPr>
            <w:r>
              <w:rPr>
                <w:rFonts w:ascii="宋体"/>
                <w:sz w:val="21"/>
              </w:rPr>
              <w:t>48.03%</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24,400,0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vMerge w:val="restart"/>
            <w:tcBorders>
              <w:top w:val="single" w:sz="4" w:space="0" w:color="000000"/>
              <w:left w:val="single" w:sz="4" w:space="0" w:color="000000"/>
              <w:right w:val="single" w:sz="4" w:space="0" w:color="000000"/>
            </w:tcBorders>
          </w:tcPr>
          <w:p>
            <w:pPr>
              <w:pStyle w:val="TableParagraph"/>
              <w:spacing w:line="265" w:lineRule="exact"/>
              <w:ind w:left="38" w:right="0"/>
              <w:jc w:val="left"/>
              <w:rPr>
                <w:rFonts w:ascii="宋体" w:hAnsi="宋体" w:cs="宋体" w:eastAsia="宋体" w:hint="default"/>
                <w:sz w:val="21"/>
                <w:szCs w:val="21"/>
              </w:rPr>
            </w:pPr>
            <w:r>
              <w:rPr>
                <w:rFonts w:ascii="宋体"/>
                <w:sz w:val="21"/>
              </w:rPr>
              <w:t>-13,725,</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10,675,0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41,175,0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247" w:right="0"/>
              <w:jc w:val="left"/>
              <w:rPr>
                <w:rFonts w:ascii="宋体" w:hAnsi="宋体" w:cs="宋体" w:eastAsia="宋体" w:hint="default"/>
                <w:sz w:val="21"/>
                <w:szCs w:val="21"/>
              </w:rPr>
            </w:pPr>
            <w:r>
              <w:rPr>
                <w:rFonts w:ascii="宋体"/>
                <w:sz w:val="21"/>
              </w:rPr>
              <w:t>36.02%</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二、无限售条件股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12,800,0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20.16%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10,240,0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37,395,0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47,635,0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60,435,0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52.87%</w:t>
            </w:r>
          </w:p>
        </w:tc>
      </w:tr>
      <w:tr>
        <w:trPr>
          <w:trHeight w:val="161"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12,800,0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4"/>
              <w:ind w:left="244" w:right="0"/>
              <w:jc w:val="left"/>
              <w:rPr>
                <w:rFonts w:ascii="宋体" w:hAnsi="宋体" w:cs="宋体" w:eastAsia="宋体" w:hint="default"/>
                <w:sz w:val="21"/>
                <w:szCs w:val="21"/>
              </w:rPr>
            </w:pPr>
            <w:r>
              <w:rPr>
                <w:rFonts w:ascii="宋体"/>
                <w:sz w:val="21"/>
              </w:rPr>
              <w:t>20.16%</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10,240,0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vMerge w:val="restart"/>
            <w:tcBorders>
              <w:top w:val="single" w:sz="4" w:space="0" w:color="000000"/>
              <w:left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37,395,0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47,635,0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60,435,0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4"/>
              <w:ind w:left="247" w:right="0"/>
              <w:jc w:val="left"/>
              <w:rPr>
                <w:rFonts w:ascii="宋体" w:hAnsi="宋体" w:cs="宋体" w:eastAsia="宋体" w:hint="default"/>
                <w:sz w:val="21"/>
                <w:szCs w:val="21"/>
              </w:rPr>
            </w:pPr>
            <w:r>
              <w:rPr>
                <w:rFonts w:ascii="宋体"/>
                <w:sz w:val="21"/>
              </w:rPr>
              <w:t>52.87%</w:t>
            </w:r>
          </w:p>
        </w:tc>
      </w:tr>
      <w:tr>
        <w:trPr>
          <w:trHeight w:val="312" w:hRule="exact"/>
        </w:trPr>
        <w:tc>
          <w:tcPr>
            <w:tcW w:w="1616" w:type="dxa"/>
            <w:tcBorders>
              <w:top w:val="nil" w:sz="6" w:space="0" w:color="auto"/>
              <w:left w:val="single" w:sz="13" w:space="0" w:color="DCDCDC"/>
              <w:bottom w:val="nil" w:sz="6" w:space="0" w:color="auto"/>
              <w:right w:val="single" w:sz="13" w:space="0" w:color="DCDCDC"/>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1</w:t>
            </w:r>
            <w:r>
              <w:rPr>
                <w:rFonts w:ascii="宋体" w:hAnsi="宋体" w:cs="宋体" w:eastAsia="宋体" w:hint="default"/>
                <w:sz w:val="21"/>
                <w:szCs w:val="21"/>
                <w:shd w:fill="DCDCDC" w:color="auto" w:val="clear"/>
              </w:rPr>
              <w:t>、人民币普通股</w:t>
            </w:r>
            <w:r>
              <w:rPr>
                <w:rFonts w:ascii="宋体" w:hAnsi="宋体" w:cs="宋体" w:eastAsia="宋体" w:hint="default"/>
                <w:sz w:val="21"/>
                <w:szCs w:val="21"/>
              </w:rPr>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63,500,0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141" w:right="0"/>
              <w:jc w:val="left"/>
              <w:rPr>
                <w:rFonts w:ascii="宋体" w:hAnsi="宋体" w:cs="宋体" w:eastAsia="宋体" w:hint="default"/>
                <w:sz w:val="21"/>
                <w:szCs w:val="21"/>
              </w:rPr>
            </w:pPr>
            <w:r>
              <w:rPr>
                <w:rFonts w:ascii="宋体"/>
                <w:sz w:val="21"/>
              </w:rPr>
              <w:t>100.00%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50,800,0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13"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50,800,0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5" w:lineRule="exact"/>
              <w:ind w:left="36" w:right="0"/>
              <w:jc w:val="left"/>
              <w:rPr>
                <w:rFonts w:ascii="宋体" w:hAnsi="宋体" w:cs="宋体" w:eastAsia="宋体" w:hint="default"/>
                <w:sz w:val="21"/>
                <w:szCs w:val="21"/>
              </w:rPr>
            </w:pPr>
            <w:r>
              <w:rPr>
                <w:rFonts w:ascii="宋体"/>
                <w:sz w:val="21"/>
              </w:rPr>
              <w:t>114,300,</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6"/>
              <w:ind w:left="143" w:right="0"/>
              <w:jc w:val="left"/>
              <w:rPr>
                <w:rFonts w:ascii="宋体" w:hAnsi="宋体" w:cs="宋体" w:eastAsia="宋体" w:hint="default"/>
                <w:sz w:val="21"/>
                <w:szCs w:val="21"/>
              </w:rPr>
            </w:pPr>
            <w:r>
              <w:rPr>
                <w:rFonts w:ascii="宋体"/>
                <w:sz w:val="21"/>
              </w:rPr>
              <w:t>100.00%</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line="241" w:lineRule="exact" w:before="0"/>
        <w:ind w:left="880" w:right="0" w:firstLine="0"/>
        <w:jc w:val="left"/>
        <w:rPr>
          <w:rFonts w:ascii="宋体" w:hAnsi="宋体" w:cs="宋体" w:eastAsia="宋体" w:hint="default"/>
          <w:sz w:val="21"/>
          <w:szCs w:val="21"/>
        </w:rPr>
      </w:pPr>
      <w:r>
        <w:rPr>
          <w:rFonts w:ascii="宋体" w:hAnsi="宋体" w:cs="宋体" w:eastAsia="宋体" w:hint="default"/>
          <w:spacing w:val="-4"/>
          <w:sz w:val="21"/>
          <w:szCs w:val="21"/>
        </w:rPr>
        <w:t>注：“其他变动”为公司首次公开发行时网下配售股份及其所获转增股份、发行前股东锁定</w:t>
      </w:r>
    </w:p>
    <w:p>
      <w:pPr>
        <w:spacing w:before="133"/>
        <w:ind w:left="880" w:right="0" w:firstLine="0"/>
        <w:jc w:val="left"/>
        <w:rPr>
          <w:rFonts w:ascii="宋体" w:hAnsi="宋体" w:cs="宋体" w:eastAsia="宋体" w:hint="default"/>
          <w:sz w:val="21"/>
          <w:szCs w:val="21"/>
        </w:rPr>
      </w:pPr>
      <w:r>
        <w:rPr>
          <w:rFonts w:ascii="宋体" w:hAnsi="宋体" w:cs="宋体" w:eastAsia="宋体" w:hint="default"/>
          <w:sz w:val="21"/>
          <w:szCs w:val="21"/>
        </w:rPr>
        <w:t>到期解禁股份及其转增股份，已分别于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日开始上市流通。</w:t>
      </w:r>
    </w:p>
    <w:p>
      <w:pPr>
        <w:spacing w:after="0"/>
        <w:jc w:val="left"/>
        <w:rPr>
          <w:rFonts w:ascii="宋体" w:hAnsi="宋体" w:cs="宋体" w:eastAsia="宋体" w:hint="default"/>
          <w:sz w:val="21"/>
          <w:szCs w:val="21"/>
        </w:rPr>
        <w:sectPr>
          <w:pgSz w:w="11910" w:h="16840"/>
          <w:pgMar w:header="0" w:footer="1195" w:top="1400" w:bottom="1380" w:left="920" w:right="940"/>
        </w:sectPr>
      </w:pPr>
    </w:p>
    <w:p>
      <w:pPr>
        <w:pStyle w:val="Heading3"/>
        <w:spacing w:line="362" w:lineRule="exact"/>
        <w:ind w:left="880" w:right="0"/>
        <w:jc w:val="left"/>
        <w:rPr>
          <w:b w:val="0"/>
          <w:bCs w:val="0"/>
        </w:rPr>
      </w:pPr>
      <w:r>
        <w:rPr/>
        <w:t>二、限售股份变动情况表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85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04"/>
        <w:gridCol w:w="1405"/>
        <w:gridCol w:w="1404"/>
        <w:gridCol w:w="1404"/>
        <w:gridCol w:w="1405"/>
        <w:gridCol w:w="1404"/>
        <w:gridCol w:w="1404"/>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63"/>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87" w:right="63" w:hanging="421"/>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63"/>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06"/>
              <w:jc w:val="both"/>
              <w:rPr>
                <w:rFonts w:ascii="宋体" w:hAnsi="宋体" w:cs="宋体" w:eastAsia="宋体" w:hint="default"/>
                <w:sz w:val="21"/>
                <w:szCs w:val="21"/>
              </w:rPr>
            </w:pPr>
            <w:r>
              <w:rPr>
                <w:rFonts w:ascii="宋体" w:hAnsi="宋体" w:cs="宋体" w:eastAsia="宋体" w:hint="default"/>
                <w:sz w:val="21"/>
                <w:szCs w:val="21"/>
              </w:rPr>
              <w:t>深圳市创新投</w:t>
            </w:r>
            <w:r>
              <w:rPr>
                <w:rFonts w:ascii="宋体" w:hAnsi="宋体" w:cs="宋体" w:eastAsia="宋体" w:hint="default"/>
                <w:w w:val="100"/>
                <w:sz w:val="21"/>
                <w:szCs w:val="21"/>
              </w:rPr>
              <w:t> </w:t>
            </w:r>
            <w:r>
              <w:rPr>
                <w:rFonts w:ascii="宋体" w:hAnsi="宋体" w:cs="宋体" w:eastAsia="宋体" w:hint="default"/>
                <w:sz w:val="21"/>
                <w:szCs w:val="21"/>
              </w:rPr>
              <w:t>资集团有限公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2011-10-18</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06"/>
              <w:jc w:val="both"/>
              <w:rPr>
                <w:rFonts w:ascii="宋体" w:hAnsi="宋体" w:cs="宋体" w:eastAsia="宋体" w:hint="default"/>
                <w:sz w:val="21"/>
                <w:szCs w:val="21"/>
              </w:rPr>
            </w:pPr>
            <w:r>
              <w:rPr>
                <w:rFonts w:ascii="宋体" w:hAnsi="宋体" w:cs="宋体" w:eastAsia="宋体" w:hint="default"/>
                <w:sz w:val="21"/>
                <w:szCs w:val="21"/>
              </w:rPr>
              <w:t>深圳市福田创</w:t>
            </w:r>
            <w:r>
              <w:rPr>
                <w:rFonts w:ascii="宋体" w:hAnsi="宋体" w:cs="宋体" w:eastAsia="宋体" w:hint="default"/>
                <w:w w:val="100"/>
                <w:sz w:val="21"/>
                <w:szCs w:val="21"/>
              </w:rPr>
              <w:t> </w:t>
            </w:r>
            <w:r>
              <w:rPr>
                <w:rFonts w:ascii="宋体" w:hAnsi="宋体" w:cs="宋体" w:eastAsia="宋体" w:hint="default"/>
                <w:sz w:val="21"/>
                <w:szCs w:val="21"/>
              </w:rPr>
              <w:t>新资本创业投</w:t>
            </w:r>
            <w:r>
              <w:rPr>
                <w:rFonts w:ascii="宋体" w:hAnsi="宋体" w:cs="宋体" w:eastAsia="宋体" w:hint="default"/>
                <w:w w:val="100"/>
                <w:sz w:val="21"/>
                <w:szCs w:val="21"/>
              </w:rPr>
              <w:t> </w:t>
            </w:r>
            <w:r>
              <w:rPr>
                <w:rFonts w:ascii="宋体" w:hAnsi="宋体" w:cs="宋体" w:eastAsia="宋体" w:hint="default"/>
                <w:sz w:val="21"/>
                <w:szCs w:val="21"/>
              </w:rPr>
              <w:t>资有限公司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2011-10-18</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06"/>
              <w:jc w:val="both"/>
              <w:rPr>
                <w:rFonts w:ascii="宋体" w:hAnsi="宋体" w:cs="宋体" w:eastAsia="宋体" w:hint="default"/>
                <w:sz w:val="21"/>
                <w:szCs w:val="21"/>
              </w:rPr>
            </w:pPr>
            <w:r>
              <w:rPr>
                <w:rFonts w:ascii="宋体" w:hAnsi="宋体" w:cs="宋体" w:eastAsia="宋体" w:hint="default"/>
                <w:sz w:val="21"/>
                <w:szCs w:val="21"/>
              </w:rPr>
              <w:t>湖南瑞驰丰和</w:t>
            </w:r>
            <w:r>
              <w:rPr>
                <w:rFonts w:ascii="宋体" w:hAnsi="宋体" w:cs="宋体" w:eastAsia="宋体" w:hint="default"/>
                <w:w w:val="100"/>
                <w:sz w:val="21"/>
                <w:szCs w:val="21"/>
              </w:rPr>
              <w:t> </w:t>
            </w:r>
            <w:r>
              <w:rPr>
                <w:rFonts w:ascii="宋体" w:hAnsi="宋体" w:cs="宋体" w:eastAsia="宋体" w:hint="default"/>
                <w:sz w:val="21"/>
                <w:szCs w:val="21"/>
              </w:rPr>
              <w:t>创业投资管理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里维宁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陈新华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钟可颐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聂淼</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李妍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160,000</w:t>
            </w:r>
            <w:r>
              <w:rPr>
                <w:rFonts w:ascii="宋体"/>
                <w:sz w:val="21"/>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欧阳伟强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徐金芳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赵辉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王凌海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蔡衍军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张燕民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640,000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刘祥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21,150,000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16,920,000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38,070,000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2013-10-18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许芹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240,000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刘亚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5,640,000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12,690,000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2013-10-18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汪洋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陈希芬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栾承岚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江汉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3,172,500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5,640,000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9,517,500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李林杰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675,000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韦余红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徐兴春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黄健生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2011-10-18</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谢建龙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2011-10-18</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06"/>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w w:val="100"/>
                <w:sz w:val="21"/>
                <w:szCs w:val="21"/>
              </w:rPr>
              <w:t> </w:t>
            </w:r>
            <w:r>
              <w:rPr>
                <w:rFonts w:ascii="宋体" w:hAnsi="宋体" w:cs="宋体" w:eastAsia="宋体" w:hint="default"/>
                <w:sz w:val="21"/>
                <w:szCs w:val="21"/>
              </w:rPr>
              <w:t>网下配售股份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3,200,000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5,760,000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2,560,000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2011-1-20</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50,700,000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27,877,500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40,560,000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63,382,500</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65" w:lineRule="exact"/>
        <w:jc w:val="center"/>
        <w:rPr>
          <w:rFonts w:ascii="宋体" w:hAnsi="宋体" w:cs="宋体" w:eastAsia="宋体" w:hint="default"/>
          <w:sz w:val="21"/>
          <w:szCs w:val="21"/>
        </w:rPr>
        <w:sectPr>
          <w:pgSz w:w="11910" w:h="16840"/>
          <w:pgMar w:header="0" w:footer="1195" w:top="1380" w:bottom="1380" w:left="920" w:right="940"/>
        </w:sectPr>
      </w:pPr>
    </w:p>
    <w:p>
      <w:pPr>
        <w:pStyle w:val="Heading3"/>
        <w:spacing w:line="357" w:lineRule="auto"/>
        <w:ind w:right="1633"/>
        <w:jc w:val="left"/>
        <w:rPr>
          <w:b w:val="0"/>
          <w:bCs w:val="0"/>
        </w:rPr>
      </w:pPr>
      <w:r>
        <w:rPr/>
        <w:t>三、截止</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4"/>
        </w:rPr>
        <w:t> </w:t>
      </w:r>
      <w:r>
        <w:rPr>
          <w:rFonts w:ascii="宋体" w:hAnsi="宋体" w:cs="宋体" w:eastAsia="宋体" w:hint="default"/>
        </w:rPr>
        <w:t>12</w:t>
      </w:r>
      <w:r>
        <w:rPr>
          <w:rFonts w:ascii="宋体" w:hAnsi="宋体" w:cs="宋体" w:eastAsia="宋体" w:hint="default"/>
          <w:spacing w:val="-70"/>
        </w:rPr>
        <w:t> </w:t>
      </w:r>
      <w:r>
        <w:rPr/>
        <w:t>月</w:t>
      </w:r>
      <w:r>
        <w:rPr>
          <w:spacing w:val="-72"/>
        </w:rPr>
        <w:t> </w:t>
      </w:r>
      <w:r>
        <w:rPr>
          <w:rFonts w:ascii="宋体" w:hAnsi="宋体" w:cs="宋体" w:eastAsia="宋体" w:hint="default"/>
        </w:rPr>
        <w:t>31</w:t>
      </w:r>
      <w:r>
        <w:rPr>
          <w:rFonts w:ascii="宋体" w:hAnsi="宋体" w:cs="宋体" w:eastAsia="宋体" w:hint="default"/>
          <w:spacing w:val="-70"/>
        </w:rPr>
        <w:t> </w:t>
      </w:r>
      <w:r>
        <w:rPr/>
        <w:t>日，前</w:t>
      </w:r>
      <w:r>
        <w:rPr>
          <w:spacing w:val="-72"/>
        </w:rPr>
        <w:t> </w:t>
      </w:r>
      <w:r>
        <w:rPr>
          <w:rFonts w:ascii="宋体" w:hAnsi="宋体" w:cs="宋体" w:eastAsia="宋体" w:hint="default"/>
        </w:rPr>
        <w:t>10</w:t>
      </w:r>
      <w:r>
        <w:rPr>
          <w:rFonts w:ascii="宋体" w:hAnsi="宋体" w:cs="宋体" w:eastAsia="宋体" w:hint="default"/>
          <w:spacing w:val="-73"/>
        </w:rPr>
        <w:t> </w:t>
      </w:r>
      <w:r>
        <w:rPr/>
        <w:t>名股东、前</w:t>
      </w:r>
      <w:r>
        <w:rPr>
          <w:spacing w:val="-71"/>
        </w:rPr>
        <w:t> </w:t>
      </w:r>
      <w:r>
        <w:rPr>
          <w:rFonts w:ascii="宋体" w:hAnsi="宋体" w:cs="宋体" w:eastAsia="宋体" w:hint="default"/>
        </w:rPr>
        <w:t>10</w:t>
      </w:r>
      <w:r>
        <w:rPr>
          <w:rFonts w:ascii="宋体" w:hAnsi="宋体" w:cs="宋体" w:eastAsia="宋体" w:hint="default"/>
          <w:spacing w:val="-70"/>
        </w:rPr>
        <w:t> </w:t>
      </w:r>
      <w:r>
        <w:rPr/>
        <w:t>名无限售流通股</w:t>
      </w:r>
      <w:r>
        <w:rPr>
          <w:w w:val="99"/>
        </w:rPr>
        <w:t> </w:t>
      </w:r>
      <w:r>
        <w:rPr/>
        <w:t>股东持股情况表</w:t>
      </w:r>
      <w:r>
        <w:rPr>
          <w:b w:val="0"/>
          <w:bCs w:val="0"/>
        </w:rPr>
      </w:r>
    </w:p>
    <w:p>
      <w:pPr>
        <w:spacing w:before="55"/>
        <w:ind w:left="0" w:right="163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341"/>
        <w:gridCol w:w="1301"/>
        <w:gridCol w:w="1052"/>
        <w:gridCol w:w="247"/>
        <w:gridCol w:w="155"/>
        <w:gridCol w:w="1147"/>
        <w:gridCol w:w="521"/>
        <w:gridCol w:w="884"/>
        <w:gridCol w:w="414"/>
        <w:gridCol w:w="1769"/>
      </w:tblGrid>
      <w:tr>
        <w:trPr>
          <w:trHeight w:val="161"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2"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5,916</w:t>
            </w:r>
          </w:p>
        </w:tc>
        <w:tc>
          <w:tcPr>
            <w:tcW w:w="2954"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051" w:right="102" w:hanging="946"/>
              <w:jc w:val="left"/>
              <w:rPr>
                <w:rFonts w:ascii="宋体" w:hAnsi="宋体" w:cs="宋体" w:eastAsia="宋体" w:hint="default"/>
                <w:sz w:val="21"/>
                <w:szCs w:val="21"/>
              </w:rPr>
            </w:pPr>
            <w:r>
              <w:rPr>
                <w:rFonts w:ascii="宋体" w:hAnsi="宋体" w:cs="宋体" w:eastAsia="宋体" w:hint="default"/>
                <w:spacing w:val="-2"/>
                <w:sz w:val="21"/>
                <w:szCs w:val="21"/>
              </w:rPr>
              <w:t>本年度报告公布日前一个月末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股东总数</w:t>
            </w:r>
          </w:p>
        </w:tc>
        <w:tc>
          <w:tcPr>
            <w:tcW w:w="2183" w:type="dxa"/>
            <w:gridSpan w:val="2"/>
            <w:vMerge w:val="restart"/>
            <w:tcBorders>
              <w:top w:val="single" w:sz="4" w:space="0" w:color="000000"/>
              <w:left w:val="single" w:sz="12" w:space="0" w:color="DCDCDC"/>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6,325</w:t>
            </w:r>
            <w:r>
              <w:rPr>
                <w:rFonts w:ascii="Calibri"/>
                <w:sz w:val="21"/>
              </w:rPr>
            </w:r>
          </w:p>
        </w:tc>
      </w:tr>
      <w:tr>
        <w:trPr>
          <w:trHeight w:val="312"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9" w:lineRule="exact"/>
              <w:ind w:left="295"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年末股东总数</w:t>
            </w:r>
          </w:p>
        </w:tc>
        <w:tc>
          <w:tcPr>
            <w:tcW w:w="2352" w:type="dxa"/>
            <w:gridSpan w:val="2"/>
            <w:vMerge/>
            <w:tcBorders>
              <w:left w:val="single" w:sz="10" w:space="0" w:color="DCDCDC"/>
              <w:right w:val="single" w:sz="10" w:space="0" w:color="DCDCDC"/>
            </w:tcBorders>
          </w:tcPr>
          <w:p>
            <w:pPr/>
          </w:p>
        </w:tc>
        <w:tc>
          <w:tcPr>
            <w:tcW w:w="2954" w:type="dxa"/>
            <w:gridSpan w:val="5"/>
            <w:vMerge/>
            <w:tcBorders>
              <w:left w:val="single" w:sz="4" w:space="0" w:color="000000"/>
              <w:right w:val="single" w:sz="4" w:space="0" w:color="000000"/>
            </w:tcBorders>
            <w:shd w:val="clear" w:color="auto" w:fill="DCDCDC"/>
          </w:tcPr>
          <w:p>
            <w:pPr/>
          </w:p>
        </w:tc>
        <w:tc>
          <w:tcPr>
            <w:tcW w:w="2183" w:type="dxa"/>
            <w:gridSpan w:val="2"/>
            <w:vMerge/>
            <w:tcBorders>
              <w:left w:val="single" w:sz="12" w:space="0" w:color="DCDCDC"/>
              <w:right w:val="single" w:sz="4" w:space="0" w:color="000000"/>
            </w:tcBorders>
          </w:tcPr>
          <w:p>
            <w:pPr/>
          </w:p>
        </w:tc>
      </w:tr>
      <w:tr>
        <w:trPr>
          <w:trHeight w:val="166"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2" w:type="dxa"/>
            <w:gridSpan w:val="2"/>
            <w:vMerge/>
            <w:tcBorders>
              <w:left w:val="single" w:sz="10" w:space="0" w:color="DCDCDC"/>
              <w:bottom w:val="single" w:sz="4" w:space="0" w:color="000000"/>
              <w:right w:val="single" w:sz="10" w:space="0" w:color="DCDCDC"/>
            </w:tcBorders>
          </w:tcPr>
          <w:p>
            <w:pPr/>
          </w:p>
        </w:tc>
        <w:tc>
          <w:tcPr>
            <w:tcW w:w="2954" w:type="dxa"/>
            <w:gridSpan w:val="5"/>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2" w:space="0" w:color="DCDCDC"/>
              <w:bottom w:val="single" w:sz="4" w:space="0" w:color="000000"/>
              <w:right w:val="single" w:sz="4" w:space="0" w:color="000000"/>
            </w:tcBorders>
          </w:tcPr>
          <w:p>
            <w:pPr/>
          </w:p>
        </w:tc>
      </w:tr>
      <w:tr>
        <w:trPr>
          <w:trHeight w:val="318"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z w:val="21"/>
                <w:szCs w:val="21"/>
              </w:rPr>
              <w:t>名股东持股情况</w:t>
            </w:r>
          </w:p>
        </w:tc>
      </w:tr>
      <w:tr>
        <w:trPr>
          <w:trHeight w:val="162"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90" w:right="60"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69" w:right="36" w:hanging="632"/>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312"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21"/>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29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9" w:lineRule="exact"/>
              <w:ind w:left="21" w:right="0"/>
              <w:jc w:val="left"/>
              <w:rPr>
                <w:rFonts w:ascii="Calibri" w:hAnsi="Calibri" w:cs="Calibri" w:eastAsia="Calibri" w:hint="default"/>
                <w:sz w:val="21"/>
                <w:szCs w:val="21"/>
              </w:rPr>
            </w:pPr>
            <w:r>
              <w:rPr>
                <w:rFonts w:ascii="宋体" w:hAnsi="宋体" w:cs="宋体" w:eastAsia="宋体" w:hint="default"/>
                <w:spacing w:val="-12"/>
                <w:sz w:val="21"/>
                <w:szCs w:val="21"/>
              </w:rPr>
              <w:t>持股比例（</w:t>
            </w:r>
            <w:r>
              <w:rPr>
                <w:rFonts w:ascii="Calibri" w:hAnsi="Calibri" w:cs="Calibri" w:eastAsia="Calibri" w:hint="default"/>
                <w:spacing w:val="-12"/>
                <w:sz w:val="21"/>
                <w:szCs w:val="21"/>
              </w:rPr>
              <w:t>%</w:t>
            </w:r>
          </w:p>
        </w:tc>
        <w:tc>
          <w:tcPr>
            <w:tcW w:w="155"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62"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47"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62" w:lineRule="exact"/>
              <w:ind w:left="7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3"/>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3"/>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刘祥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6" w:right="0"/>
              <w:jc w:val="left"/>
              <w:rPr>
                <w:rFonts w:ascii="Calibri" w:hAnsi="Calibri" w:cs="Calibri" w:eastAsia="Calibri" w:hint="default"/>
                <w:sz w:val="21"/>
                <w:szCs w:val="21"/>
              </w:rPr>
            </w:pPr>
            <w:r>
              <w:rPr>
                <w:rFonts w:ascii="Calibri"/>
                <w:sz w:val="21"/>
              </w:rPr>
              <w:t>33.31%</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6" w:right="0"/>
              <w:jc w:val="left"/>
              <w:rPr>
                <w:rFonts w:ascii="Calibri" w:hAnsi="Calibri" w:cs="Calibri" w:eastAsia="Calibri" w:hint="default"/>
                <w:sz w:val="21"/>
                <w:szCs w:val="21"/>
              </w:rPr>
            </w:pPr>
            <w:r>
              <w:rPr>
                <w:rFonts w:ascii="Calibri"/>
                <w:sz w:val="21"/>
              </w:rPr>
              <w:t>38,070,000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7" w:right="0"/>
              <w:jc w:val="left"/>
              <w:rPr>
                <w:rFonts w:ascii="Calibri" w:hAnsi="Calibri" w:cs="Calibri" w:eastAsia="Calibri" w:hint="default"/>
                <w:sz w:val="21"/>
                <w:szCs w:val="21"/>
              </w:rPr>
            </w:pPr>
            <w:r>
              <w:rPr>
                <w:rFonts w:ascii="Calibri"/>
                <w:sz w:val="21"/>
              </w:rPr>
              <w:t>38,070,000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江汉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6" w:right="0"/>
              <w:jc w:val="left"/>
              <w:rPr>
                <w:rFonts w:ascii="Calibri" w:hAnsi="Calibri" w:cs="Calibri" w:eastAsia="Calibri" w:hint="default"/>
                <w:sz w:val="21"/>
                <w:szCs w:val="21"/>
              </w:rPr>
            </w:pPr>
            <w:r>
              <w:rPr>
                <w:rFonts w:ascii="Calibri"/>
                <w:sz w:val="21"/>
              </w:rPr>
              <w:t>11.10%</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Calibri" w:hAnsi="Calibri" w:cs="Calibri" w:eastAsia="Calibri" w:hint="default"/>
                <w:sz w:val="21"/>
                <w:szCs w:val="21"/>
              </w:rPr>
            </w:pPr>
            <w:r>
              <w:rPr>
                <w:rFonts w:ascii="Calibri"/>
                <w:sz w:val="21"/>
              </w:rPr>
              <w:t>12,690,000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2" w:right="0"/>
              <w:jc w:val="left"/>
              <w:rPr>
                <w:rFonts w:ascii="Calibri" w:hAnsi="Calibri" w:cs="Calibri" w:eastAsia="Calibri" w:hint="default"/>
                <w:sz w:val="21"/>
                <w:szCs w:val="21"/>
              </w:rPr>
            </w:pPr>
            <w:r>
              <w:rPr>
                <w:rFonts w:ascii="Calibri"/>
                <w:sz w:val="21"/>
              </w:rPr>
              <w:t>12,690,000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刘亚</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6" w:right="0"/>
              <w:jc w:val="left"/>
              <w:rPr>
                <w:rFonts w:ascii="Calibri" w:hAnsi="Calibri" w:cs="Calibri" w:eastAsia="Calibri" w:hint="default"/>
                <w:sz w:val="21"/>
                <w:szCs w:val="21"/>
              </w:rPr>
            </w:pPr>
            <w:r>
              <w:rPr>
                <w:rFonts w:ascii="Calibri"/>
                <w:sz w:val="21"/>
              </w:rPr>
              <w:t>11.10%</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Calibri" w:hAnsi="Calibri" w:cs="Calibri" w:eastAsia="Calibri" w:hint="default"/>
                <w:sz w:val="21"/>
                <w:szCs w:val="21"/>
              </w:rPr>
            </w:pPr>
            <w:r>
              <w:rPr>
                <w:rFonts w:ascii="Calibri"/>
                <w:sz w:val="21"/>
              </w:rPr>
              <w:t>12,690,000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2" w:right="0"/>
              <w:jc w:val="left"/>
              <w:rPr>
                <w:rFonts w:ascii="Calibri" w:hAnsi="Calibri" w:cs="Calibri" w:eastAsia="Calibri" w:hint="default"/>
                <w:sz w:val="21"/>
                <w:szCs w:val="21"/>
              </w:rPr>
            </w:pPr>
            <w:r>
              <w:rPr>
                <w:rFonts w:ascii="Calibri"/>
                <w:sz w:val="21"/>
              </w:rPr>
              <w:t>12,690,000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9" w:right="0"/>
              <w:jc w:val="left"/>
              <w:rPr>
                <w:rFonts w:ascii="Calibri" w:hAnsi="Calibri" w:cs="Calibri" w:eastAsia="Calibri" w:hint="default"/>
                <w:sz w:val="21"/>
                <w:szCs w:val="21"/>
              </w:rPr>
            </w:pPr>
            <w:r>
              <w:rPr>
                <w:rFonts w:ascii="Calibri"/>
                <w:sz w:val="21"/>
              </w:rPr>
              <w:t>12,690,000</w:t>
            </w:r>
          </w:p>
        </w:tc>
      </w:tr>
      <w:tr>
        <w:trPr>
          <w:trHeight w:val="63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2"/>
              <w:jc w:val="left"/>
              <w:rPr>
                <w:rFonts w:ascii="宋体" w:hAnsi="宋体" w:cs="宋体" w:eastAsia="宋体" w:hint="default"/>
                <w:sz w:val="21"/>
                <w:szCs w:val="21"/>
              </w:rPr>
            </w:pPr>
            <w:r>
              <w:rPr>
                <w:rFonts w:ascii="宋体" w:hAnsi="宋体" w:cs="宋体" w:eastAsia="宋体" w:hint="default"/>
                <w:spacing w:val="-2"/>
                <w:sz w:val="21"/>
                <w:szCs w:val="21"/>
              </w:rPr>
              <w:t>中国对外经济贸易信托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r>
              <w:rPr>
                <w:rFonts w:ascii="Calibri" w:hAnsi="Calibri" w:cs="Calibri" w:eastAsia="Calibri" w:hint="default"/>
                <w:sz w:val="21"/>
                <w:szCs w:val="21"/>
              </w:rPr>
              <w:t>-</w:t>
            </w:r>
            <w:r>
              <w:rPr>
                <w:rFonts w:ascii="宋体" w:hAnsi="宋体" w:cs="宋体" w:eastAsia="宋体" w:hint="default"/>
                <w:sz w:val="21"/>
                <w:szCs w:val="21"/>
              </w:rPr>
              <w:t>鸿道</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5"/>
                <w:sz w:val="21"/>
                <w:szCs w:val="21"/>
              </w:rPr>
              <w:t> </w:t>
            </w:r>
            <w:r>
              <w:rPr>
                <w:rFonts w:ascii="宋体" w:hAnsi="宋体" w:cs="宋体" w:eastAsia="宋体" w:hint="default"/>
                <w:sz w:val="21"/>
                <w:szCs w:val="21"/>
              </w:rPr>
              <w:t>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4"/>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1" w:right="0"/>
              <w:jc w:val="left"/>
              <w:rPr>
                <w:rFonts w:ascii="Calibri" w:hAnsi="Calibri" w:cs="Calibri" w:eastAsia="Calibri" w:hint="default"/>
                <w:sz w:val="21"/>
                <w:szCs w:val="21"/>
              </w:rPr>
            </w:pPr>
            <w:r>
              <w:rPr>
                <w:rFonts w:ascii="Calibri"/>
                <w:sz w:val="21"/>
              </w:rPr>
              <w:t>2.19%</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Calibri" w:hAnsi="Calibri" w:cs="Calibri" w:eastAsia="Calibri" w:hint="default"/>
                <w:sz w:val="21"/>
                <w:szCs w:val="21"/>
              </w:rPr>
            </w:pPr>
            <w:r>
              <w:rPr>
                <w:rFonts w:ascii="Calibri"/>
                <w:sz w:val="21"/>
              </w:rPr>
              <w:t>2,500,000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8" w:right="0"/>
              <w:jc w:val="left"/>
              <w:rPr>
                <w:rFonts w:ascii="Calibri" w:hAnsi="Calibri" w:cs="Calibri" w:eastAsia="Calibri" w:hint="default"/>
                <w:sz w:val="21"/>
                <w:szCs w:val="21"/>
              </w:rPr>
            </w:pPr>
            <w:r>
              <w:rPr>
                <w:rFonts w:ascii="Calibri"/>
                <w:sz w:val="21"/>
              </w:rPr>
              <w:t>2,500,000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交通银行</w:t>
            </w:r>
            <w:r>
              <w:rPr>
                <w:rFonts w:ascii="Calibri" w:hAnsi="Calibri" w:cs="Calibri" w:eastAsia="Calibri" w:hint="default"/>
                <w:spacing w:val="-2"/>
                <w:sz w:val="21"/>
                <w:szCs w:val="21"/>
              </w:rPr>
              <w:t>-</w:t>
            </w:r>
            <w:r>
              <w:rPr>
                <w:rFonts w:ascii="宋体" w:hAnsi="宋体" w:cs="宋体" w:eastAsia="宋体" w:hint="default"/>
                <w:spacing w:val="-2"/>
                <w:sz w:val="21"/>
                <w:szCs w:val="21"/>
              </w:rPr>
              <w:t>农银汇理行业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成长股票型证券投资基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9"/>
              <w:jc w:val="left"/>
              <w:rPr>
                <w:rFonts w:ascii="宋体" w:hAnsi="宋体" w:cs="宋体" w:eastAsia="宋体" w:hint="default"/>
                <w:sz w:val="21"/>
                <w:szCs w:val="21"/>
              </w:rPr>
            </w:pPr>
            <w:r>
              <w:rPr>
                <w:rFonts w:ascii="宋体" w:hAnsi="宋体" w:cs="宋体" w:eastAsia="宋体" w:hint="default"/>
                <w:spacing w:val="-4"/>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741" w:right="0"/>
              <w:jc w:val="left"/>
              <w:rPr>
                <w:rFonts w:ascii="Calibri" w:hAnsi="Calibri" w:cs="Calibri" w:eastAsia="Calibri" w:hint="default"/>
                <w:sz w:val="21"/>
                <w:szCs w:val="21"/>
              </w:rPr>
            </w:pPr>
            <w:r>
              <w:rPr>
                <w:rFonts w:ascii="Calibri"/>
                <w:sz w:val="21"/>
              </w:rPr>
              <w:t>1.94%</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17" w:right="0"/>
              <w:jc w:val="left"/>
              <w:rPr>
                <w:rFonts w:ascii="Calibri" w:hAnsi="Calibri" w:cs="Calibri" w:eastAsia="Calibri" w:hint="default"/>
                <w:sz w:val="21"/>
                <w:szCs w:val="21"/>
              </w:rPr>
            </w:pPr>
            <w:r>
              <w:rPr>
                <w:rFonts w:ascii="Calibri"/>
                <w:sz w:val="21"/>
              </w:rPr>
              <w:t>2,213,871</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38" w:right="0"/>
              <w:jc w:val="left"/>
              <w:rPr>
                <w:rFonts w:ascii="Calibri" w:hAnsi="Calibri" w:cs="Calibri" w:eastAsia="Calibri" w:hint="default"/>
                <w:sz w:val="21"/>
                <w:szCs w:val="21"/>
              </w:rPr>
            </w:pPr>
            <w:r>
              <w:rPr>
                <w:rFonts w:ascii="Calibri"/>
                <w:sz w:val="21"/>
              </w:rPr>
              <w:t>2,213,871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2"/>
              <w:jc w:val="left"/>
              <w:rPr>
                <w:rFonts w:ascii="宋体" w:hAnsi="宋体" w:cs="宋体" w:eastAsia="宋体" w:hint="default"/>
                <w:sz w:val="21"/>
                <w:szCs w:val="21"/>
              </w:rPr>
            </w:pPr>
            <w:r>
              <w:rPr>
                <w:rFonts w:ascii="宋体" w:hAnsi="宋体" w:cs="宋体" w:eastAsia="宋体" w:hint="default"/>
                <w:spacing w:val="-2"/>
                <w:sz w:val="21"/>
                <w:szCs w:val="21"/>
              </w:rPr>
              <w:t>深圳市创新投资集团有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41" w:right="0"/>
              <w:jc w:val="left"/>
              <w:rPr>
                <w:rFonts w:ascii="Calibri" w:hAnsi="Calibri" w:cs="Calibri" w:eastAsia="Calibri" w:hint="default"/>
                <w:sz w:val="21"/>
                <w:szCs w:val="21"/>
              </w:rPr>
            </w:pPr>
            <w:r>
              <w:rPr>
                <w:rFonts w:ascii="Calibri"/>
                <w:sz w:val="21"/>
              </w:rPr>
              <w:t>1.60%</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17" w:right="0"/>
              <w:jc w:val="left"/>
              <w:rPr>
                <w:rFonts w:ascii="Calibri" w:hAnsi="Calibri" w:cs="Calibri" w:eastAsia="Calibri" w:hint="default"/>
                <w:sz w:val="21"/>
                <w:szCs w:val="21"/>
              </w:rPr>
            </w:pPr>
            <w:r>
              <w:rPr>
                <w:rFonts w:ascii="Calibri"/>
                <w:sz w:val="21"/>
              </w:rPr>
              <w:t>1,824,300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96" w:right="0"/>
              <w:jc w:val="left"/>
              <w:rPr>
                <w:rFonts w:ascii="Calibri" w:hAnsi="Calibri" w:cs="Calibri" w:eastAsia="Calibri" w:hint="default"/>
                <w:sz w:val="21"/>
                <w:szCs w:val="21"/>
              </w:rPr>
            </w:pPr>
            <w:r>
              <w:rPr>
                <w:rFonts w:ascii="Calibri"/>
                <w:sz w:val="21"/>
              </w:rPr>
              <w:t>182,430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张燕民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4" w:right="0"/>
              <w:jc w:val="left"/>
              <w:rPr>
                <w:rFonts w:ascii="Calibri" w:hAnsi="Calibri" w:cs="Calibri" w:eastAsia="Calibri" w:hint="default"/>
                <w:sz w:val="21"/>
                <w:szCs w:val="21"/>
              </w:rPr>
            </w:pPr>
            <w:r>
              <w:rPr>
                <w:rFonts w:ascii="Calibri"/>
                <w:sz w:val="21"/>
              </w:rPr>
              <w:t>1.26%</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Calibri" w:hAnsi="Calibri" w:cs="Calibri" w:eastAsia="Calibri" w:hint="default"/>
                <w:sz w:val="21"/>
                <w:szCs w:val="21"/>
              </w:rPr>
            </w:pPr>
            <w:r>
              <w:rPr>
                <w:rFonts w:ascii="Calibri"/>
                <w:sz w:val="21"/>
              </w:rPr>
              <w:t>1,440,000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8" w:right="0"/>
              <w:jc w:val="left"/>
              <w:rPr>
                <w:rFonts w:ascii="Calibri" w:hAnsi="Calibri" w:cs="Calibri" w:eastAsia="Calibri" w:hint="default"/>
                <w:sz w:val="21"/>
                <w:szCs w:val="21"/>
              </w:rPr>
            </w:pPr>
            <w:r>
              <w:rPr>
                <w:rFonts w:ascii="Calibri"/>
                <w:sz w:val="21"/>
              </w:rPr>
              <w:t>1,440,000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中国农业银行</w:t>
            </w:r>
            <w:r>
              <w:rPr>
                <w:rFonts w:ascii="Calibri" w:hAnsi="Calibri" w:cs="Calibri" w:eastAsia="Calibri" w:hint="default"/>
                <w:spacing w:val="-2"/>
                <w:sz w:val="21"/>
                <w:szCs w:val="21"/>
              </w:rPr>
              <w:t>-</w:t>
            </w:r>
            <w:r>
              <w:rPr>
                <w:rFonts w:ascii="宋体" w:hAnsi="宋体" w:cs="宋体" w:eastAsia="宋体" w:hint="default"/>
                <w:spacing w:val="-2"/>
                <w:sz w:val="21"/>
                <w:szCs w:val="21"/>
              </w:rPr>
              <w:t>新华优选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成长股票型证券投资基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9"/>
              <w:jc w:val="left"/>
              <w:rPr>
                <w:rFonts w:ascii="宋体" w:hAnsi="宋体" w:cs="宋体" w:eastAsia="宋体" w:hint="default"/>
                <w:sz w:val="21"/>
                <w:szCs w:val="21"/>
              </w:rPr>
            </w:pPr>
            <w:r>
              <w:rPr>
                <w:rFonts w:ascii="宋体" w:hAnsi="宋体" w:cs="宋体" w:eastAsia="宋体" w:hint="default"/>
                <w:spacing w:val="-4"/>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741" w:right="0"/>
              <w:jc w:val="left"/>
              <w:rPr>
                <w:rFonts w:ascii="Calibri" w:hAnsi="Calibri" w:cs="Calibri" w:eastAsia="Calibri" w:hint="default"/>
                <w:sz w:val="21"/>
                <w:szCs w:val="21"/>
              </w:rPr>
            </w:pPr>
            <w:r>
              <w:rPr>
                <w:rFonts w:ascii="Calibri"/>
                <w:sz w:val="21"/>
              </w:rPr>
              <w:t>1.10%</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17" w:right="0"/>
              <w:jc w:val="left"/>
              <w:rPr>
                <w:rFonts w:ascii="Calibri" w:hAnsi="Calibri" w:cs="Calibri" w:eastAsia="Calibri" w:hint="default"/>
                <w:sz w:val="21"/>
                <w:szCs w:val="21"/>
              </w:rPr>
            </w:pPr>
            <w:r>
              <w:rPr>
                <w:rFonts w:ascii="Calibri"/>
                <w:sz w:val="21"/>
              </w:rPr>
              <w:t>1,254,150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38" w:right="0"/>
              <w:jc w:val="left"/>
              <w:rPr>
                <w:rFonts w:ascii="Calibri" w:hAnsi="Calibri" w:cs="Calibri" w:eastAsia="Calibri" w:hint="default"/>
                <w:sz w:val="21"/>
                <w:szCs w:val="21"/>
              </w:rPr>
            </w:pPr>
            <w:r>
              <w:rPr>
                <w:rFonts w:ascii="Calibri"/>
                <w:sz w:val="21"/>
              </w:rPr>
              <w:t>1,254,150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137"/>
              <w:jc w:val="both"/>
              <w:rPr>
                <w:rFonts w:ascii="宋体" w:hAnsi="宋体" w:cs="宋体" w:eastAsia="宋体" w:hint="default"/>
                <w:sz w:val="21"/>
                <w:szCs w:val="21"/>
              </w:rPr>
            </w:pPr>
            <w:r>
              <w:rPr>
                <w:rFonts w:ascii="宋体" w:hAnsi="宋体" w:cs="宋体" w:eastAsia="宋体" w:hint="default"/>
                <w:sz w:val="21"/>
                <w:szCs w:val="21"/>
              </w:rPr>
              <w:t>山东省国际信托有限公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鸿道</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期集合资金信</w:t>
            </w:r>
            <w:r>
              <w:rPr>
                <w:rFonts w:ascii="宋体" w:hAnsi="宋体" w:cs="宋体" w:eastAsia="宋体" w:hint="default"/>
                <w:w w:val="100"/>
                <w:sz w:val="21"/>
                <w:szCs w:val="21"/>
              </w:rPr>
              <w:t> </w:t>
            </w:r>
            <w:r>
              <w:rPr>
                <w:rFonts w:ascii="宋体" w:hAnsi="宋体" w:cs="宋体" w:eastAsia="宋体" w:hint="default"/>
                <w:sz w:val="21"/>
                <w:szCs w:val="21"/>
              </w:rPr>
              <w:t>托</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9"/>
              <w:jc w:val="left"/>
              <w:rPr>
                <w:rFonts w:ascii="宋体" w:hAnsi="宋体" w:cs="宋体" w:eastAsia="宋体" w:hint="default"/>
                <w:sz w:val="21"/>
                <w:szCs w:val="21"/>
              </w:rPr>
            </w:pPr>
            <w:r>
              <w:rPr>
                <w:rFonts w:ascii="宋体" w:hAnsi="宋体" w:cs="宋体" w:eastAsia="宋体" w:hint="default"/>
                <w:spacing w:val="-4"/>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741" w:right="0"/>
              <w:jc w:val="left"/>
              <w:rPr>
                <w:rFonts w:ascii="Calibri" w:hAnsi="Calibri" w:cs="Calibri" w:eastAsia="Calibri" w:hint="default"/>
                <w:sz w:val="21"/>
                <w:szCs w:val="21"/>
              </w:rPr>
            </w:pPr>
            <w:r>
              <w:rPr>
                <w:rFonts w:ascii="Calibri"/>
                <w:sz w:val="21"/>
              </w:rPr>
              <w:t>1.06%</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27" w:right="0"/>
              <w:jc w:val="left"/>
              <w:rPr>
                <w:rFonts w:ascii="Calibri" w:hAnsi="Calibri" w:cs="Calibri" w:eastAsia="Calibri" w:hint="default"/>
                <w:sz w:val="21"/>
                <w:szCs w:val="21"/>
              </w:rPr>
            </w:pPr>
            <w:r>
              <w:rPr>
                <w:rFonts w:ascii="Calibri"/>
                <w:spacing w:val="-3"/>
                <w:sz w:val="21"/>
              </w:rPr>
              <w:t>1,208,370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48" w:right="0"/>
              <w:jc w:val="left"/>
              <w:rPr>
                <w:rFonts w:ascii="Calibri" w:hAnsi="Calibri" w:cs="Calibri" w:eastAsia="Calibri" w:hint="default"/>
                <w:sz w:val="21"/>
                <w:szCs w:val="21"/>
              </w:rPr>
            </w:pPr>
            <w:r>
              <w:rPr>
                <w:rFonts w:ascii="Calibri"/>
                <w:spacing w:val="-3"/>
                <w:sz w:val="21"/>
              </w:rPr>
              <w:t>1,208,370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徐兴春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1" w:right="0"/>
              <w:jc w:val="left"/>
              <w:rPr>
                <w:rFonts w:ascii="Calibri" w:hAnsi="Calibri" w:cs="Calibri" w:eastAsia="Calibri" w:hint="default"/>
                <w:sz w:val="21"/>
                <w:szCs w:val="21"/>
              </w:rPr>
            </w:pPr>
            <w:r>
              <w:rPr>
                <w:rFonts w:ascii="Calibri"/>
                <w:sz w:val="21"/>
              </w:rPr>
              <w:t>0.94%</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Calibri" w:hAnsi="Calibri" w:cs="Calibri" w:eastAsia="Calibri" w:hint="default"/>
                <w:sz w:val="21"/>
                <w:szCs w:val="21"/>
              </w:rPr>
            </w:pPr>
            <w:r>
              <w:rPr>
                <w:rFonts w:ascii="Calibri"/>
                <w:sz w:val="21"/>
              </w:rPr>
              <w:t>1,080,000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8" w:right="0"/>
              <w:jc w:val="left"/>
              <w:rPr>
                <w:rFonts w:ascii="Calibri" w:hAnsi="Calibri" w:cs="Calibri" w:eastAsia="Calibri" w:hint="default"/>
                <w:sz w:val="21"/>
                <w:szCs w:val="21"/>
              </w:rPr>
            </w:pPr>
            <w:r>
              <w:rPr>
                <w:rFonts w:ascii="Calibri"/>
                <w:sz w:val="21"/>
              </w:rPr>
              <w:t>1,080,000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9"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名无限售条件股东持股情况</w:t>
            </w:r>
          </w:p>
        </w:tc>
      </w:tr>
      <w:tr>
        <w:trPr>
          <w:trHeight w:val="323"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sz w:val="21"/>
                <w:szCs w:val="21"/>
              </w:rPr>
              <w:t>中国对外经济贸易信托有限公司</w:t>
            </w:r>
            <w:r>
              <w:rPr>
                <w:rFonts w:ascii="Calibri" w:hAnsi="Calibri" w:cs="Calibri" w:eastAsia="Calibri" w:hint="default"/>
                <w:sz w:val="21"/>
                <w:szCs w:val="21"/>
              </w:rPr>
              <w:t>-</w:t>
            </w:r>
            <w:r>
              <w:rPr>
                <w:rFonts w:ascii="宋体" w:hAnsi="宋体" w:cs="宋体" w:eastAsia="宋体" w:hint="default"/>
                <w:sz w:val="21"/>
                <w:szCs w:val="21"/>
              </w:rPr>
              <w:t>鸿道</w:t>
            </w:r>
            <w:r>
              <w:rPr>
                <w:rFonts w:ascii="宋体" w:hAnsi="宋体" w:cs="宋体" w:eastAsia="宋体" w:hint="default"/>
                <w:spacing w:val="-54"/>
                <w:sz w:val="21"/>
                <w:szCs w:val="21"/>
              </w:rPr>
              <w:t> </w:t>
            </w:r>
            <w:r>
              <w:rPr>
                <w:rFonts w:ascii="Calibri" w:hAnsi="Calibri" w:cs="Calibri" w:eastAsia="Calibri" w:hint="default"/>
                <w:sz w:val="21"/>
                <w:szCs w:val="21"/>
              </w:rPr>
              <w:t>3</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2,500,000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178"/>
              <w:jc w:val="left"/>
              <w:rPr>
                <w:rFonts w:ascii="宋体" w:hAnsi="宋体" w:cs="宋体" w:eastAsia="宋体" w:hint="default"/>
                <w:sz w:val="21"/>
                <w:szCs w:val="21"/>
              </w:rPr>
            </w:pPr>
            <w:r>
              <w:rPr>
                <w:rFonts w:ascii="宋体" w:hAnsi="宋体" w:cs="宋体" w:eastAsia="宋体" w:hint="default"/>
                <w:spacing w:val="-2"/>
                <w:sz w:val="21"/>
                <w:szCs w:val="21"/>
              </w:rPr>
              <w:t>交通银行</w:t>
            </w:r>
            <w:r>
              <w:rPr>
                <w:rFonts w:ascii="Calibri" w:hAnsi="Calibri" w:cs="Calibri" w:eastAsia="Calibri" w:hint="default"/>
                <w:spacing w:val="-2"/>
                <w:sz w:val="21"/>
                <w:szCs w:val="21"/>
              </w:rPr>
              <w:t>-</w:t>
            </w:r>
            <w:r>
              <w:rPr>
                <w:rFonts w:ascii="宋体" w:hAnsi="宋体" w:cs="宋体" w:eastAsia="宋体" w:hint="default"/>
                <w:spacing w:val="-2"/>
                <w:sz w:val="21"/>
                <w:szCs w:val="21"/>
              </w:rPr>
              <w:t>农银汇理行业成长股票型证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券投资基金</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2,213,871</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1,824,300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张燕民</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1,440,000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178"/>
              <w:jc w:val="left"/>
              <w:rPr>
                <w:rFonts w:ascii="宋体" w:hAnsi="宋体" w:cs="宋体" w:eastAsia="宋体" w:hint="default"/>
                <w:sz w:val="21"/>
                <w:szCs w:val="21"/>
              </w:rPr>
            </w:pPr>
            <w:r>
              <w:rPr>
                <w:rFonts w:ascii="宋体" w:hAnsi="宋体" w:cs="宋体" w:eastAsia="宋体" w:hint="default"/>
                <w:spacing w:val="-2"/>
                <w:sz w:val="21"/>
                <w:szCs w:val="21"/>
              </w:rPr>
              <w:t>中国农业银行</w:t>
            </w:r>
            <w:r>
              <w:rPr>
                <w:rFonts w:ascii="Calibri" w:hAnsi="Calibri" w:cs="Calibri" w:eastAsia="Calibri" w:hint="default"/>
                <w:spacing w:val="-2"/>
                <w:sz w:val="21"/>
                <w:szCs w:val="21"/>
              </w:rPr>
              <w:t>-</w:t>
            </w:r>
            <w:r>
              <w:rPr>
                <w:rFonts w:ascii="宋体" w:hAnsi="宋体" w:cs="宋体" w:eastAsia="宋体" w:hint="default"/>
                <w:spacing w:val="-2"/>
                <w:sz w:val="21"/>
                <w:szCs w:val="21"/>
              </w:rPr>
              <w:t>新华优选成长股票型证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券投资基金</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1,254,150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3" w:right="19"/>
              <w:jc w:val="left"/>
              <w:rPr>
                <w:rFonts w:ascii="宋体" w:hAnsi="宋体" w:cs="宋体" w:eastAsia="宋体" w:hint="default"/>
                <w:sz w:val="21"/>
                <w:szCs w:val="21"/>
              </w:rPr>
            </w:pPr>
            <w:r>
              <w:rPr>
                <w:rFonts w:ascii="宋体" w:hAnsi="宋体" w:cs="宋体" w:eastAsia="宋体" w:hint="default"/>
                <w:sz w:val="21"/>
                <w:szCs w:val="21"/>
              </w:rPr>
              <w:t>山东省国际信托有限公司</w:t>
            </w:r>
            <w:r>
              <w:rPr>
                <w:rFonts w:ascii="Calibri" w:hAnsi="Calibri" w:cs="Calibri" w:eastAsia="Calibri" w:hint="default"/>
                <w:sz w:val="21"/>
                <w:szCs w:val="21"/>
              </w:rPr>
              <w:t>-</w:t>
            </w:r>
            <w:r>
              <w:rPr>
                <w:rFonts w:ascii="宋体" w:hAnsi="宋体" w:cs="宋体" w:eastAsia="宋体" w:hint="default"/>
                <w:sz w:val="21"/>
                <w:szCs w:val="21"/>
              </w:rPr>
              <w:t>鸿道</w:t>
            </w:r>
            <w:r>
              <w:rPr>
                <w:rFonts w:ascii="宋体" w:hAnsi="宋体" w:cs="宋体" w:eastAsia="宋体" w:hint="default"/>
                <w:spacing w:val="-80"/>
                <w:sz w:val="21"/>
                <w:szCs w:val="21"/>
              </w:rPr>
              <w:t> </w:t>
            </w:r>
            <w:r>
              <w:rPr>
                <w:rFonts w:ascii="Calibri" w:hAnsi="Calibri" w:cs="Calibri" w:eastAsia="Calibri" w:hint="default"/>
                <w:sz w:val="21"/>
                <w:szCs w:val="21"/>
              </w:rPr>
              <w:t>1</w:t>
            </w:r>
            <w:r>
              <w:rPr>
                <w:rFonts w:ascii="Calibri" w:hAnsi="Calibri" w:cs="Calibri" w:eastAsia="Calibri" w:hint="default"/>
                <w:spacing w:val="-24"/>
                <w:sz w:val="21"/>
                <w:szCs w:val="21"/>
              </w:rPr>
              <w:t> </w:t>
            </w:r>
            <w:r>
              <w:rPr>
                <w:rFonts w:ascii="宋体" w:hAnsi="宋体" w:cs="宋体" w:eastAsia="宋体" w:hint="default"/>
                <w:sz w:val="21"/>
                <w:szCs w:val="21"/>
              </w:rPr>
              <w:t>期集合</w:t>
            </w:r>
            <w:r>
              <w:rPr>
                <w:rFonts w:ascii="宋体" w:hAnsi="宋体" w:cs="宋体" w:eastAsia="宋体" w:hint="default"/>
                <w:w w:val="100"/>
                <w:sz w:val="21"/>
                <w:szCs w:val="21"/>
              </w:rPr>
              <w:t> </w:t>
            </w:r>
            <w:r>
              <w:rPr>
                <w:rFonts w:ascii="宋体" w:hAnsi="宋体" w:cs="宋体" w:eastAsia="宋体" w:hint="default"/>
                <w:sz w:val="21"/>
                <w:szCs w:val="21"/>
              </w:rPr>
              <w:t>资金信托</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1,208,370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徐兴春</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1,080,000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李俊</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1,080,000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177"/>
              <w:jc w:val="left"/>
              <w:rPr>
                <w:rFonts w:ascii="宋体" w:hAnsi="宋体" w:cs="宋体" w:eastAsia="宋体" w:hint="default"/>
                <w:sz w:val="21"/>
                <w:szCs w:val="21"/>
              </w:rPr>
            </w:pPr>
            <w:r>
              <w:rPr>
                <w:rFonts w:ascii="宋体" w:hAnsi="宋体" w:cs="宋体" w:eastAsia="宋体" w:hint="default"/>
                <w:spacing w:val="-2"/>
                <w:sz w:val="21"/>
                <w:szCs w:val="21"/>
              </w:rPr>
              <w:t>中国光大银行股份有限公司</w:t>
            </w:r>
            <w:r>
              <w:rPr>
                <w:rFonts w:ascii="Calibri" w:hAnsi="Calibri" w:cs="Calibri" w:eastAsia="Calibri" w:hint="default"/>
                <w:spacing w:val="-2"/>
                <w:sz w:val="21"/>
                <w:szCs w:val="21"/>
              </w:rPr>
              <w:t>-</w:t>
            </w:r>
            <w:r>
              <w:rPr>
                <w:rFonts w:ascii="宋体" w:hAnsi="宋体" w:cs="宋体" w:eastAsia="宋体" w:hint="default"/>
                <w:spacing w:val="-2"/>
                <w:sz w:val="21"/>
                <w:szCs w:val="21"/>
              </w:rPr>
              <w:t>国投瑞银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景气行业证券投资基金</w:t>
            </w:r>
          </w:p>
        </w:tc>
        <w:tc>
          <w:tcPr>
            <w:tcW w:w="3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1,055,996</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40"/>
          <w:pgMar w:header="0" w:footer="1195" w:top="1380" w:bottom="1380" w:left="1680" w:right="16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341"/>
        <w:gridCol w:w="1301"/>
        <w:gridCol w:w="3121"/>
        <w:gridCol w:w="3068"/>
      </w:tblGrid>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谢建龙</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1,031,850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535" w:right="111"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96"/>
              <w:jc w:val="both"/>
              <w:rPr>
                <w:rFonts w:ascii="宋体" w:hAnsi="宋体" w:cs="宋体" w:eastAsia="宋体" w:hint="default"/>
                <w:sz w:val="21"/>
                <w:szCs w:val="21"/>
              </w:rPr>
            </w:pPr>
            <w:r>
              <w:rPr>
                <w:rFonts w:ascii="宋体" w:hAnsi="宋体" w:cs="宋体" w:eastAsia="宋体" w:hint="default"/>
                <w:spacing w:val="-2"/>
                <w:sz w:val="21"/>
                <w:szCs w:val="21"/>
              </w:rPr>
              <w:t>刘亚先生为刘祥先生弟弟，江汉先生为刘祥先生妹妹之配偶；除此之外，未发现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公司股东之间存在关联关系或属于《上市公司股东持股变动信息披露管理办法》</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规定的一致行动人。</w:t>
            </w:r>
          </w:p>
        </w:tc>
      </w:tr>
    </w:tbl>
    <w:p>
      <w:pPr>
        <w:pStyle w:val="Heading3"/>
        <w:spacing w:line="318" w:lineRule="exact"/>
        <w:ind w:right="1633"/>
        <w:jc w:val="left"/>
        <w:rPr>
          <w:b w:val="0"/>
          <w:bCs w:val="0"/>
        </w:rPr>
      </w:pPr>
      <w:bookmarkStart w:name="_bookmark4" w:id="6"/>
      <w:bookmarkEnd w:id="6"/>
      <w:r>
        <w:rPr>
          <w:b w:val="0"/>
          <w:bCs w:val="0"/>
        </w:rPr>
      </w:r>
      <w:r>
        <w:rPr/>
        <w:t>四、股本变化情况</w:t>
      </w:r>
      <w:r>
        <w:rPr>
          <w:b w:val="0"/>
          <w:bCs w:val="0"/>
        </w:rPr>
      </w:r>
    </w:p>
    <w:p>
      <w:pPr>
        <w:pStyle w:val="BodyText"/>
        <w:spacing w:line="355" w:lineRule="auto" w:before="186"/>
        <w:ind w:right="1633" w:firstLine="482"/>
        <w:jc w:val="left"/>
        <w:rPr>
          <w:rFonts w:ascii="宋体" w:hAnsi="宋体" w:cs="宋体" w:eastAsia="宋体" w:hint="default"/>
          <w:sz w:val="28"/>
          <w:szCs w:val="28"/>
        </w:rPr>
      </w:pPr>
      <w:r>
        <w:rPr/>
        <w:t>报告期内，公司于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日召开</w:t>
      </w:r>
      <w:r>
        <w:rPr>
          <w:rFonts w:ascii="宋体" w:hAnsi="宋体" w:cs="宋体" w:eastAsia="宋体" w:hint="default"/>
        </w:rPr>
        <w:t>2010</w:t>
      </w:r>
      <w:r>
        <w:rPr/>
        <w:t>年度股东大会审议通过了本公司 </w:t>
      </w:r>
      <w:r>
        <w:rPr>
          <w:rFonts w:ascii="宋体" w:hAnsi="宋体" w:cs="宋体" w:eastAsia="宋体" w:hint="default"/>
          <w:spacing w:val="-3"/>
        </w:rPr>
        <w:t>2010</w:t>
      </w:r>
      <w:r>
        <w:rPr>
          <w:spacing w:val="-3"/>
        </w:rPr>
        <w:t>年度利润分配和资本公积转增股本的议案，即以以</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w:t>
      </w:r>
      <w:r>
        <w:rPr>
          <w:spacing w:val="-91"/>
        </w:rPr>
        <w:t> </w:t>
      </w:r>
      <w:r>
        <w:rPr/>
        <w:t>本</w:t>
      </w:r>
      <w:r>
        <w:rPr>
          <w:rFonts w:ascii="宋体" w:hAnsi="宋体" w:cs="宋体" w:eastAsia="宋体" w:hint="default"/>
        </w:rPr>
        <w:t>6,350</w:t>
      </w:r>
      <w:r>
        <w:rPr/>
        <w:t>万股为基数，由资本公积金向全体股东每</w:t>
      </w:r>
      <w:r>
        <w:rPr>
          <w:rFonts w:ascii="宋体" w:hAnsi="宋体" w:cs="宋体" w:eastAsia="宋体" w:hint="default"/>
        </w:rPr>
        <w:t>10</w:t>
      </w:r>
      <w:r>
        <w:rPr/>
        <w:t>股转增</w:t>
      </w:r>
      <w:r>
        <w:rPr>
          <w:rFonts w:ascii="宋体" w:hAnsi="宋体" w:cs="宋体" w:eastAsia="宋体" w:hint="default"/>
        </w:rPr>
        <w:t>8</w:t>
      </w:r>
      <w:r>
        <w:rPr/>
        <w:t>股，合计转增股本 </w:t>
      </w:r>
      <w:r>
        <w:rPr>
          <w:rFonts w:ascii="宋体" w:hAnsi="宋体" w:cs="宋体" w:eastAsia="宋体" w:hint="default"/>
        </w:rPr>
        <w:t>5,080</w:t>
      </w:r>
      <w:r>
        <w:rPr/>
        <w:t>万股，转增股本完成后，公司总股本</w:t>
      </w:r>
      <w:r>
        <w:rPr>
          <w:rFonts w:ascii="宋体" w:hAnsi="宋体" w:cs="宋体" w:eastAsia="宋体" w:hint="default"/>
        </w:rPr>
        <w:t>11,430</w:t>
      </w:r>
      <w:r>
        <w:rPr/>
        <w:t>万股。 </w:t>
      </w:r>
      <w:r>
        <w:rPr>
          <w:rFonts w:ascii="宋体" w:hAnsi="宋体" w:cs="宋体" w:eastAsia="宋体" w:hint="default"/>
          <w:b/>
          <w:bCs/>
          <w:sz w:val="28"/>
          <w:szCs w:val="28"/>
        </w:rPr>
        <w:t>五、控股股东及实际控制人情况介绍</w:t>
      </w:r>
      <w:r>
        <w:rPr>
          <w:rFonts w:ascii="宋体" w:hAnsi="宋体" w:cs="宋体" w:eastAsia="宋体" w:hint="default"/>
          <w:sz w:val="28"/>
          <w:szCs w:val="28"/>
        </w:rPr>
      </w:r>
    </w:p>
    <w:p>
      <w:pPr>
        <w:pStyle w:val="BodyText"/>
        <w:spacing w:line="355" w:lineRule="auto" w:before="52"/>
        <w:ind w:right="1626" w:firstLine="479"/>
        <w:jc w:val="left"/>
      </w:pPr>
      <w:r>
        <w:rPr>
          <w:spacing w:val="-3"/>
        </w:rPr>
        <w:t>报告期内，公司控股股东及实际控制人未发生变化，为刘祥先生。刘祥先生</w:t>
      </w:r>
      <w:r>
        <w:rPr/>
        <w:t> 相关情况如下：</w:t>
      </w:r>
    </w:p>
    <w:p>
      <w:pPr>
        <w:pStyle w:val="BodyText"/>
        <w:spacing w:line="355" w:lineRule="auto" w:before="38"/>
        <w:ind w:right="1627" w:firstLine="479"/>
        <w:jc w:val="left"/>
      </w:pPr>
      <w:r>
        <w:rPr/>
        <w:t>刘祥，男，</w:t>
      </w:r>
      <w:r>
        <w:rPr>
          <w:rFonts w:ascii="宋体" w:hAnsi="宋体" w:cs="宋体" w:eastAsia="宋体" w:hint="default"/>
        </w:rPr>
        <w:t>1967</w:t>
      </w:r>
      <w:r>
        <w:rPr>
          <w:rFonts w:ascii="宋体" w:hAnsi="宋体" w:cs="宋体" w:eastAsia="宋体" w:hint="default"/>
          <w:spacing w:val="20"/>
        </w:rPr>
        <w:t> </w:t>
      </w:r>
      <w:r>
        <w:rPr/>
        <w:t>年生，东南大学无线电专业本科毕业。近五年主要担任公 司董事长、总经理，现兼任深圳市泰德信实业有限公司董事。</w:t>
      </w:r>
    </w:p>
    <w:p>
      <w:pPr>
        <w:spacing w:line="240" w:lineRule="auto" w:before="8"/>
        <w:rPr>
          <w:rFonts w:ascii="宋体" w:hAnsi="宋体" w:cs="宋体" w:eastAsia="宋体" w:hint="default"/>
          <w:sz w:val="8"/>
          <w:szCs w:val="8"/>
        </w:rPr>
      </w:pPr>
    </w:p>
    <w:p>
      <w:pPr>
        <w:spacing w:line="509" w:lineRule="exact"/>
        <w:ind w:left="270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03.5pt;height:25.45pt;mso-position-horizontal-relative:char;mso-position-vertical-relative:line" type="#_x0000_t202" filled="false" stroked="true" strokeweight=".75pt" strokecolor="#000000">
            <w10:anchorlock/>
            <v:textbox inset="0,0,0,0">
              <w:txbxContent>
                <w:p>
                  <w:pPr>
                    <w:tabs>
                      <w:tab w:pos="1208" w:val="left" w:leader="none"/>
                    </w:tabs>
                    <w:spacing w:before="36"/>
                    <w:ind w:left="605" w:right="0" w:firstLine="0"/>
                    <w:jc w:val="left"/>
                    <w:rPr>
                      <w:rFonts w:ascii="宋体" w:hAnsi="宋体" w:cs="宋体" w:eastAsia="宋体" w:hint="default"/>
                      <w:sz w:val="24"/>
                      <w:szCs w:val="24"/>
                    </w:rPr>
                  </w:pPr>
                  <w:r>
                    <w:rPr>
                      <w:rFonts w:ascii="宋体" w:hAnsi="宋体" w:cs="宋体" w:eastAsia="宋体" w:hint="default"/>
                      <w:b/>
                      <w:bCs/>
                      <w:w w:val="95"/>
                      <w:sz w:val="24"/>
                      <w:szCs w:val="24"/>
                    </w:rPr>
                    <w:t>刘</w:t>
                    <w:tab/>
                  </w:r>
                  <w:r>
                    <w:rPr>
                      <w:rFonts w:ascii="宋体" w:hAnsi="宋体" w:cs="宋体" w:eastAsia="宋体" w:hint="default"/>
                      <w:b/>
                      <w:bCs/>
                      <w:sz w:val="24"/>
                      <w:szCs w:val="24"/>
                    </w:rPr>
                    <w:t>祥</w:t>
                  </w:r>
                  <w:r>
                    <w:rPr>
                      <w:rFonts w:ascii="宋体" w:hAnsi="宋体" w:cs="宋体" w:eastAsia="宋体" w:hint="default"/>
                      <w:sz w:val="24"/>
                      <w:szCs w:val="24"/>
                    </w:rPr>
                  </w:r>
                </w:p>
              </w:txbxContent>
            </v:textbox>
          </v:shape>
        </w:pict>
      </w:r>
      <w:r>
        <w:rPr>
          <w:rFonts w:ascii="宋体" w:hAnsi="宋体" w:cs="宋体" w:eastAsia="宋体" w:hint="default"/>
          <w:position w:val="-9"/>
          <w:sz w:val="20"/>
          <w:szCs w:val="20"/>
        </w:rPr>
      </w:r>
    </w:p>
    <w:p>
      <w:pPr>
        <w:pStyle w:val="BodyText"/>
        <w:spacing w:line="240" w:lineRule="auto" w:before="192"/>
        <w:ind w:left="3906" w:right="5399"/>
        <w:jc w:val="center"/>
        <w:rPr>
          <w:rFonts w:ascii="宋体" w:hAnsi="宋体" w:cs="宋体" w:eastAsia="宋体" w:hint="default"/>
        </w:rPr>
      </w:pPr>
      <w:r>
        <w:rPr/>
        <w:pict>
          <v:group style="position:absolute;margin-left:267.119995pt;margin-top:.725618pt;width:6pt;height:27.7pt;mso-position-horizontal-relative:page;mso-position-vertical-relative:paragraph;z-index:1120" coordorigin="5342,15" coordsize="120,554">
            <v:shape style="position:absolute;left:5342;top:15;width:120;height:554" coordorigin="5342,15" coordsize="120,554" path="m5342,448l5401,569,5447,479,5396,479,5392,474,5392,468,5392,448,5342,448xe" filled="true" fillcolor="#000000" stroked="false">
              <v:path arrowok="t"/>
              <v:fill type="solid"/>
            </v:shape>
            <v:shape style="position:absolute;left:5342;top:15;width:120;height:554" coordorigin="5342,15" coordsize="120,554" path="m5392,448l5392,468,5392,474,5396,479,5408,479,5412,474,5412,468,5412,449,5392,448xe" filled="true" fillcolor="#000000" stroked="false">
              <v:path arrowok="t"/>
              <v:fill type="solid"/>
            </v:shape>
            <v:shape style="position:absolute;left:5342;top:15;width:120;height:554" coordorigin="5342,15" coordsize="120,554" path="m5412,449l5412,469,5412,474,5408,479,5447,479,5462,449,5412,449xe" filled="true" fillcolor="#000000" stroked="false">
              <v:path arrowok="t"/>
              <v:fill type="solid"/>
            </v:shape>
            <v:shape style="position:absolute;left:5342;top:15;width:120;height:554" coordorigin="5342,15" coordsize="120,554" path="m5413,15l5402,15,5397,19,5397,25,5392,448,5412,449,5417,25,5417,19,5413,15xe" filled="true" fillcolor="#000000" stroked="false">
              <v:path arrowok="t"/>
              <v:fill type="solid"/>
            </v:shape>
            <w10:wrap type="none"/>
          </v:group>
        </w:pict>
      </w:r>
      <w:r>
        <w:rPr>
          <w:rFonts w:ascii="宋体"/>
        </w:rPr>
        <w:t>33.31%</w:t>
      </w:r>
    </w:p>
    <w:p>
      <w:pPr>
        <w:spacing w:line="240" w:lineRule="auto" w:before="11"/>
        <w:rPr>
          <w:rFonts w:ascii="宋体" w:hAnsi="宋体" w:cs="宋体" w:eastAsia="宋体" w:hint="default"/>
          <w:sz w:val="5"/>
          <w:szCs w:val="5"/>
        </w:rPr>
      </w:pPr>
    </w:p>
    <w:p>
      <w:pPr>
        <w:spacing w:line="521" w:lineRule="exact"/>
        <w:ind w:left="138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35.5pt;height:26.05pt;mso-position-horizontal-relative:char;mso-position-vertical-relative:line" type="#_x0000_t202" filled="false" stroked="true" strokeweight=".75pt" strokecolor="#000000">
            <w10:anchorlock/>
            <v:textbox inset="0,0,0,0">
              <w:txbxContent>
                <w:p>
                  <w:pPr>
                    <w:spacing w:before="36"/>
                    <w:ind w:left="660" w:right="0" w:firstLine="0"/>
                    <w:jc w:val="left"/>
                    <w:rPr>
                      <w:rFonts w:ascii="宋体" w:hAnsi="宋体" w:cs="宋体" w:eastAsia="宋体" w:hint="default"/>
                      <w:sz w:val="24"/>
                      <w:szCs w:val="24"/>
                    </w:rPr>
                  </w:pPr>
                  <w:r>
                    <w:rPr>
                      <w:rFonts w:ascii="宋体" w:hAnsi="宋体" w:cs="宋体" w:eastAsia="宋体" w:hint="default"/>
                      <w:b/>
                      <w:bCs/>
                      <w:sz w:val="24"/>
                      <w:szCs w:val="24"/>
                    </w:rPr>
                    <w:t>深圳市新国都技术股份有限公司</w:t>
                  </w:r>
                  <w:r>
                    <w:rPr>
                      <w:rFonts w:ascii="宋体" w:hAnsi="宋体" w:cs="宋体" w:eastAsia="宋体" w:hint="default"/>
                      <w:sz w:val="24"/>
                      <w:szCs w:val="24"/>
                    </w:rPr>
                  </w:r>
                </w:p>
              </w:txbxContent>
            </v:textbox>
          </v:shape>
        </w:pict>
      </w:r>
      <w:r>
        <w:rPr>
          <w:rFonts w:ascii="宋体" w:hAnsi="宋体" w:cs="宋体" w:eastAsia="宋体" w:hint="default"/>
          <w:position w:val="-9"/>
          <w:sz w:val="20"/>
          <w:szCs w:val="20"/>
        </w:rPr>
      </w:r>
    </w:p>
    <w:p>
      <w:pPr>
        <w:spacing w:after="0" w:line="521" w:lineRule="exact"/>
        <w:rPr>
          <w:rFonts w:ascii="宋体" w:hAnsi="宋体" w:cs="宋体" w:eastAsia="宋体" w:hint="default"/>
          <w:sz w:val="20"/>
          <w:szCs w:val="20"/>
        </w:rPr>
        <w:sectPr>
          <w:pgSz w:w="11910" w:h="16840"/>
          <w:pgMar w:header="0" w:footer="1195" w:top="1340" w:bottom="1380" w:left="1680" w:right="160"/>
        </w:sectPr>
      </w:pPr>
    </w:p>
    <w:p>
      <w:pPr>
        <w:pStyle w:val="Heading1"/>
        <w:tabs>
          <w:tab w:pos="2989" w:val="left" w:leader="none"/>
        </w:tabs>
        <w:spacing w:line="433" w:lineRule="exact"/>
        <w:ind w:left="1309" w:right="0"/>
        <w:jc w:val="left"/>
        <w:rPr>
          <w:b w:val="0"/>
          <w:bCs w:val="0"/>
        </w:rPr>
      </w:pPr>
      <w:r>
        <w:rPr>
          <w:w w:val="95"/>
        </w:rPr>
        <w:t>第六节</w:t>
        <w:tab/>
      </w:r>
      <w:r>
        <w:rPr/>
        <w:t>董事、监事、高级管理人员和员工情况</w:t>
      </w:r>
      <w:r>
        <w:rPr>
          <w:b w:val="0"/>
          <w:bCs w:val="0"/>
        </w:rPr>
      </w: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33"/>
          <w:szCs w:val="33"/>
        </w:rPr>
      </w:pPr>
    </w:p>
    <w:p>
      <w:pPr>
        <w:pStyle w:val="Heading3"/>
        <w:spacing w:line="240" w:lineRule="auto"/>
        <w:ind w:left="860" w:right="0"/>
        <w:jc w:val="left"/>
        <w:rPr>
          <w:b w:val="0"/>
          <w:bCs w:val="0"/>
        </w:rPr>
      </w:pPr>
      <w:r>
        <w:rPr/>
        <w:t>一、董事、监事和高级管理人员的情况</w:t>
      </w:r>
      <w:r>
        <w:rPr>
          <w:b w:val="0"/>
          <w:bCs w:val="0"/>
        </w:rPr>
      </w:r>
    </w:p>
    <w:p>
      <w:pPr>
        <w:spacing w:line="240" w:lineRule="auto" w:before="1"/>
        <w:rPr>
          <w:rFonts w:ascii="宋体" w:hAnsi="宋体" w:cs="宋体" w:eastAsia="宋体" w:hint="default"/>
          <w:b/>
          <w:bCs/>
          <w:sz w:val="34"/>
          <w:szCs w:val="34"/>
        </w:rPr>
      </w:pPr>
    </w:p>
    <w:p>
      <w:pPr>
        <w:pStyle w:val="BodyText"/>
        <w:spacing w:line="240" w:lineRule="auto"/>
        <w:ind w:left="860" w:right="0"/>
        <w:jc w:val="left"/>
      </w:pPr>
      <w:r>
        <w:rPr/>
        <w:t>（一）董事、监事和高级管理人员持股变动及报酬情况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6"/>
        <w:ind w:left="0" w:right="107" w:firstLine="0"/>
        <w:jc w:val="right"/>
        <w:rPr>
          <w:rFonts w:ascii="宋体" w:hAnsi="宋体" w:cs="宋体" w:eastAsia="宋体" w:hint="default"/>
          <w:sz w:val="21"/>
          <w:szCs w:val="21"/>
        </w:rPr>
      </w:pPr>
      <w:r>
        <w:rPr/>
        <w:pict>
          <v:shape style="position:absolute;margin-left:52.32pt;margin-top:-387.776337pt;width:491.65pt;height:535.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8"/>
                    <w:gridCol w:w="1039"/>
                    <w:gridCol w:w="521"/>
                    <w:gridCol w:w="521"/>
                    <w:gridCol w:w="826"/>
                    <w:gridCol w:w="850"/>
                    <w:gridCol w:w="994"/>
                    <w:gridCol w:w="991"/>
                    <w:gridCol w:w="850"/>
                    <w:gridCol w:w="1652"/>
                    <w:gridCol w:w="806"/>
                  </w:tblGrid>
                  <w:tr>
                    <w:trPr>
                      <w:trHeight w:val="620" w:hRule="exact"/>
                    </w:trPr>
                    <w:tc>
                      <w:tcPr>
                        <w:tcW w:w="768" w:type="dxa"/>
                        <w:vMerge w:val="restart"/>
                        <w:tcBorders>
                          <w:top w:val="single" w:sz="4" w:space="0" w:color="000000"/>
                          <w:left w:val="single" w:sz="4" w:space="0" w:color="000000"/>
                          <w:right w:val="single" w:sz="4" w:space="0" w:color="000000"/>
                        </w:tcBorders>
                        <w:shd w:val="clear" w:color="auto" w:fill="8DB3E1"/>
                      </w:tcPr>
                      <w:p>
                        <w:pPr/>
                      </w:p>
                    </w:tc>
                    <w:tc>
                      <w:tcPr>
                        <w:tcW w:w="1039" w:type="dxa"/>
                        <w:vMerge w:val="restart"/>
                        <w:tcBorders>
                          <w:top w:val="single" w:sz="4" w:space="0" w:color="000000"/>
                          <w:left w:val="single" w:sz="4" w:space="0" w:color="000000"/>
                          <w:right w:val="single" w:sz="4" w:space="0" w:color="000000"/>
                        </w:tcBorders>
                        <w:shd w:val="clear" w:color="auto" w:fill="8DB3E1"/>
                      </w:tcPr>
                      <w:p>
                        <w:pPr/>
                      </w:p>
                    </w:tc>
                    <w:tc>
                      <w:tcPr>
                        <w:tcW w:w="521" w:type="dxa"/>
                        <w:vMerge w:val="restart"/>
                        <w:tcBorders>
                          <w:top w:val="single" w:sz="4" w:space="0" w:color="000000"/>
                          <w:left w:val="single" w:sz="4" w:space="0" w:color="000000"/>
                          <w:right w:val="single" w:sz="4" w:space="0" w:color="000000"/>
                        </w:tcBorders>
                        <w:shd w:val="clear" w:color="auto" w:fill="8DB3E1"/>
                      </w:tcPr>
                      <w:p>
                        <w:pPr/>
                      </w:p>
                    </w:tc>
                    <w:tc>
                      <w:tcPr>
                        <w:tcW w:w="521" w:type="dxa"/>
                        <w:vMerge w:val="restart"/>
                        <w:tcBorders>
                          <w:top w:val="single" w:sz="4" w:space="0" w:color="000000"/>
                          <w:left w:val="single" w:sz="4" w:space="0" w:color="000000"/>
                          <w:right w:val="single" w:sz="4" w:space="0" w:color="000000"/>
                        </w:tcBorders>
                        <w:shd w:val="clear" w:color="auto" w:fill="8DB3E1"/>
                      </w:tcPr>
                      <w:p>
                        <w:pPr/>
                      </w:p>
                    </w:tc>
                    <w:tc>
                      <w:tcPr>
                        <w:tcW w:w="826" w:type="dxa"/>
                        <w:vMerge w:val="restart"/>
                        <w:tcBorders>
                          <w:top w:val="single" w:sz="4" w:space="0" w:color="000000"/>
                          <w:left w:val="single" w:sz="4" w:space="0" w:color="000000"/>
                          <w:right w:val="single" w:sz="4" w:space="0" w:color="000000"/>
                        </w:tcBorders>
                        <w:shd w:val="clear" w:color="auto" w:fill="8DB3E1"/>
                      </w:tcPr>
                      <w:p>
                        <w:pPr/>
                      </w:p>
                    </w:tc>
                    <w:tc>
                      <w:tcPr>
                        <w:tcW w:w="850" w:type="dxa"/>
                        <w:vMerge w:val="restart"/>
                        <w:tcBorders>
                          <w:top w:val="single" w:sz="4" w:space="0" w:color="000000"/>
                          <w:left w:val="single" w:sz="4" w:space="0" w:color="000000"/>
                          <w:right w:val="single" w:sz="4" w:space="0" w:color="000000"/>
                        </w:tcBorders>
                        <w:shd w:val="clear" w:color="auto" w:fill="8DB3E1"/>
                      </w:tcPr>
                      <w:p>
                        <w:pPr/>
                      </w:p>
                    </w:tc>
                    <w:tc>
                      <w:tcPr>
                        <w:tcW w:w="994" w:type="dxa"/>
                        <w:tcBorders>
                          <w:top w:val="single" w:sz="4" w:space="0" w:color="000000"/>
                          <w:left w:val="single" w:sz="4" w:space="0" w:color="000000"/>
                          <w:bottom w:val="nil" w:sz="6" w:space="0" w:color="auto"/>
                          <w:right w:val="single" w:sz="4" w:space="0" w:color="000000"/>
                        </w:tcBorders>
                        <w:shd w:val="clear" w:color="auto" w:fill="8DB3E1"/>
                      </w:tcPr>
                      <w:p>
                        <w:pPr/>
                      </w:p>
                    </w:tc>
                    <w:tc>
                      <w:tcPr>
                        <w:tcW w:w="991" w:type="dxa"/>
                        <w:tcBorders>
                          <w:top w:val="single" w:sz="4" w:space="0" w:color="000000"/>
                          <w:left w:val="single" w:sz="4" w:space="0" w:color="000000"/>
                          <w:bottom w:val="nil" w:sz="6" w:space="0" w:color="auto"/>
                          <w:right w:val="single" w:sz="4" w:space="0" w:color="000000"/>
                        </w:tcBorders>
                        <w:shd w:val="clear" w:color="auto" w:fill="8DB3E1"/>
                      </w:tcPr>
                      <w:p>
                        <w:pPr/>
                      </w:p>
                    </w:tc>
                    <w:tc>
                      <w:tcPr>
                        <w:tcW w:w="850" w:type="dxa"/>
                        <w:vMerge w:val="restart"/>
                        <w:tcBorders>
                          <w:top w:val="single" w:sz="4" w:space="0" w:color="000000"/>
                          <w:left w:val="single" w:sz="4" w:space="0" w:color="000000"/>
                          <w:right w:val="single" w:sz="4" w:space="0" w:color="000000"/>
                        </w:tcBorders>
                        <w:shd w:val="clear" w:color="auto" w:fill="8DB3E1"/>
                      </w:tcPr>
                      <w:p>
                        <w:pPr/>
                      </w:p>
                    </w:tc>
                    <w:tc>
                      <w:tcPr>
                        <w:tcW w:w="1652" w:type="dxa"/>
                        <w:tcBorders>
                          <w:top w:val="single" w:sz="4" w:space="0" w:color="000000"/>
                          <w:left w:val="single" w:sz="4" w:space="0" w:color="000000"/>
                          <w:bottom w:val="nil" w:sz="6" w:space="0" w:color="auto"/>
                          <w:right w:val="single" w:sz="4" w:space="0" w:color="000000"/>
                        </w:tcBorders>
                        <w:shd w:val="clear" w:color="auto" w:fill="8DB3E1"/>
                      </w:tcPr>
                      <w:p>
                        <w:pPr/>
                      </w:p>
                    </w:tc>
                    <w:tc>
                      <w:tcPr>
                        <w:tcW w:w="806" w:type="dxa"/>
                        <w:vMerge w:val="restart"/>
                        <w:tcBorders>
                          <w:top w:val="single" w:sz="4" w:space="0" w:color="000000"/>
                          <w:left w:val="single" w:sz="4" w:space="0" w:color="000000"/>
                          <w:right w:val="single" w:sz="4" w:space="0" w:color="000000"/>
                        </w:tcBorders>
                        <w:shd w:val="clear" w:color="auto" w:fill="8DB3E1"/>
                      </w:tcPr>
                      <w:p>
                        <w:pPr>
                          <w:pStyle w:val="TableParagraph"/>
                          <w:spacing w:line="243" w:lineRule="exact"/>
                          <w:ind w:left="84"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400" w:lineRule="atLeast" w:before="8"/>
                          <w:ind w:left="84" w:right="77"/>
                          <w:jc w:val="both"/>
                          <w:rPr>
                            <w:rFonts w:ascii="宋体" w:hAnsi="宋体" w:cs="宋体" w:eastAsia="宋体" w:hint="default"/>
                            <w:sz w:val="21"/>
                            <w:szCs w:val="21"/>
                          </w:rPr>
                        </w:pP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p>
                      <w:p>
                        <w:pPr>
                          <w:pStyle w:val="TableParagraph"/>
                          <w:spacing w:line="170" w:lineRule="exact"/>
                          <w:ind w:left="-15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1" w:lineRule="exact"/>
                          <w:ind w:left="84" w:right="0"/>
                          <w:jc w:val="both"/>
                          <w:rPr>
                            <w:rFonts w:ascii="宋体" w:hAnsi="宋体" w:cs="宋体" w:eastAsia="宋体" w:hint="default"/>
                            <w:sz w:val="21"/>
                            <w:szCs w:val="21"/>
                          </w:rPr>
                        </w:pPr>
                        <w:r>
                          <w:rPr>
                            <w:rFonts w:ascii="宋体" w:hAnsi="宋体" w:cs="宋体" w:eastAsia="宋体" w:hint="default"/>
                            <w:sz w:val="21"/>
                            <w:szCs w:val="21"/>
                          </w:rPr>
                          <w:t>单位领</w:t>
                        </w:r>
                      </w:p>
                      <w:p>
                        <w:pPr>
                          <w:pStyle w:val="TableParagraph"/>
                          <w:spacing w:line="240" w:lineRule="auto" w:before="133"/>
                          <w:ind w:left="84" w:right="0"/>
                          <w:jc w:val="both"/>
                          <w:rPr>
                            <w:rFonts w:ascii="宋体" w:hAnsi="宋体" w:cs="宋体" w:eastAsia="宋体" w:hint="default"/>
                            <w:sz w:val="21"/>
                            <w:szCs w:val="21"/>
                          </w:rPr>
                        </w:pPr>
                        <w:r>
                          <w:rPr>
                            <w:rFonts w:ascii="宋体" w:hAnsi="宋体" w:cs="宋体" w:eastAsia="宋体" w:hint="default"/>
                            <w:sz w:val="21"/>
                            <w:szCs w:val="21"/>
                          </w:rPr>
                          <w:t>取薪酬</w:t>
                        </w:r>
                      </w:p>
                    </w:tc>
                  </w:tr>
                  <w:tr>
                    <w:trPr>
                      <w:trHeight w:val="204" w:hRule="exact"/>
                    </w:trPr>
                    <w:tc>
                      <w:tcPr>
                        <w:tcW w:w="768" w:type="dxa"/>
                        <w:vMerge/>
                        <w:tcBorders>
                          <w:left w:val="single" w:sz="4" w:space="0" w:color="000000"/>
                          <w:right w:val="single" w:sz="4" w:space="0" w:color="000000"/>
                        </w:tcBorders>
                        <w:shd w:val="clear" w:color="auto" w:fill="8DB3E1"/>
                      </w:tcPr>
                      <w:p>
                        <w:pPr/>
                      </w:p>
                    </w:tc>
                    <w:tc>
                      <w:tcPr>
                        <w:tcW w:w="1039" w:type="dxa"/>
                        <w:vMerge/>
                        <w:tcBorders>
                          <w:left w:val="single" w:sz="4" w:space="0" w:color="000000"/>
                          <w:right w:val="single" w:sz="4" w:space="0" w:color="000000"/>
                        </w:tcBorders>
                        <w:shd w:val="clear" w:color="auto" w:fill="8DB3E1"/>
                      </w:tcPr>
                      <w:p>
                        <w:pPr/>
                      </w:p>
                    </w:tc>
                    <w:tc>
                      <w:tcPr>
                        <w:tcW w:w="521" w:type="dxa"/>
                        <w:vMerge/>
                        <w:tcBorders>
                          <w:left w:val="single" w:sz="4" w:space="0" w:color="000000"/>
                          <w:right w:val="single" w:sz="4" w:space="0" w:color="000000"/>
                        </w:tcBorders>
                        <w:shd w:val="clear" w:color="auto" w:fill="8DB3E1"/>
                      </w:tcPr>
                      <w:p>
                        <w:pPr/>
                      </w:p>
                    </w:tc>
                    <w:tc>
                      <w:tcPr>
                        <w:tcW w:w="521" w:type="dxa"/>
                        <w:vMerge/>
                        <w:tcBorders>
                          <w:left w:val="single" w:sz="4" w:space="0" w:color="000000"/>
                          <w:right w:val="single" w:sz="4" w:space="0" w:color="000000"/>
                        </w:tcBorders>
                        <w:shd w:val="clear" w:color="auto" w:fill="8DB3E1"/>
                      </w:tcPr>
                      <w:p>
                        <w:pPr/>
                      </w:p>
                    </w:tc>
                    <w:tc>
                      <w:tcPr>
                        <w:tcW w:w="826" w:type="dxa"/>
                        <w:vMerge/>
                        <w:tcBorders>
                          <w:left w:val="single" w:sz="4" w:space="0" w:color="000000"/>
                          <w:bottom w:val="nil" w:sz="6" w:space="0" w:color="auto"/>
                          <w:right w:val="single" w:sz="4" w:space="0" w:color="000000"/>
                        </w:tcBorders>
                        <w:shd w:val="clear" w:color="auto" w:fill="8DB3E1"/>
                      </w:tcPr>
                      <w:p>
                        <w:pPr/>
                      </w:p>
                    </w:tc>
                    <w:tc>
                      <w:tcPr>
                        <w:tcW w:w="850" w:type="dxa"/>
                        <w:vMerge/>
                        <w:tcBorders>
                          <w:left w:val="single" w:sz="4" w:space="0" w:color="000000"/>
                          <w:bottom w:val="nil" w:sz="6" w:space="0" w:color="auto"/>
                          <w:right w:val="single" w:sz="4" w:space="0" w:color="000000"/>
                        </w:tcBorders>
                        <w:shd w:val="clear" w:color="auto" w:fill="8DB3E1"/>
                      </w:tcPr>
                      <w:p>
                        <w:pPr/>
                      </w:p>
                    </w:tc>
                    <w:tc>
                      <w:tcPr>
                        <w:tcW w:w="994"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年初持股</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（万股）</w:t>
                        </w:r>
                      </w:p>
                    </w:tc>
                    <w:tc>
                      <w:tcPr>
                        <w:tcW w:w="991"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年末持股</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（万股）</w:t>
                        </w:r>
                      </w:p>
                    </w:tc>
                    <w:tc>
                      <w:tcPr>
                        <w:tcW w:w="850" w:type="dxa"/>
                        <w:vMerge/>
                        <w:tcBorders>
                          <w:left w:val="single" w:sz="4" w:space="0" w:color="000000"/>
                          <w:bottom w:val="nil" w:sz="6" w:space="0" w:color="auto"/>
                          <w:right w:val="single" w:sz="4" w:space="0" w:color="000000"/>
                        </w:tcBorders>
                        <w:shd w:val="clear" w:color="auto" w:fill="8DB3E1"/>
                      </w:tcPr>
                      <w:p>
                        <w:pPr/>
                      </w:p>
                    </w:tc>
                    <w:tc>
                      <w:tcPr>
                        <w:tcW w:w="1652"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40" w:lineRule="auto" w:before="133"/>
                          <w:ind w:left="86" w:right="0"/>
                          <w:jc w:val="left"/>
                          <w:rPr>
                            <w:rFonts w:ascii="宋体" w:hAnsi="宋体" w:cs="宋体" w:eastAsia="宋体" w:hint="default"/>
                            <w:sz w:val="21"/>
                            <w:szCs w:val="21"/>
                          </w:rPr>
                        </w:pPr>
                        <w:r>
                          <w:rPr>
                            <w:rFonts w:ascii="宋体" w:hAnsi="宋体" w:cs="宋体" w:eastAsia="宋体" w:hint="default"/>
                            <w:sz w:val="21"/>
                            <w:szCs w:val="21"/>
                          </w:rPr>
                          <w:t>领取的报酬总额</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（万元）（税前</w:t>
                        </w:r>
                      </w:p>
                    </w:tc>
                    <w:tc>
                      <w:tcPr>
                        <w:tcW w:w="806" w:type="dxa"/>
                        <w:vMerge/>
                        <w:tcBorders>
                          <w:left w:val="single" w:sz="4" w:space="0" w:color="000000"/>
                          <w:right w:val="single" w:sz="4" w:space="0" w:color="000000"/>
                        </w:tcBorders>
                        <w:shd w:val="clear" w:color="auto" w:fill="8DB3E1"/>
                      </w:tcPr>
                      <w:p>
                        <w:pPr/>
                      </w:p>
                    </w:tc>
                  </w:tr>
                  <w:tr>
                    <w:trPr>
                      <w:trHeight w:val="204" w:hRule="exact"/>
                    </w:trPr>
                    <w:tc>
                      <w:tcPr>
                        <w:tcW w:w="768" w:type="dxa"/>
                        <w:vMerge/>
                        <w:tcBorders>
                          <w:left w:val="single" w:sz="4" w:space="0" w:color="000000"/>
                          <w:bottom w:val="nil" w:sz="6" w:space="0" w:color="auto"/>
                          <w:right w:val="single" w:sz="4" w:space="0" w:color="000000"/>
                        </w:tcBorders>
                        <w:shd w:val="clear" w:color="auto" w:fill="8DB3E1"/>
                      </w:tcPr>
                      <w:p>
                        <w:pPr/>
                      </w:p>
                    </w:tc>
                    <w:tc>
                      <w:tcPr>
                        <w:tcW w:w="1039" w:type="dxa"/>
                        <w:vMerge/>
                        <w:tcBorders>
                          <w:left w:val="single" w:sz="4" w:space="0" w:color="000000"/>
                          <w:bottom w:val="nil" w:sz="6" w:space="0" w:color="auto"/>
                          <w:right w:val="single" w:sz="4" w:space="0" w:color="000000"/>
                        </w:tcBorders>
                        <w:shd w:val="clear" w:color="auto" w:fill="8DB3E1"/>
                      </w:tcPr>
                      <w:p>
                        <w:pPr/>
                      </w:p>
                    </w:tc>
                    <w:tc>
                      <w:tcPr>
                        <w:tcW w:w="521" w:type="dxa"/>
                        <w:vMerge/>
                        <w:tcBorders>
                          <w:left w:val="single" w:sz="4" w:space="0" w:color="000000"/>
                          <w:bottom w:val="nil" w:sz="6" w:space="0" w:color="auto"/>
                          <w:right w:val="single" w:sz="4" w:space="0" w:color="000000"/>
                        </w:tcBorders>
                        <w:shd w:val="clear" w:color="auto" w:fill="8DB3E1"/>
                      </w:tcPr>
                      <w:p>
                        <w:pPr/>
                      </w:p>
                    </w:tc>
                    <w:tc>
                      <w:tcPr>
                        <w:tcW w:w="521" w:type="dxa"/>
                        <w:vMerge/>
                        <w:tcBorders>
                          <w:left w:val="single" w:sz="4" w:space="0" w:color="000000"/>
                          <w:bottom w:val="nil" w:sz="6" w:space="0" w:color="auto"/>
                          <w:right w:val="single" w:sz="4" w:space="0" w:color="000000"/>
                        </w:tcBorders>
                        <w:shd w:val="clear" w:color="auto" w:fill="8DB3E1"/>
                      </w:tcPr>
                      <w:p>
                        <w:pPr/>
                      </w:p>
                    </w:tc>
                    <w:tc>
                      <w:tcPr>
                        <w:tcW w:w="826"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40" w:lineRule="auto" w:before="133"/>
                          <w:ind w:left="91"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850"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994" w:type="dxa"/>
                        <w:vMerge/>
                        <w:tcBorders>
                          <w:left w:val="single" w:sz="4" w:space="0" w:color="000000"/>
                          <w:right w:val="single" w:sz="4" w:space="0" w:color="000000"/>
                        </w:tcBorders>
                        <w:shd w:val="clear" w:color="auto" w:fill="8DB3E1"/>
                      </w:tcPr>
                      <w:p>
                        <w:pPr/>
                      </w:p>
                    </w:tc>
                    <w:tc>
                      <w:tcPr>
                        <w:tcW w:w="991" w:type="dxa"/>
                        <w:vMerge/>
                        <w:tcBorders>
                          <w:left w:val="single" w:sz="4" w:space="0" w:color="000000"/>
                          <w:right w:val="single" w:sz="4" w:space="0" w:color="000000"/>
                        </w:tcBorders>
                        <w:shd w:val="clear" w:color="auto" w:fill="8DB3E1"/>
                      </w:tcPr>
                      <w:p>
                        <w:pPr/>
                      </w:p>
                    </w:tc>
                    <w:tc>
                      <w:tcPr>
                        <w:tcW w:w="850" w:type="dxa"/>
                        <w:vMerge w:val="restart"/>
                        <w:tcBorders>
                          <w:top w:val="nil" w:sz="6" w:space="0" w:color="auto"/>
                          <w:left w:val="single" w:sz="4" w:space="0" w:color="000000"/>
                          <w:right w:val="single" w:sz="4" w:space="0" w:color="000000"/>
                        </w:tcBorders>
                        <w:shd w:val="clear" w:color="auto" w:fill="8DB3E1"/>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变动原</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c>
                      <w:tcPr>
                        <w:tcW w:w="1652" w:type="dxa"/>
                        <w:vMerge/>
                        <w:tcBorders>
                          <w:left w:val="single" w:sz="4" w:space="0" w:color="000000"/>
                          <w:right w:val="single" w:sz="4" w:space="0" w:color="000000"/>
                        </w:tcBorders>
                        <w:shd w:val="clear" w:color="auto" w:fill="8DB3E1"/>
                      </w:tcPr>
                      <w:p>
                        <w:pPr/>
                      </w:p>
                    </w:tc>
                    <w:tc>
                      <w:tcPr>
                        <w:tcW w:w="806" w:type="dxa"/>
                        <w:vMerge/>
                        <w:tcBorders>
                          <w:left w:val="single" w:sz="4" w:space="0" w:color="000000"/>
                          <w:right w:val="single" w:sz="4" w:space="0" w:color="000000"/>
                        </w:tcBorders>
                        <w:shd w:val="clear" w:color="auto" w:fill="8DB3E1"/>
                      </w:tcPr>
                      <w:p>
                        <w:pP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1039"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1"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826" w:type="dxa"/>
                        <w:vMerge/>
                        <w:tcBorders>
                          <w:left w:val="single" w:sz="4" w:space="0" w:color="000000"/>
                          <w:right w:val="single" w:sz="4" w:space="0" w:color="000000"/>
                        </w:tcBorders>
                        <w:shd w:val="clear" w:color="auto" w:fill="8DB3E1"/>
                      </w:tcPr>
                      <w:p>
                        <w:pPr/>
                      </w:p>
                    </w:tc>
                    <w:tc>
                      <w:tcPr>
                        <w:tcW w:w="850" w:type="dxa"/>
                        <w:vMerge/>
                        <w:tcBorders>
                          <w:left w:val="single" w:sz="4" w:space="0" w:color="000000"/>
                          <w:right w:val="single" w:sz="4" w:space="0" w:color="000000"/>
                        </w:tcBorders>
                        <w:shd w:val="clear" w:color="auto" w:fill="8DB3E1"/>
                      </w:tcPr>
                      <w:p>
                        <w:pPr/>
                      </w:p>
                    </w:tc>
                    <w:tc>
                      <w:tcPr>
                        <w:tcW w:w="994" w:type="dxa"/>
                        <w:vMerge/>
                        <w:tcBorders>
                          <w:left w:val="single" w:sz="4" w:space="0" w:color="000000"/>
                          <w:right w:val="single" w:sz="4" w:space="0" w:color="000000"/>
                        </w:tcBorders>
                        <w:shd w:val="clear" w:color="auto" w:fill="8DB3E1"/>
                      </w:tcPr>
                      <w:p>
                        <w:pPr/>
                      </w:p>
                    </w:tc>
                    <w:tc>
                      <w:tcPr>
                        <w:tcW w:w="991" w:type="dxa"/>
                        <w:vMerge/>
                        <w:tcBorders>
                          <w:left w:val="single" w:sz="4" w:space="0" w:color="000000"/>
                          <w:right w:val="single" w:sz="4" w:space="0" w:color="000000"/>
                        </w:tcBorders>
                        <w:shd w:val="clear" w:color="auto" w:fill="8DB3E1"/>
                      </w:tcPr>
                      <w:p>
                        <w:pPr/>
                      </w:p>
                    </w:tc>
                    <w:tc>
                      <w:tcPr>
                        <w:tcW w:w="850" w:type="dxa"/>
                        <w:vMerge/>
                        <w:tcBorders>
                          <w:left w:val="single" w:sz="4" w:space="0" w:color="000000"/>
                          <w:right w:val="single" w:sz="4" w:space="0" w:color="000000"/>
                        </w:tcBorders>
                        <w:shd w:val="clear" w:color="auto" w:fill="8DB3E1"/>
                      </w:tcPr>
                      <w:p>
                        <w:pPr/>
                      </w:p>
                    </w:tc>
                    <w:tc>
                      <w:tcPr>
                        <w:tcW w:w="1652" w:type="dxa"/>
                        <w:vMerge/>
                        <w:tcBorders>
                          <w:left w:val="single" w:sz="4" w:space="0" w:color="000000"/>
                          <w:right w:val="single" w:sz="4" w:space="0" w:color="000000"/>
                        </w:tcBorders>
                        <w:shd w:val="clear" w:color="auto" w:fill="8DB3E1"/>
                      </w:tcPr>
                      <w:p>
                        <w:pPr/>
                      </w:p>
                    </w:tc>
                    <w:tc>
                      <w:tcPr>
                        <w:tcW w:w="806" w:type="dxa"/>
                        <w:vMerge/>
                        <w:tcBorders>
                          <w:left w:val="single" w:sz="4" w:space="0" w:color="000000"/>
                          <w:right w:val="single" w:sz="4" w:space="0" w:color="000000"/>
                        </w:tcBorders>
                        <w:shd w:val="clear" w:color="auto" w:fill="8DB3E1"/>
                      </w:tcPr>
                      <w:p>
                        <w:pPr/>
                      </w:p>
                    </w:tc>
                  </w:tr>
                  <w:tr>
                    <w:trPr>
                      <w:trHeight w:val="206" w:hRule="exact"/>
                    </w:trPr>
                    <w:tc>
                      <w:tcPr>
                        <w:tcW w:w="768" w:type="dxa"/>
                        <w:vMerge w:val="restart"/>
                        <w:tcBorders>
                          <w:top w:val="nil" w:sz="6" w:space="0" w:color="auto"/>
                          <w:left w:val="single" w:sz="4" w:space="0" w:color="000000"/>
                          <w:right w:val="single" w:sz="4" w:space="0" w:color="000000"/>
                        </w:tcBorders>
                        <w:shd w:val="clear" w:color="auto" w:fill="8DB3E1"/>
                      </w:tcPr>
                      <w:p>
                        <w:pPr/>
                      </w:p>
                    </w:tc>
                    <w:tc>
                      <w:tcPr>
                        <w:tcW w:w="1039" w:type="dxa"/>
                        <w:vMerge w:val="restart"/>
                        <w:tcBorders>
                          <w:top w:val="nil" w:sz="6" w:space="0" w:color="auto"/>
                          <w:left w:val="single" w:sz="4" w:space="0" w:color="000000"/>
                          <w:right w:val="single" w:sz="4" w:space="0" w:color="000000"/>
                        </w:tcBorders>
                        <w:shd w:val="clear" w:color="auto" w:fill="8DB3E1"/>
                      </w:tcPr>
                      <w:p>
                        <w:pPr/>
                      </w:p>
                    </w:tc>
                    <w:tc>
                      <w:tcPr>
                        <w:tcW w:w="521" w:type="dxa"/>
                        <w:vMerge w:val="restart"/>
                        <w:tcBorders>
                          <w:top w:val="nil" w:sz="6" w:space="0" w:color="auto"/>
                          <w:left w:val="single" w:sz="4" w:space="0" w:color="000000"/>
                          <w:right w:val="single" w:sz="4" w:space="0" w:color="000000"/>
                        </w:tcBorders>
                        <w:shd w:val="clear" w:color="auto" w:fill="8DB3E1"/>
                      </w:tcPr>
                      <w:p>
                        <w:pPr/>
                      </w:p>
                    </w:tc>
                    <w:tc>
                      <w:tcPr>
                        <w:tcW w:w="521" w:type="dxa"/>
                        <w:vMerge w:val="restart"/>
                        <w:tcBorders>
                          <w:top w:val="nil" w:sz="6" w:space="0" w:color="auto"/>
                          <w:left w:val="single" w:sz="4" w:space="0" w:color="000000"/>
                          <w:right w:val="single" w:sz="4" w:space="0" w:color="000000"/>
                        </w:tcBorders>
                        <w:shd w:val="clear" w:color="auto" w:fill="8DB3E1"/>
                      </w:tcPr>
                      <w:p>
                        <w:pPr/>
                      </w:p>
                    </w:tc>
                    <w:tc>
                      <w:tcPr>
                        <w:tcW w:w="826" w:type="dxa"/>
                        <w:vMerge/>
                        <w:tcBorders>
                          <w:left w:val="single" w:sz="4" w:space="0" w:color="000000"/>
                          <w:bottom w:val="nil" w:sz="6" w:space="0" w:color="auto"/>
                          <w:right w:val="single" w:sz="4" w:space="0" w:color="000000"/>
                        </w:tcBorders>
                        <w:shd w:val="clear" w:color="auto" w:fill="8DB3E1"/>
                      </w:tcPr>
                      <w:p>
                        <w:pPr/>
                      </w:p>
                    </w:tc>
                    <w:tc>
                      <w:tcPr>
                        <w:tcW w:w="850" w:type="dxa"/>
                        <w:vMerge/>
                        <w:tcBorders>
                          <w:left w:val="single" w:sz="4" w:space="0" w:color="000000"/>
                          <w:bottom w:val="nil" w:sz="6" w:space="0" w:color="auto"/>
                          <w:right w:val="single" w:sz="4" w:space="0" w:color="000000"/>
                        </w:tcBorders>
                        <w:shd w:val="clear" w:color="auto" w:fill="8DB3E1"/>
                      </w:tcPr>
                      <w:p>
                        <w:pPr/>
                      </w:p>
                    </w:tc>
                    <w:tc>
                      <w:tcPr>
                        <w:tcW w:w="994" w:type="dxa"/>
                        <w:vMerge/>
                        <w:tcBorders>
                          <w:left w:val="single" w:sz="4" w:space="0" w:color="000000"/>
                          <w:right w:val="single" w:sz="4" w:space="0" w:color="000000"/>
                        </w:tcBorders>
                        <w:shd w:val="clear" w:color="auto" w:fill="8DB3E1"/>
                      </w:tcPr>
                      <w:p>
                        <w:pPr/>
                      </w:p>
                    </w:tc>
                    <w:tc>
                      <w:tcPr>
                        <w:tcW w:w="991" w:type="dxa"/>
                        <w:vMerge/>
                        <w:tcBorders>
                          <w:left w:val="single" w:sz="4" w:space="0" w:color="000000"/>
                          <w:right w:val="single" w:sz="4" w:space="0" w:color="000000"/>
                        </w:tcBorders>
                        <w:shd w:val="clear" w:color="auto" w:fill="8DB3E1"/>
                      </w:tcPr>
                      <w:p>
                        <w:pPr/>
                      </w:p>
                    </w:tc>
                    <w:tc>
                      <w:tcPr>
                        <w:tcW w:w="850" w:type="dxa"/>
                        <w:vMerge/>
                        <w:tcBorders>
                          <w:left w:val="single" w:sz="4" w:space="0" w:color="000000"/>
                          <w:bottom w:val="nil" w:sz="6" w:space="0" w:color="auto"/>
                          <w:right w:val="single" w:sz="4" w:space="0" w:color="000000"/>
                        </w:tcBorders>
                        <w:shd w:val="clear" w:color="auto" w:fill="8DB3E1"/>
                      </w:tcPr>
                      <w:p>
                        <w:pPr/>
                      </w:p>
                    </w:tc>
                    <w:tc>
                      <w:tcPr>
                        <w:tcW w:w="1652" w:type="dxa"/>
                        <w:vMerge/>
                        <w:tcBorders>
                          <w:left w:val="single" w:sz="4" w:space="0" w:color="000000"/>
                          <w:right w:val="single" w:sz="4" w:space="0" w:color="000000"/>
                        </w:tcBorders>
                        <w:shd w:val="clear" w:color="auto" w:fill="8DB3E1"/>
                      </w:tcPr>
                      <w:p>
                        <w:pPr/>
                      </w:p>
                    </w:tc>
                    <w:tc>
                      <w:tcPr>
                        <w:tcW w:w="806" w:type="dxa"/>
                        <w:vMerge/>
                        <w:tcBorders>
                          <w:left w:val="single" w:sz="4" w:space="0" w:color="000000"/>
                          <w:right w:val="single" w:sz="4" w:space="0" w:color="000000"/>
                        </w:tcBorders>
                        <w:shd w:val="clear" w:color="auto" w:fill="8DB3E1"/>
                      </w:tcPr>
                      <w:p>
                        <w:pPr/>
                      </w:p>
                    </w:tc>
                  </w:tr>
                  <w:tr>
                    <w:trPr>
                      <w:trHeight w:val="204" w:hRule="exact"/>
                    </w:trPr>
                    <w:tc>
                      <w:tcPr>
                        <w:tcW w:w="768" w:type="dxa"/>
                        <w:vMerge/>
                        <w:tcBorders>
                          <w:left w:val="single" w:sz="4" w:space="0" w:color="000000"/>
                          <w:right w:val="single" w:sz="4" w:space="0" w:color="000000"/>
                        </w:tcBorders>
                        <w:shd w:val="clear" w:color="auto" w:fill="8DB3E1"/>
                      </w:tcPr>
                      <w:p>
                        <w:pPr/>
                      </w:p>
                    </w:tc>
                    <w:tc>
                      <w:tcPr>
                        <w:tcW w:w="1039" w:type="dxa"/>
                        <w:vMerge/>
                        <w:tcBorders>
                          <w:left w:val="single" w:sz="4" w:space="0" w:color="000000"/>
                          <w:right w:val="single" w:sz="4" w:space="0" w:color="000000"/>
                        </w:tcBorders>
                        <w:shd w:val="clear" w:color="auto" w:fill="8DB3E1"/>
                      </w:tcPr>
                      <w:p>
                        <w:pPr/>
                      </w:p>
                    </w:tc>
                    <w:tc>
                      <w:tcPr>
                        <w:tcW w:w="521" w:type="dxa"/>
                        <w:vMerge/>
                        <w:tcBorders>
                          <w:left w:val="single" w:sz="4" w:space="0" w:color="000000"/>
                          <w:right w:val="single" w:sz="4" w:space="0" w:color="000000"/>
                        </w:tcBorders>
                        <w:shd w:val="clear" w:color="auto" w:fill="8DB3E1"/>
                      </w:tcPr>
                      <w:p>
                        <w:pPr/>
                      </w:p>
                    </w:tc>
                    <w:tc>
                      <w:tcPr>
                        <w:tcW w:w="521" w:type="dxa"/>
                        <w:vMerge/>
                        <w:tcBorders>
                          <w:left w:val="single" w:sz="4" w:space="0" w:color="000000"/>
                          <w:right w:val="single" w:sz="4" w:space="0" w:color="000000"/>
                        </w:tcBorders>
                        <w:shd w:val="clear" w:color="auto" w:fill="8DB3E1"/>
                      </w:tcPr>
                      <w:p>
                        <w:pPr/>
                      </w:p>
                    </w:tc>
                    <w:tc>
                      <w:tcPr>
                        <w:tcW w:w="826" w:type="dxa"/>
                        <w:vMerge w:val="restart"/>
                        <w:tcBorders>
                          <w:top w:val="nil" w:sz="6" w:space="0" w:color="auto"/>
                          <w:left w:val="single" w:sz="4" w:space="0" w:color="000000"/>
                          <w:right w:val="single" w:sz="4" w:space="0" w:color="000000"/>
                        </w:tcBorders>
                        <w:shd w:val="clear" w:color="auto" w:fill="8DB3E1"/>
                      </w:tcPr>
                      <w:p>
                        <w:pPr/>
                      </w:p>
                    </w:tc>
                    <w:tc>
                      <w:tcPr>
                        <w:tcW w:w="850" w:type="dxa"/>
                        <w:vMerge w:val="restart"/>
                        <w:tcBorders>
                          <w:top w:val="nil" w:sz="6" w:space="0" w:color="auto"/>
                          <w:left w:val="single" w:sz="4" w:space="0" w:color="000000"/>
                          <w:right w:val="single" w:sz="4" w:space="0" w:color="000000"/>
                        </w:tcBorders>
                        <w:shd w:val="clear" w:color="auto" w:fill="8DB3E1"/>
                      </w:tcPr>
                      <w:p>
                        <w:pPr/>
                      </w:p>
                    </w:tc>
                    <w:tc>
                      <w:tcPr>
                        <w:tcW w:w="994" w:type="dxa"/>
                        <w:vMerge/>
                        <w:tcBorders>
                          <w:left w:val="single" w:sz="4" w:space="0" w:color="000000"/>
                          <w:bottom w:val="nil" w:sz="6" w:space="0" w:color="auto"/>
                          <w:right w:val="single" w:sz="4" w:space="0" w:color="000000"/>
                        </w:tcBorders>
                        <w:shd w:val="clear" w:color="auto" w:fill="8DB3E1"/>
                      </w:tcPr>
                      <w:p>
                        <w:pPr/>
                      </w:p>
                    </w:tc>
                    <w:tc>
                      <w:tcPr>
                        <w:tcW w:w="991" w:type="dxa"/>
                        <w:vMerge/>
                        <w:tcBorders>
                          <w:left w:val="single" w:sz="4" w:space="0" w:color="000000"/>
                          <w:bottom w:val="nil" w:sz="6" w:space="0" w:color="auto"/>
                          <w:right w:val="single" w:sz="4" w:space="0" w:color="000000"/>
                        </w:tcBorders>
                        <w:shd w:val="clear" w:color="auto" w:fill="8DB3E1"/>
                      </w:tcPr>
                      <w:p>
                        <w:pPr/>
                      </w:p>
                    </w:tc>
                    <w:tc>
                      <w:tcPr>
                        <w:tcW w:w="850" w:type="dxa"/>
                        <w:vMerge w:val="restart"/>
                        <w:tcBorders>
                          <w:top w:val="nil" w:sz="6" w:space="0" w:color="auto"/>
                          <w:left w:val="single" w:sz="4" w:space="0" w:color="000000"/>
                          <w:right w:val="single" w:sz="4" w:space="0" w:color="000000"/>
                        </w:tcBorders>
                        <w:shd w:val="clear" w:color="auto" w:fill="8DB3E1"/>
                      </w:tcPr>
                      <w:p>
                        <w:pPr/>
                      </w:p>
                    </w:tc>
                    <w:tc>
                      <w:tcPr>
                        <w:tcW w:w="1652" w:type="dxa"/>
                        <w:vMerge/>
                        <w:tcBorders>
                          <w:left w:val="single" w:sz="4" w:space="0" w:color="000000"/>
                          <w:bottom w:val="nil" w:sz="6" w:space="0" w:color="auto"/>
                          <w:right w:val="single" w:sz="4" w:space="0" w:color="000000"/>
                        </w:tcBorders>
                        <w:shd w:val="clear" w:color="auto" w:fill="8DB3E1"/>
                      </w:tcPr>
                      <w:p>
                        <w:pPr/>
                      </w:p>
                    </w:tc>
                    <w:tc>
                      <w:tcPr>
                        <w:tcW w:w="806" w:type="dxa"/>
                        <w:vMerge/>
                        <w:tcBorders>
                          <w:left w:val="single" w:sz="4" w:space="0" w:color="000000"/>
                          <w:right w:val="single" w:sz="4" w:space="0" w:color="000000"/>
                        </w:tcBorders>
                        <w:shd w:val="clear" w:color="auto" w:fill="8DB3E1"/>
                      </w:tcPr>
                      <w:p>
                        <w:pPr/>
                      </w:p>
                    </w:tc>
                  </w:tr>
                  <w:tr>
                    <w:trPr>
                      <w:trHeight w:val="617" w:hRule="exact"/>
                    </w:trPr>
                    <w:tc>
                      <w:tcPr>
                        <w:tcW w:w="768" w:type="dxa"/>
                        <w:vMerge/>
                        <w:tcBorders>
                          <w:left w:val="single" w:sz="4" w:space="0" w:color="000000"/>
                          <w:bottom w:val="single" w:sz="4" w:space="0" w:color="000000"/>
                          <w:right w:val="single" w:sz="4" w:space="0" w:color="000000"/>
                        </w:tcBorders>
                        <w:shd w:val="clear" w:color="auto" w:fill="8DB3E1"/>
                      </w:tcPr>
                      <w:p>
                        <w:pPr/>
                      </w:p>
                    </w:tc>
                    <w:tc>
                      <w:tcPr>
                        <w:tcW w:w="1039" w:type="dxa"/>
                        <w:vMerge/>
                        <w:tcBorders>
                          <w:left w:val="single" w:sz="4" w:space="0" w:color="000000"/>
                          <w:bottom w:val="single" w:sz="4" w:space="0" w:color="000000"/>
                          <w:right w:val="single" w:sz="4" w:space="0" w:color="000000"/>
                        </w:tcBorders>
                        <w:shd w:val="clear" w:color="auto" w:fill="8DB3E1"/>
                      </w:tcPr>
                      <w:p>
                        <w:pPr/>
                      </w:p>
                    </w:tc>
                    <w:tc>
                      <w:tcPr>
                        <w:tcW w:w="521" w:type="dxa"/>
                        <w:vMerge/>
                        <w:tcBorders>
                          <w:left w:val="single" w:sz="4" w:space="0" w:color="000000"/>
                          <w:bottom w:val="single" w:sz="4" w:space="0" w:color="000000"/>
                          <w:right w:val="single" w:sz="4" w:space="0" w:color="000000"/>
                        </w:tcBorders>
                        <w:shd w:val="clear" w:color="auto" w:fill="8DB3E1"/>
                      </w:tcPr>
                      <w:p>
                        <w:pPr/>
                      </w:p>
                    </w:tc>
                    <w:tc>
                      <w:tcPr>
                        <w:tcW w:w="521" w:type="dxa"/>
                        <w:vMerge/>
                        <w:tcBorders>
                          <w:left w:val="single" w:sz="4" w:space="0" w:color="000000"/>
                          <w:bottom w:val="single" w:sz="4" w:space="0" w:color="000000"/>
                          <w:right w:val="single" w:sz="4" w:space="0" w:color="000000"/>
                        </w:tcBorders>
                        <w:shd w:val="clear" w:color="auto" w:fill="8DB3E1"/>
                      </w:tcPr>
                      <w:p>
                        <w:pPr/>
                      </w:p>
                    </w:tc>
                    <w:tc>
                      <w:tcPr>
                        <w:tcW w:w="826" w:type="dxa"/>
                        <w:vMerge/>
                        <w:tcBorders>
                          <w:left w:val="single" w:sz="4" w:space="0" w:color="000000"/>
                          <w:bottom w:val="single" w:sz="4" w:space="0" w:color="000000"/>
                          <w:right w:val="single" w:sz="4" w:space="0" w:color="000000"/>
                        </w:tcBorders>
                        <w:shd w:val="clear" w:color="auto" w:fill="8DB3E1"/>
                      </w:tcPr>
                      <w:p>
                        <w:pPr/>
                      </w:p>
                    </w:tc>
                    <w:tc>
                      <w:tcPr>
                        <w:tcW w:w="850" w:type="dxa"/>
                        <w:vMerge/>
                        <w:tcBorders>
                          <w:left w:val="single" w:sz="4" w:space="0" w:color="000000"/>
                          <w:bottom w:val="single" w:sz="4" w:space="0" w:color="000000"/>
                          <w:right w:val="single" w:sz="4" w:space="0" w:color="000000"/>
                        </w:tcBorders>
                        <w:shd w:val="clear" w:color="auto" w:fill="8DB3E1"/>
                      </w:tcPr>
                      <w:p>
                        <w:pPr/>
                      </w:p>
                    </w:tc>
                    <w:tc>
                      <w:tcPr>
                        <w:tcW w:w="994" w:type="dxa"/>
                        <w:tcBorders>
                          <w:top w:val="nil" w:sz="6" w:space="0" w:color="auto"/>
                          <w:left w:val="single" w:sz="4" w:space="0" w:color="000000"/>
                          <w:bottom w:val="single" w:sz="4" w:space="0" w:color="000000"/>
                          <w:right w:val="single" w:sz="4" w:space="0" w:color="000000"/>
                        </w:tcBorders>
                        <w:shd w:val="clear" w:color="auto" w:fill="8DB3E1"/>
                      </w:tcPr>
                      <w:p>
                        <w:pPr/>
                      </w:p>
                    </w:tc>
                    <w:tc>
                      <w:tcPr>
                        <w:tcW w:w="991" w:type="dxa"/>
                        <w:tcBorders>
                          <w:top w:val="nil" w:sz="6" w:space="0" w:color="auto"/>
                          <w:left w:val="single" w:sz="4" w:space="0" w:color="000000"/>
                          <w:bottom w:val="single" w:sz="4" w:space="0" w:color="000000"/>
                          <w:right w:val="single" w:sz="4" w:space="0" w:color="000000"/>
                        </w:tcBorders>
                        <w:shd w:val="clear" w:color="auto" w:fill="8DB3E1"/>
                      </w:tcPr>
                      <w:p>
                        <w:pPr/>
                      </w:p>
                    </w:tc>
                    <w:tc>
                      <w:tcPr>
                        <w:tcW w:w="850" w:type="dxa"/>
                        <w:vMerge/>
                        <w:tcBorders>
                          <w:left w:val="single" w:sz="4" w:space="0" w:color="000000"/>
                          <w:bottom w:val="single" w:sz="4" w:space="0" w:color="000000"/>
                          <w:right w:val="single" w:sz="4" w:space="0" w:color="000000"/>
                        </w:tcBorders>
                        <w:shd w:val="clear" w:color="auto" w:fill="8DB3E1"/>
                      </w:tcPr>
                      <w:p>
                        <w:pPr/>
                      </w:p>
                    </w:tc>
                    <w:tc>
                      <w:tcPr>
                        <w:tcW w:w="1652" w:type="dxa"/>
                        <w:tcBorders>
                          <w:top w:val="nil" w:sz="6" w:space="0" w:color="auto"/>
                          <w:left w:val="single" w:sz="4" w:space="0" w:color="000000"/>
                          <w:bottom w:val="single" w:sz="4" w:space="0" w:color="000000"/>
                          <w:right w:val="single" w:sz="4" w:space="0" w:color="000000"/>
                        </w:tcBorders>
                        <w:shd w:val="clear" w:color="auto" w:fill="8DB3E1"/>
                      </w:tcPr>
                      <w:p>
                        <w:pPr/>
                      </w:p>
                    </w:tc>
                    <w:tc>
                      <w:tcPr>
                        <w:tcW w:w="806" w:type="dxa"/>
                        <w:vMerge/>
                        <w:tcBorders>
                          <w:left w:val="single" w:sz="4" w:space="0" w:color="000000"/>
                          <w:bottom w:val="single" w:sz="4" w:space="0" w:color="000000"/>
                          <w:right w:val="single" w:sz="4" w:space="0" w:color="000000"/>
                        </w:tcBorders>
                        <w:shd w:val="clear" w:color="auto" w:fill="8DB3E1"/>
                      </w:tcPr>
                      <w:p>
                        <w:pPr/>
                      </w:p>
                    </w:tc>
                  </w:tr>
                  <w:tr>
                    <w:trPr>
                      <w:trHeight w:val="413"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355" w:lineRule="auto" w:before="170"/>
                          <w:ind w:left="297" w:right="36" w:hanging="262"/>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w:t>
                        </w:r>
                        <w:r>
                          <w:rPr>
                            <w:rFonts w:ascii="宋体" w:hAnsi="宋体" w:cs="宋体" w:eastAsia="宋体" w:hint="default"/>
                            <w:sz w:val="21"/>
                            <w:szCs w:val="21"/>
                          </w:rPr>
                          <w:t>董</w:t>
                        </w:r>
                        <w:r>
                          <w:rPr>
                            <w:rFonts w:ascii="宋体" w:hAnsi="宋体" w:cs="宋体" w:eastAsia="宋体" w:hint="default"/>
                            <w:spacing w:val="-103"/>
                            <w:sz w:val="21"/>
                            <w:szCs w:val="21"/>
                          </w:rPr>
                          <w:t> </w:t>
                        </w:r>
                        <w:r>
                          <w:rPr>
                            <w:rFonts w:ascii="宋体" w:hAnsi="宋体" w:cs="宋体" w:eastAsia="宋体" w:hint="default"/>
                            <w:sz w:val="21"/>
                            <w:szCs w:val="21"/>
                          </w:rPr>
                          <w:t>事长</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45</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6"/>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sz w:val="21"/>
                          </w:rPr>
                          <w:t>2115</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sz w:val="21"/>
                          </w:rPr>
                          <w:t>38,07</w:t>
                        </w: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18.3</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0"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刘祥</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3"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13"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355" w:lineRule="auto" w:before="170"/>
                          <w:ind w:left="297" w:right="36" w:hanging="262"/>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41</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705</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sz w:val="21"/>
                          </w:rPr>
                          <w:t>12,69</w:t>
                        </w: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36.4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江汉</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5"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13"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355" w:lineRule="auto" w:before="170"/>
                          <w:ind w:left="297" w:right="36" w:hanging="262"/>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49</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72</w:t>
                        </w: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45.4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汪洋</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3"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16"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355" w:lineRule="auto" w:before="173"/>
                          <w:ind w:left="297" w:right="36" w:hanging="262"/>
                          <w:jc w:val="left"/>
                          <w:rPr>
                            <w:rFonts w:ascii="宋体" w:hAnsi="宋体" w:cs="宋体" w:eastAsia="宋体" w:hint="default"/>
                            <w:sz w:val="21"/>
                            <w:szCs w:val="21"/>
                          </w:rPr>
                        </w:pPr>
                        <w:r>
                          <w:rPr>
                            <w:rFonts w:ascii="宋体" w:hAnsi="宋体" w:cs="宋体" w:eastAsia="宋体" w:hint="default"/>
                            <w:sz w:val="21"/>
                            <w:szCs w:val="21"/>
                          </w:rPr>
                          <w:t>总工程师</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41</w:t>
                        </w:r>
                      </w:p>
                    </w:tc>
                    <w:tc>
                      <w:tcPr>
                        <w:tcW w:w="826"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3"/>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72</w:t>
                        </w: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45.4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韦余红</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3"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15"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39</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5"/>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（董事津贴）</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是（注</w:t>
                        </w: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贾巍</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3"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13"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sz w:val="21"/>
                          </w:rPr>
                          <w:t>44</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6"/>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（董事津贴）</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1"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金毅</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413"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209" w:hRule="exact"/>
                    </w:trPr>
                    <w:tc>
                      <w:tcPr>
                        <w:tcW w:w="768" w:type="dxa"/>
                        <w:tcBorders>
                          <w:top w:val="single" w:sz="4" w:space="0" w:color="000000"/>
                          <w:left w:val="single" w:sz="4" w:space="0" w:color="000000"/>
                          <w:bottom w:val="nil" w:sz="6" w:space="0" w:color="auto"/>
                          <w:right w:val="single" w:sz="4" w:space="0" w:color="000000"/>
                        </w:tcBorders>
                        <w:shd w:val="clear" w:color="auto" w:fill="8DB3E1"/>
                      </w:tcPr>
                      <w:p>
                        <w:pPr/>
                      </w:p>
                    </w:tc>
                    <w:tc>
                      <w:tcPr>
                        <w:tcW w:w="1039" w:type="dxa"/>
                        <w:vMerge w:val="restart"/>
                        <w:tcBorders>
                          <w:top w:val="single" w:sz="4" w:space="0" w:color="000000"/>
                          <w:left w:val="single" w:sz="10" w:space="0" w:color="8DB3E1"/>
                          <w:right w:val="single" w:sz="4" w:space="0" w:color="000000"/>
                        </w:tcBorders>
                      </w:tcPr>
                      <w:p>
                        <w:pPr>
                          <w:pStyle w:val="TableParagraph"/>
                          <w:spacing w:line="240" w:lineRule="auto" w:before="170"/>
                          <w:ind w:left="8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0"/>
                          <w:ind w:left="14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0"/>
                          <w:ind w:left="148" w:right="0"/>
                          <w:jc w:val="left"/>
                          <w:rPr>
                            <w:rFonts w:ascii="宋体" w:hAnsi="宋体" w:cs="宋体" w:eastAsia="宋体" w:hint="default"/>
                            <w:sz w:val="21"/>
                            <w:szCs w:val="21"/>
                          </w:rPr>
                        </w:pPr>
                        <w:r>
                          <w:rPr>
                            <w:rFonts w:ascii="宋体"/>
                            <w:sz w:val="21"/>
                          </w:rPr>
                          <w:t>45</w:t>
                        </w:r>
                      </w:p>
                    </w:tc>
                    <w:tc>
                      <w:tcPr>
                        <w:tcW w:w="826" w:type="dxa"/>
                        <w:vMerge w:val="restart"/>
                        <w:tcBorders>
                          <w:top w:val="single" w:sz="4" w:space="0" w:color="000000"/>
                          <w:left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left="9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tc>
                    <w:tc>
                      <w:tcPr>
                        <w:tcW w:w="850" w:type="dxa"/>
                        <w:vMerge w:val="restart"/>
                        <w:tcBorders>
                          <w:top w:val="single" w:sz="4" w:space="0" w:color="000000"/>
                          <w:left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（董事津贴）</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768" w:type="dxa"/>
                        <w:tcBorders>
                          <w:top w:val="nil" w:sz="6" w:space="0" w:color="auto"/>
                          <w:left w:val="single" w:sz="4" w:space="0" w:color="000000"/>
                          <w:bottom w:val="nil" w:sz="6" w:space="0" w:color="auto"/>
                          <w:right w:val="single" w:sz="4" w:space="0" w:color="000000"/>
                        </w:tcBorders>
                        <w:shd w:val="clear" w:color="auto" w:fill="8DB3E1"/>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许映鹏</w:t>
                        </w:r>
                      </w:p>
                    </w:tc>
                    <w:tc>
                      <w:tcPr>
                        <w:tcW w:w="1039" w:type="dxa"/>
                        <w:vMerge/>
                        <w:tcBorders>
                          <w:left w:val="single" w:sz="10" w:space="0" w:color="8DB3E1"/>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211" w:hRule="exact"/>
                    </w:trPr>
                    <w:tc>
                      <w:tcPr>
                        <w:tcW w:w="768" w:type="dxa"/>
                        <w:tcBorders>
                          <w:top w:val="nil" w:sz="6" w:space="0" w:color="auto"/>
                          <w:left w:val="single" w:sz="4" w:space="0" w:color="000000"/>
                          <w:bottom w:val="single" w:sz="4" w:space="0" w:color="000000"/>
                          <w:right w:val="single" w:sz="4" w:space="0" w:color="000000"/>
                        </w:tcBorders>
                        <w:shd w:val="clear" w:color="auto" w:fill="8DB3E1"/>
                      </w:tcPr>
                      <w:p>
                        <w:pPr/>
                      </w:p>
                    </w:tc>
                    <w:tc>
                      <w:tcPr>
                        <w:tcW w:w="1039" w:type="dxa"/>
                        <w:vMerge/>
                        <w:tcBorders>
                          <w:left w:val="single" w:sz="10" w:space="0" w:color="8DB3E1"/>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0" w:footer="1195" w:top="1400" w:bottom="1380" w:left="940" w:right="860"/>
        </w:sectPr>
      </w:pP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780"/>
        <w:gridCol w:w="1039"/>
        <w:gridCol w:w="521"/>
        <w:gridCol w:w="521"/>
        <w:gridCol w:w="826"/>
        <w:gridCol w:w="850"/>
        <w:gridCol w:w="994"/>
        <w:gridCol w:w="991"/>
        <w:gridCol w:w="850"/>
        <w:gridCol w:w="1652"/>
        <w:gridCol w:w="806"/>
      </w:tblGrid>
      <w:tr>
        <w:trPr>
          <w:trHeight w:val="418"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236"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李建辉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（董事津贴）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36"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刘永开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5"/>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（董事津贴）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37"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李林杰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410" w:right="89" w:hanging="315"/>
              <w:jc w:val="left"/>
              <w:rPr>
                <w:rFonts w:ascii="宋体" w:hAnsi="宋体" w:cs="宋体" w:eastAsia="宋体" w:hint="default"/>
                <w:sz w:val="21"/>
                <w:szCs w:val="21"/>
              </w:rPr>
            </w:pPr>
            <w:r>
              <w:rPr>
                <w:rFonts w:ascii="宋体" w:hAnsi="宋体" w:cs="宋体" w:eastAsia="宋体" w:hint="default"/>
                <w:sz w:val="21"/>
                <w:szCs w:val="21"/>
              </w:rPr>
              <w:t>监事会主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5"/>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3" w:right="0"/>
              <w:jc w:val="left"/>
              <w:rPr>
                <w:rFonts w:ascii="宋体" w:hAnsi="宋体" w:cs="宋体" w:eastAsia="宋体" w:hint="default"/>
                <w:sz w:val="21"/>
                <w:szCs w:val="21"/>
              </w:rPr>
            </w:pPr>
            <w:r>
              <w:rPr>
                <w:rFonts w:ascii="宋体"/>
                <w:sz w:val="21"/>
              </w:rPr>
              <w:t>90</w:t>
            </w: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17.2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36"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栾承岚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1" w:right="0"/>
              <w:jc w:val="left"/>
              <w:rPr>
                <w:rFonts w:ascii="宋体" w:hAnsi="宋体" w:cs="宋体" w:eastAsia="宋体" w:hint="default"/>
                <w:sz w:val="21"/>
                <w:szCs w:val="21"/>
              </w:rPr>
            </w:pPr>
            <w:r>
              <w:rPr>
                <w:rFonts w:ascii="宋体"/>
                <w:sz w:val="21"/>
              </w:rPr>
              <w:t>108</w:t>
            </w: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8.3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34"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杨星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27.5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36" w:hRule="exact"/>
        </w:trPr>
        <w:tc>
          <w:tcPr>
            <w:tcW w:w="780"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2"/>
              <w:ind w:left="199" w:right="17" w:hanging="176"/>
              <w:jc w:val="left"/>
              <w:rPr>
                <w:rFonts w:ascii="宋体" w:hAnsi="宋体" w:cs="宋体" w:eastAsia="宋体" w:hint="default"/>
                <w:sz w:val="21"/>
                <w:szCs w:val="21"/>
              </w:rPr>
            </w:pPr>
            <w:r>
              <w:rPr>
                <w:rFonts w:ascii="宋体" w:hAnsi="宋体" w:cs="宋体" w:eastAsia="宋体" w:hint="default"/>
                <w:spacing w:val="-15"/>
                <w:sz w:val="21"/>
                <w:szCs w:val="21"/>
              </w:rPr>
              <w:t>董秘、财务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负责人</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4</w:t>
            </w:r>
          </w:p>
          <w:p>
            <w:pPr>
              <w:pStyle w:val="TableParagraph"/>
              <w:spacing w:line="240" w:lineRule="auto" w:before="133"/>
              <w:ind w:left="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3" w:right="0"/>
              <w:jc w:val="left"/>
              <w:rPr>
                <w:rFonts w:ascii="宋体" w:hAnsi="宋体" w:cs="宋体" w:eastAsia="宋体" w:hint="default"/>
                <w:sz w:val="21"/>
                <w:szCs w:val="21"/>
              </w:rPr>
            </w:pPr>
            <w:r>
              <w:rPr>
                <w:rFonts w:ascii="宋体"/>
                <w:sz w:val="21"/>
              </w:rPr>
              <w:t>72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23.9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355" w:lineRule="auto" w:before="26"/>
        <w:ind w:left="880" w:right="864"/>
        <w:jc w:val="left"/>
      </w:pPr>
      <w:r>
        <w:rPr>
          <w:spacing w:val="-6"/>
        </w:rPr>
        <w:t>（二）董事、监事、高级管理人员最近</w:t>
      </w:r>
      <w:r>
        <w:rPr>
          <w:spacing w:val="-58"/>
        </w:rPr>
        <w:t> </w:t>
      </w:r>
      <w:r>
        <w:rPr>
          <w:rFonts w:ascii="宋体" w:hAnsi="宋体" w:cs="宋体" w:eastAsia="宋体" w:hint="default"/>
        </w:rPr>
        <w:t>5</w:t>
      </w:r>
      <w:r>
        <w:rPr>
          <w:rFonts w:ascii="宋体" w:hAnsi="宋体" w:cs="宋体" w:eastAsia="宋体" w:hint="default"/>
          <w:spacing w:val="-58"/>
        </w:rPr>
        <w:t> </w:t>
      </w:r>
      <w:r>
        <w:rPr/>
        <w:t>年的主要工作经历和在除股东单位外的 其他单位的任职或兼职情况</w:t>
      </w:r>
    </w:p>
    <w:p>
      <w:pPr>
        <w:spacing w:line="240" w:lineRule="auto" w:before="4"/>
        <w:rPr>
          <w:rFonts w:ascii="宋体" w:hAnsi="宋体" w:cs="宋体" w:eastAsia="宋体" w:hint="default"/>
          <w:sz w:val="24"/>
          <w:szCs w:val="24"/>
        </w:rPr>
      </w:pPr>
    </w:p>
    <w:p>
      <w:pPr>
        <w:pStyle w:val="BodyText"/>
        <w:spacing w:line="240" w:lineRule="auto"/>
        <w:ind w:left="880" w:right="1633"/>
        <w:jc w:val="left"/>
      </w:pPr>
      <w:r>
        <w:rPr>
          <w:rFonts w:ascii="宋体" w:hAnsi="宋体" w:cs="宋体" w:eastAsia="宋体" w:hint="default"/>
        </w:rPr>
        <w:t>1</w:t>
      </w:r>
      <w:r>
        <w:rPr/>
        <w:t>、董事会成员简介</w:t>
      </w:r>
    </w:p>
    <w:p>
      <w:pPr>
        <w:spacing w:line="240" w:lineRule="auto" w:before="13"/>
        <w:rPr>
          <w:rFonts w:ascii="宋体" w:hAnsi="宋体" w:cs="宋体" w:eastAsia="宋体" w:hint="default"/>
          <w:sz w:val="33"/>
          <w:szCs w:val="33"/>
        </w:rPr>
      </w:pPr>
    </w:p>
    <w:p>
      <w:pPr>
        <w:pStyle w:val="BodyText"/>
        <w:spacing w:line="357" w:lineRule="auto"/>
        <w:ind w:left="880" w:right="736" w:firstLine="479"/>
        <w:jc w:val="left"/>
      </w:pPr>
      <w:r>
        <w:rPr/>
        <w:t>刘祥，男，</w:t>
      </w:r>
      <w:r>
        <w:rPr>
          <w:rFonts w:ascii="宋体" w:hAnsi="宋体" w:cs="宋体" w:eastAsia="宋体" w:hint="default"/>
        </w:rPr>
        <w:t>45</w:t>
      </w:r>
      <w:r>
        <w:rPr>
          <w:rFonts w:ascii="宋体" w:hAnsi="宋体" w:cs="宋体" w:eastAsia="宋体" w:hint="default"/>
          <w:spacing w:val="-90"/>
        </w:rPr>
        <w:t> </w:t>
      </w:r>
      <w:r>
        <w:rPr/>
        <w:t>岁，中国国籍，无境外居留权，毕业于东南大学，本科学历， 现任本公司董事长兼总经理。</w:t>
      </w:r>
      <w:r>
        <w:rPr>
          <w:rFonts w:ascii="宋体" w:hAnsi="宋体" w:cs="宋体" w:eastAsia="宋体" w:hint="default"/>
        </w:rPr>
        <w:t>1989</w:t>
      </w:r>
      <w:r>
        <w:rPr>
          <w:rFonts w:ascii="宋体" w:hAnsi="宋体" w:cs="宋体" w:eastAsia="宋体" w:hint="default"/>
          <w:spacing w:val="-67"/>
        </w:rPr>
        <w:t> </w:t>
      </w:r>
      <w:r>
        <w:rPr/>
        <w:t>年至</w:t>
      </w:r>
      <w:r>
        <w:rPr>
          <w:spacing w:val="-67"/>
        </w:rPr>
        <w:t> </w:t>
      </w:r>
      <w:r>
        <w:rPr>
          <w:rFonts w:ascii="宋体" w:hAnsi="宋体" w:cs="宋体" w:eastAsia="宋体" w:hint="default"/>
        </w:rPr>
        <w:t>1993</w:t>
      </w:r>
      <w:r>
        <w:rPr>
          <w:rFonts w:ascii="宋体" w:hAnsi="宋体" w:cs="宋体" w:eastAsia="宋体" w:hint="default"/>
          <w:spacing w:val="-67"/>
        </w:rPr>
        <w:t> </w:t>
      </w:r>
      <w:r>
        <w:rPr/>
        <w:t>年就职于中国科学院空间科学与应 用研究中心，从事通讯设备研究工作。</w:t>
      </w:r>
      <w:r>
        <w:rPr>
          <w:rFonts w:ascii="宋体" w:hAnsi="宋体" w:cs="宋体" w:eastAsia="宋体" w:hint="default"/>
        </w:rPr>
        <w:t>2001</w:t>
      </w:r>
      <w:r>
        <w:rPr>
          <w:rFonts w:ascii="宋体" w:hAnsi="宋体" w:cs="宋体" w:eastAsia="宋体" w:hint="default"/>
          <w:spacing w:val="-90"/>
        </w:rPr>
        <w:t> </w:t>
      </w:r>
      <w:r>
        <w:rPr/>
        <w:t>年创建深圳市新国都技术有限公司。 </w:t>
      </w:r>
      <w:r>
        <w:rPr>
          <w:spacing w:val="-3"/>
        </w:rPr>
        <w:t>现兼任肇庆市好易联网络有限公司董事，深圳市奥格立电子科技有限公司执行董</w:t>
      </w:r>
      <w:r>
        <w:rPr>
          <w:spacing w:val="-110"/>
        </w:rPr>
        <w:t> </w:t>
      </w:r>
      <w:r>
        <w:rPr>
          <w:spacing w:val="-110"/>
        </w:rPr>
      </w:r>
      <w:r>
        <w:rPr>
          <w:spacing w:val="-3"/>
        </w:rPr>
        <w:t>事，深圳市泰德信实业有限公司董事，深圳市敏思达技术有限公司董事，陕西炼</w:t>
      </w:r>
      <w:r>
        <w:rPr>
          <w:spacing w:val="-111"/>
        </w:rPr>
        <w:t> </w:t>
      </w:r>
      <w:r>
        <w:rPr>
          <w:spacing w:val="-111"/>
        </w:rPr>
      </w:r>
      <w:r>
        <w:rPr/>
        <w:t>石矿业有限公司董事。</w:t>
      </w:r>
    </w:p>
    <w:p>
      <w:pPr>
        <w:pStyle w:val="BodyText"/>
        <w:spacing w:line="240" w:lineRule="auto" w:before="34"/>
        <w:ind w:left="1360" w:right="736"/>
        <w:jc w:val="left"/>
      </w:pPr>
      <w:r>
        <w:rPr/>
        <w:t>江汉，男，</w:t>
      </w:r>
      <w:r>
        <w:rPr>
          <w:rFonts w:ascii="宋体" w:hAnsi="宋体" w:cs="宋体" w:eastAsia="宋体" w:hint="default"/>
        </w:rPr>
        <w:t>41</w:t>
      </w:r>
      <w:r>
        <w:rPr>
          <w:rFonts w:ascii="宋体" w:hAnsi="宋体" w:cs="宋体" w:eastAsia="宋体" w:hint="default"/>
          <w:spacing w:val="-93"/>
        </w:rPr>
        <w:t> </w:t>
      </w:r>
      <w:r>
        <w:rPr/>
        <w:t>岁，中国国籍，无境外居留权，工商管理硕士（</w:t>
      </w:r>
      <w:r>
        <w:rPr>
          <w:rFonts w:ascii="宋体" w:hAnsi="宋体" w:cs="宋体" w:eastAsia="宋体" w:hint="default"/>
        </w:rPr>
        <w:t>MBA</w:t>
      </w:r>
      <w:r>
        <w:rPr/>
        <w:t>），现任</w:t>
      </w:r>
    </w:p>
    <w:p>
      <w:pPr>
        <w:spacing w:after="0" w:line="240" w:lineRule="auto"/>
        <w:jc w:val="left"/>
        <w:sectPr>
          <w:pgSz w:w="11910" w:h="16840"/>
          <w:pgMar w:header="0" w:footer="1195" w:top="1340" w:bottom="1380" w:left="920" w:right="920"/>
        </w:sectPr>
      </w:pPr>
    </w:p>
    <w:p>
      <w:pPr>
        <w:pStyle w:val="BodyText"/>
        <w:spacing w:line="357" w:lineRule="auto" w:before="1"/>
        <w:ind w:right="237"/>
        <w:jc w:val="both"/>
      </w:pPr>
      <w:r>
        <w:rPr>
          <w:spacing w:val="-3"/>
        </w:rPr>
        <w:t>本公司董事兼副总经理。曾任深圳市泽众生物技术有限公司销售部经理、深圳市</w:t>
      </w:r>
      <w:r>
        <w:rPr>
          <w:spacing w:val="-111"/>
        </w:rPr>
        <w:t> </w:t>
      </w:r>
      <w:r>
        <w:rPr>
          <w:spacing w:val="-111"/>
        </w:rPr>
      </w:r>
      <w:r>
        <w:rPr>
          <w:spacing w:val="-3"/>
        </w:rPr>
        <w:t>奥格立电子科技有限公司董事兼副总经理。现兼任肇庆市好易联网络有限公司监</w:t>
      </w:r>
      <w:r>
        <w:rPr>
          <w:spacing w:val="-109"/>
        </w:rPr>
        <w:t> </w:t>
      </w:r>
      <w:r>
        <w:rPr>
          <w:spacing w:val="-109"/>
        </w:rPr>
      </w:r>
      <w:r>
        <w:rPr/>
        <w:t>事，深圳市泰德信实业有限公司董事（法定代表人）。</w:t>
      </w:r>
    </w:p>
    <w:p>
      <w:pPr>
        <w:pStyle w:val="BodyText"/>
        <w:spacing w:line="357" w:lineRule="auto" w:before="36"/>
        <w:ind w:right="237" w:firstLine="479"/>
        <w:jc w:val="both"/>
      </w:pPr>
      <w:r>
        <w:rPr/>
        <w:t>汪洋，男，</w:t>
      </w:r>
      <w:r>
        <w:rPr>
          <w:rFonts w:ascii="宋体" w:hAnsi="宋体" w:cs="宋体" w:eastAsia="宋体" w:hint="default"/>
        </w:rPr>
        <w:t>45</w:t>
      </w:r>
      <w:r>
        <w:rPr>
          <w:rFonts w:ascii="宋体" w:hAnsi="宋体" w:cs="宋体" w:eastAsia="宋体" w:hint="default"/>
          <w:spacing w:val="21"/>
        </w:rPr>
        <w:t> </w:t>
      </w:r>
      <w:r>
        <w:rPr/>
        <w:t>岁，中国国籍，无境外居留权，本科学历，现任本公司董事 </w:t>
      </w:r>
      <w:r>
        <w:rPr>
          <w:spacing w:val="-3"/>
        </w:rPr>
        <w:t>兼副总经理。曾任安徽省蚌埠市纺织厂办公室主任、深圳市通讯股份有限公司贸</w:t>
      </w:r>
      <w:r>
        <w:rPr>
          <w:spacing w:val="-111"/>
        </w:rPr>
        <w:t> </w:t>
      </w:r>
      <w:r>
        <w:rPr>
          <w:spacing w:val="-111"/>
        </w:rPr>
      </w:r>
      <w:r>
        <w:rPr>
          <w:spacing w:val="-3"/>
        </w:rPr>
        <w:t>易部总经理、海南省君洋科技有限公司董事长兼总经理，深圳市奥格立电子科技</w:t>
      </w:r>
      <w:r>
        <w:rPr>
          <w:spacing w:val="-111"/>
        </w:rPr>
        <w:t> </w:t>
      </w:r>
      <w:r>
        <w:rPr>
          <w:spacing w:val="-111"/>
        </w:rPr>
      </w:r>
      <w:r>
        <w:rPr/>
        <w:t>有限公司市场部经理。</w:t>
      </w:r>
    </w:p>
    <w:p>
      <w:pPr>
        <w:pStyle w:val="BodyText"/>
        <w:spacing w:line="357" w:lineRule="auto" w:before="37"/>
        <w:ind w:right="236" w:firstLine="479"/>
        <w:jc w:val="both"/>
      </w:pPr>
      <w:r>
        <w:rPr/>
        <w:t>韦余红，男，</w:t>
      </w:r>
      <w:r>
        <w:rPr>
          <w:rFonts w:ascii="宋体" w:hAnsi="宋体" w:cs="宋体" w:eastAsia="宋体" w:hint="default"/>
        </w:rPr>
        <w:t>43</w:t>
      </w:r>
      <w:r>
        <w:rPr>
          <w:rFonts w:ascii="宋体" w:hAnsi="宋体" w:cs="宋体" w:eastAsia="宋体" w:hint="default"/>
          <w:spacing w:val="20"/>
        </w:rPr>
        <w:t> </w:t>
      </w:r>
      <w:r>
        <w:rPr/>
        <w:t>岁，中国国籍，无境外居留权，研究生学历，现任本公司 </w:t>
      </w:r>
      <w:r>
        <w:rPr>
          <w:spacing w:val="-3"/>
        </w:rPr>
        <w:t>董事兼总工程师。曾任中国科健股份有限公司项目经理、深圳市奥格立电子科技</w:t>
      </w:r>
      <w:r>
        <w:rPr>
          <w:spacing w:val="-111"/>
        </w:rPr>
        <w:t> </w:t>
      </w:r>
      <w:r>
        <w:rPr>
          <w:spacing w:val="-111"/>
        </w:rPr>
      </w:r>
      <w:r>
        <w:rPr/>
        <w:t>有限公司研发部经理。</w:t>
      </w:r>
      <w:r>
        <w:rPr>
          <w:rFonts w:ascii="宋体" w:hAnsi="宋体" w:cs="宋体" w:eastAsia="宋体" w:hint="default"/>
        </w:rPr>
        <w:t>2001</w:t>
      </w:r>
      <w:r>
        <w:rPr>
          <w:rFonts w:ascii="宋体" w:hAnsi="宋体" w:cs="宋体" w:eastAsia="宋体" w:hint="default"/>
          <w:spacing w:val="-32"/>
        </w:rPr>
        <w:t> </w:t>
      </w:r>
      <w:r>
        <w:rPr/>
        <w:t>年迄今在公司工作，负责</w:t>
      </w:r>
      <w:r>
        <w:rPr>
          <w:spacing w:val="-31"/>
        </w:rPr>
        <w:t> </w:t>
      </w:r>
      <w:r>
        <w:rPr>
          <w:rFonts w:ascii="宋体" w:hAnsi="宋体" w:cs="宋体" w:eastAsia="宋体" w:hint="default"/>
        </w:rPr>
        <w:t>POS</w:t>
      </w:r>
      <w:r>
        <w:rPr>
          <w:rFonts w:ascii="宋体" w:hAnsi="宋体" w:cs="宋体" w:eastAsia="宋体" w:hint="default"/>
          <w:spacing w:val="-31"/>
        </w:rPr>
        <w:t> </w:t>
      </w:r>
      <w:r>
        <w:rPr/>
        <w:t>机终端产品的研发工 作，先后主持并完成了</w:t>
      </w:r>
      <w:r>
        <w:rPr>
          <w:spacing w:val="17"/>
        </w:rPr>
        <w:t> </w:t>
      </w:r>
      <w:r>
        <w:rPr>
          <w:rFonts w:ascii="宋体" w:hAnsi="宋体" w:cs="宋体" w:eastAsia="宋体" w:hint="default"/>
        </w:rPr>
        <w:t>K301FZ</w:t>
      </w:r>
      <w:r>
        <w:rPr/>
        <w:t>，</w:t>
      </w:r>
      <w:r>
        <w:rPr>
          <w:rFonts w:ascii="宋体" w:hAnsi="宋体" w:cs="宋体" w:eastAsia="宋体" w:hint="default"/>
        </w:rPr>
        <w:t>K350</w:t>
      </w:r>
      <w:r>
        <w:rPr/>
        <w:t>，</w:t>
      </w:r>
      <w:r>
        <w:rPr>
          <w:rFonts w:ascii="宋体" w:hAnsi="宋体" w:cs="宋体" w:eastAsia="宋体" w:hint="default"/>
        </w:rPr>
        <w:t>K360</w:t>
      </w:r>
      <w:r>
        <w:rPr/>
        <w:t>，</w:t>
      </w:r>
      <w:r>
        <w:rPr>
          <w:rFonts w:ascii="宋体" w:hAnsi="宋体" w:cs="宋体" w:eastAsia="宋体" w:hint="default"/>
        </w:rPr>
        <w:t>K370</w:t>
      </w:r>
      <w:r>
        <w:rPr/>
        <w:t>，</w:t>
      </w:r>
      <w:r>
        <w:rPr>
          <w:rFonts w:ascii="宋体" w:hAnsi="宋体" w:cs="宋体" w:eastAsia="宋体" w:hint="default"/>
        </w:rPr>
        <w:t>K380</w:t>
      </w:r>
      <w:r>
        <w:rPr/>
        <w:t>，</w:t>
      </w:r>
      <w:r>
        <w:rPr>
          <w:rFonts w:ascii="宋体" w:hAnsi="宋体" w:cs="宋体" w:eastAsia="宋体" w:hint="default"/>
        </w:rPr>
        <w:t>K390</w:t>
      </w:r>
      <w:r>
        <w:rPr/>
        <w:t>，</w:t>
      </w:r>
      <w:r>
        <w:rPr>
          <w:rFonts w:ascii="宋体" w:hAnsi="宋体" w:cs="宋体" w:eastAsia="宋体" w:hint="default"/>
        </w:rPr>
        <w:t>K501</w:t>
      </w:r>
      <w:r>
        <w:rPr/>
        <w:t>，</w:t>
      </w:r>
      <w:r>
        <w:rPr>
          <w:rFonts w:ascii="宋体" w:hAnsi="宋体" w:cs="宋体" w:eastAsia="宋体" w:hint="default"/>
        </w:rPr>
        <w:t>K320 </w:t>
      </w:r>
      <w:r>
        <w:rPr/>
        <w:t>等公司主要产品的研发。</w:t>
      </w:r>
    </w:p>
    <w:p>
      <w:pPr>
        <w:pStyle w:val="BodyText"/>
        <w:spacing w:line="357" w:lineRule="auto" w:before="34"/>
        <w:ind w:right="117" w:firstLine="479"/>
        <w:jc w:val="both"/>
      </w:pPr>
      <w:r>
        <w:rPr/>
        <w:t>贾巍，女，</w:t>
      </w:r>
      <w:r>
        <w:rPr>
          <w:rFonts w:ascii="宋体" w:hAnsi="宋体" w:cs="宋体" w:eastAsia="宋体" w:hint="default"/>
        </w:rPr>
        <w:t>39</w:t>
      </w:r>
      <w:r>
        <w:rPr>
          <w:rFonts w:ascii="宋体" w:hAnsi="宋体" w:cs="宋体" w:eastAsia="宋体" w:hint="default"/>
          <w:spacing w:val="12"/>
        </w:rPr>
        <w:t> </w:t>
      </w:r>
      <w:r>
        <w:rPr/>
        <w:t>岁，中国国籍，无境外居留权，硕士学历，中国注册会计师 </w:t>
      </w:r>
      <w:r>
        <w:rPr>
          <w:spacing w:val="-3"/>
        </w:rPr>
        <w:t>协会非执业会员，现任本公司董事兼审计委员会委员。曾就职于中国电信广东分</w:t>
      </w:r>
      <w:r>
        <w:rPr>
          <w:spacing w:val="-111"/>
        </w:rPr>
        <w:t> </w:t>
      </w:r>
      <w:r>
        <w:rPr>
          <w:spacing w:val="-111"/>
        </w:rPr>
      </w:r>
      <w:r>
        <w:rPr/>
        <w:t>公司、世纪龙信息网络有限公司、深圳电信公司；</w:t>
      </w:r>
      <w:r>
        <w:rPr>
          <w:rFonts w:ascii="宋体" w:hAnsi="宋体" w:cs="宋体" w:eastAsia="宋体" w:hint="default"/>
        </w:rPr>
        <w:t>2007 </w:t>
      </w:r>
      <w:r>
        <w:rPr/>
        <w:t>年迄今，就职于深圳市</w:t>
      </w:r>
      <w:r>
        <w:rPr>
          <w:spacing w:val="-101"/>
        </w:rPr>
        <w:t> </w:t>
      </w:r>
      <w:r>
        <w:rPr>
          <w:spacing w:val="-101"/>
        </w:rPr>
      </w:r>
      <w:r>
        <w:rPr>
          <w:spacing w:val="-6"/>
        </w:rPr>
        <w:t>创新投资集团有限公司，任投资经理，兼任深圳市兆驰多媒体股份有限公司监事。</w:t>
      </w:r>
    </w:p>
    <w:p>
      <w:pPr>
        <w:pStyle w:val="BodyText"/>
        <w:spacing w:line="357" w:lineRule="auto" w:before="36"/>
        <w:ind w:right="236" w:firstLine="479"/>
        <w:jc w:val="both"/>
      </w:pPr>
      <w:r>
        <w:rPr/>
        <w:t>金毅，男， </w:t>
      </w:r>
      <w:r>
        <w:rPr>
          <w:rFonts w:ascii="宋体" w:hAnsi="宋体" w:cs="宋体" w:eastAsia="宋体" w:hint="default"/>
        </w:rPr>
        <w:t>44</w:t>
      </w:r>
      <w:r>
        <w:rPr>
          <w:rFonts w:ascii="宋体" w:hAnsi="宋体" w:cs="宋体" w:eastAsia="宋体" w:hint="default"/>
          <w:spacing w:val="-95"/>
        </w:rPr>
        <w:t> </w:t>
      </w:r>
      <w:r>
        <w:rPr/>
        <w:t>岁，中国国籍，无境外居留权，本科学历，现任本公司独立 </w:t>
      </w:r>
      <w:r>
        <w:rPr>
          <w:spacing w:val="-3"/>
        </w:rPr>
        <w:t>董事兼审计委员会委员。曾任职于中国新技术创业投资公司上海证券业务部负责</w:t>
      </w:r>
      <w:r>
        <w:rPr>
          <w:spacing w:val="-109"/>
        </w:rPr>
        <w:t> </w:t>
      </w:r>
      <w:r>
        <w:rPr>
          <w:spacing w:val="-109"/>
        </w:rPr>
      </w:r>
      <w:r>
        <w:rPr>
          <w:spacing w:val="-3"/>
        </w:rPr>
        <w:t>人、中国宝安集团股份有限公司金融部、金汇丰期货经纪公司总经理、深圳市先</w:t>
      </w:r>
      <w:r>
        <w:rPr>
          <w:spacing w:val="-111"/>
        </w:rPr>
        <w:t> </w:t>
      </w:r>
      <w:r>
        <w:rPr>
          <w:spacing w:val="-111"/>
        </w:rPr>
      </w:r>
      <w:r>
        <w:rPr/>
        <w:t>健科技股份有限公司副总经理。现任深圳市同创伟业创业投资有限公司董事。</w:t>
      </w:r>
    </w:p>
    <w:p>
      <w:pPr>
        <w:pStyle w:val="BodyText"/>
        <w:spacing w:line="357" w:lineRule="auto" w:before="37"/>
        <w:ind w:right="237" w:firstLine="479"/>
        <w:jc w:val="both"/>
      </w:pPr>
      <w:r>
        <w:rPr/>
        <w:t>许映鹏，男，</w:t>
      </w:r>
      <w:r>
        <w:rPr>
          <w:rFonts w:ascii="宋体" w:hAnsi="宋体" w:cs="宋体" w:eastAsia="宋体" w:hint="default"/>
        </w:rPr>
        <w:t>45</w:t>
      </w:r>
      <w:r>
        <w:rPr>
          <w:rFonts w:ascii="宋体" w:hAnsi="宋体" w:cs="宋体" w:eastAsia="宋体" w:hint="default"/>
          <w:spacing w:val="20"/>
        </w:rPr>
        <w:t> </w:t>
      </w:r>
      <w:r>
        <w:rPr/>
        <w:t>岁，中国国籍，无境外居留权，硕士学历，高级工程师， </w:t>
      </w:r>
      <w:r>
        <w:rPr>
          <w:spacing w:val="-3"/>
        </w:rPr>
        <w:t>现任本公司独立董事。曾任东南大学无线电技术研究所副所长、香港鸿年公司第</w:t>
      </w:r>
      <w:r>
        <w:rPr>
          <w:spacing w:val="-111"/>
        </w:rPr>
        <w:t> </w:t>
      </w:r>
      <w:r>
        <w:rPr>
          <w:spacing w:val="-111"/>
        </w:rPr>
      </w:r>
      <w:r>
        <w:rPr>
          <w:spacing w:val="-3"/>
        </w:rPr>
        <w:t>二开发部开发人员、深圳康年通信有限公司开发部经理；现任凯斯泰尔通信设备</w:t>
      </w:r>
    </w:p>
    <w:p>
      <w:pPr>
        <w:pStyle w:val="BodyText"/>
        <w:spacing w:line="240" w:lineRule="auto" w:before="34"/>
        <w:ind w:right="0"/>
        <w:jc w:val="both"/>
      </w:pPr>
      <w:r>
        <w:rPr/>
        <w:t>（深圳）有限公司副总经理。</w:t>
      </w:r>
    </w:p>
    <w:p>
      <w:pPr>
        <w:pStyle w:val="BodyText"/>
        <w:spacing w:line="357" w:lineRule="auto" w:before="154"/>
        <w:ind w:right="237" w:firstLine="479"/>
        <w:jc w:val="both"/>
      </w:pPr>
      <w:r>
        <w:rPr/>
        <w:t>李建辉，男，</w:t>
      </w:r>
      <w:r>
        <w:rPr>
          <w:rFonts w:ascii="宋体" w:hAnsi="宋体" w:cs="宋体" w:eastAsia="宋体" w:hint="default"/>
        </w:rPr>
        <w:t>43</w:t>
      </w:r>
      <w:r>
        <w:rPr>
          <w:rFonts w:ascii="宋体" w:hAnsi="宋体" w:cs="宋体" w:eastAsia="宋体" w:hint="default"/>
          <w:spacing w:val="20"/>
        </w:rPr>
        <w:t> </w:t>
      </w:r>
      <w:r>
        <w:rPr/>
        <w:t>岁，中国国籍，无境外居留权，本科学历，执业律师，现 </w:t>
      </w:r>
      <w:r>
        <w:rPr>
          <w:spacing w:val="-3"/>
        </w:rPr>
        <w:t>任本公司独立董事。曾任惠州市中天律师事务所创始合伙人、广东君言律师事务</w:t>
      </w:r>
      <w:r>
        <w:rPr>
          <w:spacing w:val="-111"/>
        </w:rPr>
        <w:t> </w:t>
      </w:r>
      <w:r>
        <w:rPr>
          <w:spacing w:val="-111"/>
        </w:rPr>
      </w:r>
      <w:r>
        <w:rPr/>
        <w:t>所创始合伙人，现任北京市竞天公诚律师事务所合伙人律师。</w:t>
      </w:r>
    </w:p>
    <w:p>
      <w:pPr>
        <w:pStyle w:val="BodyText"/>
        <w:spacing w:line="357" w:lineRule="auto" w:before="34"/>
        <w:ind w:right="237" w:firstLine="479"/>
        <w:jc w:val="both"/>
      </w:pPr>
      <w:r>
        <w:rPr/>
        <w:t>刘永开，男，</w:t>
      </w:r>
      <w:r>
        <w:rPr>
          <w:rFonts w:ascii="宋体" w:hAnsi="宋体" w:cs="宋体" w:eastAsia="宋体" w:hint="default"/>
        </w:rPr>
        <w:t>44</w:t>
      </w:r>
      <w:r>
        <w:rPr>
          <w:rFonts w:ascii="宋体" w:hAnsi="宋体" w:cs="宋体" w:eastAsia="宋体" w:hint="default"/>
          <w:spacing w:val="20"/>
        </w:rPr>
        <w:t> </w:t>
      </w:r>
      <w:r>
        <w:rPr/>
        <w:t>岁，中国国籍，无境外居留权，专科学历，注册会计师及 </w:t>
      </w:r>
      <w:r>
        <w:rPr>
          <w:spacing w:val="-3"/>
        </w:rPr>
        <w:t>注册税务师，现任本公司独立董事兼审计委员会主任委员。曾就职于深圳中允会</w:t>
      </w:r>
      <w:r>
        <w:rPr>
          <w:spacing w:val="-112"/>
        </w:rPr>
        <w:t> </w:t>
      </w:r>
      <w:r>
        <w:rPr>
          <w:spacing w:val="-112"/>
        </w:rPr>
      </w:r>
      <w:r>
        <w:rPr>
          <w:spacing w:val="-3"/>
        </w:rPr>
        <w:t>计师事务所、深圳中庆会计师事务所、深圳鹏城会计师事务所、深圳中永华兴会</w:t>
      </w:r>
    </w:p>
    <w:p>
      <w:pPr>
        <w:spacing w:after="0" w:line="357" w:lineRule="auto"/>
        <w:jc w:val="both"/>
        <w:sectPr>
          <w:footerReference w:type="default" r:id="rId30"/>
          <w:pgSz w:w="11910" w:h="16840"/>
          <w:pgMar w:footer="1195" w:header="0" w:top="1380" w:bottom="1380" w:left="1680" w:right="1560"/>
        </w:sectPr>
      </w:pPr>
    </w:p>
    <w:p>
      <w:pPr>
        <w:pStyle w:val="BodyText"/>
        <w:spacing w:line="357" w:lineRule="auto" w:before="1"/>
        <w:ind w:right="105"/>
        <w:jc w:val="left"/>
      </w:pPr>
      <w:r>
        <w:rPr>
          <w:spacing w:val="-3"/>
        </w:rPr>
        <w:t>计师事务所；现任广东博信投资控股股份有限公司（</w:t>
      </w:r>
      <w:r>
        <w:rPr>
          <w:rFonts w:ascii="宋体" w:hAnsi="宋体" w:cs="宋体" w:eastAsia="宋体" w:hint="default"/>
          <w:spacing w:val="-3"/>
        </w:rPr>
        <w:t>ST</w:t>
      </w:r>
      <w:r>
        <w:rPr>
          <w:rFonts w:ascii="宋体" w:hAnsi="宋体" w:cs="宋体" w:eastAsia="宋体" w:hint="default"/>
          <w:spacing w:val="-54"/>
        </w:rPr>
        <w:t> </w:t>
      </w:r>
      <w:r>
        <w:rPr/>
        <w:t>博信</w:t>
      </w:r>
      <w:r>
        <w:rPr>
          <w:spacing w:val="-54"/>
        </w:rPr>
        <w:t> </w:t>
      </w:r>
      <w:r>
        <w:rPr>
          <w:rFonts w:ascii="宋体" w:hAnsi="宋体" w:cs="宋体" w:eastAsia="宋体" w:hint="default"/>
          <w:spacing w:val="-3"/>
        </w:rPr>
        <w:t>600083</w:t>
      </w:r>
      <w:r>
        <w:rPr>
          <w:spacing w:val="-3"/>
        </w:rPr>
        <w:t>）独立董事、</w:t>
      </w:r>
      <w:r>
        <w:rPr/>
        <w:t> 深圳市中联岳华税务师事务所有限公司董事、深圳恒平会计师事务所副所长。</w:t>
      </w:r>
    </w:p>
    <w:p>
      <w:pPr>
        <w:spacing w:line="240" w:lineRule="auto" w:before="1"/>
        <w:rPr>
          <w:rFonts w:ascii="宋体" w:hAnsi="宋体" w:cs="宋体" w:eastAsia="宋体" w:hint="default"/>
          <w:sz w:val="24"/>
          <w:szCs w:val="24"/>
        </w:rPr>
      </w:pPr>
    </w:p>
    <w:p>
      <w:pPr>
        <w:pStyle w:val="BodyText"/>
        <w:spacing w:line="240" w:lineRule="auto"/>
        <w:ind w:right="0"/>
        <w:jc w:val="left"/>
      </w:pPr>
      <w:r>
        <w:rPr>
          <w:rFonts w:ascii="宋体" w:hAnsi="宋体" w:cs="宋体" w:eastAsia="宋体" w:hint="default"/>
        </w:rPr>
        <w:t>2</w:t>
      </w:r>
      <w:r>
        <w:rPr/>
        <w:t>、监事会成员简介</w:t>
      </w:r>
    </w:p>
    <w:p>
      <w:pPr>
        <w:spacing w:line="240" w:lineRule="auto" w:before="10"/>
        <w:rPr>
          <w:rFonts w:ascii="宋体" w:hAnsi="宋体" w:cs="宋体" w:eastAsia="宋体" w:hint="default"/>
          <w:sz w:val="33"/>
          <w:szCs w:val="33"/>
        </w:rPr>
      </w:pPr>
    </w:p>
    <w:p>
      <w:pPr>
        <w:pStyle w:val="BodyText"/>
        <w:spacing w:line="357" w:lineRule="auto"/>
        <w:ind w:right="237" w:firstLine="479"/>
        <w:jc w:val="both"/>
      </w:pPr>
      <w:r>
        <w:rPr/>
        <w:t>李林杰，男，</w:t>
      </w:r>
      <w:r>
        <w:rPr>
          <w:rFonts w:ascii="宋体" w:hAnsi="宋体" w:cs="宋体" w:eastAsia="宋体" w:hint="default"/>
        </w:rPr>
        <w:t>54</w:t>
      </w:r>
      <w:r>
        <w:rPr>
          <w:rFonts w:ascii="宋体" w:hAnsi="宋体" w:cs="宋体" w:eastAsia="宋体" w:hint="default"/>
          <w:spacing w:val="20"/>
        </w:rPr>
        <w:t> </w:t>
      </w:r>
      <w:r>
        <w:rPr/>
        <w:t>岁，中国国籍，无境外居留权，本科学历，现任本公司监 </w:t>
      </w:r>
      <w:r>
        <w:rPr>
          <w:spacing w:val="-3"/>
        </w:rPr>
        <w:t>事会主席。曾就职于北京铁路分局丰台电务段、中国科学院空间科学与应用研究</w:t>
      </w:r>
      <w:r>
        <w:rPr>
          <w:spacing w:val="-111"/>
        </w:rPr>
        <w:t> </w:t>
      </w:r>
      <w:r>
        <w:rPr>
          <w:spacing w:val="-111"/>
        </w:rPr>
      </w:r>
      <w:r>
        <w:rPr/>
        <w:t>中心、深圳市奥格立电子科技有限公司；</w:t>
      </w:r>
      <w:r>
        <w:rPr>
          <w:rFonts w:ascii="宋体" w:hAnsi="宋体" w:cs="宋体" w:eastAsia="宋体" w:hint="default"/>
        </w:rPr>
        <w:t>2001</w:t>
      </w:r>
      <w:r>
        <w:rPr>
          <w:rFonts w:ascii="宋体" w:hAnsi="宋体" w:cs="宋体" w:eastAsia="宋体" w:hint="default"/>
          <w:spacing w:val="17"/>
        </w:rPr>
        <w:t> </w:t>
      </w:r>
      <w:r>
        <w:rPr/>
        <w:t>年迄今在公司工作，现任行政中 心总监，兼任南京新国都及广州新国都监事。</w:t>
      </w:r>
    </w:p>
    <w:p>
      <w:pPr>
        <w:pStyle w:val="BodyText"/>
        <w:spacing w:line="357" w:lineRule="auto" w:before="34"/>
        <w:ind w:right="237" w:firstLine="479"/>
        <w:jc w:val="both"/>
      </w:pPr>
      <w:r>
        <w:rPr/>
        <w:t>栾承岚，女，</w:t>
      </w:r>
      <w:r>
        <w:rPr>
          <w:rFonts w:ascii="宋体" w:hAnsi="宋体" w:cs="宋体" w:eastAsia="宋体" w:hint="default"/>
        </w:rPr>
        <w:t>36</w:t>
      </w:r>
      <w:r>
        <w:rPr>
          <w:rFonts w:ascii="宋体" w:hAnsi="宋体" w:cs="宋体" w:eastAsia="宋体" w:hint="default"/>
          <w:spacing w:val="20"/>
        </w:rPr>
        <w:t> </w:t>
      </w:r>
      <w:r>
        <w:rPr/>
        <w:t>岁，中国国籍，无境外居留权，专科学历，现任本公司监 事。</w:t>
      </w:r>
      <w:r>
        <w:rPr>
          <w:rFonts w:ascii="宋体" w:hAnsi="宋体" w:cs="宋体" w:eastAsia="宋体" w:hint="default"/>
        </w:rPr>
        <w:t>2001</w:t>
      </w:r>
      <w:r>
        <w:rPr>
          <w:rFonts w:ascii="宋体" w:hAnsi="宋体" w:cs="宋体" w:eastAsia="宋体" w:hint="default"/>
          <w:spacing w:val="-61"/>
        </w:rPr>
        <w:t> </w:t>
      </w:r>
      <w:r>
        <w:rPr/>
        <w:t>年迄今在公司工作，现任计划财务中心副经理。</w:t>
      </w:r>
    </w:p>
    <w:p>
      <w:pPr>
        <w:pStyle w:val="BodyText"/>
        <w:spacing w:line="357" w:lineRule="auto" w:before="34"/>
        <w:ind w:right="103" w:firstLine="479"/>
        <w:jc w:val="left"/>
      </w:pPr>
      <w:r>
        <w:rPr/>
        <w:t>杨星</w:t>
      </w:r>
      <w:r>
        <w:rPr>
          <w:rFonts w:ascii="宋体" w:hAnsi="宋体" w:cs="宋体" w:eastAsia="宋体" w:hint="default"/>
        </w:rPr>
        <w:t>, </w:t>
      </w:r>
      <w:r>
        <w:rPr/>
        <w:t>男，</w:t>
      </w:r>
      <w:r>
        <w:rPr>
          <w:rFonts w:ascii="宋体" w:hAnsi="宋体" w:cs="宋体" w:eastAsia="宋体" w:hint="default"/>
        </w:rPr>
        <w:t>36</w:t>
      </w:r>
      <w:r>
        <w:rPr>
          <w:rFonts w:ascii="宋体" w:hAnsi="宋体" w:cs="宋体" w:eastAsia="宋体" w:hint="default"/>
          <w:spacing w:val="15"/>
        </w:rPr>
        <w:t> </w:t>
      </w:r>
      <w:r>
        <w:rPr/>
        <w:t>岁，中国国籍，无境外居留权，本科学历，现任本公司职工 </w:t>
      </w:r>
      <w:r>
        <w:rPr>
          <w:spacing w:val="-3"/>
        </w:rPr>
        <w:t>监事。曾就职于温州市现代集团有限公司、深圳市华强集团华强智能技术有限公</w:t>
      </w:r>
      <w:r>
        <w:rPr>
          <w:spacing w:val="-111"/>
        </w:rPr>
        <w:t> </w:t>
      </w:r>
      <w:r>
        <w:rPr>
          <w:spacing w:val="-111"/>
        </w:rPr>
      </w:r>
      <w:r>
        <w:rPr/>
        <w:t>司、深圳市奥格立电子科技有限公司；</w:t>
      </w:r>
      <w:r>
        <w:rPr>
          <w:rFonts w:ascii="宋体" w:hAnsi="宋体" w:cs="宋体" w:eastAsia="宋体" w:hint="default"/>
        </w:rPr>
        <w:t>2003 </w:t>
      </w:r>
      <w:r>
        <w:rPr/>
        <w:t>年迄今在公司从事研发工作，现任</w:t>
      </w:r>
      <w:r>
        <w:rPr>
          <w:spacing w:val="-102"/>
        </w:rPr>
        <w:t> </w:t>
      </w:r>
      <w:r>
        <w:rPr>
          <w:spacing w:val="-102"/>
        </w:rPr>
      </w:r>
      <w:r>
        <w:rPr>
          <w:spacing w:val="-7"/>
        </w:rPr>
        <w:t>研发中心副总工程师。杨先生擅长于</w:t>
      </w:r>
      <w:r>
        <w:rPr>
          <w:spacing w:val="-53"/>
        </w:rPr>
        <w:t> </w:t>
      </w:r>
      <w:r>
        <w:rPr>
          <w:rFonts w:ascii="宋体" w:hAnsi="宋体" w:cs="宋体" w:eastAsia="宋体" w:hint="default"/>
        </w:rPr>
        <w:t>Linux</w:t>
      </w:r>
      <w:r>
        <w:rPr>
          <w:rFonts w:ascii="宋体" w:hAnsi="宋体" w:cs="宋体" w:eastAsia="宋体" w:hint="default"/>
          <w:spacing w:val="-53"/>
        </w:rPr>
        <w:t> </w:t>
      </w:r>
      <w:r>
        <w:rPr>
          <w:spacing w:val="-7"/>
        </w:rPr>
        <w:t>操作系统、底层驱动软件系统的研发，</w:t>
      </w:r>
      <w:r>
        <w:rPr/>
        <w:t> 熟悉</w:t>
      </w:r>
      <w:r>
        <w:rPr>
          <w:spacing w:val="-54"/>
        </w:rPr>
        <w:t> </w:t>
      </w:r>
      <w:r>
        <w:rPr>
          <w:rFonts w:ascii="宋体" w:hAnsi="宋体" w:cs="宋体" w:eastAsia="宋体" w:hint="default"/>
        </w:rPr>
        <w:t>51/ARM</w:t>
      </w:r>
      <w:r>
        <w:rPr>
          <w:rFonts w:ascii="宋体" w:hAnsi="宋体" w:cs="宋体" w:eastAsia="宋体" w:hint="default"/>
          <w:spacing w:val="-54"/>
        </w:rPr>
        <w:t> </w:t>
      </w:r>
      <w:r>
        <w:rPr/>
        <w:t>研发平台，负责主持本公司</w:t>
      </w:r>
      <w:r>
        <w:rPr>
          <w:spacing w:val="-53"/>
        </w:rPr>
        <w:t> </w:t>
      </w:r>
      <w:r>
        <w:rPr>
          <w:rFonts w:ascii="宋体" w:hAnsi="宋体" w:cs="宋体" w:eastAsia="宋体" w:hint="default"/>
        </w:rPr>
        <w:t>POS</w:t>
      </w:r>
      <w:r>
        <w:rPr>
          <w:rFonts w:ascii="宋体" w:hAnsi="宋体" w:cs="宋体" w:eastAsia="宋体" w:hint="default"/>
          <w:spacing w:val="-57"/>
        </w:rPr>
        <w:t> </w:t>
      </w:r>
      <w:r>
        <w:rPr/>
        <w:t>终端产品的操作系统、底层驱动软 件系统研发工作。</w:t>
      </w:r>
    </w:p>
    <w:p>
      <w:pPr>
        <w:spacing w:line="240" w:lineRule="auto" w:before="1"/>
        <w:rPr>
          <w:rFonts w:ascii="宋体" w:hAnsi="宋体" w:cs="宋体" w:eastAsia="宋体" w:hint="default"/>
          <w:sz w:val="24"/>
          <w:szCs w:val="24"/>
        </w:rPr>
      </w:pPr>
    </w:p>
    <w:p>
      <w:pPr>
        <w:pStyle w:val="BodyText"/>
        <w:spacing w:line="240" w:lineRule="auto"/>
        <w:ind w:right="0"/>
        <w:jc w:val="left"/>
      </w:pPr>
      <w:r>
        <w:rPr>
          <w:rFonts w:ascii="宋体" w:hAnsi="宋体" w:cs="宋体" w:eastAsia="宋体" w:hint="default"/>
        </w:rPr>
        <w:t>3</w:t>
      </w:r>
      <w:r>
        <w:rPr/>
        <w:t>、高级管理人员简介</w:t>
      </w:r>
    </w:p>
    <w:p>
      <w:pPr>
        <w:spacing w:line="240" w:lineRule="auto" w:before="13"/>
        <w:rPr>
          <w:rFonts w:ascii="宋体" w:hAnsi="宋体" w:cs="宋体" w:eastAsia="宋体" w:hint="default"/>
          <w:sz w:val="33"/>
          <w:szCs w:val="33"/>
        </w:rPr>
      </w:pPr>
    </w:p>
    <w:p>
      <w:pPr>
        <w:pStyle w:val="BodyText"/>
        <w:spacing w:line="357" w:lineRule="auto"/>
        <w:ind w:left="600" w:right="2766"/>
        <w:jc w:val="left"/>
      </w:pPr>
      <w:r>
        <w:rPr/>
        <w:t>刘祥，总经理，简介及工作经历见董事介绍。 江汉，副总经理，简介及工作经历见董事介绍。 汪洋，副总经理，简介及工作经历见董事介绍。 韦余红，副总经理，简介及工作经历见董事介绍。</w:t>
      </w:r>
    </w:p>
    <w:p>
      <w:pPr>
        <w:pStyle w:val="BodyText"/>
        <w:spacing w:line="357" w:lineRule="auto" w:before="36"/>
        <w:ind w:right="237" w:firstLine="479"/>
        <w:jc w:val="both"/>
      </w:pPr>
      <w:r>
        <w:rPr/>
        <w:t>赵辉，男，</w:t>
      </w:r>
      <w:r>
        <w:rPr>
          <w:rFonts w:ascii="宋体" w:hAnsi="宋体" w:cs="宋体" w:eastAsia="宋体" w:hint="default"/>
        </w:rPr>
        <w:t>43</w:t>
      </w:r>
      <w:r>
        <w:rPr>
          <w:rFonts w:ascii="宋体" w:hAnsi="宋体" w:cs="宋体" w:eastAsia="宋体" w:hint="default"/>
          <w:spacing w:val="21"/>
        </w:rPr>
        <w:t> </w:t>
      </w:r>
      <w:r>
        <w:rPr/>
        <w:t>岁，中国国籍，无境外居留权，本科学历，现任本公司财务 </w:t>
      </w:r>
      <w:r>
        <w:rPr>
          <w:spacing w:val="-3"/>
        </w:rPr>
        <w:t>总监兼董事会秘书。曾任中国扬子电气集团有限公司扬子客车厂主管会计、国泰</w:t>
      </w:r>
      <w:r>
        <w:rPr>
          <w:spacing w:val="-111"/>
        </w:rPr>
        <w:t> </w:t>
      </w:r>
      <w:r>
        <w:rPr>
          <w:spacing w:val="-111"/>
        </w:rPr>
      </w:r>
      <w:r>
        <w:rPr>
          <w:spacing w:val="-3"/>
        </w:rPr>
        <w:t>君安证券股份有限公司资产管理部黑龙江实业财务总监、深圳市彤云科技实业有</w:t>
      </w:r>
      <w:r>
        <w:rPr>
          <w:spacing w:val="-109"/>
        </w:rPr>
        <w:t> </w:t>
      </w:r>
      <w:r>
        <w:rPr>
          <w:spacing w:val="-109"/>
        </w:rPr>
      </w:r>
      <w:r>
        <w:rPr/>
        <w:t>限公司财务经理、深圳市奥格立电子科技有限公司财务经理。</w:t>
      </w:r>
      <w:r>
        <w:rPr>
          <w:rFonts w:ascii="宋体" w:hAnsi="宋体" w:cs="宋体" w:eastAsia="宋体" w:hint="default"/>
        </w:rPr>
        <w:t>2001</w:t>
      </w:r>
      <w:r>
        <w:rPr>
          <w:rFonts w:ascii="宋体" w:hAnsi="宋体" w:cs="宋体" w:eastAsia="宋体" w:hint="default"/>
          <w:spacing w:val="19"/>
        </w:rPr>
        <w:t> </w:t>
      </w:r>
      <w:r>
        <w:rPr/>
        <w:t>年迄今在公 司负责财务工作。</w:t>
      </w:r>
    </w:p>
    <w:p>
      <w:pPr>
        <w:spacing w:after="0" w:line="357" w:lineRule="auto"/>
        <w:jc w:val="both"/>
        <w:sectPr>
          <w:footerReference w:type="default" r:id="rId31"/>
          <w:pgSz w:w="11910" w:h="16840"/>
          <w:pgMar w:footer="1195" w:header="0" w:top="1380" w:bottom="1380" w:left="1680" w:right="1560"/>
          <w:pgNumType w:start="61"/>
        </w:sectPr>
      </w:pPr>
    </w:p>
    <w:p>
      <w:pPr>
        <w:pStyle w:val="BodyText"/>
        <w:spacing w:line="240" w:lineRule="auto" w:before="4"/>
        <w:ind w:left="700" w:right="573"/>
        <w:jc w:val="left"/>
      </w:pPr>
      <w:r>
        <w:rPr/>
        <w:t>（三）报告期内董事、监事、高管变动情况</w:t>
      </w:r>
    </w:p>
    <w:p>
      <w:pPr>
        <w:spacing w:line="240" w:lineRule="auto" w:before="5"/>
        <w:rPr>
          <w:rFonts w:ascii="宋体" w:hAnsi="宋体" w:cs="宋体" w:eastAsia="宋体" w:hint="default"/>
          <w:sz w:val="31"/>
          <w:szCs w:val="31"/>
        </w:rPr>
      </w:pPr>
    </w:p>
    <w:p>
      <w:pPr>
        <w:spacing w:line="352" w:lineRule="auto" w:before="0"/>
        <w:ind w:left="700" w:right="573" w:firstLine="479"/>
        <w:jc w:val="left"/>
        <w:rPr>
          <w:rFonts w:ascii="宋体" w:hAnsi="宋体" w:cs="宋体" w:eastAsia="宋体" w:hint="default"/>
          <w:sz w:val="28"/>
          <w:szCs w:val="28"/>
        </w:rPr>
      </w:pPr>
      <w:r>
        <w:rPr>
          <w:rFonts w:ascii="宋体" w:hAnsi="宋体" w:cs="宋体" w:eastAsia="宋体" w:hint="default"/>
          <w:sz w:val="24"/>
          <w:szCs w:val="24"/>
        </w:rPr>
        <w:t>报告期内董事、监事、高管无变动情况。 </w:t>
      </w:r>
      <w:r>
        <w:rPr>
          <w:rFonts w:ascii="宋体" w:hAnsi="宋体" w:cs="宋体" w:eastAsia="宋体" w:hint="default"/>
          <w:b/>
          <w:bCs/>
          <w:sz w:val="28"/>
          <w:szCs w:val="28"/>
        </w:rPr>
        <w:t>二、报告期内，公司核心技术团队或关键技术人员（非董事、监事、</w:t>
      </w:r>
      <w:r>
        <w:rPr>
          <w:rFonts w:ascii="宋体" w:hAnsi="宋体" w:cs="宋体" w:eastAsia="宋体" w:hint="default"/>
          <w:b/>
          <w:bCs/>
          <w:w w:val="99"/>
          <w:sz w:val="28"/>
          <w:szCs w:val="28"/>
        </w:rPr>
        <w:t> </w:t>
      </w:r>
      <w:r>
        <w:rPr>
          <w:rFonts w:ascii="宋体" w:hAnsi="宋体" w:cs="宋体" w:eastAsia="宋体" w:hint="default"/>
          <w:b/>
          <w:bCs/>
          <w:sz w:val="28"/>
          <w:szCs w:val="28"/>
        </w:rPr>
        <w:t>高级管理人员）没有发生变动。</w:t>
      </w:r>
      <w:r>
        <w:rPr>
          <w:rFonts w:ascii="宋体" w:hAnsi="宋体" w:cs="宋体" w:eastAsia="宋体" w:hint="default"/>
          <w:sz w:val="28"/>
          <w:szCs w:val="28"/>
        </w:rPr>
      </w:r>
    </w:p>
    <w:p>
      <w:pPr>
        <w:pStyle w:val="Heading3"/>
        <w:spacing w:line="240" w:lineRule="auto" w:before="46"/>
        <w:ind w:left="700" w:right="573"/>
        <w:jc w:val="left"/>
        <w:rPr>
          <w:b w:val="0"/>
          <w:bCs w:val="0"/>
        </w:rPr>
      </w:pPr>
      <w:r>
        <w:rPr/>
        <w:t>三、员工情况</w:t>
      </w:r>
      <w:r>
        <w:rPr>
          <w:b w:val="0"/>
          <w:bCs w:val="0"/>
        </w:rPr>
      </w:r>
    </w:p>
    <w:p>
      <w:pPr>
        <w:pStyle w:val="BodyText"/>
        <w:spacing w:line="357" w:lineRule="auto" w:before="186"/>
        <w:ind w:left="1180" w:right="726"/>
        <w:jc w:val="left"/>
        <w:rPr>
          <w:rFonts w:ascii="宋体" w:hAnsi="宋体" w:cs="宋体" w:eastAsia="宋体" w:hint="default"/>
        </w:rPr>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日，公司共有在册员工</w:t>
      </w:r>
      <w:r>
        <w:rPr>
          <w:spacing w:val="-60"/>
        </w:rPr>
        <w:t> </w:t>
      </w:r>
      <w:r>
        <w:rPr>
          <w:rFonts w:ascii="宋体" w:hAnsi="宋体" w:cs="宋体" w:eastAsia="宋体" w:hint="default"/>
        </w:rPr>
        <w:t>853</w:t>
      </w:r>
      <w:r>
        <w:rPr>
          <w:rFonts w:ascii="宋体" w:hAnsi="宋体" w:cs="宋体" w:eastAsia="宋体" w:hint="default"/>
          <w:spacing w:val="-60"/>
        </w:rPr>
        <w:t> </w:t>
      </w:r>
      <w:r>
        <w:rPr/>
        <w:t>人，具体构成情况如下： </w:t>
      </w:r>
      <w:r>
        <w:rPr>
          <w:rFonts w:ascii="宋体" w:hAnsi="宋体" w:cs="宋体" w:eastAsia="宋体" w:hint="default"/>
          <w:b/>
          <w:bCs/>
        </w:rPr>
        <w:t>员工专业结构</w:t>
      </w:r>
      <w:r>
        <w:rPr>
          <w:rFonts w:ascii="宋体" w:hAnsi="宋体" w:cs="宋体" w:eastAsia="宋体" w:hint="default"/>
        </w:rPr>
      </w:r>
    </w:p>
    <w:p>
      <w:pPr>
        <w:spacing w:line="240" w:lineRule="auto" w:before="9"/>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109"/>
        <w:gridCol w:w="1328"/>
        <w:gridCol w:w="1370"/>
        <w:gridCol w:w="1371"/>
        <w:gridCol w:w="1405"/>
        <w:gridCol w:w="1464"/>
        <w:gridCol w:w="1431"/>
      </w:tblGrid>
      <w:tr>
        <w:trPr>
          <w:trHeight w:val="430" w:hRule="exact"/>
        </w:trPr>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专业结构</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40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7" w:hRule="exact"/>
        </w:trPr>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10"/>
              <w:jc w:val="left"/>
              <w:rPr>
                <w:rFonts w:ascii="宋体" w:hAnsi="宋体" w:cs="宋体" w:eastAsia="宋体" w:hint="default"/>
                <w:sz w:val="21"/>
                <w:szCs w:val="21"/>
              </w:rPr>
            </w:pPr>
            <w:r>
              <w:rPr>
                <w:rFonts w:ascii="宋体" w:hAnsi="宋体" w:cs="宋体" w:eastAsia="宋体" w:hint="default"/>
                <w:spacing w:val="-12"/>
                <w:sz w:val="21"/>
                <w:szCs w:val="21"/>
              </w:rPr>
              <w:t>人数（人）</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382</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216</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178</w:t>
            </w:r>
          </w:p>
        </w:tc>
        <w:tc>
          <w:tcPr>
            <w:tcW w:w="140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65</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853</w:t>
            </w:r>
          </w:p>
        </w:tc>
      </w:tr>
      <w:tr>
        <w:trPr>
          <w:trHeight w:val="430" w:hRule="exact"/>
        </w:trPr>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44.78%</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25.32%</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20.87%</w:t>
            </w:r>
          </w:p>
        </w:tc>
        <w:tc>
          <w:tcPr>
            <w:tcW w:w="140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1.41%</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7.62%</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100.00%</w:t>
            </w:r>
          </w:p>
        </w:tc>
      </w:tr>
    </w:tbl>
    <w:p>
      <w:pPr>
        <w:pStyle w:val="Heading7"/>
        <w:spacing w:line="274" w:lineRule="exact" w:before="0"/>
        <w:ind w:left="1180" w:right="573"/>
        <w:jc w:val="left"/>
        <w:rPr>
          <w:b w:val="0"/>
          <w:bCs w:val="0"/>
        </w:rPr>
      </w:pPr>
      <w:r>
        <w:rPr/>
        <w:t>学历结构</w:t>
      </w:r>
      <w:r>
        <w:rPr>
          <w:b w:val="0"/>
          <w:bCs w:val="0"/>
        </w:rPr>
      </w:r>
    </w:p>
    <w:p>
      <w:pPr>
        <w:spacing w:line="240" w:lineRule="auto" w:before="11"/>
        <w:rPr>
          <w:rFonts w:ascii="宋体" w:hAnsi="宋体" w:cs="宋体" w:eastAsia="宋体" w:hint="default"/>
          <w:b/>
          <w:bCs/>
          <w:sz w:val="14"/>
          <w:szCs w:val="14"/>
        </w:rPr>
      </w:pPr>
    </w:p>
    <w:tbl>
      <w:tblPr>
        <w:tblW w:w="0" w:type="auto"/>
        <w:jc w:val="left"/>
        <w:tblInd w:w="431" w:type="dxa"/>
        <w:tblLayout w:type="fixed"/>
        <w:tblCellMar>
          <w:top w:w="0" w:type="dxa"/>
          <w:left w:w="0" w:type="dxa"/>
          <w:bottom w:w="0" w:type="dxa"/>
          <w:right w:w="0" w:type="dxa"/>
        </w:tblCellMar>
        <w:tblLook w:val="01E0"/>
      </w:tblPr>
      <w:tblGrid>
        <w:gridCol w:w="1622"/>
        <w:gridCol w:w="1417"/>
        <w:gridCol w:w="1419"/>
        <w:gridCol w:w="1416"/>
        <w:gridCol w:w="1417"/>
        <w:gridCol w:w="1536"/>
      </w:tblGrid>
      <w:tr>
        <w:trPr>
          <w:trHeight w:val="545" w:hRule="exac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8" w:hRule="exac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161</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286</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853</w:t>
            </w:r>
          </w:p>
        </w:tc>
      </w:tr>
      <w:tr>
        <w:trPr>
          <w:trHeight w:val="430" w:hRule="exac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36.58%</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18.87%</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11.02%</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33.53%</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100.00%</w:t>
            </w:r>
          </w:p>
        </w:tc>
      </w:tr>
    </w:tbl>
    <w:p>
      <w:pPr>
        <w:pStyle w:val="Heading7"/>
        <w:spacing w:line="274" w:lineRule="exact" w:before="0"/>
        <w:ind w:left="1180" w:right="573"/>
        <w:jc w:val="left"/>
        <w:rPr>
          <w:b w:val="0"/>
          <w:bCs w:val="0"/>
        </w:rPr>
      </w:pPr>
      <w:r>
        <w:rPr/>
        <w:t>年龄结构</w:t>
      </w:r>
      <w:r>
        <w:rPr>
          <w:b w:val="0"/>
          <w:bCs w:val="0"/>
        </w:rPr>
      </w:r>
    </w:p>
    <w:p>
      <w:pPr>
        <w:spacing w:line="240" w:lineRule="auto" w:before="11"/>
        <w:rPr>
          <w:rFonts w:ascii="宋体" w:hAnsi="宋体" w:cs="宋体" w:eastAsia="宋体" w:hint="default"/>
          <w:b/>
          <w:bCs/>
          <w:sz w:val="14"/>
          <w:szCs w:val="14"/>
        </w:rPr>
      </w:pPr>
    </w:p>
    <w:tbl>
      <w:tblPr>
        <w:tblW w:w="0" w:type="auto"/>
        <w:jc w:val="left"/>
        <w:tblInd w:w="662" w:type="dxa"/>
        <w:tblLayout w:type="fixed"/>
        <w:tblCellMar>
          <w:top w:w="0" w:type="dxa"/>
          <w:left w:w="0" w:type="dxa"/>
          <w:bottom w:w="0" w:type="dxa"/>
          <w:right w:w="0" w:type="dxa"/>
        </w:tblCellMar>
        <w:tblLook w:val="01E0"/>
      </w:tblPr>
      <w:tblGrid>
        <w:gridCol w:w="1777"/>
        <w:gridCol w:w="1344"/>
        <w:gridCol w:w="1416"/>
        <w:gridCol w:w="1277"/>
        <w:gridCol w:w="1417"/>
        <w:gridCol w:w="1136"/>
      </w:tblGrid>
      <w:tr>
        <w:trPr>
          <w:trHeight w:val="427" w:hRule="exact"/>
        </w:trPr>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岁以下</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30-40</w:t>
            </w:r>
            <w:r>
              <w:rPr>
                <w:rFonts w:ascii="宋体" w:hAnsi="宋体" w:cs="宋体" w:eastAsia="宋体" w:hint="default"/>
                <w:spacing w:val="-51"/>
                <w:sz w:val="21"/>
                <w:szCs w:val="21"/>
              </w:rPr>
              <w:t> </w:t>
            </w:r>
            <w:r>
              <w:rPr>
                <w:rFonts w:ascii="宋体" w:hAnsi="宋体" w:cs="宋体" w:eastAsia="宋体" w:hint="default"/>
                <w:sz w:val="21"/>
                <w:szCs w:val="21"/>
              </w:rPr>
              <w:t>岁</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岁以上</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30" w:hRule="exact"/>
        </w:trPr>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736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89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853</w:t>
            </w:r>
          </w:p>
        </w:tc>
      </w:tr>
      <w:tr>
        <w:trPr>
          <w:trHeight w:val="430" w:hRule="exact"/>
        </w:trPr>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86.28%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10.43%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0.35%</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r>
    </w:tbl>
    <w:p>
      <w:pPr>
        <w:pStyle w:val="BodyText"/>
        <w:spacing w:line="274" w:lineRule="exact"/>
        <w:ind w:left="1180" w:right="573"/>
        <w:jc w:val="left"/>
      </w:pPr>
      <w:r>
        <w:rPr/>
        <w:t>公司执行深圳市社会保险制度，没有需要公司承担费用的离退休职工。</w:t>
      </w:r>
    </w:p>
    <w:p>
      <w:pPr>
        <w:spacing w:after="0" w:line="274" w:lineRule="exact"/>
        <w:jc w:val="left"/>
        <w:sectPr>
          <w:pgSz w:w="11910" w:h="16840"/>
          <w:pgMar w:header="0" w:footer="1195" w:top="1380" w:bottom="1380" w:left="1100" w:right="1080"/>
        </w:sectPr>
      </w:pPr>
    </w:p>
    <w:p>
      <w:pPr>
        <w:spacing w:line="240" w:lineRule="auto" w:before="6"/>
        <w:rPr>
          <w:rFonts w:ascii="宋体" w:hAnsi="宋体" w:cs="宋体" w:eastAsia="宋体" w:hint="default"/>
          <w:sz w:val="16"/>
          <w:szCs w:val="16"/>
        </w:rPr>
      </w:pPr>
    </w:p>
    <w:p>
      <w:pPr>
        <w:pStyle w:val="Heading1"/>
        <w:tabs>
          <w:tab w:pos="1680" w:val="left" w:leader="none"/>
        </w:tabs>
        <w:spacing w:line="460" w:lineRule="exact"/>
        <w:ind w:right="98"/>
        <w:jc w:val="center"/>
        <w:rPr>
          <w:b w:val="0"/>
          <w:bCs w:val="0"/>
        </w:rPr>
      </w:pPr>
      <w:bookmarkStart w:name="_bookmark5" w:id="7"/>
      <w:bookmarkEnd w:id="7"/>
      <w:r>
        <w:rPr>
          <w:b w:val="0"/>
          <w:bCs w:val="0"/>
        </w:rPr>
      </w:r>
      <w:r>
        <w:rPr>
          <w:w w:val="95"/>
        </w:rPr>
        <w:t>第七节</w:t>
        <w:tab/>
      </w:r>
      <w:r>
        <w:rPr/>
        <w:t>公司治理结构</w:t>
      </w:r>
      <w:r>
        <w:rPr>
          <w:b w:val="0"/>
          <w:bCs w:val="0"/>
        </w:rPr>
      </w: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26"/>
          <w:szCs w:val="26"/>
        </w:rPr>
      </w:pPr>
    </w:p>
    <w:p>
      <w:pPr>
        <w:pStyle w:val="Heading3"/>
        <w:spacing w:line="240" w:lineRule="auto"/>
        <w:ind w:right="94"/>
        <w:jc w:val="left"/>
        <w:rPr>
          <w:b w:val="0"/>
          <w:bCs w:val="0"/>
        </w:rPr>
      </w:pPr>
      <w:r>
        <w:rPr/>
        <w:t>一、公司治理情况</w:t>
      </w:r>
      <w:r>
        <w:rPr>
          <w:b w:val="0"/>
          <w:bCs w:val="0"/>
        </w:rPr>
      </w:r>
    </w:p>
    <w:p>
      <w:pPr>
        <w:pStyle w:val="BodyText"/>
        <w:spacing w:line="357" w:lineRule="auto" w:before="186"/>
        <w:ind w:right="94" w:firstLine="479"/>
        <w:jc w:val="left"/>
      </w:pPr>
      <w:r>
        <w:rPr>
          <w:spacing w:val="-3"/>
        </w:rPr>
        <w:t>报告期内，公司建立了规范的公司治理结构，股东大会、董事会及专门委员</w:t>
      </w:r>
      <w:r>
        <w:rPr/>
        <w:t> </w:t>
      </w:r>
      <w:r>
        <w:rPr>
          <w:spacing w:val="-13"/>
        </w:rPr>
        <w:t>会、监事会、独立董事、董事会秘书和管理层均严格按照《公司法》、《证券法》、</w:t>
      </w:r>
    </w:p>
    <w:p>
      <w:pPr>
        <w:pStyle w:val="BodyText"/>
        <w:spacing w:line="357" w:lineRule="auto" w:before="34"/>
        <w:ind w:right="106"/>
        <w:jc w:val="left"/>
      </w:pPr>
      <w:r>
        <w:rPr>
          <w:spacing w:val="-3"/>
        </w:rPr>
        <w:t>《上市公司治理准则》、《深圳证券交易所创业板股票上市规则》、《深圳证券</w:t>
      </w:r>
      <w:r>
        <w:rPr>
          <w:spacing w:val="-111"/>
        </w:rPr>
        <w:t> </w:t>
      </w:r>
      <w:r>
        <w:rPr>
          <w:spacing w:val="-111"/>
        </w:rPr>
      </w:r>
      <w:r>
        <w:rPr>
          <w:spacing w:val="-3"/>
        </w:rPr>
        <w:t>交易所创业板上市公司规范运作指引》等法律、法规和中国证监会有关法律法规</w:t>
      </w:r>
      <w:r>
        <w:rPr>
          <w:spacing w:val="-111"/>
        </w:rPr>
        <w:t> </w:t>
      </w:r>
      <w:r>
        <w:rPr>
          <w:spacing w:val="-111"/>
        </w:rPr>
      </w:r>
      <w:r>
        <w:rPr>
          <w:spacing w:val="-3"/>
        </w:rPr>
        <w:t>等的要求，履行各自的权利和义务，公司重大生产经营决策、投资决策及财务决</w:t>
      </w:r>
      <w:r>
        <w:rPr>
          <w:spacing w:val="-111"/>
        </w:rPr>
        <w:t> </w:t>
      </w:r>
      <w:r>
        <w:rPr>
          <w:spacing w:val="-111"/>
        </w:rPr>
      </w:r>
      <w:r>
        <w:rPr/>
        <w:t>策均按照《公司章程》及有关内控制度规定的程序和规则进行，截至报告期末， </w:t>
      </w:r>
      <w:r>
        <w:rPr>
          <w:spacing w:val="-3"/>
        </w:rPr>
        <w:t>上述机构和人员依法运作，未出现违法、违规现象，能够切实履行应尽的职责和</w:t>
      </w:r>
      <w:r>
        <w:rPr>
          <w:spacing w:val="-111"/>
        </w:rPr>
        <w:t> </w:t>
      </w:r>
      <w:r>
        <w:rPr>
          <w:spacing w:val="-111"/>
        </w:rPr>
      </w:r>
      <w:r>
        <w:rPr>
          <w:spacing w:val="-3"/>
        </w:rPr>
        <w:t>义务，公司治理的实际状况符合《上市公司治理准则》和《深圳证券交易所创业</w:t>
      </w:r>
      <w:r>
        <w:rPr>
          <w:spacing w:val="-111"/>
        </w:rPr>
        <w:t> </w:t>
      </w:r>
      <w:r>
        <w:rPr>
          <w:spacing w:val="-111"/>
        </w:rPr>
      </w:r>
      <w:r>
        <w:rPr/>
        <w:t>板上市公司规范运作指引》的要求。</w:t>
      </w:r>
    </w:p>
    <w:p>
      <w:pPr>
        <w:spacing w:line="240" w:lineRule="auto" w:before="8"/>
        <w:rPr>
          <w:rFonts w:ascii="宋体" w:hAnsi="宋体" w:cs="宋体" w:eastAsia="宋体" w:hint="default"/>
          <w:sz w:val="22"/>
          <w:szCs w:val="22"/>
        </w:rPr>
      </w:pPr>
    </w:p>
    <w:p>
      <w:pPr>
        <w:pStyle w:val="BodyText"/>
        <w:spacing w:line="240" w:lineRule="auto"/>
        <w:ind w:right="94"/>
        <w:jc w:val="left"/>
      </w:pPr>
      <w:r>
        <w:rPr/>
        <w:t>（一）关于股东与股东大会</w:t>
      </w:r>
    </w:p>
    <w:p>
      <w:pPr>
        <w:spacing w:line="240" w:lineRule="auto" w:before="5"/>
        <w:rPr>
          <w:rFonts w:ascii="宋体" w:hAnsi="宋体" w:cs="宋体" w:eastAsia="宋体" w:hint="default"/>
          <w:sz w:val="31"/>
          <w:szCs w:val="31"/>
        </w:rPr>
      </w:pPr>
    </w:p>
    <w:p>
      <w:pPr>
        <w:pStyle w:val="BodyText"/>
        <w:spacing w:line="357" w:lineRule="auto"/>
        <w:ind w:right="219" w:firstLine="479"/>
        <w:jc w:val="both"/>
      </w:pPr>
      <w:r>
        <w:rPr>
          <w:spacing w:val="-3"/>
        </w:rPr>
        <w:t>公司严格按照《上市公司股东大会规则》、《公司章程》、《股东大会议事</w:t>
      </w:r>
      <w:r>
        <w:rPr/>
        <w:t> </w:t>
      </w:r>
      <w:r>
        <w:rPr>
          <w:spacing w:val="-3"/>
        </w:rPr>
        <w:t>规则》等规定和要求，规范地召集、召开股东大会，对公司的相关事项做出了决</w:t>
      </w:r>
      <w:r>
        <w:rPr>
          <w:spacing w:val="-112"/>
        </w:rPr>
        <w:t> </w:t>
      </w:r>
      <w:r>
        <w:rPr>
          <w:spacing w:val="-112"/>
        </w:rPr>
      </w:r>
      <w:r>
        <w:rPr>
          <w:spacing w:val="-3"/>
        </w:rPr>
        <w:t>策，程序规范，决策科学，并尽可能为股东参加股东大会提供便利，使其充分行</w:t>
      </w:r>
      <w:r>
        <w:rPr>
          <w:spacing w:val="-111"/>
        </w:rPr>
        <w:t> </w:t>
      </w:r>
      <w:r>
        <w:rPr>
          <w:spacing w:val="-111"/>
        </w:rPr>
      </w:r>
      <w:r>
        <w:rPr/>
        <w:t>使股东权利。</w:t>
      </w:r>
    </w:p>
    <w:p>
      <w:pPr>
        <w:spacing w:line="240" w:lineRule="auto" w:before="8"/>
        <w:rPr>
          <w:rFonts w:ascii="宋体" w:hAnsi="宋体" w:cs="宋体" w:eastAsia="宋体" w:hint="default"/>
          <w:sz w:val="22"/>
          <w:szCs w:val="22"/>
        </w:rPr>
      </w:pPr>
    </w:p>
    <w:p>
      <w:pPr>
        <w:pStyle w:val="BodyText"/>
        <w:spacing w:line="240" w:lineRule="auto"/>
        <w:ind w:right="94"/>
        <w:jc w:val="left"/>
      </w:pPr>
      <w:r>
        <w:rPr/>
        <w:t>（二）关于公司与控股股东</w:t>
      </w:r>
    </w:p>
    <w:p>
      <w:pPr>
        <w:spacing w:line="240" w:lineRule="auto" w:before="7"/>
        <w:rPr>
          <w:rFonts w:ascii="宋体" w:hAnsi="宋体" w:cs="宋体" w:eastAsia="宋体" w:hint="default"/>
          <w:sz w:val="31"/>
          <w:szCs w:val="31"/>
        </w:rPr>
      </w:pPr>
    </w:p>
    <w:p>
      <w:pPr>
        <w:pStyle w:val="BodyText"/>
        <w:spacing w:line="357" w:lineRule="auto"/>
        <w:ind w:right="217" w:firstLine="479"/>
        <w:jc w:val="both"/>
      </w:pPr>
      <w:r>
        <w:rPr>
          <w:spacing w:val="-3"/>
        </w:rPr>
        <w:t>公司控股股东严格规范自身行为，没有直接或间接干预公司的决策和经营活</w:t>
      </w:r>
      <w:r>
        <w:rPr/>
        <w:t> </w:t>
      </w:r>
      <w:r>
        <w:rPr>
          <w:spacing w:val="-3"/>
        </w:rPr>
        <w:t>动情况，公司在业务、人员、资产、机构财务独立于控股股东，有独立完整的业</w:t>
      </w:r>
      <w:r>
        <w:rPr>
          <w:spacing w:val="-115"/>
        </w:rPr>
        <w:t> </w:t>
      </w:r>
      <w:r>
        <w:rPr>
          <w:spacing w:val="-115"/>
        </w:rPr>
      </w:r>
      <w:r>
        <w:rPr/>
        <w:t>务和自主经营能力，公司董事会、监事会和内部机构独立运作。</w:t>
      </w:r>
    </w:p>
    <w:p>
      <w:pPr>
        <w:spacing w:line="240" w:lineRule="auto" w:before="8"/>
        <w:rPr>
          <w:rFonts w:ascii="宋体" w:hAnsi="宋体" w:cs="宋体" w:eastAsia="宋体" w:hint="default"/>
          <w:sz w:val="22"/>
          <w:szCs w:val="22"/>
        </w:rPr>
      </w:pPr>
    </w:p>
    <w:p>
      <w:pPr>
        <w:pStyle w:val="BodyText"/>
        <w:spacing w:line="240" w:lineRule="auto"/>
        <w:ind w:right="94"/>
        <w:jc w:val="left"/>
      </w:pPr>
      <w:r>
        <w:rPr/>
        <w:t>（三）关于董事和董事会</w:t>
      </w:r>
    </w:p>
    <w:p>
      <w:pPr>
        <w:spacing w:line="240" w:lineRule="auto" w:before="5"/>
        <w:rPr>
          <w:rFonts w:ascii="宋体" w:hAnsi="宋体" w:cs="宋体" w:eastAsia="宋体" w:hint="default"/>
          <w:sz w:val="31"/>
          <w:szCs w:val="31"/>
        </w:rPr>
      </w:pPr>
    </w:p>
    <w:p>
      <w:pPr>
        <w:pStyle w:val="BodyText"/>
        <w:spacing w:line="357" w:lineRule="auto"/>
        <w:ind w:right="123" w:firstLine="479"/>
        <w:jc w:val="both"/>
      </w:pPr>
      <w:r>
        <w:rPr/>
        <w:t>公司董事会设有董事</w:t>
      </w:r>
      <w:r>
        <w:rPr>
          <w:spacing w:val="-59"/>
        </w:rPr>
        <w:t> </w:t>
      </w:r>
      <w:r>
        <w:rPr>
          <w:rFonts w:ascii="宋体" w:hAnsi="宋体" w:cs="宋体" w:eastAsia="宋体" w:hint="default"/>
        </w:rPr>
        <w:t>9</w:t>
      </w:r>
      <w:r>
        <w:rPr>
          <w:rFonts w:ascii="宋体" w:hAnsi="宋体" w:cs="宋体" w:eastAsia="宋体" w:hint="default"/>
          <w:spacing w:val="-59"/>
        </w:rPr>
        <w:t> </w:t>
      </w:r>
      <w:r>
        <w:rPr>
          <w:spacing w:val="-6"/>
        </w:rPr>
        <w:t>名，其中独立董事</w:t>
      </w:r>
      <w:r>
        <w:rPr>
          <w:spacing w:val="-59"/>
        </w:rPr>
        <w:t> </w:t>
      </w:r>
      <w:r>
        <w:rPr>
          <w:rFonts w:ascii="宋体" w:hAnsi="宋体" w:cs="宋体" w:eastAsia="宋体" w:hint="default"/>
        </w:rPr>
        <w:t>4</w:t>
      </w:r>
      <w:r>
        <w:rPr>
          <w:rFonts w:ascii="宋体" w:hAnsi="宋体" w:cs="宋体" w:eastAsia="宋体" w:hint="default"/>
          <w:spacing w:val="-59"/>
        </w:rPr>
        <w:t> </w:t>
      </w:r>
      <w:r>
        <w:rPr>
          <w:spacing w:val="-4"/>
        </w:rPr>
        <w:t>名。董事会的人数及人员构成符</w:t>
      </w:r>
      <w:r>
        <w:rPr/>
        <w:t> 合法律、法规和《公司章程》的要求。各位董事能够依据《董事会议事规则》、</w:t>
      </w:r>
    </w:p>
    <w:p>
      <w:pPr>
        <w:pStyle w:val="BodyText"/>
        <w:spacing w:line="240" w:lineRule="auto" w:before="34"/>
        <w:ind w:right="94"/>
        <w:jc w:val="left"/>
      </w:pPr>
      <w:r>
        <w:rPr>
          <w:spacing w:val="-3"/>
        </w:rPr>
        <w:t>《独立董事工作细则》、《深圳证券交易所创业板上市公司规范运作指引》等开</w:t>
      </w:r>
    </w:p>
    <w:p>
      <w:pPr>
        <w:spacing w:after="0" w:line="240" w:lineRule="auto"/>
        <w:jc w:val="left"/>
        <w:sectPr>
          <w:pgSz w:w="11910" w:h="16840"/>
          <w:pgMar w:header="0" w:footer="1195" w:top="1580" w:bottom="1380" w:left="1680" w:right="1580"/>
        </w:sectPr>
      </w:pPr>
    </w:p>
    <w:p>
      <w:pPr>
        <w:pStyle w:val="BodyText"/>
        <w:spacing w:line="357" w:lineRule="auto" w:before="1"/>
        <w:ind w:right="237"/>
        <w:jc w:val="both"/>
      </w:pPr>
      <w:r>
        <w:rPr>
          <w:spacing w:val="-3"/>
        </w:rPr>
        <w:t>展工作，出席董事会和股东大会，尽责地履行职责和义务。公司董事通过自学熟</w:t>
      </w:r>
      <w:r>
        <w:rPr>
          <w:spacing w:val="-111"/>
        </w:rPr>
        <w:t> </w:t>
      </w:r>
      <w:r>
        <w:rPr>
          <w:spacing w:val="-111"/>
        </w:rPr>
      </w:r>
      <w:r>
        <w:rPr>
          <w:spacing w:val="-3"/>
        </w:rPr>
        <w:t>悉并掌握相关法律法规，从根本上保证董事立足于维护公司和全体股东的最大利</w:t>
      </w:r>
      <w:r>
        <w:rPr>
          <w:spacing w:val="-109"/>
        </w:rPr>
        <w:t> </w:t>
      </w:r>
      <w:r>
        <w:rPr>
          <w:spacing w:val="-109"/>
        </w:rPr>
      </w:r>
      <w:r>
        <w:rPr>
          <w:spacing w:val="-3"/>
        </w:rPr>
        <w:t>益，忠实、诚信、勤勉地履行职责，全体董事均能做到以认真负责，勤勉诚信的</w:t>
      </w:r>
      <w:r>
        <w:rPr>
          <w:spacing w:val="-113"/>
        </w:rPr>
        <w:t> </w:t>
      </w:r>
      <w:r>
        <w:rPr>
          <w:spacing w:val="-113"/>
        </w:rPr>
      </w:r>
      <w:r>
        <w:rPr/>
        <w:t>态度忠实履行职责。</w:t>
      </w:r>
    </w:p>
    <w:p>
      <w:pPr>
        <w:spacing w:line="240" w:lineRule="auto" w:before="8"/>
        <w:rPr>
          <w:rFonts w:ascii="宋体" w:hAnsi="宋体" w:cs="宋体" w:eastAsia="宋体" w:hint="default"/>
          <w:sz w:val="22"/>
          <w:szCs w:val="22"/>
        </w:rPr>
      </w:pPr>
    </w:p>
    <w:p>
      <w:pPr>
        <w:pStyle w:val="BodyText"/>
        <w:spacing w:line="240" w:lineRule="auto"/>
        <w:ind w:right="0"/>
        <w:jc w:val="both"/>
      </w:pPr>
      <w:r>
        <w:rPr/>
        <w:t>（四）关于监事和监事会</w:t>
      </w:r>
    </w:p>
    <w:p>
      <w:pPr>
        <w:spacing w:line="240" w:lineRule="auto" w:before="5"/>
        <w:rPr>
          <w:rFonts w:ascii="宋体" w:hAnsi="宋体" w:cs="宋体" w:eastAsia="宋体" w:hint="default"/>
          <w:sz w:val="31"/>
          <w:szCs w:val="31"/>
        </w:rPr>
      </w:pPr>
    </w:p>
    <w:p>
      <w:pPr>
        <w:pStyle w:val="BodyText"/>
        <w:spacing w:line="357" w:lineRule="auto"/>
        <w:ind w:right="127" w:firstLine="479"/>
        <w:jc w:val="left"/>
      </w:pPr>
      <w:r>
        <w:rPr/>
        <w:t>公司监事会设有监事</w:t>
      </w:r>
      <w:r>
        <w:rPr>
          <w:spacing w:val="-60"/>
        </w:rPr>
        <w:t> </w:t>
      </w:r>
      <w:r>
        <w:rPr>
          <w:rFonts w:ascii="宋体" w:hAnsi="宋体" w:cs="宋体" w:eastAsia="宋体" w:hint="default"/>
        </w:rPr>
        <w:t>3</w:t>
      </w:r>
      <w:r>
        <w:rPr>
          <w:rFonts w:ascii="宋体" w:hAnsi="宋体" w:cs="宋体" w:eastAsia="宋体" w:hint="default"/>
          <w:spacing w:val="-60"/>
        </w:rPr>
        <w:t> </w:t>
      </w:r>
      <w:r>
        <w:rPr/>
        <w:t>名，其中职工监事</w:t>
      </w:r>
      <w:r>
        <w:rPr>
          <w:spacing w:val="-60"/>
        </w:rPr>
        <w:t> </w:t>
      </w:r>
      <w:r>
        <w:rPr>
          <w:rFonts w:ascii="宋体" w:hAnsi="宋体" w:cs="宋体" w:eastAsia="宋体" w:hint="default"/>
        </w:rPr>
        <w:t>1</w:t>
      </w:r>
      <w:r>
        <w:rPr>
          <w:rFonts w:ascii="宋体" w:hAnsi="宋体" w:cs="宋体" w:eastAsia="宋体" w:hint="default"/>
          <w:spacing w:val="-60"/>
        </w:rPr>
        <w:t> </w:t>
      </w:r>
      <w:r>
        <w:rPr/>
        <w:t>名，人数和人员构成符合法律、 </w:t>
      </w:r>
      <w:r>
        <w:rPr>
          <w:spacing w:val="-10"/>
        </w:rPr>
        <w:t>法规和《公司章程》的规定与要求；监事会会议的召集、召开程序，完全按照《监</w:t>
      </w:r>
      <w:r>
        <w:rPr>
          <w:spacing w:val="-96"/>
        </w:rPr>
        <w:t> </w:t>
      </w:r>
      <w:r>
        <w:rPr>
          <w:spacing w:val="-96"/>
        </w:rPr>
      </w:r>
      <w:r>
        <w:rPr>
          <w:spacing w:val="-3"/>
        </w:rPr>
        <w:t>事会议事会议规则》的要求履行，并按照拟定的会议议程进行。公司监事能够认</w:t>
      </w:r>
      <w:r>
        <w:rPr>
          <w:spacing w:val="-111"/>
        </w:rPr>
        <w:t> </w:t>
      </w:r>
      <w:r>
        <w:rPr>
          <w:spacing w:val="-111"/>
        </w:rPr>
      </w:r>
      <w:r>
        <w:rPr>
          <w:spacing w:val="-3"/>
        </w:rPr>
        <w:t>真履行自己的职责，本着对公司和全体股东负责的精神，依法、独立对公司财务</w:t>
      </w:r>
      <w:r>
        <w:rPr>
          <w:spacing w:val="-111"/>
        </w:rPr>
        <w:t> </w:t>
      </w:r>
      <w:r>
        <w:rPr>
          <w:spacing w:val="-111"/>
        </w:rPr>
      </w:r>
      <w:r>
        <w:rPr/>
        <w:t>及公司董事、经理和其他高级管理人员履行职责的合法性、合规性进行监督。</w:t>
      </w:r>
    </w:p>
    <w:p>
      <w:pPr>
        <w:spacing w:line="240" w:lineRule="auto" w:before="10"/>
        <w:rPr>
          <w:rFonts w:ascii="宋体" w:hAnsi="宋体" w:cs="宋体" w:eastAsia="宋体" w:hint="default"/>
          <w:sz w:val="22"/>
          <w:szCs w:val="22"/>
        </w:rPr>
      </w:pPr>
    </w:p>
    <w:p>
      <w:pPr>
        <w:pStyle w:val="BodyText"/>
        <w:spacing w:line="240" w:lineRule="auto"/>
        <w:ind w:right="0"/>
        <w:jc w:val="both"/>
      </w:pPr>
      <w:r>
        <w:rPr/>
        <w:t>（五）关于绩效评价与激励约束机制</w:t>
      </w:r>
    </w:p>
    <w:p>
      <w:pPr>
        <w:spacing w:line="240" w:lineRule="auto" w:before="5"/>
        <w:rPr>
          <w:rFonts w:ascii="宋体" w:hAnsi="宋体" w:cs="宋体" w:eastAsia="宋体" w:hint="default"/>
          <w:sz w:val="31"/>
          <w:szCs w:val="31"/>
        </w:rPr>
      </w:pPr>
    </w:p>
    <w:p>
      <w:pPr>
        <w:pStyle w:val="BodyText"/>
        <w:spacing w:line="357" w:lineRule="auto"/>
        <w:ind w:right="231" w:firstLine="479"/>
        <w:jc w:val="both"/>
      </w:pPr>
      <w:r>
        <w:rPr>
          <w:spacing w:val="-3"/>
        </w:rPr>
        <w:t>公司董事会下设的薪酬与考核委员会，负责对公司的董事、监事、高管进行</w:t>
      </w:r>
      <w:r>
        <w:rPr/>
        <w:t> </w:t>
      </w:r>
      <w:r>
        <w:rPr>
          <w:spacing w:val="3"/>
        </w:rPr>
        <w:t>绩效考核，公司现有的考核及激励约束机制符合公司的发展现状并且在不断完</w:t>
      </w:r>
      <w:r>
        <w:rPr>
          <w:spacing w:val="-95"/>
        </w:rPr>
        <w:t> </w:t>
      </w:r>
      <w:r>
        <w:rPr>
          <w:spacing w:val="-95"/>
        </w:rPr>
      </w:r>
      <w:r>
        <w:rPr/>
        <w:t>善。</w:t>
      </w:r>
    </w:p>
    <w:p>
      <w:pPr>
        <w:spacing w:line="240" w:lineRule="auto" w:before="10"/>
        <w:rPr>
          <w:rFonts w:ascii="宋体" w:hAnsi="宋体" w:cs="宋体" w:eastAsia="宋体" w:hint="default"/>
          <w:sz w:val="22"/>
          <w:szCs w:val="22"/>
        </w:rPr>
      </w:pPr>
    </w:p>
    <w:p>
      <w:pPr>
        <w:pStyle w:val="BodyText"/>
        <w:spacing w:line="240" w:lineRule="auto"/>
        <w:ind w:right="0"/>
        <w:jc w:val="both"/>
      </w:pPr>
      <w:r>
        <w:rPr/>
        <w:t>（六）关于信息披露与透明度</w:t>
      </w:r>
    </w:p>
    <w:p>
      <w:pPr>
        <w:spacing w:line="240" w:lineRule="auto" w:before="5"/>
        <w:rPr>
          <w:rFonts w:ascii="宋体" w:hAnsi="宋体" w:cs="宋体" w:eastAsia="宋体" w:hint="default"/>
          <w:sz w:val="31"/>
          <w:szCs w:val="31"/>
        </w:rPr>
      </w:pPr>
    </w:p>
    <w:p>
      <w:pPr>
        <w:pStyle w:val="BodyText"/>
        <w:spacing w:line="240" w:lineRule="auto"/>
        <w:ind w:left="600" w:right="0"/>
        <w:jc w:val="left"/>
      </w:pPr>
      <w:r>
        <w:rPr/>
        <w:t>公司严格按照有关法律法规以</w:t>
      </w:r>
      <w:r>
        <w:rPr>
          <w:spacing w:val="-92"/>
        </w:rPr>
        <w:t>及</w:t>
      </w:r>
      <w:r>
        <w:rPr/>
        <w:t>《信息披露管理制度</w:t>
      </w:r>
      <w:r>
        <w:rPr>
          <w:spacing w:val="-92"/>
        </w:rPr>
        <w:t>》</w:t>
      </w:r>
      <w:r>
        <w:rPr>
          <w:spacing w:val="-183"/>
        </w:rPr>
        <w:t>、</w:t>
      </w:r>
      <w:r>
        <w:rPr/>
        <w:t>《投资者管</w:t>
      </w:r>
      <w:r>
        <w:rPr>
          <w:spacing w:val="2"/>
        </w:rPr>
        <w:t>理</w:t>
      </w:r>
      <w:r>
        <w:rPr/>
        <w:t>制度</w:t>
      </w:r>
      <w:r>
        <w:rPr>
          <w:spacing w:val="-92"/>
        </w:rPr>
        <w:t>》</w:t>
      </w:r>
      <w:r>
        <w:rPr/>
        <w:t>、</w:t>
      </w:r>
    </w:p>
    <w:p>
      <w:pPr>
        <w:pStyle w:val="BodyText"/>
        <w:spacing w:line="357" w:lineRule="auto" w:before="154"/>
        <w:ind w:right="239"/>
        <w:jc w:val="both"/>
      </w:pPr>
      <w:r>
        <w:rPr>
          <w:spacing w:val="-3"/>
        </w:rPr>
        <w:t>《重大信息内部报告和保密制度》等要求，真实、准确、及时、公平、完整地披</w:t>
      </w:r>
      <w:r>
        <w:rPr>
          <w:spacing w:val="-113"/>
        </w:rPr>
        <w:t> </w:t>
      </w:r>
      <w:r>
        <w:rPr>
          <w:spacing w:val="-113"/>
        </w:rPr>
      </w:r>
      <w:r>
        <w:rPr>
          <w:spacing w:val="-3"/>
        </w:rPr>
        <w:t>露有关信息；并制定公司董事会秘书负责信息披露工作，协调公司与投资者的关</w:t>
      </w:r>
      <w:r>
        <w:rPr>
          <w:spacing w:val="-111"/>
        </w:rPr>
        <w:t> </w:t>
      </w:r>
      <w:r>
        <w:rPr>
          <w:spacing w:val="-111"/>
        </w:rPr>
      </w:r>
      <w:r>
        <w:rPr>
          <w:spacing w:val="-3"/>
        </w:rPr>
        <w:t>系，接待股东来访，回答投资者咨询，向投资者提供公司已披露的资料；并指定</w:t>
      </w:r>
    </w:p>
    <w:p>
      <w:pPr>
        <w:pStyle w:val="BodyText"/>
        <w:spacing w:line="357" w:lineRule="auto" w:before="34"/>
        <w:ind w:right="238"/>
        <w:jc w:val="both"/>
      </w:pPr>
      <w:r>
        <w:rPr/>
        <w:t>《中国证券报》、《证券时报》和巨潮网（</w:t>
      </w:r>
      <w:hyperlink r:id="rId11">
        <w:r>
          <w:rPr>
            <w:rFonts w:ascii="宋体" w:hAnsi="宋体" w:cs="宋体" w:eastAsia="宋体" w:hint="default"/>
          </w:rPr>
          <w:t>www.cninfo.com.cn</w:t>
        </w:r>
      </w:hyperlink>
      <w:r>
        <w:rPr/>
        <w:t>）为公司信息披</w:t>
      </w:r>
      <w:r>
        <w:rPr>
          <w:spacing w:val="-99"/>
        </w:rPr>
        <w:t> </w:t>
      </w:r>
      <w:r>
        <w:rPr>
          <w:spacing w:val="-99"/>
        </w:rPr>
      </w:r>
      <w:r>
        <w:rPr/>
        <w:t>露的指定报纸和网站，确保公司所有股东能够以平等的机会获得信息。</w:t>
      </w:r>
    </w:p>
    <w:p>
      <w:pPr>
        <w:spacing w:line="240" w:lineRule="auto" w:before="8"/>
        <w:rPr>
          <w:rFonts w:ascii="宋体" w:hAnsi="宋体" w:cs="宋体" w:eastAsia="宋体" w:hint="default"/>
          <w:sz w:val="22"/>
          <w:szCs w:val="22"/>
        </w:rPr>
      </w:pPr>
    </w:p>
    <w:p>
      <w:pPr>
        <w:pStyle w:val="BodyText"/>
        <w:spacing w:line="240" w:lineRule="auto"/>
        <w:ind w:right="0"/>
        <w:jc w:val="both"/>
      </w:pPr>
      <w:r>
        <w:rPr/>
        <w:t>（七）关于相关利益者</w:t>
      </w:r>
    </w:p>
    <w:p>
      <w:pPr>
        <w:spacing w:line="240" w:lineRule="auto" w:before="5"/>
        <w:rPr>
          <w:rFonts w:ascii="宋体" w:hAnsi="宋体" w:cs="宋体" w:eastAsia="宋体" w:hint="default"/>
          <w:sz w:val="31"/>
          <w:szCs w:val="31"/>
        </w:rPr>
      </w:pPr>
    </w:p>
    <w:p>
      <w:pPr>
        <w:pStyle w:val="BodyText"/>
        <w:spacing w:line="357" w:lineRule="auto"/>
        <w:ind w:right="226" w:firstLine="479"/>
        <w:jc w:val="left"/>
      </w:pPr>
      <w:r>
        <w:rPr>
          <w:spacing w:val="-3"/>
        </w:rPr>
        <w:t>公司充分尊重和维护相关利益者的合法权益，实现股东、员工、社会等各方</w:t>
      </w:r>
      <w:r>
        <w:rPr/>
        <w:t> 利益的协调平衡，共同推动公司持续、健康的发展。</w:t>
      </w:r>
    </w:p>
    <w:p>
      <w:pPr>
        <w:spacing w:after="0" w:line="357" w:lineRule="auto"/>
        <w:jc w:val="left"/>
        <w:sectPr>
          <w:pgSz w:w="11910" w:h="16840"/>
          <w:pgMar w:header="0" w:footer="1195" w:top="1380" w:bottom="1380" w:left="1680" w:right="1560"/>
        </w:sectPr>
      </w:pPr>
    </w:p>
    <w:p>
      <w:pPr>
        <w:pStyle w:val="BodyText"/>
        <w:spacing w:line="357" w:lineRule="auto" w:before="1"/>
        <w:ind w:left="220" w:right="231"/>
        <w:jc w:val="left"/>
      </w:pPr>
      <w:r>
        <w:rPr>
          <w:spacing w:val="-3"/>
        </w:rPr>
        <w:t>（八）本年度公司未向大股东、实际控制人提供未公开信息；公司大股东、实际</w:t>
      </w:r>
      <w:r>
        <w:rPr>
          <w:spacing w:val="-112"/>
        </w:rPr>
        <w:t> </w:t>
      </w:r>
      <w:r>
        <w:rPr>
          <w:spacing w:val="-112"/>
        </w:rPr>
      </w:r>
      <w:r>
        <w:rPr/>
        <w:t>控制人未发生干预公司生产、经营、管理等公司治理非规范情况。</w:t>
      </w:r>
    </w:p>
    <w:p>
      <w:pPr>
        <w:spacing w:line="240" w:lineRule="auto" w:before="12"/>
        <w:rPr>
          <w:rFonts w:ascii="宋体" w:hAnsi="宋体" w:cs="宋体" w:eastAsia="宋体" w:hint="default"/>
          <w:sz w:val="21"/>
          <w:szCs w:val="21"/>
        </w:rPr>
      </w:pPr>
    </w:p>
    <w:p>
      <w:pPr>
        <w:pStyle w:val="Heading3"/>
        <w:spacing w:line="240" w:lineRule="auto"/>
        <w:ind w:left="220" w:right="226"/>
        <w:jc w:val="left"/>
        <w:rPr>
          <w:b w:val="0"/>
          <w:bCs w:val="0"/>
        </w:rPr>
      </w:pPr>
      <w:r>
        <w:rPr/>
        <w:t>二、公司董事长、独立董事及其他董事履行职责情况</w:t>
      </w:r>
      <w:r>
        <w:rPr>
          <w:b w:val="0"/>
          <w:bCs w:val="0"/>
        </w:rPr>
      </w:r>
    </w:p>
    <w:p>
      <w:pPr>
        <w:spacing w:line="240" w:lineRule="auto" w:before="1"/>
        <w:rPr>
          <w:rFonts w:ascii="宋体" w:hAnsi="宋体" w:cs="宋体" w:eastAsia="宋体" w:hint="default"/>
          <w:b/>
          <w:bCs/>
          <w:sz w:val="34"/>
          <w:szCs w:val="34"/>
        </w:rPr>
      </w:pPr>
    </w:p>
    <w:p>
      <w:pPr>
        <w:pStyle w:val="BodyText"/>
        <w:spacing w:line="357" w:lineRule="auto"/>
        <w:ind w:left="220" w:right="102" w:firstLine="479"/>
        <w:jc w:val="left"/>
      </w:pPr>
      <w:r>
        <w:rPr>
          <w:rFonts w:ascii="宋体" w:hAnsi="宋体" w:cs="宋体" w:eastAsia="宋体" w:hint="default"/>
        </w:rPr>
        <w:t>1</w:t>
      </w:r>
      <w:r>
        <w:rPr/>
        <w:t>、报告期内，公司全体董事严格按照《公司法》、《证券法》、《深圳证 </w:t>
      </w:r>
      <w:r>
        <w:rPr>
          <w:spacing w:val="-7"/>
        </w:rPr>
        <w:t>券交易所创业板上市公司规范运作指引》、《上市公司治理准则》及《公司章程》</w:t>
      </w:r>
      <w:r>
        <w:rPr>
          <w:spacing w:val="-85"/>
        </w:rPr>
        <w:t> </w:t>
      </w:r>
      <w:r>
        <w:rPr>
          <w:spacing w:val="-85"/>
        </w:rPr>
      </w:r>
      <w:r>
        <w:rPr>
          <w:spacing w:val="-3"/>
        </w:rPr>
        <w:t>等法律法规及规章制度的规定和要求，履行董事职责，遵守董事行为规范，提高</w:t>
      </w:r>
      <w:r>
        <w:rPr>
          <w:spacing w:val="-111"/>
        </w:rPr>
        <w:t> </w:t>
      </w:r>
      <w:r>
        <w:rPr>
          <w:spacing w:val="-111"/>
        </w:rPr>
      </w:r>
      <w:r>
        <w:rPr>
          <w:spacing w:val="-3"/>
        </w:rPr>
        <w:t>规范运作水平，发挥各自的专业特长，积极的履行职责。董事在董事会会议投票</w:t>
      </w:r>
      <w:r>
        <w:rPr>
          <w:spacing w:val="-110"/>
        </w:rPr>
        <w:t> </w:t>
      </w:r>
      <w:r>
        <w:rPr>
          <w:spacing w:val="-110"/>
        </w:rPr>
      </w:r>
      <w:r>
        <w:rPr>
          <w:spacing w:val="-3"/>
        </w:rPr>
        <w:t>表决重大事项或其他对公司有重大影响的事项时，严格遵循公司董事会议规则的</w:t>
      </w:r>
      <w:r>
        <w:rPr>
          <w:spacing w:val="-109"/>
        </w:rPr>
        <w:t> </w:t>
      </w:r>
      <w:r>
        <w:rPr>
          <w:spacing w:val="-109"/>
        </w:rPr>
      </w:r>
      <w:r>
        <w:rPr/>
        <w:t>有关审议规定，审慎决策，切实保护公司和股东特别是社会公众股股东的利益。</w:t>
      </w:r>
    </w:p>
    <w:p>
      <w:pPr>
        <w:pStyle w:val="BodyText"/>
        <w:spacing w:line="357" w:lineRule="auto" w:before="36"/>
        <w:ind w:left="220" w:right="126" w:firstLine="479"/>
        <w:jc w:val="left"/>
      </w:pPr>
      <w:r>
        <w:rPr>
          <w:rFonts w:ascii="宋体" w:hAnsi="宋体" w:cs="宋体" w:eastAsia="宋体" w:hint="default"/>
        </w:rPr>
        <w:t>2</w:t>
      </w:r>
      <w:r>
        <w:rPr/>
        <w:t>、公司董事长在履行职责时，严格按照《公司法》、《证券法》、《深圳 </w:t>
      </w:r>
      <w:r>
        <w:rPr>
          <w:spacing w:val="-3"/>
        </w:rPr>
        <w:t>证券交易所创业板上市公司规范运作指引》和《公司章程》规定，行使董事长职</w:t>
      </w:r>
      <w:r>
        <w:rPr>
          <w:spacing w:val="-109"/>
        </w:rPr>
        <w:t> </w:t>
      </w:r>
      <w:r>
        <w:rPr>
          <w:spacing w:val="-109"/>
        </w:rPr>
      </w:r>
      <w:r>
        <w:rPr>
          <w:spacing w:val="-3"/>
        </w:rPr>
        <w:t>权，履行职责。在召集、主持董事会会议时，带头执行董事会集体决策机制，积</w:t>
      </w:r>
      <w:r>
        <w:rPr>
          <w:spacing w:val="-115"/>
        </w:rPr>
        <w:t> </w:t>
      </w:r>
      <w:r>
        <w:rPr>
          <w:spacing w:val="-115"/>
        </w:rPr>
      </w:r>
      <w:r>
        <w:rPr/>
        <w:t>极推动公司治理工作和内部控制建设、督促执行股东大会和董事会的各项决议， </w:t>
      </w:r>
      <w:r>
        <w:rPr>
          <w:spacing w:val="-3"/>
        </w:rPr>
        <w:t>确保董事会依法正常运作。保证独立董事和董事会秘书的知情权，及时将董事会</w:t>
      </w:r>
      <w:r>
        <w:rPr>
          <w:spacing w:val="-110"/>
        </w:rPr>
        <w:t> </w:t>
      </w:r>
      <w:r>
        <w:rPr>
          <w:spacing w:val="-110"/>
        </w:rPr>
      </w:r>
      <w:r>
        <w:rPr>
          <w:spacing w:val="-3"/>
        </w:rPr>
        <w:t>工作运行情况通报其他董事。督促其他董事、监事、高管人员积极参加监管部门</w:t>
      </w:r>
      <w:r>
        <w:rPr>
          <w:spacing w:val="-111"/>
        </w:rPr>
        <w:t> </w:t>
      </w:r>
      <w:r>
        <w:rPr>
          <w:spacing w:val="-111"/>
        </w:rPr>
      </w:r>
      <w:r>
        <w:rPr>
          <w:spacing w:val="-3"/>
        </w:rPr>
        <w:t>组织的培训，并借“三会”召开之际，积极地向公司董事、监事及其他高级管理</w:t>
      </w:r>
      <w:r>
        <w:rPr>
          <w:spacing w:val="-115"/>
        </w:rPr>
        <w:t> </w:t>
      </w:r>
      <w:r>
        <w:rPr>
          <w:spacing w:val="-115"/>
        </w:rPr>
      </w:r>
      <w:r>
        <w:rPr>
          <w:spacing w:val="-3"/>
        </w:rPr>
        <w:t>人员宣传新的法律、法规，提高董事、监事、高管人员的依法履职意识，确保公</w:t>
      </w:r>
      <w:r>
        <w:rPr>
          <w:spacing w:val="-112"/>
        </w:rPr>
        <w:t> </w:t>
      </w:r>
      <w:r>
        <w:rPr>
          <w:spacing w:val="-112"/>
        </w:rPr>
      </w:r>
      <w:r>
        <w:rPr/>
        <w:t>司规范运作。</w:t>
      </w:r>
    </w:p>
    <w:p>
      <w:pPr>
        <w:pStyle w:val="BodyText"/>
        <w:spacing w:line="357" w:lineRule="auto" w:before="36"/>
        <w:ind w:left="220" w:right="109" w:firstLine="479"/>
        <w:jc w:val="left"/>
      </w:pPr>
      <w:r>
        <w:rPr>
          <w:rFonts w:ascii="宋体" w:hAnsi="宋体" w:cs="宋体" w:eastAsia="宋体" w:hint="default"/>
          <w:spacing w:val="-3"/>
        </w:rPr>
        <w:t>3</w:t>
      </w:r>
      <w:r>
        <w:rPr>
          <w:spacing w:val="-3"/>
        </w:rPr>
        <w:t>、报告期内，公司独立董事严格按照《公司章程》和《独立董事工作制度》</w:t>
      </w:r>
      <w:r>
        <w:rPr/>
        <w:t> </w:t>
      </w:r>
      <w:r>
        <w:rPr>
          <w:spacing w:val="-3"/>
        </w:rPr>
        <w:t>等的规定，独立、客观、公正地履行职责，出席和列席了报告期内历次董事会会</w:t>
      </w:r>
      <w:r>
        <w:rPr>
          <w:spacing w:val="-111"/>
        </w:rPr>
        <w:t> </w:t>
      </w:r>
      <w:r>
        <w:rPr>
          <w:spacing w:val="-111"/>
        </w:rPr>
      </w:r>
      <w:r>
        <w:rPr>
          <w:spacing w:val="-3"/>
        </w:rPr>
        <w:t>议和股东大会会议，对董事会议案和股东大会议案进行认真审核，为公司经营和</w:t>
      </w:r>
      <w:r>
        <w:rPr>
          <w:spacing w:val="-111"/>
        </w:rPr>
        <w:t> </w:t>
      </w:r>
      <w:r>
        <w:rPr>
          <w:spacing w:val="-111"/>
        </w:rPr>
      </w:r>
      <w:r>
        <w:rPr>
          <w:spacing w:val="-3"/>
        </w:rPr>
        <w:t>发展提出合理化的意见和建议，根据相关规定对公司重大事项发表独立意见。报</w:t>
      </w:r>
      <w:r>
        <w:rPr>
          <w:spacing w:val="-110"/>
        </w:rPr>
        <w:t> </w:t>
      </w:r>
      <w:r>
        <w:rPr>
          <w:spacing w:val="-110"/>
        </w:rPr>
      </w:r>
      <w:r>
        <w:rPr>
          <w:spacing w:val="3"/>
        </w:rPr>
        <w:t>告期内，公司独立董事未对公司董事会审议的各项议案及其他相关事项提出异</w:t>
      </w:r>
      <w:r>
        <w:rPr>
          <w:spacing w:val="-99"/>
        </w:rPr>
        <w:t> </w:t>
      </w:r>
      <w:r>
        <w:rPr>
          <w:spacing w:val="-99"/>
        </w:rPr>
      </w:r>
      <w:r>
        <w:rPr/>
        <w:t>议。</w:t>
      </w:r>
    </w:p>
    <w:p>
      <w:pPr>
        <w:pStyle w:val="BodyText"/>
        <w:spacing w:line="240" w:lineRule="auto" w:before="36"/>
        <w:ind w:left="700" w:right="226"/>
        <w:jc w:val="left"/>
      </w:pPr>
      <w:r>
        <w:rPr/>
        <w:t>报告期内，独立董事出席董事会的会议情况：</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090"/>
        <w:gridCol w:w="961"/>
        <w:gridCol w:w="929"/>
        <w:gridCol w:w="1056"/>
        <w:gridCol w:w="842"/>
        <w:gridCol w:w="1683"/>
        <w:gridCol w:w="1964"/>
      </w:tblGrid>
      <w:tr>
        <w:trPr>
          <w:trHeight w:val="1359"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2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55" w:lineRule="auto"/>
              <w:ind w:left="263" w:right="158"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55" w:lineRule="auto"/>
              <w:ind w:left="143" w:right="139"/>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55" w:lineRule="auto"/>
              <w:ind w:left="311" w:right="99"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55" w:lineRule="auto"/>
              <w:ind w:left="206" w:right="2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未亲自出席会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005"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left"/>
        <w:rPr>
          <w:rFonts w:ascii="宋体" w:hAnsi="宋体" w:cs="宋体" w:eastAsia="宋体" w:hint="default"/>
          <w:sz w:val="21"/>
          <w:szCs w:val="21"/>
        </w:rPr>
        <w:sectPr>
          <w:pgSz w:w="11910" w:h="16840"/>
          <w:pgMar w:header="0" w:footer="1195" w:top="1380" w:bottom="1380" w:left="1580" w:right="156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90"/>
        <w:gridCol w:w="961"/>
        <w:gridCol w:w="929"/>
        <w:gridCol w:w="1056"/>
        <w:gridCol w:w="842"/>
        <w:gridCol w:w="1683"/>
        <w:gridCol w:w="1964"/>
      </w:tblGrid>
      <w:tr>
        <w:trPr>
          <w:trHeight w:val="164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李建辉</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其中参加第二届董</w:t>
            </w:r>
          </w:p>
          <w:p>
            <w:pPr>
              <w:pStyle w:val="TableParagraph"/>
              <w:spacing w:line="357" w:lineRule="auto" w:before="133"/>
              <w:ind w:left="136" w:right="132"/>
              <w:jc w:val="center"/>
              <w:rPr>
                <w:rFonts w:ascii="宋体" w:hAnsi="宋体" w:cs="宋体" w:eastAsia="宋体" w:hint="default"/>
                <w:sz w:val="21"/>
                <w:szCs w:val="21"/>
              </w:rPr>
            </w:pPr>
            <w:r>
              <w:rPr>
                <w:rFonts w:ascii="宋体" w:hAnsi="宋体" w:cs="宋体" w:eastAsia="宋体" w:hint="default"/>
                <w:spacing w:val="-2"/>
                <w:sz w:val="21"/>
                <w:szCs w:val="21"/>
              </w:rPr>
              <w:t>事会第三次会议以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电话形式参加会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41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金毅</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许映鹏</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刘永开</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6"/>
          <w:szCs w:val="26"/>
        </w:rPr>
      </w:pPr>
    </w:p>
    <w:p>
      <w:pPr>
        <w:pStyle w:val="Heading3"/>
        <w:spacing w:line="240" w:lineRule="auto" w:before="14"/>
        <w:ind w:left="201" w:right="5714"/>
        <w:jc w:val="center"/>
        <w:rPr>
          <w:b w:val="0"/>
          <w:bCs w:val="0"/>
        </w:rPr>
      </w:pPr>
      <w:r>
        <w:rPr/>
        <w:t>三、股东大会运行情况</w:t>
      </w:r>
      <w:r>
        <w:rPr>
          <w:b w:val="0"/>
          <w:bCs w:val="0"/>
        </w:rPr>
      </w:r>
    </w:p>
    <w:p>
      <w:pPr>
        <w:pStyle w:val="BodyText"/>
        <w:spacing w:line="357" w:lineRule="auto" w:before="186"/>
        <w:ind w:left="220" w:right="240" w:firstLine="479"/>
        <w:jc w:val="both"/>
      </w:pPr>
      <w:r>
        <w:rPr>
          <w:spacing w:val="-4"/>
        </w:rPr>
        <w:t>报告期内，共召开了两次股东大会，历次股东大会的召集、提案、出席、议</w:t>
      </w:r>
      <w:r>
        <w:rPr/>
        <w:t> </w:t>
      </w:r>
      <w:r>
        <w:rPr>
          <w:spacing w:val="-3"/>
        </w:rPr>
        <w:t>事、表决、决议及会议记录均按照《公司法》、《公司章程》、《股东大会议事</w:t>
      </w:r>
      <w:r>
        <w:rPr>
          <w:spacing w:val="-115"/>
        </w:rPr>
        <w:t> </w:t>
      </w:r>
      <w:r>
        <w:rPr>
          <w:spacing w:val="-115"/>
        </w:rPr>
      </w:r>
      <w:r>
        <w:rPr/>
        <w:t>规则》的要求规范运作。</w:t>
      </w:r>
    </w:p>
    <w:p>
      <w:pPr>
        <w:pStyle w:val="BodyText"/>
        <w:spacing w:line="240" w:lineRule="auto" w:before="34"/>
        <w:ind w:left="31" w:right="5714"/>
        <w:jc w:val="center"/>
      </w:pPr>
      <w:r>
        <w:rPr/>
        <w:t>召开情况如下：</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952"/>
        <w:gridCol w:w="3730"/>
        <w:gridCol w:w="2843"/>
      </w:tblGrid>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会议编号</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1</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2011.03.21</w:t>
            </w:r>
          </w:p>
        </w:tc>
      </w:tr>
      <w:tr>
        <w:trPr>
          <w:trHeight w:val="42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w w:val="100"/>
                <w:sz w:val="21"/>
              </w:rPr>
              <w:t>2</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sz w:val="21"/>
              </w:rPr>
              <w:t>2011.04.21</w:t>
            </w:r>
          </w:p>
        </w:tc>
      </w:tr>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3</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2011.08.24</w:t>
            </w:r>
          </w:p>
        </w:tc>
      </w:tr>
    </w:tbl>
    <w:p>
      <w:pPr>
        <w:spacing w:line="240" w:lineRule="auto" w:before="12"/>
        <w:rPr>
          <w:rFonts w:ascii="宋体" w:hAnsi="宋体" w:cs="宋体" w:eastAsia="宋体" w:hint="default"/>
          <w:sz w:val="14"/>
          <w:szCs w:val="14"/>
        </w:rPr>
      </w:pPr>
    </w:p>
    <w:p>
      <w:pPr>
        <w:pStyle w:val="BodyText"/>
        <w:spacing w:line="240" w:lineRule="auto" w:before="26"/>
        <w:ind w:left="220" w:right="0"/>
        <w:jc w:val="both"/>
      </w:pPr>
      <w:r>
        <w:rPr/>
        <w:t>（一）股东大会运行情况</w:t>
      </w:r>
    </w:p>
    <w:p>
      <w:pPr>
        <w:spacing w:line="240" w:lineRule="auto" w:before="7"/>
        <w:rPr>
          <w:rFonts w:ascii="宋体" w:hAnsi="宋体" w:cs="宋体" w:eastAsia="宋体" w:hint="default"/>
          <w:sz w:val="31"/>
          <w:szCs w:val="31"/>
        </w:rPr>
      </w:pPr>
    </w:p>
    <w:p>
      <w:pPr>
        <w:pStyle w:val="BodyText"/>
        <w:spacing w:line="240" w:lineRule="auto"/>
        <w:ind w:left="700" w:right="0"/>
        <w:jc w:val="left"/>
      </w:pPr>
      <w:r>
        <w:rPr/>
        <w:t>报告期内</w:t>
      </w:r>
      <w:r>
        <w:rPr>
          <w:spacing w:val="-113"/>
        </w:rPr>
        <w:t>，</w:t>
      </w:r>
      <w:r>
        <w:rPr/>
        <w:t>公司共召开了</w:t>
      </w:r>
      <w:r>
        <w:rPr>
          <w:spacing w:val="-60"/>
        </w:rPr>
        <w:t> </w:t>
      </w:r>
      <w:r>
        <w:rPr>
          <w:rFonts w:ascii="宋体" w:hAnsi="宋体" w:cs="宋体" w:eastAsia="宋体" w:hint="default"/>
        </w:rPr>
        <w:t>3</w:t>
      </w:r>
      <w:r>
        <w:rPr>
          <w:rFonts w:ascii="宋体" w:hAnsi="宋体" w:cs="宋体" w:eastAsia="宋体" w:hint="default"/>
          <w:spacing w:val="-60"/>
        </w:rPr>
        <w:t> </w:t>
      </w:r>
      <w:r>
        <w:rPr/>
        <w:t>次股东大会</w:t>
      </w:r>
      <w:r>
        <w:rPr>
          <w:spacing w:val="-113"/>
        </w:rPr>
        <w:t>。</w:t>
      </w:r>
      <w:r>
        <w:rPr/>
        <w:t>公司股东大会严格按</w:t>
      </w:r>
      <w:r>
        <w:rPr>
          <w:spacing w:val="-113"/>
        </w:rPr>
        <w:t>照</w:t>
      </w:r>
      <w:r>
        <w:rPr/>
        <w:t>《公司章程</w:t>
      </w:r>
      <w:r>
        <w:rPr>
          <w:spacing w:val="-113"/>
        </w:rPr>
        <w:t>》</w:t>
      </w:r>
      <w:r>
        <w:rPr/>
        <w:t>、</w:t>
      </w:r>
    </w:p>
    <w:p>
      <w:pPr>
        <w:pStyle w:val="BodyText"/>
        <w:spacing w:line="357" w:lineRule="auto" w:before="151"/>
        <w:ind w:left="220" w:right="102"/>
        <w:jc w:val="left"/>
      </w:pPr>
      <w:r>
        <w:rPr>
          <w:spacing w:val="-6"/>
        </w:rPr>
        <w:t>《股东大会议事规则》等文件的要求，对公司的相关事项做出了决策，程序规范，</w:t>
      </w:r>
      <w:r>
        <w:rPr/>
        <w:t> 决策科学，效果良好。具体情况如下：</w:t>
      </w:r>
    </w:p>
    <w:p>
      <w:pPr>
        <w:spacing w:line="240" w:lineRule="auto" w:before="1"/>
        <w:rPr>
          <w:rFonts w:ascii="宋体" w:hAnsi="宋体" w:cs="宋体" w:eastAsia="宋体" w:hint="default"/>
          <w:sz w:val="24"/>
          <w:szCs w:val="24"/>
        </w:rPr>
      </w:pPr>
    </w:p>
    <w:p>
      <w:pPr>
        <w:pStyle w:val="BodyText"/>
        <w:spacing w:line="240" w:lineRule="auto"/>
        <w:ind w:left="220" w:right="0"/>
        <w:jc w:val="both"/>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1"/>
        </w:rPr>
        <w:t> </w:t>
      </w:r>
      <w:r>
        <w:rPr/>
        <w:t>年第一次临时股东大会</w:t>
      </w:r>
    </w:p>
    <w:p>
      <w:pPr>
        <w:spacing w:line="240" w:lineRule="auto" w:before="10"/>
        <w:rPr>
          <w:rFonts w:ascii="宋体" w:hAnsi="宋体" w:cs="宋体" w:eastAsia="宋体" w:hint="default"/>
          <w:sz w:val="33"/>
          <w:szCs w:val="33"/>
        </w:rPr>
      </w:pPr>
    </w:p>
    <w:p>
      <w:pPr>
        <w:pStyle w:val="BodyText"/>
        <w:spacing w:line="240" w:lineRule="auto"/>
        <w:ind w:left="700" w:right="102"/>
        <w:jc w:val="left"/>
      </w:pP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日上午</w:t>
      </w:r>
      <w:r>
        <w:rPr>
          <w:spacing w:val="-51"/>
        </w:rPr>
        <w:t> </w:t>
      </w:r>
      <w:r>
        <w:rPr>
          <w:rFonts w:ascii="宋体" w:hAnsi="宋体" w:cs="宋体" w:eastAsia="宋体" w:hint="default"/>
        </w:rPr>
        <w:t>9</w:t>
      </w:r>
      <w:r>
        <w:rPr>
          <w:rFonts w:ascii="宋体" w:hAnsi="宋体" w:cs="宋体" w:eastAsia="宋体" w:hint="default"/>
          <w:spacing w:val="-51"/>
        </w:rPr>
        <w:t> </w:t>
      </w:r>
      <w:r>
        <w:rPr/>
        <w:t>时，在公司总部会议室召开了</w:t>
      </w:r>
      <w:r>
        <w:rPr>
          <w:spacing w:val="-50"/>
        </w:rPr>
        <w:t> </w:t>
      </w:r>
      <w:r>
        <w:rPr>
          <w:rFonts w:ascii="宋体" w:hAnsi="宋体" w:cs="宋体" w:eastAsia="宋体" w:hint="default"/>
        </w:rPr>
        <w:t>2011</w:t>
      </w:r>
      <w:r>
        <w:rPr>
          <w:rFonts w:ascii="宋体" w:hAnsi="宋体" w:cs="宋体" w:eastAsia="宋体" w:hint="default"/>
          <w:spacing w:val="-51"/>
        </w:rPr>
        <w:t> </w:t>
      </w:r>
      <w:r>
        <w:rPr/>
        <w:t>年第一次临时</w:t>
      </w:r>
    </w:p>
    <w:p>
      <w:pPr>
        <w:pStyle w:val="BodyText"/>
        <w:spacing w:line="240" w:lineRule="auto" w:before="154"/>
        <w:ind w:left="220" w:right="0"/>
        <w:jc w:val="both"/>
      </w:pPr>
      <w:r>
        <w:rPr/>
        <w:t>股东大会，出席本次大会的股东和股东代表共 </w:t>
      </w:r>
      <w:r>
        <w:rPr>
          <w:rFonts w:ascii="宋体" w:hAnsi="宋体" w:cs="宋体" w:eastAsia="宋体" w:hint="default"/>
        </w:rPr>
        <w:t>13</w:t>
      </w:r>
      <w:r>
        <w:rPr>
          <w:rFonts w:ascii="宋体" w:hAnsi="宋体" w:cs="宋体" w:eastAsia="宋体" w:hint="default"/>
          <w:spacing w:val="-95"/>
        </w:rPr>
        <w:t> </w:t>
      </w:r>
      <w:r>
        <w:rPr/>
        <w:t>名，出席会议的股东和股东代</w:t>
      </w:r>
    </w:p>
    <w:p>
      <w:pPr>
        <w:pStyle w:val="BodyText"/>
        <w:spacing w:line="357" w:lineRule="auto" w:before="151"/>
        <w:ind w:left="220" w:right="227"/>
        <w:jc w:val="both"/>
      </w:pPr>
      <w:r>
        <w:rPr/>
        <w:t>表人所持有表决权的股份总数为</w:t>
      </w:r>
      <w:r>
        <w:rPr>
          <w:spacing w:val="-24"/>
        </w:rPr>
        <w:t> </w:t>
      </w:r>
      <w:r>
        <w:rPr>
          <w:rFonts w:ascii="宋体" w:hAnsi="宋体" w:cs="宋体" w:eastAsia="宋体" w:hint="default"/>
        </w:rPr>
        <w:t>40,757,000</w:t>
      </w:r>
      <w:r>
        <w:rPr>
          <w:rFonts w:ascii="宋体" w:hAnsi="宋体" w:cs="宋体" w:eastAsia="宋体" w:hint="default"/>
          <w:spacing w:val="-24"/>
        </w:rPr>
        <w:t> </w:t>
      </w:r>
      <w:r>
        <w:rPr/>
        <w:t>股，占新国都总股本</w:t>
      </w:r>
      <w:r>
        <w:rPr>
          <w:spacing w:val="-24"/>
        </w:rPr>
        <w:t> </w:t>
      </w:r>
      <w:r>
        <w:rPr>
          <w:rFonts w:ascii="宋体" w:hAnsi="宋体" w:cs="宋体" w:eastAsia="宋体" w:hint="default"/>
        </w:rPr>
        <w:t>6350</w:t>
      </w:r>
      <w:r>
        <w:rPr>
          <w:rFonts w:ascii="宋体" w:hAnsi="宋体" w:cs="宋体" w:eastAsia="宋体" w:hint="default"/>
          <w:spacing w:val="-24"/>
        </w:rPr>
        <w:t> </w:t>
      </w:r>
      <w:r>
        <w:rPr/>
        <w:t>万股的 </w:t>
      </w:r>
      <w:r>
        <w:rPr>
          <w:rFonts w:ascii="宋体" w:hAnsi="宋体" w:cs="宋体" w:eastAsia="宋体" w:hint="default"/>
          <w:spacing w:val="-3"/>
        </w:rPr>
        <w:t>64.18%</w:t>
      </w:r>
      <w:r>
        <w:rPr>
          <w:spacing w:val="-3"/>
        </w:rPr>
        <w:t>。现场大会以逐项表决的方式审议通过了《关于审议使用部分其他与主营</w:t>
      </w:r>
      <w:r>
        <w:rPr>
          <w:spacing w:val="-102"/>
        </w:rPr>
        <w:t> </w:t>
      </w:r>
      <w:r>
        <w:rPr>
          <w:spacing w:val="-102"/>
        </w:rPr>
      </w:r>
      <w:r>
        <w:rPr>
          <w:spacing w:val="12"/>
        </w:rPr>
        <w:t>业务相关的营运资金对全资子公司深圳市新国都软件技术有限公司增资的议</w:t>
      </w:r>
      <w:r>
        <w:rPr>
          <w:spacing w:val="12"/>
        </w:rPr>
        <w:t> </w:t>
      </w:r>
      <w:r>
        <w:rPr/>
        <w:t>案》、《关于审议</w:t>
      </w:r>
      <w:r>
        <w:rPr>
          <w:rFonts w:ascii="宋体" w:hAnsi="宋体" w:cs="宋体" w:eastAsia="宋体" w:hint="default"/>
        </w:rPr>
        <w:t>&lt;</w:t>
      </w:r>
      <w:r>
        <w:rPr/>
        <w:t>会计师事务所选聘制度</w:t>
      </w:r>
      <w:r>
        <w:rPr>
          <w:rFonts w:ascii="宋体" w:hAnsi="宋体" w:cs="宋体" w:eastAsia="宋体" w:hint="default"/>
        </w:rPr>
        <w:t>&gt;</w:t>
      </w:r>
      <w:r>
        <w:rPr/>
        <w:t>的议案》、《关于审议</w:t>
      </w:r>
      <w:r>
        <w:rPr>
          <w:rFonts w:ascii="宋体" w:hAnsi="宋体" w:cs="宋体" w:eastAsia="宋体" w:hint="default"/>
        </w:rPr>
        <w:t>&lt;</w:t>
      </w:r>
      <w:r>
        <w:rPr/>
        <w:t>深圳市新国</w:t>
      </w:r>
    </w:p>
    <w:p>
      <w:pPr>
        <w:pStyle w:val="BodyText"/>
        <w:spacing w:line="240" w:lineRule="auto" w:before="34"/>
        <w:ind w:left="220" w:right="0"/>
        <w:jc w:val="both"/>
      </w:pPr>
      <w:r>
        <w:rPr/>
        <w:t>都技术股份有限公司章程修正案（一）</w:t>
      </w:r>
      <w:r>
        <w:rPr>
          <w:rFonts w:ascii="宋体" w:hAnsi="宋体" w:cs="宋体" w:eastAsia="宋体" w:hint="default"/>
        </w:rPr>
        <w:t>&gt;</w:t>
      </w:r>
      <w:r>
        <w:rPr/>
        <w:t>的议案》、《关于审议调整公司员工薪</w:t>
      </w:r>
    </w:p>
    <w:p>
      <w:pPr>
        <w:spacing w:after="0" w:line="240" w:lineRule="auto"/>
        <w:jc w:val="both"/>
        <w:sectPr>
          <w:pgSz w:w="11910" w:h="16840"/>
          <w:pgMar w:header="0" w:footer="1195" w:top="1340" w:bottom="1380" w:left="1580" w:right="1560"/>
        </w:sectPr>
      </w:pPr>
    </w:p>
    <w:p>
      <w:pPr>
        <w:pStyle w:val="BodyText"/>
        <w:spacing w:line="571" w:lineRule="auto" w:before="1"/>
        <w:ind w:left="220" w:right="846"/>
        <w:jc w:val="left"/>
      </w:pPr>
      <w:r>
        <w:rPr/>
        <w:t>酬及奖金的议案》、《关于审议调整公司董事及独立董事津贴的议案》。 </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年度股东大会</w:t>
      </w:r>
    </w:p>
    <w:p>
      <w:pPr>
        <w:pStyle w:val="BodyText"/>
        <w:spacing w:line="240" w:lineRule="auto" w:before="110"/>
        <w:ind w:left="700" w:right="0"/>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2"/>
        </w:rPr>
        <w:t> </w:t>
      </w:r>
      <w:r>
        <w:rPr/>
        <w:t>月</w:t>
      </w:r>
      <w:r>
        <w:rPr>
          <w:spacing w:val="-65"/>
        </w:rPr>
        <w:t> </w:t>
      </w:r>
      <w:r>
        <w:rPr>
          <w:rFonts w:ascii="宋体" w:hAnsi="宋体" w:cs="宋体" w:eastAsia="宋体" w:hint="default"/>
        </w:rPr>
        <w:t>21</w:t>
      </w:r>
      <w:r>
        <w:rPr>
          <w:rFonts w:ascii="宋体" w:hAnsi="宋体" w:cs="宋体" w:eastAsia="宋体" w:hint="default"/>
          <w:spacing w:val="-65"/>
        </w:rPr>
        <w:t> </w:t>
      </w:r>
      <w:r>
        <w:rPr/>
        <w:t>日</w:t>
      </w:r>
      <w:r>
        <w:rPr>
          <w:spacing w:val="2"/>
        </w:rPr>
        <w:t>上</w:t>
      </w:r>
      <w:r>
        <w:rPr/>
        <w:t>午</w:t>
      </w:r>
      <w:r>
        <w:rPr>
          <w:spacing w:val="-63"/>
        </w:rPr>
        <w:t> </w:t>
      </w:r>
      <w:r>
        <w:rPr>
          <w:rFonts w:ascii="宋体" w:hAnsi="宋体" w:cs="宋体" w:eastAsia="宋体" w:hint="default"/>
        </w:rPr>
        <w:t>10</w:t>
      </w:r>
      <w:r>
        <w:rPr>
          <w:rFonts w:ascii="宋体" w:hAnsi="宋体" w:cs="宋体" w:eastAsia="宋体" w:hint="default"/>
          <w:spacing w:val="-65"/>
        </w:rPr>
        <w:t> </w:t>
      </w:r>
      <w:r>
        <w:rPr/>
        <w:t>时</w:t>
      </w:r>
      <w:r>
        <w:rPr>
          <w:spacing w:val="-120"/>
        </w:rPr>
        <w:t>，</w:t>
      </w:r>
      <w:r>
        <w:rPr/>
        <w:t>在公司总部会</w:t>
      </w:r>
      <w:r>
        <w:rPr>
          <w:spacing w:val="2"/>
        </w:rPr>
        <w:t>议</w:t>
      </w:r>
      <w:r>
        <w:rPr/>
        <w:t>室召开了</w:t>
      </w:r>
      <w:r>
        <w:rPr>
          <w:spacing w:val="-65"/>
        </w:rPr>
        <w:t> </w:t>
      </w:r>
      <w:r>
        <w:rPr>
          <w:rFonts w:ascii="宋体" w:hAnsi="宋体" w:cs="宋体" w:eastAsia="宋体" w:hint="default"/>
        </w:rPr>
        <w:t>2010</w:t>
      </w:r>
      <w:r>
        <w:rPr>
          <w:rFonts w:ascii="宋体" w:hAnsi="宋体" w:cs="宋体" w:eastAsia="宋体" w:hint="default"/>
          <w:spacing w:val="-65"/>
        </w:rPr>
        <w:t> </w:t>
      </w:r>
      <w:r>
        <w:rPr/>
        <w:t>年度</w:t>
      </w:r>
      <w:r>
        <w:rPr>
          <w:spacing w:val="2"/>
        </w:rPr>
        <w:t>股</w:t>
      </w:r>
      <w:r>
        <w:rPr/>
        <w:t>东大会，</w:t>
      </w:r>
    </w:p>
    <w:p>
      <w:pPr>
        <w:pStyle w:val="BodyText"/>
        <w:spacing w:line="357" w:lineRule="auto" w:before="151"/>
        <w:ind w:left="220" w:right="233"/>
        <w:jc w:val="both"/>
      </w:pPr>
      <w:r>
        <w:rPr/>
        <w:t>出席本次大会的股东和股东代表共 </w:t>
      </w:r>
      <w:r>
        <w:rPr>
          <w:rFonts w:ascii="宋体" w:hAnsi="宋体" w:cs="宋体" w:eastAsia="宋体" w:hint="default"/>
        </w:rPr>
        <w:t>15 </w:t>
      </w:r>
      <w:r>
        <w:rPr/>
        <w:t>名，共持有及代表股份数为</w:t>
      </w:r>
      <w:r>
        <w:rPr>
          <w:spacing w:val="26"/>
        </w:rPr>
        <w:t> </w:t>
      </w:r>
      <w:r>
        <w:rPr>
          <w:rFonts w:ascii="宋体" w:hAnsi="宋体" w:cs="宋体" w:eastAsia="宋体" w:hint="default"/>
        </w:rPr>
        <w:t>40,775,425 </w:t>
      </w:r>
      <w:r>
        <w:rPr/>
        <w:t>股，占新国都总股本</w:t>
      </w:r>
      <w:r>
        <w:rPr>
          <w:spacing w:val="-71"/>
        </w:rPr>
        <w:t> </w:t>
      </w:r>
      <w:r>
        <w:rPr>
          <w:rFonts w:ascii="宋体" w:hAnsi="宋体" w:cs="宋体" w:eastAsia="宋体" w:hint="default"/>
        </w:rPr>
        <w:t>6350</w:t>
      </w:r>
      <w:r>
        <w:rPr>
          <w:rFonts w:ascii="宋体" w:hAnsi="宋体" w:cs="宋体" w:eastAsia="宋体" w:hint="default"/>
          <w:spacing w:val="-71"/>
        </w:rPr>
        <w:t> </w:t>
      </w:r>
      <w:r>
        <w:rPr/>
        <w:t>万股的</w:t>
      </w:r>
      <w:r>
        <w:rPr>
          <w:spacing w:val="-71"/>
        </w:rPr>
        <w:t> </w:t>
      </w:r>
      <w:r>
        <w:rPr>
          <w:rFonts w:ascii="宋体" w:hAnsi="宋体" w:cs="宋体" w:eastAsia="宋体" w:hint="default"/>
        </w:rPr>
        <w:t>64.21%</w:t>
      </w:r>
      <w:r>
        <w:rPr/>
        <w:t>。现场大会以逐项表决的方式审议通过 </w:t>
      </w:r>
      <w:r>
        <w:rPr>
          <w:spacing w:val="-3"/>
        </w:rPr>
        <w:t>了《关于审议</w:t>
      </w:r>
      <w:r>
        <w:rPr>
          <w:rFonts w:ascii="宋体" w:hAnsi="宋体" w:cs="宋体" w:eastAsia="宋体" w:hint="default"/>
          <w:spacing w:val="-3"/>
        </w:rPr>
        <w:t>&lt;2010</w:t>
      </w:r>
      <w:r>
        <w:rPr>
          <w:rFonts w:ascii="宋体" w:hAnsi="宋体" w:cs="宋体" w:eastAsia="宋体" w:hint="default"/>
          <w:spacing w:val="-55"/>
        </w:rPr>
        <w:t> </w:t>
      </w:r>
      <w:r>
        <w:rPr>
          <w:spacing w:val="-3"/>
        </w:rPr>
        <w:t>年度董事会工作报告</w:t>
      </w:r>
      <w:r>
        <w:rPr>
          <w:rFonts w:ascii="宋体" w:hAnsi="宋体" w:cs="宋体" w:eastAsia="宋体" w:hint="default"/>
          <w:spacing w:val="-3"/>
        </w:rPr>
        <w:t>&gt;</w:t>
      </w:r>
      <w:r>
        <w:rPr>
          <w:spacing w:val="-3"/>
        </w:rPr>
        <w:t>的议案》、《关于审议</w:t>
      </w:r>
      <w:r>
        <w:rPr>
          <w:rFonts w:ascii="宋体" w:hAnsi="宋体" w:cs="宋体" w:eastAsia="宋体" w:hint="default"/>
          <w:spacing w:val="-3"/>
        </w:rPr>
        <w:t>&lt;2010</w:t>
      </w:r>
      <w:r>
        <w:rPr>
          <w:rFonts w:ascii="宋体" w:hAnsi="宋体" w:cs="宋体" w:eastAsia="宋体" w:hint="default"/>
          <w:spacing w:val="-55"/>
        </w:rPr>
        <w:t> </w:t>
      </w:r>
      <w:r>
        <w:rPr/>
        <w:t>年度监事 会工作报告</w:t>
      </w:r>
      <w:r>
        <w:rPr>
          <w:rFonts w:ascii="宋体" w:hAnsi="宋体" w:cs="宋体" w:eastAsia="宋体" w:hint="default"/>
        </w:rPr>
        <w:t>&gt;</w:t>
      </w:r>
      <w:r>
        <w:rPr/>
        <w:t>的议案》、《审议 </w:t>
      </w:r>
      <w:r>
        <w:rPr>
          <w:rFonts w:ascii="宋体" w:hAnsi="宋体" w:cs="宋体" w:eastAsia="宋体" w:hint="default"/>
        </w:rPr>
        <w:t>2010</w:t>
      </w:r>
      <w:r>
        <w:rPr>
          <w:rFonts w:ascii="宋体" w:hAnsi="宋体" w:cs="宋体" w:eastAsia="宋体" w:hint="default"/>
          <w:spacing w:val="18"/>
        </w:rPr>
        <w:t> </w:t>
      </w:r>
      <w:r>
        <w:rPr/>
        <w:t>年度经审计财务决算报告》、《关于审议</w:t>
      </w:r>
    </w:p>
    <w:p>
      <w:pPr>
        <w:pStyle w:val="BodyText"/>
        <w:spacing w:line="357" w:lineRule="auto" w:before="34"/>
        <w:ind w:left="220" w:right="126"/>
        <w:jc w:val="left"/>
      </w:pPr>
      <w:r>
        <w:rPr>
          <w:rFonts w:ascii="宋体" w:hAnsi="宋体" w:cs="宋体" w:eastAsia="宋体" w:hint="default"/>
        </w:rPr>
        <w:t>2010</w:t>
      </w:r>
      <w:r>
        <w:rPr>
          <w:rFonts w:ascii="宋体" w:hAnsi="宋体" w:cs="宋体" w:eastAsia="宋体" w:hint="default"/>
          <w:spacing w:val="-69"/>
        </w:rPr>
        <w:t> </w:t>
      </w:r>
      <w:r>
        <w:rPr/>
        <w:t>年度报告正文及摘要的议案》、《关于审议</w:t>
      </w:r>
      <w:r>
        <w:rPr>
          <w:spacing w:val="-67"/>
        </w:rPr>
        <w:t> </w:t>
      </w:r>
      <w:r>
        <w:rPr>
          <w:rFonts w:ascii="宋体" w:hAnsi="宋体" w:cs="宋体" w:eastAsia="宋体" w:hint="default"/>
        </w:rPr>
        <w:t>2010</w:t>
      </w:r>
      <w:r>
        <w:rPr>
          <w:rFonts w:ascii="宋体" w:hAnsi="宋体" w:cs="宋体" w:eastAsia="宋体" w:hint="default"/>
          <w:spacing w:val="-68"/>
        </w:rPr>
        <w:t> </w:t>
      </w:r>
      <w:r>
        <w:rPr/>
        <w:t>年度利润分配及资本公积 转增股本的议案》、《关于审议</w:t>
      </w:r>
      <w:r>
        <w:rPr>
          <w:rFonts w:ascii="宋体" w:hAnsi="宋体" w:cs="宋体" w:eastAsia="宋体" w:hint="default"/>
        </w:rPr>
        <w:t>&lt;</w:t>
      </w:r>
      <w:r>
        <w:rPr/>
        <w:t>募集资金存放与使用情况专项报告</w:t>
      </w:r>
      <w:r>
        <w:rPr>
          <w:rFonts w:ascii="宋体" w:hAnsi="宋体" w:cs="宋体" w:eastAsia="宋体" w:hint="default"/>
        </w:rPr>
        <w:t>&gt;</w:t>
      </w:r>
      <w:r>
        <w:rPr/>
        <w:t>的议案》、</w:t>
      </w:r>
    </w:p>
    <w:p>
      <w:pPr>
        <w:pStyle w:val="BodyText"/>
        <w:spacing w:line="240" w:lineRule="auto" w:before="34"/>
        <w:ind w:left="220" w:right="102"/>
        <w:jc w:val="left"/>
      </w:pPr>
      <w:r>
        <w:rPr/>
        <w:t>《关于审议聘请公司</w:t>
      </w:r>
      <w:r>
        <w:rPr>
          <w:spacing w:val="-59"/>
        </w:rPr>
        <w:t> </w:t>
      </w:r>
      <w:r>
        <w:rPr>
          <w:rFonts w:ascii="宋体" w:hAnsi="宋体" w:cs="宋体" w:eastAsia="宋体" w:hint="default"/>
        </w:rPr>
        <w:t>2011</w:t>
      </w:r>
      <w:r>
        <w:rPr>
          <w:rFonts w:ascii="宋体" w:hAnsi="宋体" w:cs="宋体" w:eastAsia="宋体" w:hint="default"/>
          <w:spacing w:val="-59"/>
        </w:rPr>
        <w:t> </w:t>
      </w:r>
      <w:r>
        <w:rPr>
          <w:spacing w:val="-4"/>
        </w:rPr>
        <w:t>年度审计机构的议案》、《关于审议</w:t>
      </w:r>
      <w:r>
        <w:rPr>
          <w:rFonts w:ascii="宋体" w:hAnsi="宋体" w:cs="宋体" w:eastAsia="宋体" w:hint="default"/>
          <w:spacing w:val="-4"/>
        </w:rPr>
        <w:t>&lt;</w:t>
      </w:r>
      <w:r>
        <w:rPr>
          <w:spacing w:val="-4"/>
        </w:rPr>
        <w:t>公司章程修正案</w:t>
      </w:r>
    </w:p>
    <w:p>
      <w:pPr>
        <w:pStyle w:val="BodyText"/>
        <w:spacing w:line="355" w:lineRule="auto" w:before="154"/>
        <w:ind w:left="220" w:right="226"/>
        <w:jc w:val="left"/>
      </w:pPr>
      <w:r>
        <w:rPr/>
        <w:t>（二）</w:t>
      </w:r>
      <w:r>
        <w:rPr>
          <w:rFonts w:ascii="宋体" w:hAnsi="宋体" w:cs="宋体" w:eastAsia="宋体" w:hint="default"/>
        </w:rPr>
        <w:t>&gt;</w:t>
      </w:r>
      <w:r>
        <w:rPr/>
        <w:t>的议案》、《关于审议选举第二届董事会的议案》、《关于审议选举第</w:t>
      </w:r>
      <w:r>
        <w:rPr>
          <w:spacing w:val="-104"/>
        </w:rPr>
        <w:t> </w:t>
      </w:r>
      <w:r>
        <w:rPr>
          <w:spacing w:val="-104"/>
        </w:rPr>
      </w:r>
      <w:r>
        <w:rPr/>
        <w:t>二届监事会的议案》。</w:t>
      </w:r>
    </w:p>
    <w:p>
      <w:pPr>
        <w:spacing w:line="240" w:lineRule="auto" w:before="6"/>
        <w:rPr>
          <w:rFonts w:ascii="宋体" w:hAnsi="宋体" w:cs="宋体" w:eastAsia="宋体" w:hint="default"/>
          <w:sz w:val="24"/>
          <w:szCs w:val="24"/>
        </w:rPr>
      </w:pPr>
    </w:p>
    <w:p>
      <w:pPr>
        <w:pStyle w:val="BodyText"/>
        <w:spacing w:line="240" w:lineRule="auto"/>
        <w:ind w:left="220" w:right="226"/>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1"/>
        </w:rPr>
        <w:t> </w:t>
      </w:r>
      <w:r>
        <w:rPr/>
        <w:t>年第二次临时股东大会</w:t>
      </w:r>
    </w:p>
    <w:p>
      <w:pPr>
        <w:spacing w:line="240" w:lineRule="auto" w:before="10"/>
        <w:rPr>
          <w:rFonts w:ascii="宋体" w:hAnsi="宋体" w:cs="宋体" w:eastAsia="宋体" w:hint="default"/>
          <w:sz w:val="33"/>
          <w:szCs w:val="33"/>
        </w:rPr>
      </w:pPr>
    </w:p>
    <w:p>
      <w:pPr>
        <w:pStyle w:val="BodyText"/>
        <w:spacing w:line="240" w:lineRule="auto"/>
        <w:ind w:left="700" w:right="102"/>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日上午</w:t>
      </w:r>
      <w:r>
        <w:rPr>
          <w:spacing w:val="-60"/>
        </w:rPr>
        <w:t> </w:t>
      </w:r>
      <w:r>
        <w:rPr>
          <w:rFonts w:ascii="宋体" w:hAnsi="宋体" w:cs="宋体" w:eastAsia="宋体" w:hint="default"/>
        </w:rPr>
        <w:t>10</w:t>
      </w:r>
      <w:r>
        <w:rPr>
          <w:rFonts w:ascii="宋体" w:hAnsi="宋体" w:cs="宋体" w:eastAsia="宋体" w:hint="default"/>
          <w:spacing w:val="-60"/>
        </w:rPr>
        <w:t> </w:t>
      </w:r>
      <w:r>
        <w:rPr>
          <w:spacing w:val="-3"/>
        </w:rPr>
        <w:t>时，在公司总部会议室召开了</w:t>
      </w:r>
      <w:r>
        <w:rPr>
          <w:spacing w:val="-59"/>
        </w:rPr>
        <w:t> </w:t>
      </w:r>
      <w:r>
        <w:rPr>
          <w:rFonts w:ascii="宋体" w:hAnsi="宋体" w:cs="宋体" w:eastAsia="宋体" w:hint="default"/>
        </w:rPr>
        <w:t>2011</w:t>
      </w:r>
      <w:r>
        <w:rPr>
          <w:rFonts w:ascii="宋体" w:hAnsi="宋体" w:cs="宋体" w:eastAsia="宋体" w:hint="default"/>
          <w:spacing w:val="-60"/>
        </w:rPr>
        <w:t> </w:t>
      </w:r>
      <w:r>
        <w:rPr/>
        <w:t>年第二次临时</w:t>
      </w:r>
    </w:p>
    <w:p>
      <w:pPr>
        <w:pStyle w:val="BodyText"/>
        <w:spacing w:line="355" w:lineRule="auto" w:before="151"/>
        <w:ind w:left="220" w:right="220"/>
        <w:jc w:val="left"/>
        <w:rPr>
          <w:rFonts w:ascii="宋体" w:hAnsi="宋体" w:cs="宋体" w:eastAsia="宋体" w:hint="default"/>
          <w:sz w:val="28"/>
          <w:szCs w:val="28"/>
        </w:rPr>
      </w:pPr>
      <w:r>
        <w:rPr>
          <w:spacing w:val="-6"/>
        </w:rPr>
        <w:t>股东大会，出席本次大会的股东和股东代表共</w:t>
      </w:r>
      <w:r>
        <w:rPr>
          <w:spacing w:val="-72"/>
        </w:rPr>
        <w:t> </w:t>
      </w:r>
      <w:r>
        <w:rPr>
          <w:rFonts w:ascii="宋体" w:hAnsi="宋体" w:cs="宋体" w:eastAsia="宋体" w:hint="default"/>
        </w:rPr>
        <w:t>11</w:t>
      </w:r>
      <w:r>
        <w:rPr>
          <w:rFonts w:ascii="宋体" w:hAnsi="宋体" w:cs="宋体" w:eastAsia="宋体" w:hint="default"/>
          <w:spacing w:val="-72"/>
        </w:rPr>
        <w:t> </w:t>
      </w:r>
      <w:r>
        <w:rPr>
          <w:spacing w:val="-10"/>
        </w:rPr>
        <w:t>名，共持有及代表股份数为</w:t>
      </w:r>
      <w:r>
        <w:rPr>
          <w:spacing w:val="-72"/>
        </w:rPr>
        <w:t> </w:t>
      </w:r>
      <w:r>
        <w:rPr>
          <w:rFonts w:ascii="宋体" w:hAnsi="宋体" w:cs="宋体" w:eastAsia="宋体" w:hint="default"/>
        </w:rPr>
        <w:t>7047 </w:t>
      </w:r>
      <w:r>
        <w:rPr/>
        <w:t>万股，占新国都总股本</w:t>
      </w:r>
      <w:r>
        <w:rPr>
          <w:spacing w:val="-31"/>
        </w:rPr>
        <w:t> </w:t>
      </w:r>
      <w:r>
        <w:rPr>
          <w:rFonts w:ascii="宋体" w:hAnsi="宋体" w:cs="宋体" w:eastAsia="宋体" w:hint="default"/>
        </w:rPr>
        <w:t>1.143</w:t>
      </w:r>
      <w:r>
        <w:rPr>
          <w:rFonts w:ascii="宋体" w:hAnsi="宋体" w:cs="宋体" w:eastAsia="宋体" w:hint="default"/>
          <w:spacing w:val="-32"/>
        </w:rPr>
        <w:t> </w:t>
      </w:r>
      <w:r>
        <w:rPr/>
        <w:t>亿股的</w:t>
      </w:r>
      <w:r>
        <w:rPr>
          <w:spacing w:val="-31"/>
        </w:rPr>
        <w:t> </w:t>
      </w:r>
      <w:r>
        <w:rPr>
          <w:rFonts w:ascii="宋体" w:hAnsi="宋体" w:cs="宋体" w:eastAsia="宋体" w:hint="default"/>
        </w:rPr>
        <w:t>61.65%</w:t>
      </w:r>
      <w:r>
        <w:rPr/>
        <w:t>。现场大会以逐项表决的方式审议 通过了《关于投资建设电子支付技术苏州研发基地项目的议案》。 </w:t>
      </w:r>
      <w:r>
        <w:rPr>
          <w:rFonts w:ascii="宋体" w:hAnsi="宋体" w:cs="宋体" w:eastAsia="宋体" w:hint="default"/>
          <w:b/>
          <w:bCs/>
          <w:sz w:val="28"/>
          <w:szCs w:val="28"/>
        </w:rPr>
        <w:t>四、董事会运行情况</w:t>
      </w:r>
      <w:r>
        <w:rPr>
          <w:rFonts w:ascii="宋体" w:hAnsi="宋体" w:cs="宋体" w:eastAsia="宋体" w:hint="default"/>
          <w:sz w:val="28"/>
          <w:szCs w:val="28"/>
        </w:rPr>
      </w:r>
    </w:p>
    <w:p>
      <w:pPr>
        <w:spacing w:line="240" w:lineRule="auto" w:before="13"/>
        <w:rPr>
          <w:rFonts w:ascii="宋体" w:hAnsi="宋体" w:cs="宋体" w:eastAsia="宋体" w:hint="default"/>
          <w:b/>
          <w:bCs/>
          <w:sz w:val="23"/>
          <w:szCs w:val="23"/>
        </w:rPr>
      </w:pPr>
    </w:p>
    <w:p>
      <w:pPr>
        <w:pStyle w:val="BodyText"/>
        <w:spacing w:line="240" w:lineRule="auto"/>
        <w:ind w:left="220" w:right="226"/>
        <w:jc w:val="left"/>
      </w:pPr>
      <w:r>
        <w:rPr/>
        <w:t>（一）董事会运行情况</w:t>
      </w:r>
    </w:p>
    <w:p>
      <w:pPr>
        <w:spacing w:line="240" w:lineRule="auto" w:before="5"/>
        <w:rPr>
          <w:rFonts w:ascii="宋体" w:hAnsi="宋体" w:cs="宋体" w:eastAsia="宋体" w:hint="default"/>
          <w:sz w:val="31"/>
          <w:szCs w:val="31"/>
        </w:rPr>
      </w:pPr>
    </w:p>
    <w:p>
      <w:pPr>
        <w:pStyle w:val="BodyText"/>
        <w:spacing w:line="240" w:lineRule="auto"/>
        <w:ind w:left="700" w:right="102"/>
        <w:jc w:val="left"/>
      </w:pPr>
      <w:r>
        <w:rPr/>
        <w:t>报告期内，公司共召开了</w:t>
      </w:r>
      <w:r>
        <w:rPr>
          <w:spacing w:val="-60"/>
        </w:rPr>
        <w:t> </w:t>
      </w:r>
      <w:r>
        <w:rPr>
          <w:rFonts w:ascii="宋体" w:hAnsi="宋体" w:cs="宋体" w:eastAsia="宋体" w:hint="default"/>
        </w:rPr>
        <w:t>7</w:t>
      </w:r>
      <w:r>
        <w:rPr>
          <w:rFonts w:ascii="宋体" w:hAnsi="宋体" w:cs="宋体" w:eastAsia="宋体" w:hint="default"/>
          <w:spacing w:val="-60"/>
        </w:rPr>
        <w:t> </w:t>
      </w:r>
      <w:r>
        <w:rPr/>
        <w:t>次董事大会。公司董事会严格按照《公司法》、</w:t>
      </w:r>
    </w:p>
    <w:p>
      <w:pPr>
        <w:pStyle w:val="BodyText"/>
        <w:spacing w:line="355" w:lineRule="auto" w:before="154"/>
        <w:ind w:left="220" w:right="231"/>
        <w:jc w:val="left"/>
        <w:rPr>
          <w:rFonts w:ascii="宋体" w:hAnsi="宋体" w:cs="宋体" w:eastAsia="宋体" w:hint="default"/>
        </w:rPr>
      </w:pPr>
      <w:r>
        <w:rPr>
          <w:spacing w:val="-3"/>
        </w:rPr>
        <w:t>《公司章程》、《董事会议事规则》等文件的要求，对公司的相关事项作出了决</w:t>
      </w:r>
      <w:r>
        <w:rPr>
          <w:spacing w:val="-112"/>
        </w:rPr>
        <w:t> </w:t>
      </w:r>
      <w:r>
        <w:rPr>
          <w:spacing w:val="-112"/>
        </w:rPr>
      </w:r>
      <w:r>
        <w:rPr/>
        <w:t>策，程序规范，决策科学，效果良好。召开情况如下</w:t>
      </w:r>
      <w:r>
        <w:rPr>
          <w:rFonts w:ascii="宋体" w:hAnsi="宋体" w:cs="宋体" w:eastAsia="宋体" w:hint="default"/>
        </w:rPr>
        <w:t>:</w:t>
      </w: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952"/>
        <w:gridCol w:w="4112"/>
        <w:gridCol w:w="2460"/>
      </w:tblGrid>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会议编号</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42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2011.01.17</w:t>
            </w:r>
          </w:p>
        </w:tc>
      </w:tr>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2</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2011.03.03</w:t>
            </w:r>
          </w:p>
        </w:tc>
      </w:tr>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3</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2011.03.29</w:t>
            </w:r>
          </w:p>
        </w:tc>
      </w:tr>
    </w:tbl>
    <w:p>
      <w:pPr>
        <w:spacing w:after="0" w:line="241" w:lineRule="exact"/>
        <w:jc w:val="left"/>
        <w:rPr>
          <w:rFonts w:ascii="宋体" w:hAnsi="宋体" w:cs="宋体" w:eastAsia="宋体" w:hint="default"/>
          <w:sz w:val="21"/>
          <w:szCs w:val="21"/>
        </w:rPr>
        <w:sectPr>
          <w:pgSz w:w="11910" w:h="16840"/>
          <w:pgMar w:header="0" w:footer="1195" w:top="1380" w:bottom="1380" w:left="1580" w:right="156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952"/>
        <w:gridCol w:w="4112"/>
        <w:gridCol w:w="2460"/>
      </w:tblGrid>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4</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2011.04.20</w:t>
            </w:r>
          </w:p>
        </w:tc>
      </w:tr>
      <w:tr>
        <w:trPr>
          <w:trHeight w:val="42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w w:val="100"/>
                <w:sz w:val="21"/>
              </w:rPr>
              <w:t>5</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sz w:val="21"/>
              </w:rPr>
              <w:t>2011.04.21</w:t>
            </w:r>
          </w:p>
        </w:tc>
      </w:tr>
      <w:tr>
        <w:trPr>
          <w:trHeight w:val="41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6</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2011.08.05</w:t>
            </w:r>
          </w:p>
        </w:tc>
      </w:tr>
      <w:tr>
        <w:trPr>
          <w:trHeight w:val="42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w w:val="100"/>
                <w:sz w:val="21"/>
              </w:rPr>
              <w:t>7</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2011.10.24</w:t>
            </w:r>
          </w:p>
        </w:tc>
      </w:tr>
    </w:tbl>
    <w:p>
      <w:pPr>
        <w:spacing w:line="240" w:lineRule="auto" w:before="6"/>
        <w:rPr>
          <w:rFonts w:ascii="宋体" w:hAnsi="宋体" w:cs="宋体" w:eastAsia="宋体" w:hint="default"/>
          <w:sz w:val="22"/>
          <w:szCs w:val="22"/>
        </w:rPr>
      </w:pPr>
    </w:p>
    <w:p>
      <w:pPr>
        <w:pStyle w:val="BodyText"/>
        <w:spacing w:line="240" w:lineRule="auto" w:before="26"/>
        <w:ind w:left="220" w:right="226"/>
        <w:jc w:val="left"/>
      </w:pPr>
      <w:r>
        <w:rPr>
          <w:rFonts w:ascii="宋体" w:hAnsi="宋体" w:cs="宋体" w:eastAsia="宋体" w:hint="default"/>
        </w:rPr>
        <w:t>1</w:t>
      </w:r>
      <w:r>
        <w:rPr/>
        <w:t>、第一届董事会第十三次会议</w:t>
      </w:r>
    </w:p>
    <w:p>
      <w:pPr>
        <w:spacing w:line="240" w:lineRule="auto" w:before="9"/>
        <w:rPr>
          <w:rFonts w:ascii="宋体" w:hAnsi="宋体" w:cs="宋体" w:eastAsia="宋体" w:hint="default"/>
          <w:sz w:val="27"/>
          <w:szCs w:val="27"/>
        </w:rPr>
      </w:pPr>
    </w:p>
    <w:p>
      <w:pPr>
        <w:pStyle w:val="BodyText"/>
        <w:spacing w:line="357" w:lineRule="auto"/>
        <w:ind w:left="220" w:right="126" w:firstLine="479"/>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w:t>
      </w:r>
      <w:r>
        <w:rPr>
          <w:spacing w:val="-48"/>
        </w:rPr>
        <w:t> </w:t>
      </w:r>
      <w:r>
        <w:rPr>
          <w:rFonts w:ascii="宋体" w:hAnsi="宋体" w:cs="宋体" w:eastAsia="宋体" w:hint="default"/>
        </w:rPr>
        <w:t>10</w:t>
      </w:r>
      <w:r>
        <w:rPr>
          <w:rFonts w:ascii="宋体" w:hAnsi="宋体" w:cs="宋体" w:eastAsia="宋体" w:hint="default"/>
          <w:spacing w:val="-46"/>
        </w:rPr>
        <w:t> </w:t>
      </w:r>
      <w:r>
        <w:rPr/>
        <w:t>时，在公司总部会议室召开第一届董事会第十三次次 会议。审议通过了《关于审议</w:t>
      </w:r>
      <w:r>
        <w:rPr>
          <w:rFonts w:ascii="宋体" w:hAnsi="宋体" w:cs="宋体" w:eastAsia="宋体" w:hint="default"/>
        </w:rPr>
        <w:t>&lt;</w:t>
      </w:r>
      <w:r>
        <w:rPr/>
        <w:t>财务会计基础工作专项活动自查报告</w:t>
      </w:r>
      <w:r>
        <w:rPr>
          <w:rFonts w:ascii="宋体" w:hAnsi="宋体" w:cs="宋体" w:eastAsia="宋体" w:hint="default"/>
        </w:rPr>
        <w:t>&gt;</w:t>
      </w:r>
      <w:r>
        <w:rPr/>
        <w:t>的议案》、</w:t>
      </w:r>
    </w:p>
    <w:p>
      <w:pPr>
        <w:pStyle w:val="BodyText"/>
        <w:spacing w:line="240" w:lineRule="auto" w:before="34"/>
        <w:ind w:left="220" w:right="102"/>
        <w:jc w:val="left"/>
      </w:pPr>
      <w:r>
        <w:rPr/>
        <w:t>《关于审议</w:t>
      </w:r>
      <w:r>
        <w:rPr>
          <w:rFonts w:ascii="宋体" w:hAnsi="宋体" w:cs="宋体" w:eastAsia="宋体" w:hint="default"/>
        </w:rPr>
        <w:t>&lt;</w:t>
      </w:r>
      <w:r>
        <w:rPr/>
        <w:t>深圳市新国都技术股份有限公司信息披露制度</w:t>
      </w:r>
      <w:r>
        <w:rPr>
          <w:rFonts w:ascii="宋体" w:hAnsi="宋体" w:cs="宋体" w:eastAsia="宋体" w:hint="default"/>
        </w:rPr>
        <w:t>&gt;</w:t>
      </w:r>
      <w:r>
        <w:rPr/>
        <w:t>（修订）的议案》、</w:t>
      </w:r>
    </w:p>
    <w:p>
      <w:pPr>
        <w:pStyle w:val="BodyText"/>
        <w:spacing w:line="355" w:lineRule="auto" w:before="154"/>
        <w:ind w:left="220" w:right="231"/>
        <w:jc w:val="left"/>
      </w:pPr>
      <w:r>
        <w:rPr>
          <w:spacing w:val="-3"/>
        </w:rPr>
        <w:t>《关于审议调整公司员工薪酬及奖金的议案》、《关于审议调整公司独立董事津</w:t>
      </w:r>
      <w:r>
        <w:rPr>
          <w:spacing w:val="-110"/>
        </w:rPr>
        <w:t> </w:t>
      </w:r>
      <w:r>
        <w:rPr>
          <w:spacing w:val="-110"/>
        </w:rPr>
      </w:r>
      <w:r>
        <w:rPr/>
        <w:t>贴的议案》。</w:t>
      </w:r>
    </w:p>
    <w:p>
      <w:pPr>
        <w:spacing w:line="240" w:lineRule="auto" w:before="6"/>
        <w:rPr>
          <w:rFonts w:ascii="宋体" w:hAnsi="宋体" w:cs="宋体" w:eastAsia="宋体" w:hint="default"/>
          <w:sz w:val="30"/>
          <w:szCs w:val="30"/>
        </w:rPr>
      </w:pPr>
    </w:p>
    <w:p>
      <w:pPr>
        <w:pStyle w:val="BodyText"/>
        <w:spacing w:line="240" w:lineRule="auto"/>
        <w:ind w:left="220" w:right="226"/>
        <w:jc w:val="left"/>
      </w:pPr>
      <w:r>
        <w:rPr>
          <w:rFonts w:ascii="宋体" w:hAnsi="宋体" w:cs="宋体" w:eastAsia="宋体" w:hint="default"/>
        </w:rPr>
        <w:t>2</w:t>
      </w:r>
      <w:r>
        <w:rPr/>
        <w:t>、第一届董事会第十四次会议</w:t>
      </w:r>
    </w:p>
    <w:p>
      <w:pPr>
        <w:spacing w:line="240" w:lineRule="auto" w:before="10"/>
        <w:rPr>
          <w:rFonts w:ascii="宋体" w:hAnsi="宋体" w:cs="宋体" w:eastAsia="宋体" w:hint="default"/>
          <w:sz w:val="27"/>
          <w:szCs w:val="27"/>
        </w:rPr>
      </w:pPr>
    </w:p>
    <w:p>
      <w:pPr>
        <w:pStyle w:val="BodyText"/>
        <w:spacing w:line="357" w:lineRule="auto"/>
        <w:ind w:left="220" w:right="107" w:firstLine="479"/>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3</w:t>
      </w:r>
      <w:r>
        <w:rPr>
          <w:rFonts w:ascii="宋体" w:hAnsi="宋体" w:cs="宋体" w:eastAsia="宋体" w:hint="default"/>
          <w:spacing w:val="-65"/>
        </w:rPr>
        <w:t> </w:t>
      </w:r>
      <w:r>
        <w:rPr/>
        <w:t>日</w:t>
      </w:r>
      <w:r>
        <w:rPr>
          <w:spacing w:val="-65"/>
        </w:rPr>
        <w:t> </w:t>
      </w:r>
      <w:r>
        <w:rPr>
          <w:rFonts w:ascii="宋体" w:hAnsi="宋体" w:cs="宋体" w:eastAsia="宋体" w:hint="default"/>
        </w:rPr>
        <w:t>10</w:t>
      </w:r>
      <w:r>
        <w:rPr>
          <w:rFonts w:ascii="宋体" w:hAnsi="宋体" w:cs="宋体" w:eastAsia="宋体" w:hint="default"/>
          <w:spacing w:val="-65"/>
        </w:rPr>
        <w:t> </w:t>
      </w:r>
      <w:r>
        <w:rPr>
          <w:spacing w:val="-5"/>
        </w:rPr>
        <w:t>时，在公司总部会议室召开第一届董事会第十四次会议。</w:t>
      </w:r>
      <w:r>
        <w:rPr/>
        <w:t> </w:t>
      </w:r>
      <w:r>
        <w:rPr>
          <w:spacing w:val="-3"/>
        </w:rPr>
        <w:t>审议通过了《关于审议使用募集资金置换预先投入募集资金投资项目的自筹资金</w:t>
      </w:r>
      <w:r>
        <w:rPr>
          <w:spacing w:val="-110"/>
        </w:rPr>
        <w:t> </w:t>
      </w:r>
      <w:r>
        <w:rPr>
          <w:spacing w:val="-110"/>
        </w:rPr>
      </w:r>
      <w:r>
        <w:rPr>
          <w:spacing w:val="-3"/>
        </w:rPr>
        <w:t>的议案》、《关于审议使用部分其他与主营业务相关的营运资金对全资子公司深</w:t>
      </w:r>
      <w:r>
        <w:rPr>
          <w:spacing w:val="-111"/>
        </w:rPr>
        <w:t> </w:t>
      </w:r>
      <w:r>
        <w:rPr>
          <w:spacing w:val="-111"/>
        </w:rPr>
      </w:r>
      <w:r>
        <w:rPr/>
        <w:t>圳市新国都软件技术有限公司增资的议案》、《关于审议制订</w:t>
      </w:r>
      <w:r>
        <w:rPr>
          <w:rFonts w:ascii="宋体" w:hAnsi="宋体" w:cs="宋体" w:eastAsia="宋体" w:hint="default"/>
        </w:rPr>
        <w:t>&lt;</w:t>
      </w:r>
      <w:r>
        <w:rPr/>
        <w:t>深圳市新国都技</w:t>
      </w:r>
      <w:r>
        <w:rPr>
          <w:spacing w:val="-100"/>
        </w:rPr>
        <w:t> </w:t>
      </w:r>
      <w:r>
        <w:rPr>
          <w:spacing w:val="-100"/>
        </w:rPr>
      </w:r>
      <w:r>
        <w:rPr>
          <w:spacing w:val="-3"/>
        </w:rPr>
        <w:t>术股份有限公司对外投资管理制度</w:t>
      </w:r>
      <w:r>
        <w:rPr>
          <w:rFonts w:ascii="宋体" w:hAnsi="宋体" w:cs="宋体" w:eastAsia="宋体" w:hint="default"/>
          <w:spacing w:val="-3"/>
        </w:rPr>
        <w:t>&gt;</w:t>
      </w:r>
      <w:r>
        <w:rPr>
          <w:spacing w:val="-3"/>
        </w:rPr>
        <w:t>的议案》、《关于审议制订</w:t>
      </w:r>
      <w:r>
        <w:rPr>
          <w:rFonts w:ascii="宋体" w:hAnsi="宋体" w:cs="宋体" w:eastAsia="宋体" w:hint="default"/>
          <w:spacing w:val="-3"/>
        </w:rPr>
        <w:t>&lt;</w:t>
      </w:r>
      <w:r>
        <w:rPr>
          <w:spacing w:val="-3"/>
        </w:rPr>
        <w:t>深圳市新国都技</w:t>
      </w:r>
      <w:r>
        <w:rPr>
          <w:spacing w:val="-107"/>
        </w:rPr>
        <w:t> </w:t>
      </w:r>
      <w:r>
        <w:rPr/>
        <w:t>术股份有限公司防范控股股东及关联方占用公司资金制度</w:t>
      </w:r>
      <w:r>
        <w:rPr>
          <w:rFonts w:ascii="宋体" w:hAnsi="宋体" w:cs="宋体" w:eastAsia="宋体" w:hint="default"/>
        </w:rPr>
        <w:t>&gt;</w:t>
      </w:r>
      <w:r>
        <w:rPr/>
        <w:t>的议案》、《关于审</w:t>
      </w:r>
      <w:r>
        <w:rPr>
          <w:spacing w:val="-100"/>
        </w:rPr>
        <w:t> </w:t>
      </w:r>
      <w:r>
        <w:rPr>
          <w:spacing w:val="-100"/>
        </w:rPr>
      </w:r>
      <w:r>
        <w:rPr/>
        <w:t>议制订</w:t>
      </w:r>
      <w:r>
        <w:rPr>
          <w:rFonts w:ascii="宋体" w:hAnsi="宋体" w:cs="宋体" w:eastAsia="宋体" w:hint="default"/>
        </w:rPr>
        <w:t>&lt;</w:t>
      </w:r>
      <w:r>
        <w:rPr/>
        <w:t>深圳市新国都技术股份有限公司会计政策、会计估计变更及会计差错管</w:t>
      </w:r>
      <w:r>
        <w:rPr>
          <w:spacing w:val="-102"/>
        </w:rPr>
        <w:t> </w:t>
      </w:r>
      <w:r>
        <w:rPr>
          <w:spacing w:val="-102"/>
        </w:rPr>
      </w:r>
      <w:r>
        <w:rPr>
          <w:spacing w:val="-3"/>
        </w:rPr>
        <w:t>理制度</w:t>
      </w:r>
      <w:r>
        <w:rPr>
          <w:rFonts w:ascii="宋体" w:hAnsi="宋体" w:cs="宋体" w:eastAsia="宋体" w:hint="default"/>
          <w:spacing w:val="-3"/>
        </w:rPr>
        <w:t>&gt;</w:t>
      </w:r>
      <w:r>
        <w:rPr>
          <w:spacing w:val="-3"/>
        </w:rPr>
        <w:t>的议案》、《关于审议制订</w:t>
      </w:r>
      <w:r>
        <w:rPr>
          <w:rFonts w:ascii="宋体" w:hAnsi="宋体" w:cs="宋体" w:eastAsia="宋体" w:hint="default"/>
          <w:spacing w:val="-3"/>
        </w:rPr>
        <w:t>&lt;</w:t>
      </w:r>
      <w:r>
        <w:rPr>
          <w:spacing w:val="-3"/>
        </w:rPr>
        <w:t>深圳市新国都技术股份有限公司资产减值准</w:t>
      </w:r>
      <w:r>
        <w:rPr>
          <w:spacing w:val="-108"/>
        </w:rPr>
        <w:t> </w:t>
      </w:r>
      <w:r>
        <w:rPr>
          <w:spacing w:val="-12"/>
        </w:rPr>
        <w:t>备计提及核销管理制度</w:t>
      </w:r>
      <w:r>
        <w:rPr>
          <w:rFonts w:ascii="宋体" w:hAnsi="宋体" w:cs="宋体" w:eastAsia="宋体" w:hint="default"/>
          <w:spacing w:val="-12"/>
        </w:rPr>
        <w:t>&gt;</w:t>
      </w:r>
      <w:r>
        <w:rPr>
          <w:spacing w:val="-12"/>
        </w:rPr>
        <w:t>的议案》、《关于审议提名公司内部审计部经理的议案》、</w:t>
      </w:r>
      <w:r>
        <w:rPr/>
      </w:r>
    </w:p>
    <w:p>
      <w:pPr>
        <w:pStyle w:val="BodyText"/>
        <w:spacing w:line="240" w:lineRule="auto" w:before="34"/>
        <w:ind w:left="220" w:right="226"/>
        <w:jc w:val="left"/>
      </w:pPr>
      <w:r>
        <w:rPr/>
        <w:t>《关于审议召开</w:t>
      </w:r>
      <w:r>
        <w:rPr>
          <w:spacing w:val="-61"/>
        </w:rPr>
        <w:t> </w:t>
      </w:r>
      <w:r>
        <w:rPr>
          <w:rFonts w:ascii="宋体" w:hAnsi="宋体" w:cs="宋体" w:eastAsia="宋体" w:hint="default"/>
        </w:rPr>
        <w:t>2011</w:t>
      </w:r>
      <w:r>
        <w:rPr>
          <w:rFonts w:ascii="宋体" w:hAnsi="宋体" w:cs="宋体" w:eastAsia="宋体" w:hint="default"/>
          <w:spacing w:val="-61"/>
        </w:rPr>
        <w:t> </w:t>
      </w:r>
      <w:r>
        <w:rPr/>
        <w:t>年第一次临时股东大会的议案》。</w:t>
      </w:r>
    </w:p>
    <w:p>
      <w:pPr>
        <w:spacing w:line="240" w:lineRule="auto" w:before="0"/>
        <w:rPr>
          <w:rFonts w:ascii="宋体" w:hAnsi="宋体" w:cs="宋体" w:eastAsia="宋体" w:hint="default"/>
          <w:sz w:val="24"/>
          <w:szCs w:val="24"/>
        </w:rPr>
      </w:pPr>
    </w:p>
    <w:p>
      <w:pPr>
        <w:pStyle w:val="BodyText"/>
        <w:spacing w:line="240" w:lineRule="auto" w:before="200"/>
        <w:ind w:left="220" w:right="226"/>
        <w:jc w:val="left"/>
      </w:pPr>
      <w:r>
        <w:rPr>
          <w:rFonts w:ascii="宋体" w:hAnsi="宋体" w:cs="宋体" w:eastAsia="宋体" w:hint="default"/>
        </w:rPr>
        <w:t>3</w:t>
      </w:r>
      <w:r>
        <w:rPr/>
        <w:t>、第一届董事会第十五次会议</w:t>
      </w:r>
    </w:p>
    <w:p>
      <w:pPr>
        <w:spacing w:line="240" w:lineRule="auto" w:before="9"/>
        <w:rPr>
          <w:rFonts w:ascii="宋体" w:hAnsi="宋体" w:cs="宋体" w:eastAsia="宋体" w:hint="default"/>
          <w:sz w:val="27"/>
          <w:szCs w:val="27"/>
        </w:rPr>
      </w:pPr>
    </w:p>
    <w:p>
      <w:pPr>
        <w:pStyle w:val="BodyText"/>
        <w:spacing w:line="357" w:lineRule="auto"/>
        <w:ind w:left="220" w:right="221" w:firstLine="479"/>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8"/>
        </w:rPr>
        <w:t> </w:t>
      </w:r>
      <w:r>
        <w:rPr/>
        <w:t>日</w:t>
      </w:r>
      <w:r>
        <w:rPr>
          <w:spacing w:val="-48"/>
        </w:rPr>
        <w:t> </w:t>
      </w:r>
      <w:r>
        <w:rPr>
          <w:rFonts w:ascii="宋体" w:hAnsi="宋体" w:cs="宋体" w:eastAsia="宋体" w:hint="default"/>
        </w:rPr>
        <w:t>10</w:t>
      </w:r>
      <w:r>
        <w:rPr>
          <w:rFonts w:ascii="宋体" w:hAnsi="宋体" w:cs="宋体" w:eastAsia="宋体" w:hint="default"/>
          <w:spacing w:val="-46"/>
        </w:rPr>
        <w:t> </w:t>
      </w:r>
      <w:r>
        <w:rPr/>
        <w:t>时，在公司总部会议室召开第一届董事会第十五次会 议。审议通过了《关于审议</w:t>
      </w:r>
      <w:r>
        <w:rPr>
          <w:rFonts w:ascii="宋体" w:hAnsi="宋体" w:cs="宋体" w:eastAsia="宋体" w:hint="default"/>
        </w:rPr>
        <w:t>&lt;2010</w:t>
      </w:r>
      <w:r>
        <w:rPr>
          <w:rFonts w:ascii="宋体" w:hAnsi="宋体" w:cs="宋体" w:eastAsia="宋体" w:hint="default"/>
          <w:spacing w:val="19"/>
        </w:rPr>
        <w:t> </w:t>
      </w:r>
      <w:r>
        <w:rPr/>
        <w:t>年度董事会工作报告</w:t>
      </w:r>
      <w:r>
        <w:rPr>
          <w:rFonts w:ascii="宋体" w:hAnsi="宋体" w:cs="宋体" w:eastAsia="宋体" w:hint="default"/>
        </w:rPr>
        <w:t>&gt;</w:t>
      </w:r>
      <w:r>
        <w:rPr/>
        <w:t>的议案》、《关于审议</w:t>
      </w:r>
    </w:p>
    <w:p>
      <w:pPr>
        <w:pStyle w:val="BodyText"/>
        <w:spacing w:line="240" w:lineRule="auto" w:before="34"/>
        <w:ind w:left="220" w:right="102"/>
        <w:jc w:val="left"/>
      </w:pPr>
      <w:r>
        <w:rPr>
          <w:rFonts w:ascii="宋体" w:hAnsi="宋体" w:cs="宋体" w:eastAsia="宋体" w:hint="default"/>
        </w:rPr>
        <w:t>&lt;2010</w:t>
      </w:r>
      <w:r>
        <w:rPr>
          <w:rFonts w:ascii="宋体" w:hAnsi="宋体" w:cs="宋体" w:eastAsia="宋体" w:hint="default"/>
          <w:spacing w:val="-73"/>
        </w:rPr>
        <w:t> </w:t>
      </w:r>
      <w:r>
        <w:rPr/>
        <w:t>年度总经理工作报告</w:t>
      </w:r>
      <w:r>
        <w:rPr>
          <w:rFonts w:ascii="宋体" w:hAnsi="宋体" w:cs="宋体" w:eastAsia="宋体" w:hint="default"/>
        </w:rPr>
        <w:t>&gt;</w:t>
      </w:r>
      <w:r>
        <w:rPr/>
        <w:t>的议案》、《关于审议</w:t>
      </w:r>
      <w:r>
        <w:rPr>
          <w:spacing w:val="-72"/>
        </w:rPr>
        <w:t> </w:t>
      </w:r>
      <w:r>
        <w:rPr>
          <w:rFonts w:ascii="宋体" w:hAnsi="宋体" w:cs="宋体" w:eastAsia="宋体" w:hint="default"/>
        </w:rPr>
        <w:t>2010</w:t>
      </w:r>
      <w:r>
        <w:rPr>
          <w:rFonts w:ascii="宋体" w:hAnsi="宋体" w:cs="宋体" w:eastAsia="宋体" w:hint="default"/>
          <w:spacing w:val="-72"/>
        </w:rPr>
        <w:t> </w:t>
      </w:r>
      <w:r>
        <w:rPr/>
        <w:t>年度报告正文及摘要的</w:t>
      </w:r>
    </w:p>
    <w:p>
      <w:pPr>
        <w:pStyle w:val="BodyText"/>
        <w:spacing w:line="240" w:lineRule="auto" w:before="154"/>
        <w:ind w:left="220" w:right="102"/>
        <w:jc w:val="left"/>
      </w:pPr>
      <w:r>
        <w:rPr/>
        <w:t>议案》、《关于审议</w:t>
      </w:r>
      <w:r>
        <w:rPr>
          <w:spacing w:val="-49"/>
        </w:rPr>
        <w:t> </w:t>
      </w:r>
      <w:r>
        <w:rPr>
          <w:rFonts w:ascii="宋体" w:hAnsi="宋体" w:cs="宋体" w:eastAsia="宋体" w:hint="default"/>
        </w:rPr>
        <w:t>2010</w:t>
      </w:r>
      <w:r>
        <w:rPr>
          <w:rFonts w:ascii="宋体" w:hAnsi="宋体" w:cs="宋体" w:eastAsia="宋体" w:hint="default"/>
          <w:spacing w:val="-49"/>
        </w:rPr>
        <w:t> </w:t>
      </w:r>
      <w:r>
        <w:rPr/>
        <w:t>年度利润分配及资本公积转增股本的议案》、《关于</w:t>
      </w:r>
    </w:p>
    <w:p>
      <w:pPr>
        <w:spacing w:after="0" w:line="240" w:lineRule="auto"/>
        <w:jc w:val="left"/>
        <w:sectPr>
          <w:pgSz w:w="11910" w:h="16840"/>
          <w:pgMar w:header="0" w:footer="1195" w:top="1340" w:bottom="1380" w:left="1580" w:right="1560"/>
        </w:sectPr>
      </w:pPr>
    </w:p>
    <w:p>
      <w:pPr>
        <w:pStyle w:val="BodyText"/>
        <w:spacing w:line="357" w:lineRule="auto" w:before="1"/>
        <w:ind w:right="235"/>
        <w:jc w:val="both"/>
      </w:pPr>
      <w:r>
        <w:rPr/>
        <w:t>审议经审计的</w:t>
      </w:r>
      <w:r>
        <w:rPr>
          <w:spacing w:val="-31"/>
        </w:rPr>
        <w:t> </w:t>
      </w:r>
      <w:r>
        <w:rPr>
          <w:rFonts w:ascii="宋体" w:hAnsi="宋体" w:cs="宋体" w:eastAsia="宋体" w:hint="default"/>
        </w:rPr>
        <w:t>2010</w:t>
      </w:r>
      <w:r>
        <w:rPr>
          <w:rFonts w:ascii="宋体" w:hAnsi="宋体" w:cs="宋体" w:eastAsia="宋体" w:hint="default"/>
          <w:spacing w:val="-32"/>
        </w:rPr>
        <w:t> </w:t>
      </w:r>
      <w:r>
        <w:rPr/>
        <w:t>年度财务报表的议案》、《关于审议</w:t>
      </w:r>
      <w:r>
        <w:rPr>
          <w:rFonts w:ascii="宋体" w:hAnsi="宋体" w:cs="宋体" w:eastAsia="宋体" w:hint="default"/>
        </w:rPr>
        <w:t>&lt;2010</w:t>
      </w:r>
      <w:r>
        <w:rPr>
          <w:rFonts w:ascii="宋体" w:hAnsi="宋体" w:cs="宋体" w:eastAsia="宋体" w:hint="default"/>
          <w:spacing w:val="-32"/>
        </w:rPr>
        <w:t> </w:t>
      </w:r>
      <w:r>
        <w:rPr/>
        <w:t>年度募集资金存 放与使用情况专项报告</w:t>
      </w:r>
      <w:r>
        <w:rPr>
          <w:rFonts w:ascii="宋体" w:hAnsi="宋体" w:cs="宋体" w:eastAsia="宋体" w:hint="default"/>
        </w:rPr>
        <w:t>&gt;</w:t>
      </w:r>
      <w:r>
        <w:rPr/>
        <w:t>的议案》、《关于审议</w:t>
      </w:r>
      <w:r>
        <w:rPr>
          <w:rFonts w:ascii="宋体" w:hAnsi="宋体" w:cs="宋体" w:eastAsia="宋体" w:hint="default"/>
        </w:rPr>
        <w:t>&lt;2010</w:t>
      </w:r>
      <w:r>
        <w:rPr>
          <w:rFonts w:ascii="宋体" w:hAnsi="宋体" w:cs="宋体" w:eastAsia="宋体" w:hint="default"/>
          <w:spacing w:val="17"/>
        </w:rPr>
        <w:t> </w:t>
      </w:r>
      <w:r>
        <w:rPr/>
        <w:t>年度内部控制自我评价报</w:t>
      </w:r>
      <w:r>
        <w:rPr>
          <w:spacing w:val="-118"/>
        </w:rPr>
        <w:t> </w:t>
      </w:r>
      <w:r>
        <w:rPr>
          <w:spacing w:val="-118"/>
        </w:rPr>
      </w:r>
      <w:r>
        <w:rPr/>
        <w:t>告</w:t>
      </w:r>
      <w:r>
        <w:rPr>
          <w:rFonts w:ascii="宋体" w:hAnsi="宋体" w:cs="宋体" w:eastAsia="宋体" w:hint="default"/>
        </w:rPr>
        <w:t>&gt;</w:t>
      </w:r>
      <w:r>
        <w:rPr/>
        <w:t>的议案》、《关于审议聘请公司 </w:t>
      </w:r>
      <w:r>
        <w:rPr>
          <w:rFonts w:ascii="宋体" w:hAnsi="宋体" w:cs="宋体" w:eastAsia="宋体" w:hint="default"/>
        </w:rPr>
        <w:t>2011</w:t>
      </w:r>
      <w:r>
        <w:rPr>
          <w:rFonts w:ascii="宋体" w:hAnsi="宋体" w:cs="宋体" w:eastAsia="宋体" w:hint="default"/>
          <w:spacing w:val="-94"/>
        </w:rPr>
        <w:t> </w:t>
      </w:r>
      <w:r>
        <w:rPr/>
        <w:t>年度审计机构的议案》、《关于审议</w:t>
      </w:r>
      <w:r>
        <w:rPr>
          <w:rFonts w:ascii="宋体" w:hAnsi="宋体" w:cs="宋体" w:eastAsia="宋体" w:hint="default"/>
        </w:rPr>
        <w:t>&lt; </w:t>
      </w:r>
      <w:r>
        <w:rPr/>
        <w:t>以公允价值计量资产内部控制制度</w:t>
      </w:r>
      <w:r>
        <w:rPr>
          <w:rFonts w:ascii="宋体" w:hAnsi="宋体" w:cs="宋体" w:eastAsia="宋体" w:hint="default"/>
        </w:rPr>
        <w:t>&gt;</w:t>
      </w:r>
      <w:r>
        <w:rPr/>
        <w:t>的议案》、《关于审议</w:t>
      </w:r>
      <w:r>
        <w:rPr>
          <w:rFonts w:ascii="宋体" w:hAnsi="宋体" w:cs="宋体" w:eastAsia="宋体" w:hint="default"/>
        </w:rPr>
        <w:t>&lt;</w:t>
      </w:r>
      <w:r>
        <w:rPr/>
        <w:t>预计负债管理制度</w:t>
      </w:r>
      <w:r>
        <w:rPr>
          <w:rFonts w:ascii="宋体" w:hAnsi="宋体" w:cs="宋体" w:eastAsia="宋体" w:hint="default"/>
        </w:rPr>
        <w:t>&gt;</w:t>
      </w:r>
      <w:r>
        <w:rPr>
          <w:rFonts w:ascii="宋体" w:hAnsi="宋体" w:cs="宋体" w:eastAsia="宋体" w:hint="default"/>
          <w:spacing w:val="-99"/>
        </w:rPr>
        <w:t> </w:t>
      </w:r>
      <w:r>
        <w:rPr>
          <w:spacing w:val="-3"/>
        </w:rPr>
        <w:t>的议案》、《关于审议公司</w:t>
      </w:r>
      <w:r>
        <w:rPr>
          <w:rFonts w:ascii="宋体" w:hAnsi="宋体" w:cs="宋体" w:eastAsia="宋体" w:hint="default"/>
          <w:spacing w:val="-3"/>
        </w:rPr>
        <w:t>&lt;</w:t>
      </w:r>
      <w:r>
        <w:rPr>
          <w:spacing w:val="-3"/>
        </w:rPr>
        <w:t>章程修正案（二）</w:t>
      </w:r>
      <w:r>
        <w:rPr>
          <w:rFonts w:ascii="宋体" w:hAnsi="宋体" w:cs="宋体" w:eastAsia="宋体" w:hint="default"/>
          <w:spacing w:val="-3"/>
        </w:rPr>
        <w:t>&gt;</w:t>
      </w:r>
      <w:r>
        <w:rPr>
          <w:spacing w:val="-3"/>
        </w:rPr>
        <w:t>的议案》、《关于审议董事会换</w:t>
      </w:r>
      <w:r>
        <w:rPr>
          <w:spacing w:val="-108"/>
        </w:rPr>
        <w:t> </w:t>
      </w:r>
      <w:r>
        <w:rPr>
          <w:spacing w:val="-108"/>
        </w:rPr>
      </w:r>
      <w:r>
        <w:rPr/>
        <w:t>届及推荐第二届董事会董事及独立董事候选人的议案》、《审议 </w:t>
      </w:r>
      <w:r>
        <w:rPr>
          <w:rFonts w:ascii="宋体" w:hAnsi="宋体" w:cs="宋体" w:eastAsia="宋体" w:hint="default"/>
        </w:rPr>
        <w:t>2010</w:t>
      </w:r>
      <w:r>
        <w:rPr>
          <w:rFonts w:ascii="宋体" w:hAnsi="宋体" w:cs="宋体" w:eastAsia="宋体" w:hint="default"/>
          <w:spacing w:val="-95"/>
        </w:rPr>
        <w:t> </w:t>
      </w:r>
      <w:r>
        <w:rPr/>
        <w:t>年度经审</w:t>
      </w:r>
    </w:p>
    <w:p>
      <w:pPr>
        <w:pStyle w:val="BodyText"/>
        <w:spacing w:line="240" w:lineRule="auto" w:before="34"/>
        <w:ind w:right="0"/>
        <w:jc w:val="both"/>
      </w:pPr>
      <w:r>
        <w:rPr/>
        <w:t>计财务决算报告》、《关于审议提请召开</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年年度股东大会的议案》。</w:t>
      </w:r>
    </w:p>
    <w:p>
      <w:pPr>
        <w:spacing w:line="240" w:lineRule="auto" w:before="0"/>
        <w:rPr>
          <w:rFonts w:ascii="宋体" w:hAnsi="宋体" w:cs="宋体" w:eastAsia="宋体" w:hint="default"/>
          <w:sz w:val="24"/>
          <w:szCs w:val="24"/>
        </w:rPr>
      </w:pPr>
    </w:p>
    <w:p>
      <w:pPr>
        <w:pStyle w:val="BodyText"/>
        <w:spacing w:line="240" w:lineRule="auto" w:before="200"/>
        <w:ind w:right="0"/>
        <w:jc w:val="both"/>
      </w:pPr>
      <w:r>
        <w:rPr>
          <w:rFonts w:ascii="宋体" w:hAnsi="宋体" w:cs="宋体" w:eastAsia="宋体" w:hint="default"/>
        </w:rPr>
        <w:t>4</w:t>
      </w:r>
      <w:r>
        <w:rPr/>
        <w:t>、第一届董事会第十六次会议</w:t>
      </w:r>
    </w:p>
    <w:p>
      <w:pPr>
        <w:spacing w:line="240" w:lineRule="auto" w:before="9"/>
        <w:rPr>
          <w:rFonts w:ascii="宋体" w:hAnsi="宋体" w:cs="宋体" w:eastAsia="宋体" w:hint="default"/>
          <w:sz w:val="27"/>
          <w:szCs w:val="27"/>
        </w:rPr>
      </w:pPr>
    </w:p>
    <w:p>
      <w:pPr>
        <w:pStyle w:val="BodyText"/>
        <w:spacing w:line="240" w:lineRule="auto"/>
        <w:ind w:left="600" w:right="0"/>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t>日</w:t>
      </w:r>
      <w:r>
        <w:rPr>
          <w:spacing w:val="-48"/>
        </w:rPr>
        <w:t> </w:t>
      </w:r>
      <w:r>
        <w:rPr>
          <w:rFonts w:ascii="宋体" w:hAnsi="宋体" w:cs="宋体" w:eastAsia="宋体" w:hint="default"/>
        </w:rPr>
        <w:t>10</w:t>
      </w:r>
      <w:r>
        <w:rPr>
          <w:rFonts w:ascii="宋体" w:hAnsi="宋体" w:cs="宋体" w:eastAsia="宋体" w:hint="default"/>
          <w:spacing w:val="-46"/>
        </w:rPr>
        <w:t> </w:t>
      </w:r>
      <w:r>
        <w:rPr/>
        <w:t>时，在公司总部会议室召开第一届董事会第十六次会</w:t>
      </w:r>
    </w:p>
    <w:p>
      <w:pPr>
        <w:pStyle w:val="BodyText"/>
        <w:spacing w:line="357" w:lineRule="auto" w:before="154"/>
        <w:ind w:right="236"/>
        <w:jc w:val="both"/>
      </w:pPr>
      <w:r>
        <w:rPr/>
        <w:t>议。审议通过了《关于审议公司 </w:t>
      </w:r>
      <w:r>
        <w:rPr>
          <w:rFonts w:ascii="宋体" w:hAnsi="宋体" w:cs="宋体" w:eastAsia="宋体" w:hint="default"/>
        </w:rPr>
        <w:t>2011</w:t>
      </w:r>
      <w:r>
        <w:rPr>
          <w:rFonts w:ascii="宋体" w:hAnsi="宋体" w:cs="宋体" w:eastAsia="宋体" w:hint="default"/>
          <w:spacing w:val="-95"/>
        </w:rPr>
        <w:t> </w:t>
      </w:r>
      <w:r>
        <w:rPr/>
        <w:t>年第一季度季度报告的议案》、《关于审 </w:t>
      </w:r>
      <w:r>
        <w:rPr>
          <w:spacing w:val="-3"/>
        </w:rPr>
        <w:t>议办理银行综合授信业务的议案》、《关于审议上市公司治理专项活动整改报告</w:t>
      </w:r>
      <w:r>
        <w:rPr>
          <w:spacing w:val="-110"/>
        </w:rPr>
        <w:t> </w:t>
      </w:r>
      <w:r>
        <w:rPr>
          <w:spacing w:val="-110"/>
        </w:rPr>
      </w:r>
      <w:r>
        <w:rPr/>
        <w:t>的议案》。</w:t>
      </w:r>
    </w:p>
    <w:p>
      <w:pPr>
        <w:spacing w:line="240" w:lineRule="auto" w:before="2"/>
        <w:rPr>
          <w:rFonts w:ascii="宋体" w:hAnsi="宋体" w:cs="宋体" w:eastAsia="宋体" w:hint="default"/>
          <w:sz w:val="30"/>
          <w:szCs w:val="30"/>
        </w:rPr>
      </w:pPr>
    </w:p>
    <w:p>
      <w:pPr>
        <w:pStyle w:val="BodyText"/>
        <w:spacing w:line="240" w:lineRule="auto"/>
        <w:ind w:right="0"/>
        <w:jc w:val="both"/>
      </w:pPr>
      <w:r>
        <w:rPr>
          <w:rFonts w:ascii="宋体" w:hAnsi="宋体" w:cs="宋体" w:eastAsia="宋体" w:hint="default"/>
        </w:rPr>
        <w:t>5</w:t>
      </w:r>
      <w:r>
        <w:rPr/>
        <w:t>、第二届董事会第一次会议</w:t>
      </w:r>
    </w:p>
    <w:p>
      <w:pPr>
        <w:spacing w:line="240" w:lineRule="auto" w:before="12"/>
        <w:rPr>
          <w:rFonts w:ascii="宋体" w:hAnsi="宋体" w:cs="宋体" w:eastAsia="宋体" w:hint="default"/>
          <w:sz w:val="27"/>
          <w:szCs w:val="27"/>
        </w:rPr>
      </w:pPr>
    </w:p>
    <w:p>
      <w:pPr>
        <w:pStyle w:val="BodyText"/>
        <w:spacing w:line="357" w:lineRule="auto"/>
        <w:ind w:right="102" w:firstLine="479"/>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21</w:t>
      </w:r>
      <w:r>
        <w:rPr>
          <w:rFonts w:ascii="宋体" w:hAnsi="宋体" w:cs="宋体" w:eastAsia="宋体" w:hint="default"/>
          <w:spacing w:val="-65"/>
        </w:rPr>
        <w:t> </w:t>
      </w:r>
      <w:r>
        <w:rPr/>
        <w:t>日</w:t>
      </w:r>
      <w:r>
        <w:rPr>
          <w:spacing w:val="-65"/>
        </w:rPr>
        <w:t> </w:t>
      </w:r>
      <w:r>
        <w:rPr>
          <w:rFonts w:ascii="宋体" w:hAnsi="宋体" w:cs="宋体" w:eastAsia="宋体" w:hint="default"/>
        </w:rPr>
        <w:t>14</w:t>
      </w:r>
      <w:r>
        <w:rPr>
          <w:rFonts w:ascii="宋体" w:hAnsi="宋体" w:cs="宋体" w:eastAsia="宋体" w:hint="default"/>
          <w:spacing w:val="-65"/>
        </w:rPr>
        <w:t> </w:t>
      </w:r>
      <w:r>
        <w:rPr/>
        <w:t>时，在公司总部会议室召开第二届董事会第一次会议。 </w:t>
      </w:r>
      <w:r>
        <w:rPr>
          <w:spacing w:val="-3"/>
        </w:rPr>
        <w:t>审议通过了《关于审议深圳市新国都技术股份有限公司选举第二届董事会董事长</w:t>
      </w:r>
      <w:r>
        <w:rPr>
          <w:spacing w:val="-109"/>
        </w:rPr>
        <w:t> </w:t>
      </w:r>
      <w:r>
        <w:rPr>
          <w:spacing w:val="-109"/>
        </w:rPr>
      </w:r>
      <w:r>
        <w:rPr>
          <w:spacing w:val="-13"/>
        </w:rPr>
        <w:t>的议案》、《关于审议深圳市新国都技术股份有限公司聘任高级管理人员的议案》、</w:t>
      </w:r>
    </w:p>
    <w:p>
      <w:pPr>
        <w:pStyle w:val="BodyText"/>
        <w:spacing w:line="357" w:lineRule="auto" w:before="34"/>
        <w:ind w:right="235"/>
        <w:jc w:val="both"/>
      </w:pPr>
      <w:r>
        <w:rPr>
          <w:spacing w:val="3"/>
        </w:rPr>
        <w:t>《关于审议深圳市新国都技术股份有限公司选举第二届董事会战略委员会的议</w:t>
      </w:r>
      <w:r>
        <w:rPr>
          <w:spacing w:val="-99"/>
        </w:rPr>
        <w:t> </w:t>
      </w:r>
      <w:r>
        <w:rPr>
          <w:spacing w:val="-99"/>
        </w:rPr>
      </w:r>
      <w:r>
        <w:rPr>
          <w:spacing w:val="-3"/>
        </w:rPr>
        <w:t>案》、《关于审议深圳市新国都技术股份有限公司选举第二届董事会审计委员会</w:t>
      </w:r>
      <w:r>
        <w:rPr>
          <w:spacing w:val="-110"/>
        </w:rPr>
        <w:t> </w:t>
      </w:r>
      <w:r>
        <w:rPr>
          <w:spacing w:val="-110"/>
        </w:rPr>
      </w:r>
      <w:r>
        <w:rPr>
          <w:spacing w:val="-3"/>
        </w:rPr>
        <w:t>的议案》、《关于审议深圳市新国都技术股份有限公司选举第二届董事会提名委</w:t>
      </w:r>
      <w:r>
        <w:rPr>
          <w:spacing w:val="-110"/>
        </w:rPr>
        <w:t> </w:t>
      </w:r>
      <w:r>
        <w:rPr>
          <w:spacing w:val="-110"/>
        </w:rPr>
      </w:r>
      <w:r>
        <w:rPr>
          <w:spacing w:val="-3"/>
        </w:rPr>
        <w:t>员会的议案》、《关于审议深圳市新国都技术股份有限公司选举第二届董事会薪</w:t>
      </w:r>
      <w:r>
        <w:rPr>
          <w:spacing w:val="-110"/>
        </w:rPr>
        <w:t> </w:t>
      </w:r>
      <w:r>
        <w:rPr>
          <w:spacing w:val="-110"/>
        </w:rPr>
      </w:r>
      <w:r>
        <w:rPr/>
        <w:t>酬与考核委员会的议案》、《关于审议深圳市新国都技术股份有限公司</w:t>
      </w:r>
      <w:r>
        <w:rPr>
          <w:rFonts w:ascii="宋体" w:hAnsi="宋体" w:cs="宋体" w:eastAsia="宋体" w:hint="default"/>
        </w:rPr>
        <w:t>&lt;</w:t>
      </w:r>
      <w:r>
        <w:rPr/>
        <w:t>提名委</w:t>
      </w:r>
      <w:r>
        <w:rPr>
          <w:spacing w:val="-100"/>
        </w:rPr>
        <w:t> </w:t>
      </w:r>
      <w:r>
        <w:rPr>
          <w:spacing w:val="-3"/>
        </w:rPr>
        <w:t>员会工作细则</w:t>
      </w:r>
      <w:r>
        <w:rPr>
          <w:rFonts w:ascii="宋体" w:hAnsi="宋体" w:cs="宋体" w:eastAsia="宋体" w:hint="default"/>
          <w:spacing w:val="-3"/>
        </w:rPr>
        <w:t>&gt;</w:t>
      </w:r>
      <w:r>
        <w:rPr>
          <w:spacing w:val="-3"/>
        </w:rPr>
        <w:t>的议案》、《关于审议深圳市新国都技术股份有限公司</w:t>
      </w:r>
      <w:r>
        <w:rPr>
          <w:rFonts w:ascii="宋体" w:hAnsi="宋体" w:cs="宋体" w:eastAsia="宋体" w:hint="default"/>
          <w:spacing w:val="-3"/>
        </w:rPr>
        <w:t>&lt;</w:t>
      </w:r>
      <w:r>
        <w:rPr>
          <w:spacing w:val="-3"/>
        </w:rPr>
        <w:t>薪酬与考</w:t>
      </w:r>
      <w:r>
        <w:rPr>
          <w:spacing w:val="-107"/>
        </w:rPr>
        <w:t> </w:t>
      </w:r>
      <w:r>
        <w:rPr>
          <w:spacing w:val="-3"/>
        </w:rPr>
        <w:t>核委员会工作细则</w:t>
      </w:r>
      <w:r>
        <w:rPr>
          <w:rFonts w:ascii="宋体" w:hAnsi="宋体" w:cs="宋体" w:eastAsia="宋体" w:hint="default"/>
          <w:spacing w:val="-3"/>
        </w:rPr>
        <w:t>&gt;</w:t>
      </w:r>
      <w:r>
        <w:rPr>
          <w:spacing w:val="-3"/>
        </w:rPr>
        <w:t>的议案》、《关于审议废除深圳市新国都技术股份有限公司</w:t>
      </w:r>
      <w:r>
        <w:rPr>
          <w:rFonts w:ascii="宋体" w:hAnsi="宋体" w:cs="宋体" w:eastAsia="宋体" w:hint="default"/>
          <w:spacing w:val="-3"/>
        </w:rPr>
        <w:t>&lt;</w:t>
      </w:r>
      <w:r>
        <w:rPr>
          <w:rFonts w:ascii="宋体" w:hAnsi="宋体" w:cs="宋体" w:eastAsia="宋体" w:hint="default"/>
          <w:spacing w:val="-106"/>
        </w:rPr>
        <w:t> </w:t>
      </w:r>
      <w:r>
        <w:rPr/>
        <w:t>提名、薪酬与考核委员会工作细则</w:t>
      </w:r>
      <w:r>
        <w:rPr>
          <w:rFonts w:ascii="宋体" w:hAnsi="宋体" w:cs="宋体" w:eastAsia="宋体" w:hint="default"/>
        </w:rPr>
        <w:t>&gt;</w:t>
      </w:r>
      <w:r>
        <w:rPr/>
        <w:t>的议案》、《关于审议深圳市新国都技术股</w:t>
      </w:r>
      <w:r>
        <w:rPr>
          <w:spacing w:val="-103"/>
        </w:rPr>
        <w:t> </w:t>
      </w:r>
      <w:r>
        <w:rPr>
          <w:spacing w:val="-103"/>
        </w:rPr>
      </w:r>
      <w:r>
        <w:rPr/>
        <w:t>份有限公司</w:t>
      </w:r>
      <w:r>
        <w:rPr>
          <w:spacing w:val="-61"/>
        </w:rPr>
        <w:t> </w:t>
      </w:r>
      <w:r>
        <w:rPr>
          <w:rFonts w:ascii="宋体" w:hAnsi="宋体" w:cs="宋体" w:eastAsia="宋体" w:hint="default"/>
        </w:rPr>
        <w:t>2011</w:t>
      </w:r>
      <w:r>
        <w:rPr>
          <w:rFonts w:ascii="宋体" w:hAnsi="宋体" w:cs="宋体" w:eastAsia="宋体" w:hint="default"/>
          <w:spacing w:val="-60"/>
        </w:rPr>
        <w:t> </w:t>
      </w:r>
      <w:r>
        <w:rPr/>
        <w:t>年第一季度报告的议案》。</w:t>
      </w:r>
    </w:p>
    <w:p>
      <w:pPr>
        <w:spacing w:after="0" w:line="357" w:lineRule="auto"/>
        <w:jc w:val="both"/>
        <w:sectPr>
          <w:pgSz w:w="11910" w:h="16840"/>
          <w:pgMar w:header="0" w:footer="1195" w:top="1380" w:bottom="1380" w:left="1680" w:right="1560"/>
        </w:sectPr>
      </w:pPr>
    </w:p>
    <w:p>
      <w:pPr>
        <w:pStyle w:val="BodyText"/>
        <w:spacing w:line="240" w:lineRule="auto" w:before="1"/>
        <w:ind w:right="0"/>
        <w:jc w:val="both"/>
      </w:pPr>
      <w:r>
        <w:rPr>
          <w:rFonts w:ascii="宋体" w:hAnsi="宋体" w:cs="宋体" w:eastAsia="宋体" w:hint="default"/>
        </w:rPr>
        <w:t>6</w:t>
      </w:r>
      <w:r>
        <w:rPr/>
        <w:t>、第二届董事会第二次会议</w:t>
      </w:r>
    </w:p>
    <w:p>
      <w:pPr>
        <w:spacing w:line="240" w:lineRule="auto" w:before="12"/>
        <w:rPr>
          <w:rFonts w:ascii="宋体" w:hAnsi="宋体" w:cs="宋体" w:eastAsia="宋体" w:hint="default"/>
          <w:sz w:val="27"/>
          <w:szCs w:val="27"/>
        </w:rPr>
      </w:pPr>
    </w:p>
    <w:p>
      <w:pPr>
        <w:pStyle w:val="BodyText"/>
        <w:spacing w:line="240" w:lineRule="auto"/>
        <w:ind w:left="600"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w:t>
      </w:r>
      <w:r>
        <w:rPr>
          <w:spacing w:val="-60"/>
        </w:rPr>
        <w:t> </w:t>
      </w:r>
      <w:r>
        <w:rPr>
          <w:rFonts w:ascii="宋体" w:hAnsi="宋体" w:cs="宋体" w:eastAsia="宋体" w:hint="default"/>
        </w:rPr>
        <w:t>10</w:t>
      </w:r>
      <w:r>
        <w:rPr>
          <w:rFonts w:ascii="宋体" w:hAnsi="宋体" w:cs="宋体" w:eastAsia="宋体" w:hint="default"/>
          <w:spacing w:val="-60"/>
        </w:rPr>
        <w:t> </w:t>
      </w:r>
      <w:r>
        <w:rPr/>
        <w:t>时，在公司总部会议室召开第二届董事会第二次会议。</w:t>
      </w:r>
    </w:p>
    <w:p>
      <w:pPr>
        <w:pStyle w:val="BodyText"/>
        <w:spacing w:line="357" w:lineRule="auto" w:before="151"/>
        <w:ind w:right="126"/>
        <w:jc w:val="left"/>
      </w:pPr>
      <w:r>
        <w:rPr>
          <w:spacing w:val="-3"/>
        </w:rPr>
        <w:t>审议通过了《关于审议</w:t>
      </w:r>
      <w:r>
        <w:rPr>
          <w:spacing w:val="-57"/>
        </w:rPr>
        <w:t> </w:t>
      </w:r>
      <w:r>
        <w:rPr>
          <w:rFonts w:ascii="宋体" w:hAnsi="宋体" w:cs="宋体" w:eastAsia="宋体" w:hint="default"/>
        </w:rPr>
        <w:t>2011</w:t>
      </w:r>
      <w:r>
        <w:rPr>
          <w:rFonts w:ascii="宋体" w:hAnsi="宋体" w:cs="宋体" w:eastAsia="宋体" w:hint="default"/>
          <w:spacing w:val="-57"/>
        </w:rPr>
        <w:t> </w:t>
      </w:r>
      <w:r>
        <w:rPr>
          <w:spacing w:val="-5"/>
        </w:rPr>
        <w:t>半年度财务报表的议案》、《关于审议</w:t>
      </w:r>
      <w:r>
        <w:rPr>
          <w:spacing w:val="-54"/>
        </w:rPr>
        <w:t> </w:t>
      </w:r>
      <w:r>
        <w:rPr>
          <w:rFonts w:ascii="宋体" w:hAnsi="宋体" w:cs="宋体" w:eastAsia="宋体" w:hint="default"/>
        </w:rPr>
        <w:t>2011</w:t>
      </w:r>
      <w:r>
        <w:rPr>
          <w:rFonts w:ascii="宋体" w:hAnsi="宋体" w:cs="宋体" w:eastAsia="宋体" w:hint="default"/>
          <w:spacing w:val="-57"/>
        </w:rPr>
        <w:t> </w:t>
      </w:r>
      <w:r>
        <w:rPr/>
        <w:t>半年度</w:t>
      </w:r>
      <w:r>
        <w:rPr>
          <w:spacing w:val="-115"/>
        </w:rPr>
        <w:t> </w:t>
      </w:r>
      <w:r>
        <w:rPr/>
        <w:t>报告正文及摘要的议案》、《关于投资建设“电子支付技术苏州研发基地项目” 的议案》、《关于审议召集</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年第二次临时股东大会的议案》。</w:t>
      </w:r>
    </w:p>
    <w:p>
      <w:pPr>
        <w:spacing w:line="240" w:lineRule="auto" w:before="4"/>
        <w:rPr>
          <w:rFonts w:ascii="宋体" w:hAnsi="宋体" w:cs="宋体" w:eastAsia="宋体" w:hint="default"/>
          <w:sz w:val="30"/>
          <w:szCs w:val="30"/>
        </w:rPr>
      </w:pPr>
    </w:p>
    <w:p>
      <w:pPr>
        <w:pStyle w:val="BodyText"/>
        <w:spacing w:line="240" w:lineRule="auto"/>
        <w:ind w:right="0"/>
        <w:jc w:val="both"/>
      </w:pPr>
      <w:r>
        <w:rPr>
          <w:rFonts w:ascii="宋体" w:hAnsi="宋体" w:cs="宋体" w:eastAsia="宋体" w:hint="default"/>
        </w:rPr>
        <w:t>7</w:t>
      </w:r>
      <w:r>
        <w:rPr/>
        <w:t>、第二届董事会第三次会议</w:t>
      </w:r>
    </w:p>
    <w:p>
      <w:pPr>
        <w:spacing w:line="240" w:lineRule="auto" w:before="9"/>
        <w:rPr>
          <w:rFonts w:ascii="宋体" w:hAnsi="宋体" w:cs="宋体" w:eastAsia="宋体" w:hint="default"/>
          <w:sz w:val="27"/>
          <w:szCs w:val="27"/>
        </w:rPr>
      </w:pPr>
    </w:p>
    <w:p>
      <w:pPr>
        <w:pStyle w:val="BodyText"/>
        <w:spacing w:line="240" w:lineRule="auto"/>
        <w:ind w:left="600" w:right="0"/>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10</w:t>
      </w:r>
      <w:r>
        <w:rPr>
          <w:rFonts w:ascii="宋体" w:hAnsi="宋体" w:cs="宋体" w:eastAsia="宋体" w:hint="default"/>
          <w:spacing w:val="-65"/>
        </w:rPr>
        <w:t> </w:t>
      </w:r>
      <w:r>
        <w:rPr/>
        <w:t>月</w:t>
      </w:r>
      <w:r>
        <w:rPr>
          <w:spacing w:val="-65"/>
        </w:rPr>
        <w:t> </w:t>
      </w:r>
      <w:r>
        <w:rPr>
          <w:rFonts w:ascii="宋体" w:hAnsi="宋体" w:cs="宋体" w:eastAsia="宋体" w:hint="default"/>
        </w:rPr>
        <w:t>24</w:t>
      </w:r>
      <w:r>
        <w:rPr>
          <w:rFonts w:ascii="宋体" w:hAnsi="宋体" w:cs="宋体" w:eastAsia="宋体" w:hint="default"/>
          <w:spacing w:val="-65"/>
        </w:rPr>
        <w:t> </w:t>
      </w:r>
      <w:r>
        <w:rPr/>
        <w:t>日</w:t>
      </w:r>
      <w:r>
        <w:rPr>
          <w:spacing w:val="-65"/>
        </w:rPr>
        <w:t> </w:t>
      </w:r>
      <w:r>
        <w:rPr>
          <w:rFonts w:ascii="宋体" w:hAnsi="宋体" w:cs="宋体" w:eastAsia="宋体" w:hint="default"/>
        </w:rPr>
        <w:t>10</w:t>
      </w:r>
      <w:r>
        <w:rPr>
          <w:rFonts w:ascii="宋体" w:hAnsi="宋体" w:cs="宋体" w:eastAsia="宋体" w:hint="default"/>
          <w:spacing w:val="-65"/>
        </w:rPr>
        <w:t> </w:t>
      </w:r>
      <w:r>
        <w:rPr/>
        <w:t>时</w:t>
      </w:r>
      <w:r>
        <w:rPr>
          <w:spacing w:val="-120"/>
        </w:rPr>
        <w:t>，</w:t>
      </w:r>
      <w:r>
        <w:rPr/>
        <w:t>在公司总部会议室召开第二届董事会</w:t>
      </w:r>
      <w:r>
        <w:rPr>
          <w:spacing w:val="1"/>
        </w:rPr>
        <w:t>第</w:t>
      </w:r>
      <w:r>
        <w:rPr/>
        <w:t>三次会议。</w:t>
      </w:r>
    </w:p>
    <w:p>
      <w:pPr>
        <w:pStyle w:val="BodyText"/>
        <w:spacing w:line="357" w:lineRule="auto" w:before="154"/>
        <w:ind w:right="234"/>
        <w:jc w:val="both"/>
      </w:pPr>
      <w:r>
        <w:rPr>
          <w:spacing w:val="-5"/>
        </w:rPr>
        <w:t>审议通过了《关于审议公司</w:t>
      </w:r>
      <w:r>
        <w:rPr>
          <w:spacing w:val="-53"/>
        </w:rPr>
        <w:t> </w:t>
      </w:r>
      <w:r>
        <w:rPr>
          <w:rFonts w:ascii="宋体" w:hAnsi="宋体" w:cs="宋体" w:eastAsia="宋体" w:hint="default"/>
        </w:rPr>
        <w:t>2011</w:t>
      </w:r>
      <w:r>
        <w:rPr>
          <w:rFonts w:ascii="宋体" w:hAnsi="宋体" w:cs="宋体" w:eastAsia="宋体" w:hint="default"/>
          <w:spacing w:val="-53"/>
        </w:rPr>
        <w:t> </w:t>
      </w:r>
      <w:r>
        <w:rPr>
          <w:spacing w:val="-8"/>
        </w:rPr>
        <w:t>年第三季度季度报告正文和全文的议案》、《关</w:t>
      </w:r>
      <w:r>
        <w:rPr/>
        <w:t> </w:t>
      </w:r>
      <w:r>
        <w:rPr>
          <w:spacing w:val="-3"/>
        </w:rPr>
        <w:t>于审议使用部分超募资金永久补充流动资金的议案》、《关于审议与深圳市泰德</w:t>
      </w:r>
      <w:r>
        <w:rPr>
          <w:spacing w:val="-110"/>
        </w:rPr>
        <w:t> </w:t>
      </w:r>
      <w:r>
        <w:rPr>
          <w:spacing w:val="-110"/>
        </w:rPr>
      </w:r>
      <w:r>
        <w:rPr>
          <w:spacing w:val="-3"/>
        </w:rPr>
        <w:t>信实业有限公司关联交易的议案》、《关于审议延长深圳市新国都技术股份有限</w:t>
      </w:r>
      <w:r>
        <w:rPr>
          <w:spacing w:val="-110"/>
        </w:rPr>
        <w:t> </w:t>
      </w:r>
      <w:r>
        <w:rPr>
          <w:spacing w:val="-110"/>
        </w:rPr>
      </w:r>
      <w:r>
        <w:rPr/>
        <w:t>公司宝安分公司营业期限的议案》。</w:t>
      </w:r>
    </w:p>
    <w:p>
      <w:pPr>
        <w:spacing w:line="240" w:lineRule="auto" w:before="8"/>
        <w:rPr>
          <w:rFonts w:ascii="宋体" w:hAnsi="宋体" w:cs="宋体" w:eastAsia="宋体" w:hint="default"/>
          <w:sz w:val="22"/>
          <w:szCs w:val="22"/>
        </w:rPr>
      </w:pPr>
    </w:p>
    <w:p>
      <w:pPr>
        <w:pStyle w:val="BodyText"/>
        <w:spacing w:line="240" w:lineRule="auto"/>
        <w:ind w:right="0"/>
        <w:jc w:val="both"/>
      </w:pPr>
      <w:r>
        <w:rPr/>
        <w:t>（二）专业委员会运行情况</w:t>
      </w:r>
    </w:p>
    <w:p>
      <w:pPr>
        <w:spacing w:line="240" w:lineRule="auto" w:before="0"/>
        <w:rPr>
          <w:rFonts w:ascii="宋体" w:hAnsi="宋体" w:cs="宋体" w:eastAsia="宋体" w:hint="default"/>
          <w:sz w:val="24"/>
          <w:szCs w:val="24"/>
        </w:rPr>
      </w:pPr>
    </w:p>
    <w:p>
      <w:pPr>
        <w:pStyle w:val="BodyText"/>
        <w:spacing w:line="240" w:lineRule="auto" w:before="197"/>
        <w:ind w:right="0"/>
        <w:jc w:val="both"/>
      </w:pPr>
      <w:r>
        <w:rPr>
          <w:rFonts w:ascii="宋体" w:hAnsi="宋体" w:cs="宋体" w:eastAsia="宋体" w:hint="default"/>
        </w:rPr>
        <w:t>1</w:t>
      </w:r>
      <w:r>
        <w:rPr/>
        <w:t>、审计委员会履职情况</w:t>
      </w:r>
    </w:p>
    <w:p>
      <w:pPr>
        <w:spacing w:line="240" w:lineRule="auto" w:before="9"/>
        <w:rPr>
          <w:rFonts w:ascii="宋体" w:hAnsi="宋体" w:cs="宋体" w:eastAsia="宋体" w:hint="default"/>
          <w:sz w:val="27"/>
          <w:szCs w:val="27"/>
        </w:rPr>
      </w:pPr>
    </w:p>
    <w:p>
      <w:pPr>
        <w:pStyle w:val="BodyText"/>
        <w:spacing w:line="357" w:lineRule="auto"/>
        <w:ind w:right="238" w:firstLine="479"/>
        <w:jc w:val="both"/>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t>月</w:t>
      </w:r>
      <w:r>
        <w:rPr>
          <w:spacing w:val="-48"/>
        </w:rPr>
        <w:t> </w:t>
      </w:r>
      <w:r>
        <w:rPr>
          <w:rFonts w:ascii="宋体" w:hAnsi="宋体" w:cs="宋体" w:eastAsia="宋体" w:hint="default"/>
        </w:rPr>
        <w:t>22</w:t>
      </w:r>
      <w:r>
        <w:rPr>
          <w:rFonts w:ascii="宋体" w:hAnsi="宋体" w:cs="宋体" w:eastAsia="宋体" w:hint="default"/>
          <w:spacing w:val="-48"/>
        </w:rPr>
        <w:t> </w:t>
      </w:r>
      <w:r>
        <w:rPr/>
        <w:t>日</w:t>
      </w:r>
      <w:r>
        <w:rPr>
          <w:spacing w:val="-48"/>
        </w:rPr>
        <w:t> </w:t>
      </w:r>
      <w:r>
        <w:rPr>
          <w:rFonts w:ascii="宋体" w:hAnsi="宋体" w:cs="宋体" w:eastAsia="宋体" w:hint="default"/>
        </w:rPr>
        <w:t>10</w:t>
      </w:r>
      <w:r>
        <w:rPr>
          <w:rFonts w:ascii="宋体" w:hAnsi="宋体" w:cs="宋体" w:eastAsia="宋体" w:hint="default"/>
          <w:spacing w:val="-46"/>
        </w:rPr>
        <w:t> </w:t>
      </w:r>
      <w:r>
        <w:rPr/>
        <w:t>时，在公司总部会议室召开第一届董事会审计委员会 第四次会议，审议通过了《关于审议提名公司内部审计部经理的议案》。</w:t>
      </w:r>
    </w:p>
    <w:p>
      <w:pPr>
        <w:pStyle w:val="BodyText"/>
        <w:spacing w:line="357" w:lineRule="auto" w:before="36"/>
        <w:ind w:right="235" w:firstLine="47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5"/>
        </w:rPr>
        <w:t> </w:t>
      </w:r>
      <w:r>
        <w:rPr/>
        <w:t>日</w:t>
      </w:r>
      <w:r>
        <w:rPr>
          <w:spacing w:val="-65"/>
        </w:rPr>
        <w:t> </w:t>
      </w:r>
      <w:r>
        <w:rPr>
          <w:rFonts w:ascii="宋体" w:hAnsi="宋体" w:cs="宋体" w:eastAsia="宋体" w:hint="default"/>
        </w:rPr>
        <w:t>9</w:t>
      </w:r>
      <w:r>
        <w:rPr>
          <w:rFonts w:ascii="宋体" w:hAnsi="宋体" w:cs="宋体" w:eastAsia="宋体" w:hint="default"/>
          <w:spacing w:val="-65"/>
        </w:rPr>
        <w:t> </w:t>
      </w:r>
      <w:r>
        <w:rPr/>
        <w:t>时，在公司总部会议室召开第一届董事会审计委员会第 </w:t>
      </w:r>
      <w:r>
        <w:rPr>
          <w:spacing w:val="7"/>
        </w:rPr>
        <w:t>五次会议，审议通过了《关于审议经审计的</w:t>
      </w:r>
      <w:r>
        <w:rPr>
          <w:rFonts w:ascii="宋体" w:hAnsi="宋体" w:cs="宋体" w:eastAsia="宋体" w:hint="default"/>
          <w:spacing w:val="7"/>
        </w:rPr>
        <w:t>&lt;</w:t>
      </w:r>
      <w:r>
        <w:rPr>
          <w:spacing w:val="7"/>
        </w:rPr>
        <w:t>深圳市新国都技术股份有限公司</w:t>
      </w:r>
      <w:r>
        <w:rPr/>
        <w:t> </w:t>
      </w:r>
      <w:r>
        <w:rPr>
          <w:rFonts w:ascii="宋体" w:hAnsi="宋体" w:cs="宋体" w:eastAsia="宋体" w:hint="default"/>
        </w:rPr>
        <w:t>2010</w:t>
      </w:r>
      <w:r>
        <w:rPr>
          <w:rFonts w:ascii="宋体" w:hAnsi="宋体" w:cs="宋体" w:eastAsia="宋体" w:hint="default"/>
          <w:spacing w:val="-57"/>
        </w:rPr>
        <w:t> </w:t>
      </w:r>
      <w:r>
        <w:rPr>
          <w:spacing w:val="-7"/>
        </w:rPr>
        <w:t>年度财务报表</w:t>
      </w:r>
      <w:r>
        <w:rPr>
          <w:rFonts w:ascii="宋体" w:hAnsi="宋体" w:cs="宋体" w:eastAsia="宋体" w:hint="default"/>
          <w:spacing w:val="-7"/>
        </w:rPr>
        <w:t>&gt;</w:t>
      </w:r>
      <w:r>
        <w:rPr>
          <w:spacing w:val="-7"/>
        </w:rPr>
        <w:t>的议案》、《关于审议</w:t>
      </w:r>
      <w:r>
        <w:rPr>
          <w:rFonts w:ascii="宋体" w:hAnsi="宋体" w:cs="宋体" w:eastAsia="宋体" w:hint="default"/>
          <w:spacing w:val="-7"/>
        </w:rPr>
        <w:t>&lt;</w:t>
      </w:r>
      <w:r>
        <w:rPr>
          <w:spacing w:val="-7"/>
        </w:rPr>
        <w:t>深圳市新国都技术股份有限公司</w:t>
      </w:r>
      <w:r>
        <w:rPr>
          <w:spacing w:val="-55"/>
        </w:rPr>
        <w:t> </w:t>
      </w:r>
      <w:r>
        <w:rPr>
          <w:rFonts w:ascii="宋体" w:hAnsi="宋体" w:cs="宋体" w:eastAsia="宋体" w:hint="default"/>
        </w:rPr>
        <w:t>2010</w:t>
      </w:r>
    </w:p>
    <w:p>
      <w:pPr>
        <w:pStyle w:val="BodyText"/>
        <w:spacing w:line="357" w:lineRule="auto" w:before="34"/>
        <w:ind w:right="236"/>
        <w:jc w:val="both"/>
      </w:pPr>
      <w:r>
        <w:rPr>
          <w:spacing w:val="-4"/>
        </w:rPr>
        <w:t>年度内部控制自我评价报告</w:t>
      </w:r>
      <w:r>
        <w:rPr>
          <w:rFonts w:ascii="宋体" w:hAnsi="宋体" w:cs="宋体" w:eastAsia="宋体" w:hint="default"/>
          <w:spacing w:val="-4"/>
        </w:rPr>
        <w:t>&gt;</w:t>
      </w:r>
      <w:r>
        <w:rPr>
          <w:spacing w:val="-4"/>
        </w:rPr>
        <w:t>的议案》、《关于审议推荐聘请公司 </w:t>
      </w:r>
      <w:r>
        <w:rPr>
          <w:rFonts w:ascii="宋体" w:hAnsi="宋体" w:cs="宋体" w:eastAsia="宋体" w:hint="default"/>
        </w:rPr>
        <w:t>2011</w:t>
      </w:r>
      <w:r>
        <w:rPr>
          <w:rFonts w:ascii="宋体" w:hAnsi="宋体" w:cs="宋体" w:eastAsia="宋体" w:hint="default"/>
          <w:spacing w:val="-96"/>
        </w:rPr>
        <w:t> </w:t>
      </w:r>
      <w:r>
        <w:rPr/>
        <w:t>年度审计 机构的议案》、《关于审议</w:t>
      </w:r>
      <w:r>
        <w:rPr>
          <w:rFonts w:ascii="宋体" w:hAnsi="宋体" w:cs="宋体" w:eastAsia="宋体" w:hint="default"/>
        </w:rPr>
        <w:t>&lt;</w:t>
      </w:r>
      <w:r>
        <w:rPr/>
        <w:t>深圳市新国都技术股份有限公司以公允价值计量资</w:t>
      </w:r>
      <w:r>
        <w:rPr>
          <w:spacing w:val="-102"/>
        </w:rPr>
        <w:t> </w:t>
      </w:r>
      <w:r>
        <w:rPr>
          <w:spacing w:val="-102"/>
        </w:rPr>
      </w:r>
      <w:r>
        <w:rPr>
          <w:spacing w:val="-3"/>
        </w:rPr>
        <w:t>产内部控制制度</w:t>
      </w:r>
      <w:r>
        <w:rPr>
          <w:rFonts w:ascii="宋体" w:hAnsi="宋体" w:cs="宋体" w:eastAsia="宋体" w:hint="default"/>
          <w:spacing w:val="-3"/>
        </w:rPr>
        <w:t>&gt;</w:t>
      </w:r>
      <w:r>
        <w:rPr>
          <w:spacing w:val="-3"/>
        </w:rPr>
        <w:t>的议案》、《关于审议</w:t>
      </w:r>
      <w:r>
        <w:rPr>
          <w:rFonts w:ascii="宋体" w:hAnsi="宋体" w:cs="宋体" w:eastAsia="宋体" w:hint="default"/>
          <w:spacing w:val="-3"/>
        </w:rPr>
        <w:t>&lt;</w:t>
      </w:r>
      <w:r>
        <w:rPr>
          <w:spacing w:val="-3"/>
        </w:rPr>
        <w:t>深圳市新国都技术股份有限公司预计负</w:t>
      </w:r>
      <w:r>
        <w:rPr>
          <w:spacing w:val="-107"/>
        </w:rPr>
        <w:t> </w:t>
      </w:r>
      <w:r>
        <w:rPr/>
        <w:t>债管理制度</w:t>
      </w:r>
      <w:r>
        <w:rPr>
          <w:rFonts w:ascii="宋体" w:hAnsi="宋体" w:cs="宋体" w:eastAsia="宋体" w:hint="default"/>
        </w:rPr>
        <w:t>&gt;</w:t>
      </w:r>
      <w:r>
        <w:rPr/>
        <w:t>的议案》。</w:t>
      </w:r>
    </w:p>
    <w:p>
      <w:pPr>
        <w:pStyle w:val="BodyText"/>
        <w:spacing w:line="357" w:lineRule="auto" w:before="34"/>
        <w:ind w:right="238" w:firstLine="479"/>
        <w:jc w:val="both"/>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25</w:t>
      </w:r>
      <w:r>
        <w:rPr>
          <w:rFonts w:ascii="宋体" w:hAnsi="宋体" w:cs="宋体" w:eastAsia="宋体" w:hint="default"/>
          <w:spacing w:val="-65"/>
        </w:rPr>
        <w:t> </w:t>
      </w:r>
      <w:r>
        <w:rPr/>
        <w:t>日</w:t>
      </w:r>
      <w:r>
        <w:rPr>
          <w:spacing w:val="-65"/>
        </w:rPr>
        <w:t> </w:t>
      </w:r>
      <w:r>
        <w:rPr>
          <w:rFonts w:ascii="宋体" w:hAnsi="宋体" w:cs="宋体" w:eastAsia="宋体" w:hint="default"/>
        </w:rPr>
        <w:t>9</w:t>
      </w:r>
      <w:r>
        <w:rPr>
          <w:rFonts w:ascii="宋体" w:hAnsi="宋体" w:cs="宋体" w:eastAsia="宋体" w:hint="default"/>
          <w:spacing w:val="-65"/>
        </w:rPr>
        <w:t> </w:t>
      </w:r>
      <w:r>
        <w:rPr/>
        <w:t>时，在公司总部会议室召开第二届董事会审计委员会第 一次会议，审议通过了《</w:t>
      </w:r>
      <w:r>
        <w:rPr>
          <w:rFonts w:ascii="宋体" w:hAnsi="宋体" w:cs="宋体" w:eastAsia="宋体" w:hint="default"/>
        </w:rPr>
        <w:t>2011</w:t>
      </w:r>
      <w:r>
        <w:rPr>
          <w:rFonts w:ascii="宋体" w:hAnsi="宋体" w:cs="宋体" w:eastAsia="宋体" w:hint="default"/>
          <w:spacing w:val="18"/>
        </w:rPr>
        <w:t> </w:t>
      </w:r>
      <w:r>
        <w:rPr/>
        <w:t>年度内部审计工作第二季度工作总结暨第三季度 工作计划》、《</w:t>
      </w:r>
      <w:r>
        <w:rPr>
          <w:rFonts w:ascii="宋体" w:hAnsi="宋体" w:cs="宋体" w:eastAsia="宋体" w:hint="default"/>
        </w:rPr>
        <w:t>2011</w:t>
      </w:r>
      <w:r>
        <w:rPr>
          <w:rFonts w:ascii="宋体" w:hAnsi="宋体" w:cs="宋体" w:eastAsia="宋体" w:hint="default"/>
          <w:spacing w:val="-60"/>
        </w:rPr>
        <w:t> </w:t>
      </w:r>
      <w:r>
        <w:rPr/>
        <w:t>年半年度财务报表》。</w:t>
      </w:r>
    </w:p>
    <w:p>
      <w:pPr>
        <w:spacing w:after="0" w:line="357" w:lineRule="auto"/>
        <w:jc w:val="both"/>
        <w:sectPr>
          <w:footerReference w:type="default" r:id="rId32"/>
          <w:pgSz w:w="11910" w:h="16840"/>
          <w:pgMar w:footer="1195" w:header="0" w:top="1460" w:bottom="1380" w:left="1680" w:right="1560"/>
        </w:sectPr>
      </w:pPr>
    </w:p>
    <w:p>
      <w:pPr>
        <w:pStyle w:val="BodyText"/>
        <w:spacing w:line="240" w:lineRule="auto" w:before="1"/>
        <w:ind w:right="0"/>
        <w:jc w:val="both"/>
      </w:pPr>
      <w:r>
        <w:rPr>
          <w:rFonts w:ascii="宋体" w:hAnsi="宋体" w:cs="宋体" w:eastAsia="宋体" w:hint="default"/>
        </w:rPr>
        <w:t>2</w:t>
      </w:r>
      <w:r>
        <w:rPr/>
        <w:t>、提名、薪酬与考核委员会履职情况</w:t>
      </w:r>
    </w:p>
    <w:p>
      <w:pPr>
        <w:spacing w:line="240" w:lineRule="auto" w:before="12"/>
        <w:rPr>
          <w:rFonts w:ascii="宋体" w:hAnsi="宋体" w:cs="宋体" w:eastAsia="宋体" w:hint="default"/>
          <w:sz w:val="27"/>
          <w:szCs w:val="27"/>
        </w:rPr>
      </w:pPr>
    </w:p>
    <w:p>
      <w:pPr>
        <w:pStyle w:val="BodyText"/>
        <w:spacing w:line="240" w:lineRule="auto"/>
        <w:ind w:left="600" w:right="86"/>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3</w:t>
      </w:r>
      <w:r>
        <w:rPr>
          <w:rFonts w:ascii="宋体" w:hAnsi="宋体" w:cs="宋体" w:eastAsia="宋体" w:hint="default"/>
          <w:spacing w:val="-48"/>
        </w:rPr>
        <w:t> </w:t>
      </w:r>
      <w:r>
        <w:rPr/>
        <w:t>日</w:t>
      </w:r>
      <w:r>
        <w:rPr>
          <w:spacing w:val="-48"/>
        </w:rPr>
        <w:t> </w:t>
      </w:r>
      <w:r>
        <w:rPr>
          <w:rFonts w:ascii="宋体" w:hAnsi="宋体" w:cs="宋体" w:eastAsia="宋体" w:hint="default"/>
        </w:rPr>
        <w:t>9</w:t>
      </w:r>
      <w:r>
        <w:rPr>
          <w:rFonts w:ascii="宋体" w:hAnsi="宋体" w:cs="宋体" w:eastAsia="宋体" w:hint="default"/>
          <w:spacing w:val="-48"/>
        </w:rPr>
        <w:t> </w:t>
      </w:r>
      <w:r>
        <w:rPr/>
        <w:t>时，在公司总部会议室召开第一届董事会提名、薪酬与</w:t>
      </w:r>
    </w:p>
    <w:p>
      <w:pPr>
        <w:pStyle w:val="BodyText"/>
        <w:spacing w:line="240" w:lineRule="auto" w:before="151"/>
        <w:ind w:right="0"/>
        <w:jc w:val="both"/>
      </w:pPr>
      <w:r>
        <w:rPr/>
        <w:t>考核委员会第二次会议，会议应到委员</w:t>
      </w:r>
      <w:r>
        <w:rPr>
          <w:spacing w:val="-64"/>
        </w:rPr>
        <w:t> </w:t>
      </w:r>
      <w:r>
        <w:rPr>
          <w:rFonts w:ascii="宋体" w:hAnsi="宋体" w:cs="宋体" w:eastAsia="宋体" w:hint="default"/>
        </w:rPr>
        <w:t>3</w:t>
      </w:r>
      <w:r>
        <w:rPr>
          <w:rFonts w:ascii="宋体" w:hAnsi="宋体" w:cs="宋体" w:eastAsia="宋体" w:hint="default"/>
          <w:spacing w:val="-64"/>
        </w:rPr>
        <w:t> </w:t>
      </w:r>
      <w:r>
        <w:rPr>
          <w:spacing w:val="-6"/>
        </w:rPr>
        <w:t>人，实到</w:t>
      </w:r>
      <w:r>
        <w:rPr>
          <w:spacing w:val="-64"/>
        </w:rPr>
        <w:t> </w:t>
      </w:r>
      <w:r>
        <w:rPr>
          <w:rFonts w:ascii="宋体" w:hAnsi="宋体" w:cs="宋体" w:eastAsia="宋体" w:hint="default"/>
        </w:rPr>
        <w:t>3</w:t>
      </w:r>
      <w:r>
        <w:rPr>
          <w:rFonts w:ascii="宋体" w:hAnsi="宋体" w:cs="宋体" w:eastAsia="宋体" w:hint="default"/>
          <w:spacing w:val="-64"/>
        </w:rPr>
        <w:t> </w:t>
      </w:r>
      <w:r>
        <w:rPr>
          <w:spacing w:val="-6"/>
        </w:rPr>
        <w:t>人，列席</w:t>
      </w:r>
      <w:r>
        <w:rPr>
          <w:spacing w:val="-64"/>
        </w:rPr>
        <w:t> </w:t>
      </w:r>
      <w:r>
        <w:rPr>
          <w:rFonts w:ascii="宋体" w:hAnsi="宋体" w:cs="宋体" w:eastAsia="宋体" w:hint="default"/>
        </w:rPr>
        <w:t>1</w:t>
      </w:r>
      <w:r>
        <w:rPr>
          <w:rFonts w:ascii="宋体" w:hAnsi="宋体" w:cs="宋体" w:eastAsia="宋体" w:hint="default"/>
          <w:spacing w:val="-64"/>
        </w:rPr>
        <w:t> </w:t>
      </w:r>
      <w:r>
        <w:rPr>
          <w:spacing w:val="-4"/>
        </w:rPr>
        <w:t>人。审议通过了</w:t>
      </w:r>
    </w:p>
    <w:p>
      <w:pPr>
        <w:pStyle w:val="BodyText"/>
        <w:spacing w:line="240" w:lineRule="auto" w:before="154"/>
        <w:ind w:right="0"/>
        <w:jc w:val="both"/>
      </w:pPr>
      <w:r>
        <w:rPr/>
        <w:t>《关于审议调整公司员工薪酬的议案》。</w:t>
      </w:r>
    </w:p>
    <w:p>
      <w:pPr>
        <w:pStyle w:val="BodyText"/>
        <w:spacing w:line="240" w:lineRule="auto" w:before="151"/>
        <w:ind w:left="600" w:right="86"/>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w:t>
      </w:r>
      <w:r>
        <w:rPr>
          <w:spacing w:val="-48"/>
        </w:rPr>
        <w:t> </w:t>
      </w:r>
      <w:r>
        <w:rPr>
          <w:rFonts w:ascii="宋体" w:hAnsi="宋体" w:cs="宋体" w:eastAsia="宋体" w:hint="default"/>
        </w:rPr>
        <w:t>10</w:t>
      </w:r>
      <w:r>
        <w:rPr>
          <w:rFonts w:ascii="宋体" w:hAnsi="宋体" w:cs="宋体" w:eastAsia="宋体" w:hint="default"/>
          <w:spacing w:val="-46"/>
        </w:rPr>
        <w:t> </w:t>
      </w:r>
      <w:r>
        <w:rPr/>
        <w:t>时，在公司总部会议室召开第一届董事会提名、薪酬</w:t>
      </w:r>
    </w:p>
    <w:p>
      <w:pPr>
        <w:pStyle w:val="BodyText"/>
        <w:spacing w:line="357" w:lineRule="auto" w:before="154"/>
        <w:ind w:right="198"/>
        <w:jc w:val="both"/>
      </w:pPr>
      <w:r>
        <w:rPr/>
        <w:t>与考核委员会第三次会议，会议应到委员</w:t>
      </w:r>
      <w:r>
        <w:rPr>
          <w:spacing w:val="-64"/>
        </w:rPr>
        <w:t> </w:t>
      </w:r>
      <w:r>
        <w:rPr>
          <w:rFonts w:ascii="宋体" w:hAnsi="宋体" w:cs="宋体" w:eastAsia="宋体" w:hint="default"/>
        </w:rPr>
        <w:t>3</w:t>
      </w:r>
      <w:r>
        <w:rPr>
          <w:rFonts w:ascii="宋体" w:hAnsi="宋体" w:cs="宋体" w:eastAsia="宋体" w:hint="default"/>
          <w:spacing w:val="-64"/>
        </w:rPr>
        <w:t> </w:t>
      </w:r>
      <w:r>
        <w:rPr>
          <w:spacing w:val="-6"/>
        </w:rPr>
        <w:t>人，实到</w:t>
      </w:r>
      <w:r>
        <w:rPr>
          <w:spacing w:val="-64"/>
        </w:rPr>
        <w:t> </w:t>
      </w:r>
      <w:r>
        <w:rPr>
          <w:rFonts w:ascii="宋体" w:hAnsi="宋体" w:cs="宋体" w:eastAsia="宋体" w:hint="default"/>
        </w:rPr>
        <w:t>3</w:t>
      </w:r>
      <w:r>
        <w:rPr>
          <w:rFonts w:ascii="宋体" w:hAnsi="宋体" w:cs="宋体" w:eastAsia="宋体" w:hint="default"/>
          <w:spacing w:val="-64"/>
        </w:rPr>
        <w:t> </w:t>
      </w:r>
      <w:r>
        <w:rPr>
          <w:spacing w:val="-6"/>
        </w:rPr>
        <w:t>人，列席</w:t>
      </w:r>
      <w:r>
        <w:rPr>
          <w:spacing w:val="-64"/>
        </w:rPr>
        <w:t> </w:t>
      </w:r>
      <w:r>
        <w:rPr>
          <w:rFonts w:ascii="宋体" w:hAnsi="宋体" w:cs="宋体" w:eastAsia="宋体" w:hint="default"/>
        </w:rPr>
        <w:t>1</w:t>
      </w:r>
      <w:r>
        <w:rPr>
          <w:rFonts w:ascii="宋体" w:hAnsi="宋体" w:cs="宋体" w:eastAsia="宋体" w:hint="default"/>
          <w:spacing w:val="-64"/>
        </w:rPr>
        <w:t> </w:t>
      </w:r>
      <w:r>
        <w:rPr>
          <w:spacing w:val="-4"/>
        </w:rPr>
        <w:t>人。审议通过</w:t>
      </w:r>
      <w:r>
        <w:rPr/>
        <w:t> </w:t>
      </w:r>
      <w:r>
        <w:rPr>
          <w:spacing w:val="-10"/>
        </w:rPr>
        <w:t>了《关于提名深圳市新国都技术股份有限公司第二届董事会候选人的议案》、《关</w:t>
      </w:r>
      <w:r>
        <w:rPr>
          <w:spacing w:val="-96"/>
        </w:rPr>
        <w:t> </w:t>
      </w:r>
      <w:r>
        <w:rPr>
          <w:spacing w:val="-96"/>
        </w:rPr>
      </w:r>
      <w:r>
        <w:rPr/>
        <w:t>于提名深圳市新国都技术股份有限公司第二届监事会候选人的议案》。</w:t>
      </w:r>
    </w:p>
    <w:p>
      <w:pPr>
        <w:spacing w:line="240" w:lineRule="auto" w:before="4"/>
        <w:rPr>
          <w:rFonts w:ascii="宋体" w:hAnsi="宋体" w:cs="宋体" w:eastAsia="宋体" w:hint="default"/>
          <w:sz w:val="30"/>
          <w:szCs w:val="30"/>
        </w:rPr>
      </w:pPr>
    </w:p>
    <w:p>
      <w:pPr>
        <w:pStyle w:val="BodyText"/>
        <w:spacing w:line="240" w:lineRule="auto"/>
        <w:ind w:right="0"/>
        <w:jc w:val="both"/>
      </w:pPr>
      <w:r>
        <w:rPr>
          <w:rFonts w:ascii="宋体" w:hAnsi="宋体" w:cs="宋体" w:eastAsia="宋体" w:hint="default"/>
        </w:rPr>
        <w:t>3</w:t>
      </w:r>
      <w:r>
        <w:rPr/>
        <w:t>、战略委员会</w:t>
      </w:r>
    </w:p>
    <w:p>
      <w:pPr>
        <w:spacing w:line="240" w:lineRule="auto" w:before="9"/>
        <w:rPr>
          <w:rFonts w:ascii="宋体" w:hAnsi="宋体" w:cs="宋体" w:eastAsia="宋体" w:hint="default"/>
          <w:sz w:val="27"/>
          <w:szCs w:val="27"/>
        </w:rPr>
      </w:pPr>
    </w:p>
    <w:p>
      <w:pPr>
        <w:pStyle w:val="BodyText"/>
        <w:spacing w:line="240" w:lineRule="auto"/>
        <w:ind w:left="600" w:right="86"/>
        <w:jc w:val="left"/>
      </w:pP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7</w:t>
      </w:r>
      <w:r>
        <w:rPr>
          <w:rFonts w:ascii="宋体" w:hAnsi="宋体" w:cs="宋体" w:eastAsia="宋体" w:hint="default"/>
          <w:spacing w:val="-67"/>
        </w:rPr>
        <w:t> </w:t>
      </w:r>
      <w:r>
        <w:rPr/>
        <w:t>月</w:t>
      </w:r>
      <w:r>
        <w:rPr>
          <w:spacing w:val="-67"/>
        </w:rPr>
        <w:t> </w:t>
      </w:r>
      <w:r>
        <w:rPr>
          <w:rFonts w:ascii="宋体" w:hAnsi="宋体" w:cs="宋体" w:eastAsia="宋体" w:hint="default"/>
        </w:rPr>
        <w:t>18</w:t>
      </w:r>
      <w:r>
        <w:rPr>
          <w:rFonts w:ascii="宋体" w:hAnsi="宋体" w:cs="宋体" w:eastAsia="宋体" w:hint="default"/>
          <w:spacing w:val="-67"/>
        </w:rPr>
        <w:t> </w:t>
      </w:r>
      <w:r>
        <w:rPr/>
        <w:t>日，在公司总部会议室召开第二届董事会战略委员会第一次</w:t>
      </w:r>
    </w:p>
    <w:p>
      <w:pPr>
        <w:pStyle w:val="BodyText"/>
        <w:spacing w:line="355" w:lineRule="auto" w:before="154"/>
        <w:ind w:right="185"/>
        <w:jc w:val="left"/>
      </w:pPr>
      <w:r>
        <w:rPr>
          <w:spacing w:val="-7"/>
        </w:rPr>
        <w:t>会议，会议应到委员</w:t>
      </w:r>
      <w:r>
        <w:rPr>
          <w:spacing w:val="-58"/>
        </w:rPr>
        <w:t> </w:t>
      </w:r>
      <w:r>
        <w:rPr>
          <w:rFonts w:ascii="宋体" w:hAnsi="宋体" w:cs="宋体" w:eastAsia="宋体" w:hint="default"/>
        </w:rPr>
        <w:t>3</w:t>
      </w:r>
      <w:r>
        <w:rPr>
          <w:rFonts w:ascii="宋体" w:hAnsi="宋体" w:cs="宋体" w:eastAsia="宋体" w:hint="default"/>
          <w:spacing w:val="-58"/>
        </w:rPr>
        <w:t> </w:t>
      </w:r>
      <w:r>
        <w:rPr>
          <w:spacing w:val="-14"/>
        </w:rPr>
        <w:t>人，实到</w:t>
      </w:r>
      <w:r>
        <w:rPr>
          <w:spacing w:val="-58"/>
        </w:rPr>
        <w:t> </w:t>
      </w:r>
      <w:r>
        <w:rPr>
          <w:rFonts w:ascii="宋体" w:hAnsi="宋体" w:cs="宋体" w:eastAsia="宋体" w:hint="default"/>
        </w:rPr>
        <w:t>3</w:t>
      </w:r>
      <w:r>
        <w:rPr>
          <w:rFonts w:ascii="宋体" w:hAnsi="宋体" w:cs="宋体" w:eastAsia="宋体" w:hint="default"/>
          <w:spacing w:val="-58"/>
        </w:rPr>
        <w:t> </w:t>
      </w:r>
      <w:r>
        <w:rPr>
          <w:spacing w:val="-14"/>
        </w:rPr>
        <w:t>人，列席</w:t>
      </w:r>
      <w:r>
        <w:rPr>
          <w:spacing w:val="-58"/>
        </w:rPr>
        <w:t> </w:t>
      </w:r>
      <w:r>
        <w:rPr>
          <w:rFonts w:ascii="宋体" w:hAnsi="宋体" w:cs="宋体" w:eastAsia="宋体" w:hint="default"/>
        </w:rPr>
        <w:t>1</w:t>
      </w:r>
      <w:r>
        <w:rPr>
          <w:rFonts w:ascii="宋体" w:hAnsi="宋体" w:cs="宋体" w:eastAsia="宋体" w:hint="default"/>
          <w:spacing w:val="-58"/>
        </w:rPr>
        <w:t> </w:t>
      </w:r>
      <w:r>
        <w:rPr>
          <w:spacing w:val="-11"/>
        </w:rPr>
        <w:t>人。审议通过了《关于投资建设“电</w:t>
      </w:r>
      <w:r>
        <w:rPr/>
        <w:t> 子支付技术苏州产研基地项目”的议案》。</w:t>
      </w:r>
    </w:p>
    <w:p>
      <w:pPr>
        <w:pStyle w:val="Heading3"/>
        <w:spacing w:line="240" w:lineRule="auto" w:before="30"/>
        <w:ind w:right="0"/>
        <w:jc w:val="both"/>
        <w:rPr>
          <w:b w:val="0"/>
          <w:bCs w:val="0"/>
        </w:rPr>
      </w:pPr>
      <w:r>
        <w:rPr/>
        <w:t>五、公司独立性</w:t>
      </w:r>
      <w:r>
        <w:rPr>
          <w:b w:val="0"/>
          <w:bCs w:val="0"/>
        </w:rPr>
      </w:r>
    </w:p>
    <w:p>
      <w:pPr>
        <w:pStyle w:val="BodyText"/>
        <w:spacing w:line="357" w:lineRule="auto" w:before="186"/>
        <w:ind w:right="199" w:firstLine="479"/>
        <w:jc w:val="both"/>
      </w:pPr>
      <w:r>
        <w:rPr>
          <w:spacing w:val="-4"/>
        </w:rPr>
        <w:t>报告期内，公司产权明晰、权责明确、运作规范，资产、人员、财务、机构</w:t>
      </w:r>
      <w:r>
        <w:rPr/>
        <w:t> </w:t>
      </w:r>
      <w:r>
        <w:rPr>
          <w:spacing w:val="-3"/>
        </w:rPr>
        <w:t>和业务均与控股股东、实际控制人及其控制的其他企业分开，具有完整的业务体</w:t>
      </w:r>
      <w:r>
        <w:rPr>
          <w:spacing w:val="-111"/>
        </w:rPr>
        <w:t> </w:t>
      </w:r>
      <w:r>
        <w:rPr>
          <w:spacing w:val="-111"/>
        </w:rPr>
      </w:r>
      <w:r>
        <w:rPr/>
        <w:t>系和面向市场独立运营的能力。</w:t>
      </w:r>
    </w:p>
    <w:p>
      <w:pPr>
        <w:pStyle w:val="BodyText"/>
        <w:spacing w:line="357" w:lineRule="auto" w:before="34"/>
        <w:ind w:left="600" w:right="185"/>
        <w:jc w:val="left"/>
      </w:pPr>
      <w:r>
        <w:rPr>
          <w:rFonts w:ascii="宋体" w:hAnsi="宋体" w:cs="宋体" w:eastAsia="宋体" w:hint="default"/>
        </w:rPr>
        <w:t>1</w:t>
      </w:r>
      <w:r>
        <w:rPr/>
        <w:t>、资产完整独立情况 </w:t>
      </w:r>
      <w:r>
        <w:rPr>
          <w:spacing w:val="-3"/>
        </w:rPr>
        <w:t>公司由有限责任公司整体变更设立，各发起人投入新国都的资产均为其合法</w:t>
      </w:r>
    </w:p>
    <w:p>
      <w:pPr>
        <w:pStyle w:val="BodyText"/>
        <w:spacing w:line="357" w:lineRule="auto" w:before="34"/>
        <w:ind w:right="86"/>
        <w:jc w:val="left"/>
      </w:pPr>
      <w:r>
        <w:rPr>
          <w:spacing w:val="-3"/>
        </w:rPr>
        <w:t>拥有的资产，不存在潜在的产权纠纷，权属清晰。整体变更设立股份公司后，公</w:t>
      </w:r>
      <w:r>
        <w:rPr>
          <w:spacing w:val="-112"/>
        </w:rPr>
        <w:t> </w:t>
      </w:r>
      <w:r>
        <w:rPr>
          <w:spacing w:val="-112"/>
        </w:rPr>
      </w:r>
      <w:r>
        <w:rPr/>
        <w:t>司已依法办理完毕相关资产权属的变更登记，合法拥有与生产经营相关的资产， </w:t>
      </w:r>
      <w:r>
        <w:rPr>
          <w:spacing w:val="-3"/>
        </w:rPr>
        <w:t>资产完整独立，不存在控股股东、实际控制人及其控制的其他企业占用公司的资</w:t>
      </w:r>
      <w:r>
        <w:rPr>
          <w:spacing w:val="-111"/>
        </w:rPr>
        <w:t> </w:t>
      </w:r>
      <w:r>
        <w:rPr>
          <w:spacing w:val="-111"/>
        </w:rPr>
      </w:r>
      <w:r>
        <w:rPr/>
        <w:t>金、资产和其他资源的情况。</w:t>
      </w:r>
    </w:p>
    <w:p>
      <w:pPr>
        <w:pStyle w:val="BodyText"/>
        <w:spacing w:line="357" w:lineRule="auto" w:before="34"/>
        <w:ind w:left="600" w:right="185"/>
        <w:jc w:val="left"/>
      </w:pPr>
      <w:r>
        <w:rPr>
          <w:rFonts w:ascii="宋体" w:hAnsi="宋体" w:cs="宋体" w:eastAsia="宋体" w:hint="default"/>
        </w:rPr>
        <w:t>2</w:t>
      </w:r>
      <w:r>
        <w:rPr/>
        <w:t>、人员独立情况 </w:t>
      </w:r>
      <w:r>
        <w:rPr>
          <w:spacing w:val="-3"/>
        </w:rPr>
        <w:t>公司控股股东为自然人，公司总经理、副总经理、总工程师、财务负责人和</w:t>
      </w:r>
    </w:p>
    <w:p>
      <w:pPr>
        <w:pStyle w:val="BodyText"/>
        <w:spacing w:line="357" w:lineRule="auto" w:before="34"/>
        <w:ind w:right="103"/>
        <w:jc w:val="both"/>
      </w:pPr>
      <w:r>
        <w:rPr>
          <w:spacing w:val="-3"/>
        </w:rPr>
        <w:t>董事会秘书等高级管理人员未在控股股东控制的其他企业中担任除董事、监事以</w:t>
      </w:r>
      <w:r>
        <w:rPr>
          <w:spacing w:val="-109"/>
        </w:rPr>
        <w:t> </w:t>
      </w:r>
      <w:r>
        <w:rPr>
          <w:spacing w:val="-109"/>
        </w:rPr>
      </w:r>
      <w:r>
        <w:rPr>
          <w:spacing w:val="-3"/>
        </w:rPr>
        <w:t>外的其他职务，也未在控股股东控制的其他企业领薪。公司财务人员独立，未在</w:t>
      </w:r>
      <w:r>
        <w:rPr>
          <w:spacing w:val="-111"/>
        </w:rPr>
        <w:t> </w:t>
      </w:r>
      <w:r>
        <w:rPr>
          <w:spacing w:val="-111"/>
        </w:rPr>
      </w:r>
      <w:r>
        <w:rPr>
          <w:spacing w:val="-3"/>
        </w:rPr>
        <w:t>控股股东、实际控制人及其控制的其他企业中兼职。公司拥有独立、完整的人事</w:t>
      </w:r>
      <w:r>
        <w:rPr>
          <w:spacing w:val="-110"/>
        </w:rPr>
        <w:t> </w:t>
      </w:r>
      <w:r>
        <w:rPr>
          <w:spacing w:val="-110"/>
        </w:rPr>
      </w:r>
      <w:r>
        <w:rPr/>
        <w:t>管理体系，制定了独立的劳动人事管理制度，由公司独立与员工签订劳动合同。</w:t>
      </w:r>
    </w:p>
    <w:p>
      <w:pPr>
        <w:spacing w:after="0" w:line="357" w:lineRule="auto"/>
        <w:jc w:val="both"/>
        <w:sectPr>
          <w:footerReference w:type="default" r:id="rId33"/>
          <w:pgSz w:w="11910" w:h="16840"/>
          <w:pgMar w:footer="1195" w:header="0" w:top="1460" w:bottom="1380" w:left="1680" w:right="1600"/>
        </w:sectPr>
      </w:pPr>
    </w:p>
    <w:p>
      <w:pPr>
        <w:pStyle w:val="BodyText"/>
        <w:spacing w:line="357" w:lineRule="auto" w:before="1"/>
        <w:ind w:left="600" w:right="205"/>
        <w:jc w:val="left"/>
      </w:pPr>
      <w:r>
        <w:rPr>
          <w:rFonts w:ascii="宋体" w:hAnsi="宋体" w:cs="宋体" w:eastAsia="宋体" w:hint="default"/>
        </w:rPr>
        <w:t>3</w:t>
      </w:r>
      <w:r>
        <w:rPr/>
        <w:t>、财务独立情况 </w:t>
      </w:r>
      <w:r>
        <w:rPr>
          <w:spacing w:val="-3"/>
        </w:rPr>
        <w:t>公司建立了规范的财务管理制度和独立的会计核算体系，设置了独立的财务</w:t>
      </w:r>
    </w:p>
    <w:p>
      <w:pPr>
        <w:pStyle w:val="BodyText"/>
        <w:spacing w:line="357" w:lineRule="auto" w:before="34"/>
        <w:ind w:right="217"/>
        <w:jc w:val="both"/>
      </w:pPr>
      <w:r>
        <w:rPr>
          <w:spacing w:val="-3"/>
        </w:rPr>
        <w:t>部门，配备了专职的财务人员，能够独立做出财务决策，享有充分独立的资金调</w:t>
      </w:r>
      <w:r>
        <w:rPr>
          <w:spacing w:val="-111"/>
        </w:rPr>
        <w:t> </w:t>
      </w:r>
      <w:r>
        <w:rPr>
          <w:spacing w:val="-111"/>
        </w:rPr>
      </w:r>
      <w:r>
        <w:rPr>
          <w:spacing w:val="-3"/>
        </w:rPr>
        <w:t>配权。公司不存在资金被控股股东、实际控制人及其控制的其他企业以借款、代</w:t>
      </w:r>
      <w:r>
        <w:rPr>
          <w:spacing w:val="-111"/>
        </w:rPr>
        <w:t> </w:t>
      </w:r>
      <w:r>
        <w:rPr>
          <w:spacing w:val="-111"/>
        </w:rPr>
      </w:r>
      <w:r>
        <w:rPr>
          <w:spacing w:val="-3"/>
        </w:rPr>
        <w:t>偿债务、代垫款项或者其他方式占用的情形。公司独立开设银行基本账户，取得</w:t>
      </w:r>
    </w:p>
    <w:p>
      <w:pPr>
        <w:pStyle w:val="BodyText"/>
        <w:spacing w:line="355" w:lineRule="auto" w:before="36"/>
        <w:ind w:left="600" w:right="2026" w:hanging="480"/>
        <w:jc w:val="left"/>
      </w:pPr>
      <w:r>
        <w:rPr/>
        <w:t>《税务登记证》，国税登记证、地税登记证，依法独立纳税。 </w:t>
      </w:r>
      <w:r>
        <w:rPr>
          <w:rFonts w:ascii="宋体" w:hAnsi="宋体" w:cs="宋体" w:eastAsia="宋体" w:hint="default"/>
        </w:rPr>
        <w:t>4</w:t>
      </w:r>
      <w:r>
        <w:rPr/>
        <w:t>、机构独立情况</w:t>
      </w:r>
    </w:p>
    <w:p>
      <w:pPr>
        <w:pStyle w:val="BodyText"/>
        <w:spacing w:line="357" w:lineRule="auto" w:before="39"/>
        <w:ind w:right="94" w:firstLine="479"/>
        <w:jc w:val="left"/>
      </w:pPr>
      <w:r>
        <w:rPr>
          <w:spacing w:val="-7"/>
        </w:rPr>
        <w:t>公司根据《公司法》和《公司章程》的要求，建立健全了股东大会、董事会、</w:t>
      </w:r>
      <w:r>
        <w:rPr/>
        <w:t> 监事会以及独立董事制度，形成了有效的法人治理结构。在日常经营管理方面， </w:t>
      </w:r>
      <w:r>
        <w:rPr>
          <w:spacing w:val="-3"/>
        </w:rPr>
        <w:t>公司实行董事会领导下的总经理负责制，建立适合自身发展需要的内部经营管理</w:t>
      </w:r>
      <w:r>
        <w:rPr>
          <w:spacing w:val="-109"/>
        </w:rPr>
        <w:t> </w:t>
      </w:r>
      <w:r>
        <w:rPr>
          <w:spacing w:val="-109"/>
        </w:rPr>
      </w:r>
      <w:r>
        <w:rPr>
          <w:spacing w:val="-3"/>
        </w:rPr>
        <w:t>机构，包括研发中心、制造中心、营销中心、行政中心、客服中心、计划财务中</w:t>
      </w:r>
      <w:r>
        <w:rPr>
          <w:spacing w:val="-111"/>
        </w:rPr>
        <w:t> </w:t>
      </w:r>
      <w:r>
        <w:rPr>
          <w:spacing w:val="-111"/>
        </w:rPr>
      </w:r>
      <w:r>
        <w:rPr>
          <w:spacing w:val="-3"/>
        </w:rPr>
        <w:t>心、市场部、人力资源部、证券部、内审部、行业客户部和产品管理部等职能部</w:t>
      </w:r>
      <w:r>
        <w:rPr>
          <w:spacing w:val="-112"/>
        </w:rPr>
        <w:t> </w:t>
      </w:r>
      <w:r>
        <w:rPr>
          <w:spacing w:val="-112"/>
        </w:rPr>
      </w:r>
      <w:r>
        <w:rPr>
          <w:spacing w:val="-3"/>
        </w:rPr>
        <w:t>门，独立行使经营管理职权，与控股股东、实际控制人及其控制的其他企业之间</w:t>
      </w:r>
      <w:r>
        <w:rPr>
          <w:spacing w:val="-111"/>
        </w:rPr>
        <w:t> </w:t>
      </w:r>
      <w:r>
        <w:rPr>
          <w:spacing w:val="-111"/>
        </w:rPr>
      </w:r>
      <w:r>
        <w:rPr/>
        <w:t>不存在合署办公、机构混同等情形。</w:t>
      </w:r>
    </w:p>
    <w:p>
      <w:pPr>
        <w:pStyle w:val="BodyText"/>
        <w:spacing w:line="357" w:lineRule="auto" w:before="34"/>
        <w:ind w:left="600" w:right="205"/>
        <w:jc w:val="left"/>
      </w:pPr>
      <w:r>
        <w:rPr>
          <w:rFonts w:ascii="宋体" w:hAnsi="宋体" w:cs="宋体" w:eastAsia="宋体" w:hint="default"/>
        </w:rPr>
        <w:t>5</w:t>
      </w:r>
      <w:r>
        <w:rPr/>
        <w:t>、业务独立情况 </w:t>
      </w:r>
      <w:r>
        <w:rPr>
          <w:spacing w:val="-3"/>
        </w:rPr>
        <w:t>公司从产品设计、技术研发，到原料采购、生产及对外销售，均拥有独立的</w:t>
      </w:r>
    </w:p>
    <w:p>
      <w:pPr>
        <w:pStyle w:val="BodyText"/>
        <w:spacing w:line="355" w:lineRule="auto" w:before="36"/>
        <w:ind w:right="211"/>
        <w:jc w:val="left"/>
        <w:rPr>
          <w:rFonts w:ascii="宋体" w:hAnsi="宋体" w:cs="宋体" w:eastAsia="宋体" w:hint="default"/>
          <w:sz w:val="28"/>
          <w:szCs w:val="28"/>
        </w:rPr>
      </w:pPr>
      <w:r>
        <w:rPr>
          <w:spacing w:val="-3"/>
        </w:rPr>
        <w:t>经营决策权和实施权，形成了独立且运行有效的产供销和研发体系，具有面向市</w:t>
      </w:r>
      <w:r>
        <w:rPr>
          <w:spacing w:val="-111"/>
        </w:rPr>
        <w:t> </w:t>
      </w:r>
      <w:r>
        <w:rPr>
          <w:spacing w:val="-111"/>
        </w:rPr>
      </w:r>
      <w:r>
        <w:rPr>
          <w:spacing w:val="-3"/>
        </w:rPr>
        <w:t>场独立经营的能力。目前，公司控股股东、实际控制人及其控制的企业均未从事</w:t>
      </w:r>
      <w:r>
        <w:rPr>
          <w:spacing w:val="-111"/>
        </w:rPr>
        <w:t> </w:t>
      </w:r>
      <w:r>
        <w:rPr>
          <w:spacing w:val="-111"/>
        </w:rPr>
      </w:r>
      <w:r>
        <w:rPr>
          <w:spacing w:val="-3"/>
        </w:rPr>
        <w:t>与公司具有同业竞争情形的业务；同时，公司与控股股东、实际控制人及其控制</w:t>
      </w:r>
      <w:r>
        <w:rPr>
          <w:spacing w:val="-111"/>
        </w:rPr>
        <w:t> </w:t>
      </w:r>
      <w:r>
        <w:rPr>
          <w:spacing w:val="-111"/>
        </w:rPr>
      </w:r>
      <w:r>
        <w:rPr/>
        <w:t>的企业在报告期内也不存在显失公允的关联交易，公司业务独立。 </w:t>
      </w:r>
      <w:r>
        <w:rPr>
          <w:rFonts w:ascii="宋体" w:hAnsi="宋体" w:cs="宋体" w:eastAsia="宋体" w:hint="default"/>
          <w:b/>
          <w:bCs/>
          <w:sz w:val="28"/>
          <w:szCs w:val="28"/>
        </w:rPr>
        <w:t>六、公司内部控制制度的建立健全情况</w:t>
      </w:r>
      <w:r>
        <w:rPr>
          <w:rFonts w:ascii="宋体" w:hAnsi="宋体" w:cs="宋体" w:eastAsia="宋体" w:hint="default"/>
          <w:sz w:val="28"/>
          <w:szCs w:val="28"/>
        </w:rPr>
      </w:r>
    </w:p>
    <w:p>
      <w:pPr>
        <w:pStyle w:val="BodyText"/>
        <w:spacing w:line="357" w:lineRule="auto" w:before="52"/>
        <w:ind w:right="217" w:firstLine="479"/>
        <w:jc w:val="both"/>
      </w:pPr>
      <w:r>
        <w:rPr>
          <w:spacing w:val="-3"/>
        </w:rPr>
        <w:t>公司严格按照《公司法》、《证券法》、《深圳证券交易所创业板股票上市</w:t>
      </w:r>
      <w:r>
        <w:rPr/>
        <w:t> </w:t>
      </w:r>
      <w:r>
        <w:rPr>
          <w:spacing w:val="-3"/>
        </w:rPr>
        <w:t>规则》以及中国证监会有关法律法规的要求，规范运作，不断完善公司法人治理</w:t>
      </w:r>
      <w:r>
        <w:rPr>
          <w:spacing w:val="-111"/>
        </w:rPr>
        <w:t> </w:t>
      </w:r>
      <w:r>
        <w:rPr>
          <w:spacing w:val="-111"/>
        </w:rPr>
      </w:r>
      <w:r>
        <w:rPr>
          <w:spacing w:val="-3"/>
        </w:rPr>
        <w:t>结构。公司致力于建立完善的内部控制体系，目前已建立较为健全的内部控制制</w:t>
      </w:r>
      <w:r>
        <w:rPr>
          <w:spacing w:val="-111"/>
        </w:rPr>
        <w:t> </w:t>
      </w:r>
      <w:r>
        <w:rPr>
          <w:spacing w:val="-111"/>
        </w:rPr>
      </w:r>
      <w:r>
        <w:rPr>
          <w:spacing w:val="-3"/>
        </w:rPr>
        <w:t>度，包括法人治理、生产经营、财务管理、行政及人力资源管理、信息披露等方</w:t>
      </w:r>
      <w:r>
        <w:rPr>
          <w:spacing w:val="-115"/>
        </w:rPr>
        <w:t> </w:t>
      </w:r>
      <w:r>
        <w:rPr>
          <w:spacing w:val="-115"/>
        </w:rPr>
      </w:r>
      <w:r>
        <w:rPr>
          <w:spacing w:val="-3"/>
        </w:rPr>
        <w:t>面，基本涵盖公司经营管理的各层面和各主要业务环节。通过对公司各项治理制</w:t>
      </w:r>
      <w:r>
        <w:rPr>
          <w:spacing w:val="-111"/>
        </w:rPr>
        <w:t> </w:t>
      </w:r>
      <w:r>
        <w:rPr>
          <w:spacing w:val="-111"/>
        </w:rPr>
      </w:r>
      <w:r>
        <w:rPr>
          <w:spacing w:val="-3"/>
        </w:rPr>
        <w:t>度的规范和落实，公司的治理水平不断提高。有效的保证了公司经营效益水平的</w:t>
      </w:r>
      <w:r>
        <w:rPr>
          <w:spacing w:val="-111"/>
        </w:rPr>
        <w:t> </w:t>
      </w:r>
      <w:r>
        <w:rPr>
          <w:spacing w:val="-111"/>
        </w:rPr>
      </w:r>
      <w:r>
        <w:rPr/>
        <w:t>不断提升和战略目标的实现。</w:t>
      </w:r>
    </w:p>
    <w:p>
      <w:pPr>
        <w:pStyle w:val="Heading7"/>
        <w:spacing w:line="240" w:lineRule="auto" w:before="34"/>
        <w:ind w:right="94"/>
        <w:jc w:val="left"/>
        <w:rPr>
          <w:b w:val="0"/>
          <w:bCs w:val="0"/>
        </w:rPr>
      </w:pPr>
      <w:r>
        <w:rPr>
          <w:rFonts w:ascii="宋体" w:hAnsi="宋体" w:cs="宋体" w:eastAsia="宋体" w:hint="default"/>
        </w:rPr>
        <w:t>1</w:t>
      </w:r>
      <w:r>
        <w:rPr/>
        <w:t>、法人治理方面</w:t>
      </w:r>
      <w:r>
        <w:rPr>
          <w:b w:val="0"/>
          <w:bCs w:val="0"/>
        </w:rPr>
      </w:r>
    </w:p>
    <w:p>
      <w:pPr>
        <w:pStyle w:val="BodyText"/>
        <w:spacing w:line="240" w:lineRule="auto" w:before="154"/>
        <w:ind w:left="540" w:right="94"/>
        <w:jc w:val="left"/>
      </w:pPr>
      <w:r>
        <w:rPr/>
        <w:t>公司制订了《公司章程》、《股东大会议事规则》、《董事会议事规则》、</w:t>
      </w:r>
    </w:p>
    <w:p>
      <w:pPr>
        <w:spacing w:after="0" w:line="240" w:lineRule="auto"/>
        <w:jc w:val="left"/>
        <w:sectPr>
          <w:footerReference w:type="default" r:id="rId34"/>
          <w:pgSz w:w="11910" w:h="16840"/>
          <w:pgMar w:footer="1195" w:header="0" w:top="1380" w:bottom="1380" w:left="1680" w:right="1580"/>
          <w:pgNumType w:start="72"/>
        </w:sectPr>
      </w:pPr>
    </w:p>
    <w:p>
      <w:pPr>
        <w:pStyle w:val="BodyText"/>
        <w:spacing w:line="240" w:lineRule="auto" w:before="1"/>
        <w:ind w:right="0"/>
        <w:jc w:val="left"/>
      </w:pPr>
      <w:r>
        <w:rPr/>
        <w:t>《监事会议事规则》、《总经理工作细则》和《董事会审计委员会工作细则》、</w:t>
      </w:r>
    </w:p>
    <w:p>
      <w:pPr>
        <w:pStyle w:val="BodyText"/>
        <w:spacing w:line="240" w:lineRule="auto" w:before="154"/>
        <w:ind w:right="0"/>
        <w:jc w:val="left"/>
      </w:pPr>
      <w:r>
        <w:rPr>
          <w:spacing w:val="-7"/>
        </w:rPr>
        <w:t>《董事会提名、薪酬与考核委员会工作细则》、《董事会战略委员会工作细则》、</w:t>
      </w:r>
    </w:p>
    <w:p>
      <w:pPr>
        <w:pStyle w:val="BodyText"/>
        <w:spacing w:line="357" w:lineRule="auto" w:before="151"/>
        <w:ind w:right="239"/>
        <w:jc w:val="both"/>
      </w:pPr>
      <w:r>
        <w:rPr>
          <w:spacing w:val="-3"/>
        </w:rPr>
        <w:t>《独立董事工作制度》、《董事会秘书工作制度》等规章制度。这些制度对完善</w:t>
      </w:r>
      <w:r>
        <w:rPr>
          <w:spacing w:val="-114"/>
        </w:rPr>
        <w:t> </w:t>
      </w:r>
      <w:r>
        <w:rPr>
          <w:spacing w:val="-114"/>
        </w:rPr>
      </w:r>
      <w:r>
        <w:rPr/>
        <w:t>公司治理结构，规范公司决策和运作发挥着重要的作用。</w:t>
      </w:r>
    </w:p>
    <w:p>
      <w:pPr>
        <w:pStyle w:val="BodyText"/>
        <w:spacing w:line="357" w:lineRule="auto" w:before="34"/>
        <w:ind w:right="102" w:firstLine="419"/>
        <w:jc w:val="left"/>
      </w:pPr>
      <w:r>
        <w:rPr>
          <w:rFonts w:ascii="宋体" w:hAnsi="宋体" w:cs="宋体" w:eastAsia="宋体" w:hint="default"/>
        </w:rPr>
        <w:t>2011</w:t>
      </w:r>
      <w:r>
        <w:rPr>
          <w:rFonts w:ascii="宋体" w:hAnsi="宋体" w:cs="宋体" w:eastAsia="宋体" w:hint="default"/>
          <w:spacing w:val="-56"/>
        </w:rPr>
        <w:t> </w:t>
      </w:r>
      <w:r>
        <w:rPr>
          <w:spacing w:val="-7"/>
        </w:rPr>
        <w:t>年度，公司为实现控制目标，依据《公司法》、《证券法》等相关法律，</w:t>
      </w:r>
      <w:r>
        <w:rPr/>
        <w:t> </w:t>
      </w:r>
      <w:r>
        <w:rPr>
          <w:spacing w:val="-3"/>
        </w:rPr>
        <w:t>进一步完善管理制度。为了更好规范公司的信息披露行为，加强信息披露事务管</w:t>
      </w:r>
      <w:r>
        <w:rPr>
          <w:spacing w:val="-111"/>
        </w:rPr>
        <w:t> </w:t>
      </w:r>
      <w:r>
        <w:rPr>
          <w:spacing w:val="-111"/>
        </w:rPr>
      </w:r>
      <w:r>
        <w:rPr>
          <w:spacing w:val="-3"/>
        </w:rPr>
        <w:t>理，确保信息披露的公平性，保护投资者合法权益，公司对《信息披露制度》进</w:t>
      </w:r>
      <w:r>
        <w:rPr>
          <w:spacing w:val="-115"/>
        </w:rPr>
        <w:t> </w:t>
      </w:r>
      <w:r>
        <w:rPr>
          <w:spacing w:val="-115"/>
        </w:rPr>
      </w:r>
      <w:r>
        <w:rPr/>
        <w:t>行了修订，进一步细化了信息披露流程和披露要求；为加强公司对外投资管理， </w:t>
      </w:r>
      <w:r>
        <w:rPr>
          <w:spacing w:val="-3"/>
        </w:rPr>
        <w:t>规范公司对外投资行为，保障公司及股东的合法权益，公司制订了《对外投资管</w:t>
      </w:r>
      <w:r>
        <w:rPr>
          <w:spacing w:val="-110"/>
        </w:rPr>
        <w:t> </w:t>
      </w:r>
      <w:r>
        <w:rPr>
          <w:spacing w:val="-110"/>
        </w:rPr>
      </w:r>
      <w:r>
        <w:rPr>
          <w:spacing w:val="-3"/>
        </w:rPr>
        <w:t>理制度》；为了建立防止控股股东及关联方占用公司资金的长效机制，杜绝控股</w:t>
      </w:r>
      <w:r>
        <w:rPr/>
        <w:t> </w:t>
      </w:r>
      <w:r>
        <w:rPr>
          <w:spacing w:val="-3"/>
        </w:rPr>
        <w:t>股东及关联方资金占用行为的发生，公司制订了《防范控股股东及关联方占用公</w:t>
      </w:r>
      <w:r>
        <w:rPr>
          <w:spacing w:val="-111"/>
        </w:rPr>
        <w:t> </w:t>
      </w:r>
      <w:r>
        <w:rPr>
          <w:spacing w:val="-111"/>
        </w:rPr>
      </w:r>
      <w:r>
        <w:rPr>
          <w:spacing w:val="-3"/>
        </w:rPr>
        <w:t>司资金制度》；为适应公司规范运作的需要，加强财务会计管理，确保公司会计</w:t>
      </w:r>
      <w:r>
        <w:rPr>
          <w:spacing w:val="-117"/>
        </w:rPr>
        <w:t> </w:t>
      </w:r>
      <w:r>
        <w:rPr>
          <w:spacing w:val="-117"/>
        </w:rPr>
      </w:r>
      <w:r>
        <w:rPr>
          <w:spacing w:val="-3"/>
        </w:rPr>
        <w:t>信息的真实性、准确性和完整性，规范公司会计政策变更、会计估计变更及会计</w:t>
      </w:r>
      <w:r>
        <w:rPr>
          <w:spacing w:val="-111"/>
        </w:rPr>
        <w:t> </w:t>
      </w:r>
      <w:r>
        <w:rPr>
          <w:spacing w:val="-111"/>
        </w:rPr>
      </w:r>
      <w:r>
        <w:rPr/>
        <w:t>差错更正的程序及信息披露，保护投资者的合法权益，公司制订了《会计政策、 </w:t>
      </w:r>
      <w:r>
        <w:rPr>
          <w:spacing w:val="-3"/>
        </w:rPr>
        <w:t>会计估计变更及会计差错管理制度》；为进一步规范公司资产减值准备计提和核</w:t>
      </w:r>
      <w:r>
        <w:rPr>
          <w:spacing w:val="-116"/>
        </w:rPr>
        <w:t> </w:t>
      </w:r>
      <w:r>
        <w:rPr>
          <w:spacing w:val="-116"/>
        </w:rPr>
      </w:r>
      <w:r>
        <w:rPr>
          <w:spacing w:val="-3"/>
        </w:rPr>
        <w:t>销管理，确保公司财务报表真实、准确地反映公司财务状况和经营成果，有效防</w:t>
      </w:r>
      <w:r>
        <w:rPr>
          <w:spacing w:val="-111"/>
        </w:rPr>
        <w:t> </w:t>
      </w:r>
      <w:r>
        <w:rPr>
          <w:spacing w:val="-111"/>
        </w:rPr>
      </w:r>
      <w:r>
        <w:rPr>
          <w:spacing w:val="-6"/>
        </w:rPr>
        <w:t>范和化解公司资产损失风险，公司制订了《资产减值准备计提及核销管理制度》；</w:t>
      </w:r>
      <w:r>
        <w:rPr>
          <w:spacing w:val="-118"/>
        </w:rPr>
        <w:t> </w:t>
      </w:r>
      <w:r>
        <w:rPr>
          <w:spacing w:val="-118"/>
        </w:rPr>
      </w:r>
      <w:r>
        <w:rPr>
          <w:spacing w:val="-3"/>
        </w:rPr>
        <w:t>为进一步明确公司对以公允价值计量资产的计量依据、计量程序，防范对外投资</w:t>
      </w:r>
      <w:r>
        <w:rPr>
          <w:spacing w:val="-108"/>
        </w:rPr>
        <w:t> </w:t>
      </w:r>
      <w:r>
        <w:rPr>
          <w:spacing w:val="-108"/>
        </w:rPr>
      </w:r>
      <w:r>
        <w:rPr>
          <w:spacing w:val="-10"/>
        </w:rPr>
        <w:t>风险，保证公司对外投资资产的安全，提高公司对外投资的效益，公司制订了《以</w:t>
      </w:r>
      <w:r>
        <w:rPr>
          <w:spacing w:val="-95"/>
        </w:rPr>
        <w:t> </w:t>
      </w:r>
      <w:r>
        <w:rPr>
          <w:spacing w:val="-95"/>
        </w:rPr>
      </w:r>
      <w:r>
        <w:rPr>
          <w:spacing w:val="-3"/>
        </w:rPr>
        <w:t>公允价值计量资产内部控制制度》；为了规范公司预计负债的确认和计量，保证</w:t>
      </w:r>
      <w:r>
        <w:rPr>
          <w:spacing w:val="-117"/>
        </w:rPr>
        <w:t> </w:t>
      </w:r>
      <w:r>
        <w:rPr>
          <w:spacing w:val="-117"/>
        </w:rPr>
      </w:r>
      <w:r>
        <w:rPr>
          <w:spacing w:val="-3"/>
        </w:rPr>
        <w:t>财务信息的真实性，公司制订了《预计负债管理制度》；为规范公司财务负责人</w:t>
      </w:r>
      <w:r>
        <w:rPr>
          <w:spacing w:val="-117"/>
        </w:rPr>
        <w:t> </w:t>
      </w:r>
      <w:r>
        <w:rPr>
          <w:spacing w:val="-117"/>
        </w:rPr>
      </w:r>
      <w:r>
        <w:rPr>
          <w:spacing w:val="-6"/>
        </w:rPr>
        <w:t>及会计机构负责人的行为，加强对公司财务监督，保障公司规范运作和健康发展，</w:t>
      </w:r>
      <w:r>
        <w:rPr/>
        <w:t> </w:t>
      </w:r>
      <w:r>
        <w:rPr>
          <w:spacing w:val="-7"/>
        </w:rPr>
        <w:t>制订了《财务会计相关负责人管理制度》。</w:t>
      </w:r>
    </w:p>
    <w:p>
      <w:pPr>
        <w:spacing w:line="357" w:lineRule="auto" w:before="34"/>
        <w:ind w:left="540" w:right="0" w:hanging="42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、经营管理方面</w:t>
      </w:r>
      <w:r>
        <w:rPr>
          <w:rFonts w:ascii="宋体" w:hAnsi="宋体" w:cs="宋体" w:eastAsia="宋体" w:hint="default"/>
          <w:b/>
          <w:bCs/>
          <w:w w:val="99"/>
          <w:sz w:val="24"/>
          <w:szCs w:val="24"/>
        </w:rPr>
        <w:t> </w:t>
      </w:r>
      <w:r>
        <w:rPr>
          <w:rFonts w:ascii="宋体" w:hAnsi="宋体" w:cs="宋体" w:eastAsia="宋体" w:hint="default"/>
          <w:spacing w:val="-2"/>
          <w:sz w:val="24"/>
          <w:szCs w:val="24"/>
        </w:rPr>
        <w:t>为规范经营管理，公司研发中心、营销中心、生产中心、客服中心、财务中</w:t>
      </w:r>
    </w:p>
    <w:p>
      <w:pPr>
        <w:pStyle w:val="BodyText"/>
        <w:spacing w:line="357" w:lineRule="auto" w:before="34"/>
        <w:ind w:right="237"/>
        <w:jc w:val="both"/>
      </w:pPr>
      <w:r>
        <w:rPr>
          <w:spacing w:val="-3"/>
        </w:rPr>
        <w:t>心、行政中心等部门都制订了详细的经营管理制度。在具体业务管理方面，公司</w:t>
      </w:r>
      <w:r>
        <w:rPr>
          <w:spacing w:val="-112"/>
        </w:rPr>
        <w:t> </w:t>
      </w:r>
      <w:r>
        <w:rPr>
          <w:spacing w:val="-112"/>
        </w:rPr>
      </w:r>
      <w:r>
        <w:rPr>
          <w:spacing w:val="-3"/>
        </w:rPr>
        <w:t>也制订了一系列规范文件，如供应商档案管理及录入标准、采购订单标准作业流</w:t>
      </w:r>
      <w:r>
        <w:rPr>
          <w:spacing w:val="-110"/>
        </w:rPr>
        <w:t> </w:t>
      </w:r>
      <w:r>
        <w:rPr>
          <w:spacing w:val="-110"/>
        </w:rPr>
      </w:r>
      <w:r>
        <w:rPr/>
        <w:t>程等等，保证各项业务有章可循，规范操作。</w:t>
      </w:r>
    </w:p>
    <w:p>
      <w:pPr>
        <w:spacing w:line="355" w:lineRule="auto" w:before="36"/>
        <w:ind w:left="540" w:right="0" w:hanging="42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、财务管理方面</w:t>
      </w:r>
      <w:r>
        <w:rPr>
          <w:rFonts w:ascii="宋体" w:hAnsi="宋体" w:cs="宋体" w:eastAsia="宋体" w:hint="default"/>
          <w:b/>
          <w:bCs/>
          <w:w w:val="99"/>
          <w:sz w:val="24"/>
          <w:szCs w:val="24"/>
        </w:rPr>
        <w:t> </w:t>
      </w:r>
      <w:r>
        <w:rPr>
          <w:rFonts w:ascii="宋体" w:hAnsi="宋体" w:cs="宋体" w:eastAsia="宋体" w:hint="default"/>
          <w:spacing w:val="-2"/>
          <w:sz w:val="24"/>
          <w:szCs w:val="24"/>
        </w:rPr>
        <w:t>公司已基本建立一套与公司财务信息相关的、符合公司实际情况的、较为合</w:t>
      </w:r>
    </w:p>
    <w:p>
      <w:pPr>
        <w:spacing w:after="0" w:line="355" w:lineRule="auto"/>
        <w:jc w:val="left"/>
        <w:rPr>
          <w:rFonts w:ascii="宋体" w:hAnsi="宋体" w:cs="宋体" w:eastAsia="宋体" w:hint="default"/>
          <w:sz w:val="24"/>
          <w:szCs w:val="24"/>
        </w:rPr>
        <w:sectPr>
          <w:footerReference w:type="default" r:id="rId35"/>
          <w:pgSz w:w="11910" w:h="16840"/>
          <w:pgMar w:footer="1195" w:header="0" w:top="1380" w:bottom="1380" w:left="1680" w:right="1560"/>
          <w:pgNumType w:start="73"/>
        </w:sectPr>
      </w:pPr>
    </w:p>
    <w:p>
      <w:pPr>
        <w:pStyle w:val="BodyText"/>
        <w:spacing w:line="357" w:lineRule="auto" w:before="1"/>
        <w:ind w:right="86"/>
        <w:jc w:val="left"/>
        <w:rPr>
          <w:rFonts w:ascii="宋体" w:hAnsi="宋体" w:cs="宋体" w:eastAsia="宋体" w:hint="default"/>
        </w:rPr>
      </w:pPr>
      <w:bookmarkStart w:name="_bookmark6" w:id="8"/>
      <w:bookmarkEnd w:id="8"/>
      <w:r>
        <w:rPr/>
      </w:r>
      <w:r>
        <w:rPr>
          <w:spacing w:val="-3"/>
        </w:rPr>
        <w:t>理的内部控制制度，并且得到了有效的执行。在财务管理和会计审核方面均设置</w:t>
      </w:r>
      <w:r>
        <w:rPr>
          <w:spacing w:val="-111"/>
        </w:rPr>
        <w:t> </w:t>
      </w:r>
      <w:r>
        <w:rPr>
          <w:spacing w:val="-111"/>
        </w:rPr>
      </w:r>
      <w:r>
        <w:rPr/>
        <w:t>了较为合理的岗位职责权限，并配备了相应的人员以保证财会工作的顺利开展， 财务会计机构人员分工明确，实行岗位责任制，各岗位都能相互牵制相互制衡。 </w:t>
      </w:r>
      <w:r>
        <w:rPr>
          <w:spacing w:val="-3"/>
        </w:rPr>
        <w:t>公司的会计管理内部控制完整、合理、有效，公司各级会计人员具备了相应的专</w:t>
      </w:r>
      <w:r>
        <w:rPr>
          <w:spacing w:val="-111"/>
        </w:rPr>
        <w:t> </w:t>
      </w:r>
      <w:r>
        <w:rPr>
          <w:spacing w:val="-111"/>
        </w:rPr>
      </w:r>
      <w:r>
        <w:rPr>
          <w:spacing w:val="-3"/>
        </w:rPr>
        <w:t>业素质，不定期的参加相关业务培训，对重要会计业务和电算化操作制定和执行</w:t>
      </w:r>
      <w:r>
        <w:rPr>
          <w:spacing w:val="-110"/>
        </w:rPr>
        <w:t> </w:t>
      </w:r>
      <w:r>
        <w:rPr>
          <w:spacing w:val="-110"/>
        </w:rPr>
      </w:r>
      <w:r>
        <w:rPr/>
        <w:t>了明确的授权规定。公司的内部控制机制较为完善，能够得到切实有效地实施。 </w:t>
      </w:r>
      <w:r>
        <w:rPr>
          <w:rFonts w:ascii="宋体" w:hAnsi="宋体" w:cs="宋体" w:eastAsia="宋体" w:hint="default"/>
          <w:b/>
          <w:bCs/>
        </w:rPr>
        <w:t>4</w:t>
      </w:r>
      <w:r>
        <w:rPr>
          <w:rFonts w:ascii="宋体" w:hAnsi="宋体" w:cs="宋体" w:eastAsia="宋体" w:hint="default"/>
          <w:b/>
          <w:bCs/>
        </w:rPr>
        <w:t>、信息披露方面</w:t>
      </w:r>
      <w:r>
        <w:rPr>
          <w:rFonts w:ascii="宋体" w:hAnsi="宋体" w:cs="宋体" w:eastAsia="宋体" w:hint="default"/>
        </w:rPr>
      </w:r>
    </w:p>
    <w:p>
      <w:pPr>
        <w:pStyle w:val="BodyText"/>
        <w:spacing w:line="357" w:lineRule="auto" w:before="37"/>
        <w:ind w:right="195" w:firstLine="419"/>
        <w:jc w:val="both"/>
      </w:pPr>
      <w:r>
        <w:rPr>
          <w:spacing w:val="-9"/>
        </w:rPr>
        <w:t>公司目前已经制订了《投资者关系管理制度》、《信息披露管理办法》、《重</w:t>
      </w:r>
      <w:r>
        <w:rPr/>
        <w:t> </w:t>
      </w:r>
      <w:r>
        <w:rPr>
          <w:spacing w:val="-3"/>
        </w:rPr>
        <w:t>大信息内部报告制度》、《内幕信息知情人登记制度》、《突发事件危机处理应</w:t>
      </w:r>
      <w:r>
        <w:rPr>
          <w:spacing w:val="-111"/>
        </w:rPr>
        <w:t> </w:t>
      </w:r>
      <w:r>
        <w:rPr>
          <w:spacing w:val="-111"/>
        </w:rPr>
      </w:r>
      <w:r>
        <w:rPr>
          <w:spacing w:val="-3"/>
        </w:rPr>
        <w:t>急制度》、《外部信息使用人管理制度》、《投资者来访接待管理制度》、《重</w:t>
      </w:r>
      <w:r>
        <w:rPr>
          <w:spacing w:val="-111"/>
        </w:rPr>
        <w:t> </w:t>
      </w:r>
      <w:r>
        <w:rPr>
          <w:spacing w:val="-111"/>
        </w:rPr>
      </w:r>
      <w:r>
        <w:rPr>
          <w:spacing w:val="-3"/>
        </w:rPr>
        <w:t>大信息内部报告和保密制度》等信息披露与管理制度，不断加强公司与投资者之</w:t>
      </w:r>
      <w:r>
        <w:rPr>
          <w:spacing w:val="-111"/>
        </w:rPr>
        <w:t> </w:t>
      </w:r>
      <w:r>
        <w:rPr>
          <w:spacing w:val="-111"/>
        </w:rPr>
      </w:r>
      <w:r>
        <w:rPr>
          <w:spacing w:val="-3"/>
        </w:rPr>
        <w:t>间的信息交流，使投资者能够全面、完整、真实、准确、及时、公平地了解和掌</w:t>
      </w:r>
      <w:r>
        <w:rPr>
          <w:spacing w:val="-111"/>
        </w:rPr>
        <w:t> </w:t>
      </w:r>
      <w:r>
        <w:rPr>
          <w:spacing w:val="-111"/>
        </w:rPr>
      </w:r>
      <w:r>
        <w:rPr/>
        <w:t>握公司的经营状况。</w:t>
      </w:r>
    </w:p>
    <w:p>
      <w:pPr>
        <w:pStyle w:val="Heading3"/>
        <w:spacing w:line="240" w:lineRule="auto" w:before="28"/>
        <w:ind w:right="185"/>
        <w:jc w:val="left"/>
        <w:rPr>
          <w:b w:val="0"/>
          <w:bCs w:val="0"/>
        </w:rPr>
      </w:pPr>
      <w:r>
        <w:rPr/>
        <w:t>七、高级管理人员的考评及激励情况</w:t>
      </w:r>
      <w:r>
        <w:rPr>
          <w:b w:val="0"/>
          <w:bCs w:val="0"/>
        </w:rPr>
      </w:r>
    </w:p>
    <w:p>
      <w:pPr>
        <w:pStyle w:val="BodyText"/>
        <w:spacing w:line="357" w:lineRule="auto" w:before="186"/>
        <w:ind w:right="186" w:firstLine="479"/>
        <w:jc w:val="left"/>
      </w:pPr>
      <w:r>
        <w:rPr>
          <w:spacing w:val="-3"/>
        </w:rPr>
        <w:t>公司高管多为公司股东，与股东利益的取向是一致的。同时，公司建立了较</w:t>
      </w:r>
      <w:r>
        <w:rPr/>
        <w:t> </w:t>
      </w:r>
      <w:r>
        <w:rPr>
          <w:spacing w:val="-3"/>
        </w:rPr>
        <w:t>为完善的高级管理人员绩效考评体系，对公司高管的业绩完成情况进行考核，以</w:t>
      </w:r>
      <w:r>
        <w:rPr>
          <w:spacing w:val="-111"/>
        </w:rPr>
        <w:t> </w:t>
      </w:r>
      <w:r>
        <w:rPr>
          <w:spacing w:val="-111"/>
        </w:rPr>
      </w:r>
      <w:r>
        <w:rPr/>
        <w:t>促使公司高管人员勤勉尽责</w:t>
      </w:r>
      <w:r>
        <w:rPr>
          <w:rFonts w:ascii="宋体" w:hAnsi="宋体" w:cs="宋体" w:eastAsia="宋体" w:hint="default"/>
        </w:rPr>
        <w:t>,</w:t>
      </w:r>
      <w:r>
        <w:rPr/>
        <w:t>恪守职责</w:t>
      </w:r>
      <w:r>
        <w:rPr>
          <w:rFonts w:ascii="宋体" w:hAnsi="宋体" w:cs="宋体" w:eastAsia="宋体" w:hint="default"/>
        </w:rPr>
        <w:t>,</w:t>
      </w:r>
      <w:r>
        <w:rPr/>
        <w:t>努力完成和超额完成公司制定的各项任 务，进而实现股东价值最大化。</w:t>
      </w:r>
    </w:p>
    <w:p>
      <w:pPr>
        <w:spacing w:after="0" w:line="357" w:lineRule="auto"/>
        <w:jc w:val="left"/>
        <w:sectPr>
          <w:pgSz w:w="11910" w:h="16840"/>
          <w:pgMar w:header="0" w:footer="1195" w:top="1380" w:bottom="1380" w:left="1680" w:right="1600"/>
        </w:sectPr>
      </w:pPr>
    </w:p>
    <w:p>
      <w:pPr>
        <w:pStyle w:val="Heading1"/>
        <w:tabs>
          <w:tab w:pos="4419" w:val="left" w:leader="none"/>
        </w:tabs>
        <w:spacing w:line="433" w:lineRule="exact"/>
        <w:ind w:left="2739" w:right="0"/>
        <w:jc w:val="left"/>
        <w:rPr>
          <w:b w:val="0"/>
          <w:bCs w:val="0"/>
        </w:rPr>
      </w:pPr>
      <w:r>
        <w:rPr>
          <w:w w:val="95"/>
        </w:rPr>
        <w:t>第八节</w:t>
        <w:tab/>
      </w:r>
      <w:r>
        <w:rPr/>
        <w:t>监事会报告</w:t>
      </w:r>
      <w:r>
        <w:rPr>
          <w:b w:val="0"/>
          <w:bCs w:val="0"/>
        </w:rPr>
      </w:r>
    </w:p>
    <w:p>
      <w:pPr>
        <w:pStyle w:val="BodyText"/>
        <w:spacing w:line="355" w:lineRule="auto" w:before="250"/>
        <w:ind w:right="221" w:firstLine="479"/>
        <w:jc w:val="left"/>
        <w:rPr>
          <w:rFonts w:ascii="宋体" w:hAnsi="宋体" w:cs="宋体" w:eastAsia="宋体" w:hint="default"/>
          <w:sz w:val="28"/>
          <w:szCs w:val="28"/>
        </w:rPr>
      </w:pPr>
      <w:r>
        <w:rPr>
          <w:spacing w:val="-4"/>
        </w:rPr>
        <w:t>报告期内，公司监事会根据《公司法》、《证券法》、《公司章程》和《监</w:t>
      </w:r>
      <w:r>
        <w:rPr/>
        <w:t> </w:t>
      </w:r>
      <w:r>
        <w:rPr>
          <w:spacing w:val="-3"/>
        </w:rPr>
        <w:t>事会议事规则》的有关规定，认真履行各项职权和义务，充分行使对公司董事及</w:t>
      </w:r>
      <w:r>
        <w:rPr>
          <w:spacing w:val="-111"/>
        </w:rPr>
        <w:t> </w:t>
      </w:r>
      <w:r>
        <w:rPr>
          <w:spacing w:val="-111"/>
        </w:rPr>
      </w:r>
      <w:r>
        <w:rPr>
          <w:spacing w:val="-3"/>
        </w:rPr>
        <w:t>高级管理人员的监督职能，维护了股东的合法权益。监事会对公司经营管理情况</w:t>
      </w:r>
      <w:r>
        <w:rPr>
          <w:spacing w:val="-111"/>
        </w:rPr>
        <w:t> </w:t>
      </w:r>
      <w:r>
        <w:rPr>
          <w:spacing w:val="-111"/>
        </w:rPr>
      </w:r>
      <w:r>
        <w:rPr/>
        <w:t>进行了有效监督，认为 </w:t>
      </w:r>
      <w:r>
        <w:rPr>
          <w:rFonts w:ascii="宋体" w:hAnsi="宋体" w:cs="宋体" w:eastAsia="宋体" w:hint="default"/>
        </w:rPr>
        <w:t>2011</w:t>
      </w:r>
      <w:r>
        <w:rPr>
          <w:rFonts w:ascii="宋体" w:hAnsi="宋体" w:cs="宋体" w:eastAsia="宋体" w:hint="default"/>
          <w:spacing w:val="-95"/>
        </w:rPr>
        <w:t> </w:t>
      </w:r>
      <w:r>
        <w:rPr/>
        <w:t>年公司圆满完成了全年的各项生产经营计划，并取 </w:t>
      </w:r>
      <w:r>
        <w:rPr>
          <w:spacing w:val="-3"/>
        </w:rPr>
        <w:t>得了良好的经营业绩，公司抗风险能力与整体竞争能力不断增强，公司经营班子</w:t>
      </w:r>
      <w:r>
        <w:rPr>
          <w:spacing w:val="-111"/>
        </w:rPr>
        <w:t> </w:t>
      </w:r>
      <w:r>
        <w:rPr>
          <w:spacing w:val="-111"/>
        </w:rPr>
      </w:r>
      <w:r>
        <w:rPr/>
        <w:t>勤勉尽责，认真执行了董事会的各项决议，经营中未出现违规操作行为。</w:t>
      </w:r>
      <w:r>
        <w:rPr/>
        <w:t> </w:t>
      </w:r>
      <w:r>
        <w:rPr>
          <w:rFonts w:ascii="宋体" w:hAnsi="宋体" w:cs="宋体" w:eastAsia="宋体" w:hint="default"/>
          <w:b/>
          <w:bCs/>
          <w:sz w:val="28"/>
          <w:szCs w:val="28"/>
        </w:rPr>
        <w:t>一、报告期内监事会会议召开情况</w:t>
      </w:r>
      <w:r>
        <w:rPr>
          <w:rFonts w:ascii="宋体" w:hAnsi="宋体" w:cs="宋体" w:eastAsia="宋体" w:hint="default"/>
          <w:sz w:val="28"/>
          <w:szCs w:val="28"/>
        </w:rPr>
      </w:r>
    </w:p>
    <w:p>
      <w:pPr>
        <w:pStyle w:val="BodyText"/>
        <w:spacing w:line="240" w:lineRule="auto" w:before="52"/>
        <w:ind w:left="540" w:right="0"/>
        <w:jc w:val="left"/>
      </w:pPr>
      <w:r>
        <w:rPr/>
        <w:t>报告期内，公司共召开 </w:t>
      </w:r>
      <w:r>
        <w:rPr>
          <w:rFonts w:ascii="宋体" w:hAnsi="宋体" w:cs="宋体" w:eastAsia="宋体" w:hint="default"/>
        </w:rPr>
        <w:t>6</w:t>
      </w:r>
      <w:r>
        <w:rPr>
          <w:rFonts w:ascii="宋体" w:hAnsi="宋体" w:cs="宋体" w:eastAsia="宋体" w:hint="default"/>
          <w:spacing w:val="-60"/>
        </w:rPr>
        <w:t> </w:t>
      </w:r>
      <w:r>
        <w:rPr/>
        <w:t>次监事会会议。具体内容如下：</w:t>
      </w:r>
    </w:p>
    <w:p>
      <w:pPr>
        <w:spacing w:line="240" w:lineRule="auto" w:before="1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058"/>
        <w:gridCol w:w="2963"/>
        <w:gridCol w:w="4247"/>
      </w:tblGrid>
      <w:tr>
        <w:trPr>
          <w:trHeight w:val="505" w:hRule="exact"/>
        </w:trPr>
        <w:tc>
          <w:tcPr>
            <w:tcW w:w="1058"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5"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2963"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时间</w:t>
            </w:r>
            <w:r>
              <w:rPr>
                <w:rFonts w:ascii="宋体" w:hAnsi="宋体" w:cs="宋体" w:eastAsia="宋体" w:hint="default"/>
                <w:sz w:val="24"/>
                <w:szCs w:val="24"/>
              </w:rPr>
            </w:r>
          </w:p>
        </w:tc>
        <w:tc>
          <w:tcPr>
            <w:tcW w:w="4247" w:type="dxa"/>
            <w:tcBorders>
              <w:top w:val="single" w:sz="4" w:space="0" w:color="000000"/>
              <w:left w:val="single" w:sz="4" w:space="0" w:color="000000"/>
              <w:bottom w:val="single" w:sz="4" w:space="0" w:color="000000"/>
              <w:right w:val="single" w:sz="4" w:space="0" w:color="000000"/>
            </w:tcBorders>
            <w:shd w:val="clear" w:color="auto" w:fill="8DB3E1"/>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会议</w:t>
            </w:r>
            <w:r>
              <w:rPr>
                <w:rFonts w:ascii="宋体" w:hAnsi="宋体" w:cs="宋体" w:eastAsia="宋体" w:hint="default"/>
                <w:sz w:val="24"/>
                <w:szCs w:val="24"/>
              </w:rPr>
            </w:r>
          </w:p>
        </w:tc>
      </w:tr>
      <w:tr>
        <w:trPr>
          <w:trHeight w:val="504"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1</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5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3</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第一届监事会第九次会议</w:t>
            </w:r>
          </w:p>
        </w:tc>
      </w:tr>
      <w:tr>
        <w:trPr>
          <w:trHeight w:val="50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2</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69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第一届监事会第十次会议</w:t>
            </w:r>
          </w:p>
        </w:tc>
      </w:tr>
      <w:tr>
        <w:trPr>
          <w:trHeight w:val="48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3</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69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第一届监事会第十一次会议</w:t>
            </w:r>
          </w:p>
        </w:tc>
      </w:tr>
      <w:tr>
        <w:trPr>
          <w:trHeight w:val="521"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4</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69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21</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0"/>
              <w:jc w:val="center"/>
              <w:rPr>
                <w:rFonts w:ascii="宋体" w:hAnsi="宋体" w:cs="宋体" w:eastAsia="宋体" w:hint="default"/>
                <w:sz w:val="24"/>
                <w:szCs w:val="24"/>
              </w:rPr>
            </w:pPr>
            <w:r>
              <w:rPr>
                <w:rFonts w:ascii="宋体" w:hAnsi="宋体" w:cs="宋体" w:eastAsia="宋体" w:hint="default"/>
                <w:sz w:val="24"/>
                <w:szCs w:val="24"/>
              </w:rPr>
              <w:t>第二届监事会第一次会议</w:t>
            </w:r>
          </w:p>
        </w:tc>
      </w:tr>
      <w:tr>
        <w:trPr>
          <w:trHeight w:val="51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5</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5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0"/>
              <w:jc w:val="center"/>
              <w:rPr>
                <w:rFonts w:ascii="宋体" w:hAnsi="宋体" w:cs="宋体" w:eastAsia="宋体" w:hint="default"/>
                <w:sz w:val="24"/>
                <w:szCs w:val="24"/>
              </w:rPr>
            </w:pPr>
            <w:r>
              <w:rPr>
                <w:rFonts w:ascii="宋体" w:hAnsi="宋体" w:cs="宋体" w:eastAsia="宋体" w:hint="default"/>
                <w:sz w:val="24"/>
                <w:szCs w:val="24"/>
              </w:rPr>
              <w:t>第二届监事会第二次会议</w:t>
            </w:r>
          </w:p>
        </w:tc>
      </w:tr>
      <w:tr>
        <w:trPr>
          <w:trHeight w:val="521"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0"/>
              <w:jc w:val="center"/>
              <w:rPr>
                <w:rFonts w:ascii="宋体" w:hAnsi="宋体" w:cs="宋体" w:eastAsia="宋体" w:hint="default"/>
                <w:sz w:val="24"/>
                <w:szCs w:val="24"/>
              </w:rPr>
            </w:pPr>
            <w:r>
              <w:rPr>
                <w:rFonts w:ascii="宋体"/>
                <w:sz w:val="24"/>
              </w:rPr>
              <w:t>6</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63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1"/>
              <w:jc w:val="center"/>
              <w:rPr>
                <w:rFonts w:ascii="宋体" w:hAnsi="宋体" w:cs="宋体" w:eastAsia="宋体" w:hint="default"/>
                <w:sz w:val="24"/>
                <w:szCs w:val="24"/>
              </w:rPr>
            </w:pPr>
            <w:r>
              <w:rPr>
                <w:rFonts w:ascii="宋体" w:hAnsi="宋体" w:cs="宋体" w:eastAsia="宋体" w:hint="default"/>
                <w:sz w:val="24"/>
                <w:szCs w:val="24"/>
              </w:rPr>
              <w:t>第二届监事会第三次会议</w:t>
            </w:r>
          </w:p>
        </w:tc>
      </w:tr>
    </w:tbl>
    <w:p>
      <w:pPr>
        <w:spacing w:line="240" w:lineRule="auto" w:before="6"/>
        <w:rPr>
          <w:rFonts w:ascii="宋体" w:hAnsi="宋体" w:cs="宋体" w:eastAsia="宋体" w:hint="default"/>
          <w:sz w:val="22"/>
          <w:szCs w:val="22"/>
        </w:rPr>
      </w:pPr>
    </w:p>
    <w:p>
      <w:pPr>
        <w:pStyle w:val="BodyText"/>
        <w:spacing w:line="240" w:lineRule="auto" w:before="26"/>
        <w:ind w:right="0"/>
        <w:jc w:val="left"/>
      </w:pPr>
      <w:r>
        <w:rPr>
          <w:rFonts w:ascii="宋体" w:hAnsi="宋体" w:cs="宋体" w:eastAsia="宋体" w:hint="default"/>
        </w:rPr>
        <w:t>1</w:t>
      </w:r>
      <w:r>
        <w:rPr/>
        <w:t>、第一届监事会第九次会议</w:t>
      </w:r>
    </w:p>
    <w:p>
      <w:pPr>
        <w:spacing w:line="240" w:lineRule="auto" w:before="12"/>
        <w:rPr>
          <w:rFonts w:ascii="宋体" w:hAnsi="宋体" w:cs="宋体" w:eastAsia="宋体" w:hint="default"/>
          <w:sz w:val="27"/>
          <w:szCs w:val="27"/>
        </w:rPr>
      </w:pPr>
    </w:p>
    <w:p>
      <w:pPr>
        <w:pStyle w:val="BodyText"/>
        <w:spacing w:line="357" w:lineRule="auto"/>
        <w:ind w:right="106" w:firstLine="419"/>
        <w:jc w:val="left"/>
      </w:pPr>
      <w:r>
        <w:rPr>
          <w:rFonts w:ascii="宋体" w:hAnsi="宋体" w:cs="宋体" w:eastAsia="宋体" w:hint="default"/>
        </w:rPr>
        <w:t>2011</w:t>
      </w:r>
      <w:r>
        <w:rPr>
          <w:rFonts w:ascii="宋体" w:hAnsi="宋体" w:cs="宋体" w:eastAsia="宋体" w:hint="default"/>
          <w:spacing w:val="-76"/>
        </w:rPr>
        <w:t> </w:t>
      </w:r>
      <w:r>
        <w:rPr/>
        <w:t>年</w:t>
      </w:r>
      <w:r>
        <w:rPr>
          <w:spacing w:val="-76"/>
        </w:rPr>
        <w:t> </w:t>
      </w:r>
      <w:r>
        <w:rPr>
          <w:rFonts w:ascii="宋体" w:hAnsi="宋体" w:cs="宋体" w:eastAsia="宋体" w:hint="default"/>
        </w:rPr>
        <w:t>3</w:t>
      </w:r>
      <w:r>
        <w:rPr>
          <w:rFonts w:ascii="宋体" w:hAnsi="宋体" w:cs="宋体" w:eastAsia="宋体" w:hint="default"/>
          <w:spacing w:val="-76"/>
        </w:rPr>
        <w:t> </w:t>
      </w:r>
      <w:r>
        <w:rPr/>
        <w:t>月</w:t>
      </w:r>
      <w:r>
        <w:rPr>
          <w:spacing w:val="-75"/>
        </w:rPr>
        <w:t> </w:t>
      </w:r>
      <w:r>
        <w:rPr>
          <w:rFonts w:ascii="宋体" w:hAnsi="宋体" w:cs="宋体" w:eastAsia="宋体" w:hint="default"/>
        </w:rPr>
        <w:t>3</w:t>
      </w:r>
      <w:r>
        <w:rPr>
          <w:rFonts w:ascii="宋体" w:hAnsi="宋体" w:cs="宋体" w:eastAsia="宋体" w:hint="default"/>
          <w:spacing w:val="-76"/>
        </w:rPr>
        <w:t> </w:t>
      </w:r>
      <w:r>
        <w:rPr>
          <w:spacing w:val="-5"/>
        </w:rPr>
        <w:t>日，在公司会议室以现场方式召开了第一届监事会第九次会议，</w:t>
      </w:r>
      <w:r>
        <w:rPr/>
        <w:t> </w:t>
      </w:r>
      <w:r>
        <w:rPr>
          <w:spacing w:val="-3"/>
        </w:rPr>
        <w:t>审议通过了《关于审议使用募集资金置换预先投入募集资金投资项目的自筹资金</w:t>
      </w:r>
      <w:r>
        <w:rPr>
          <w:spacing w:val="-109"/>
        </w:rPr>
        <w:t> </w:t>
      </w:r>
      <w:r>
        <w:rPr>
          <w:spacing w:val="-109"/>
        </w:rPr>
      </w:r>
      <w:r>
        <w:rPr>
          <w:spacing w:val="-3"/>
        </w:rPr>
        <w:t>的议案》、《关于审议使用部分其他与主营业务相关的营运资金对全资子公司深</w:t>
      </w:r>
      <w:r>
        <w:rPr>
          <w:spacing w:val="-110"/>
        </w:rPr>
        <w:t> </w:t>
      </w:r>
      <w:r>
        <w:rPr>
          <w:spacing w:val="-110"/>
        </w:rPr>
      </w:r>
      <w:r>
        <w:rPr>
          <w:spacing w:val="-3"/>
        </w:rPr>
        <w:t>圳市新国都软件技术有限公司增资的议案》、《关于审议调整公司员工薪酬及奖</w:t>
      </w:r>
      <w:r>
        <w:rPr>
          <w:spacing w:val="-110"/>
        </w:rPr>
        <w:t> </w:t>
      </w:r>
      <w:r>
        <w:rPr>
          <w:spacing w:val="-110"/>
        </w:rPr>
      </w:r>
      <w:r>
        <w:rPr/>
        <w:t>金的议案》、《关于审议调整公司独立董事津贴的议案》。</w:t>
      </w:r>
    </w:p>
    <w:p>
      <w:pPr>
        <w:spacing w:line="240" w:lineRule="auto" w:before="1"/>
        <w:rPr>
          <w:rFonts w:ascii="宋体" w:hAnsi="宋体" w:cs="宋体" w:eastAsia="宋体" w:hint="default"/>
          <w:sz w:val="30"/>
          <w:szCs w:val="30"/>
        </w:rPr>
      </w:pPr>
    </w:p>
    <w:p>
      <w:pPr>
        <w:pStyle w:val="BodyText"/>
        <w:spacing w:line="240" w:lineRule="auto"/>
        <w:ind w:right="0"/>
        <w:jc w:val="left"/>
      </w:pPr>
      <w:r>
        <w:rPr>
          <w:rFonts w:ascii="宋体" w:hAnsi="宋体" w:cs="宋体" w:eastAsia="宋体" w:hint="default"/>
        </w:rPr>
        <w:t>2</w:t>
      </w:r>
      <w:r>
        <w:rPr/>
        <w:t>、第一届监事会第十次会议</w:t>
      </w:r>
    </w:p>
    <w:p>
      <w:pPr>
        <w:spacing w:line="240" w:lineRule="auto" w:before="12"/>
        <w:rPr>
          <w:rFonts w:ascii="宋体" w:hAnsi="宋体" w:cs="宋体" w:eastAsia="宋体" w:hint="default"/>
          <w:sz w:val="27"/>
          <w:szCs w:val="27"/>
        </w:rPr>
      </w:pPr>
    </w:p>
    <w:p>
      <w:pPr>
        <w:pStyle w:val="BodyText"/>
        <w:spacing w:line="240" w:lineRule="auto"/>
        <w:ind w:left="540" w:right="0"/>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29</w:t>
      </w:r>
      <w:r>
        <w:rPr>
          <w:rFonts w:ascii="宋体" w:hAnsi="宋体" w:cs="宋体" w:eastAsia="宋体" w:hint="default"/>
          <w:spacing w:val="-56"/>
        </w:rPr>
        <w:t> </w:t>
      </w:r>
      <w:r>
        <w:rPr/>
        <w:t>日，在公司会议室以现场方式召开了第一届监事会第十次会</w:t>
      </w:r>
    </w:p>
    <w:p>
      <w:pPr>
        <w:pStyle w:val="BodyText"/>
        <w:spacing w:line="240" w:lineRule="auto" w:before="151"/>
        <w:ind w:right="0"/>
        <w:jc w:val="left"/>
      </w:pPr>
      <w:r>
        <w:rPr/>
        <w:t>议，审议通过了《关于审议深圳市新国都技术股份有限公司 </w:t>
      </w:r>
      <w:r>
        <w:rPr>
          <w:rFonts w:ascii="宋体" w:hAnsi="宋体" w:cs="宋体" w:eastAsia="宋体" w:hint="default"/>
        </w:rPr>
        <w:t>2010</w:t>
      </w:r>
      <w:r>
        <w:rPr>
          <w:rFonts w:ascii="宋体" w:hAnsi="宋体" w:cs="宋体" w:eastAsia="宋体" w:hint="default"/>
          <w:spacing w:val="-93"/>
        </w:rPr>
        <w:t> </w:t>
      </w:r>
      <w:r>
        <w:rPr/>
        <w:t>年度监事会工</w:t>
      </w:r>
    </w:p>
    <w:p>
      <w:pPr>
        <w:pStyle w:val="BodyText"/>
        <w:spacing w:line="240" w:lineRule="auto" w:before="154"/>
        <w:ind w:right="0"/>
        <w:jc w:val="left"/>
      </w:pPr>
      <w:r>
        <w:rPr/>
        <w:t>作报告的议案》、《关于审议深圳市新国都技术股份有限公司 </w:t>
      </w:r>
      <w:r>
        <w:rPr>
          <w:rFonts w:ascii="宋体" w:hAnsi="宋体" w:cs="宋体" w:eastAsia="宋体" w:hint="default"/>
        </w:rPr>
        <w:t>2010</w:t>
      </w:r>
      <w:r>
        <w:rPr>
          <w:rFonts w:ascii="宋体" w:hAnsi="宋体" w:cs="宋体" w:eastAsia="宋体" w:hint="default"/>
          <w:spacing w:val="-93"/>
        </w:rPr>
        <w:t> </w:t>
      </w:r>
      <w:r>
        <w:rPr/>
        <w:t>年度报告正</w:t>
      </w:r>
    </w:p>
    <w:p>
      <w:pPr>
        <w:spacing w:after="0" w:line="240" w:lineRule="auto"/>
        <w:jc w:val="left"/>
        <w:sectPr>
          <w:pgSz w:w="11910" w:h="16840"/>
          <w:pgMar w:header="0" w:footer="1195" w:top="1400" w:bottom="1380" w:left="1680" w:right="1560"/>
        </w:sectPr>
      </w:pPr>
    </w:p>
    <w:p>
      <w:pPr>
        <w:pStyle w:val="BodyText"/>
        <w:spacing w:line="357" w:lineRule="auto" w:before="1"/>
        <w:ind w:right="236"/>
        <w:jc w:val="both"/>
      </w:pPr>
      <w:r>
        <w:rPr/>
        <w:t>文及摘要的议案》、《关于审议深圳市新国都技术股份有限公司 </w:t>
      </w:r>
      <w:r>
        <w:rPr>
          <w:rFonts w:ascii="宋体" w:hAnsi="宋体" w:cs="宋体" w:eastAsia="宋体" w:hint="default"/>
        </w:rPr>
        <w:t>2010</w:t>
      </w:r>
      <w:r>
        <w:rPr>
          <w:rFonts w:ascii="宋体" w:hAnsi="宋体" w:cs="宋体" w:eastAsia="宋体" w:hint="default"/>
          <w:spacing w:val="-95"/>
        </w:rPr>
        <w:t> </w:t>
      </w:r>
      <w:r>
        <w:rPr/>
        <w:t>年度利润 </w:t>
      </w:r>
      <w:r>
        <w:rPr>
          <w:spacing w:val="-3"/>
        </w:rPr>
        <w:t>分配及资本公积转增股本的议案》、《关于审议经审计的深圳市新国都技术股份</w:t>
      </w:r>
      <w:r>
        <w:rPr>
          <w:spacing w:val="-110"/>
        </w:rPr>
        <w:t> </w:t>
      </w:r>
      <w:r>
        <w:rPr>
          <w:spacing w:val="-110"/>
        </w:rPr>
      </w:r>
      <w:r>
        <w:rPr/>
        <w:t>有限公司 </w:t>
      </w:r>
      <w:r>
        <w:rPr>
          <w:rFonts w:ascii="宋体" w:hAnsi="宋体" w:cs="宋体" w:eastAsia="宋体" w:hint="default"/>
        </w:rPr>
        <w:t>2010</w:t>
      </w:r>
      <w:r>
        <w:rPr>
          <w:rFonts w:ascii="宋体" w:hAnsi="宋体" w:cs="宋体" w:eastAsia="宋体" w:hint="default"/>
          <w:spacing w:val="-96"/>
        </w:rPr>
        <w:t> </w:t>
      </w:r>
      <w:r>
        <w:rPr/>
        <w:t>年度财务报表的议案》、《关于审议深圳市新国都技术股份有限 </w:t>
      </w:r>
      <w:r>
        <w:rPr>
          <w:spacing w:val="-3"/>
        </w:rPr>
        <w:t>公司募集资金存放与使用情况的议案》、《关于审议深圳市新国都技术股份有限</w:t>
      </w:r>
      <w:r>
        <w:rPr>
          <w:spacing w:val="-110"/>
        </w:rPr>
        <w:t> </w:t>
      </w:r>
      <w:r>
        <w:rPr>
          <w:spacing w:val="-110"/>
        </w:rPr>
      </w:r>
      <w:r>
        <w:rPr/>
        <w:t>公司</w:t>
      </w:r>
      <w:r>
        <w:rPr>
          <w:spacing w:val="-59"/>
        </w:rPr>
        <w:t> </w:t>
      </w:r>
      <w:r>
        <w:rPr>
          <w:rFonts w:ascii="宋体" w:hAnsi="宋体" w:cs="宋体" w:eastAsia="宋体" w:hint="default"/>
        </w:rPr>
        <w:t>2010</w:t>
      </w:r>
      <w:r>
        <w:rPr>
          <w:rFonts w:ascii="宋体" w:hAnsi="宋体" w:cs="宋体" w:eastAsia="宋体" w:hint="default"/>
          <w:spacing w:val="-58"/>
        </w:rPr>
        <w:t> </w:t>
      </w:r>
      <w:r>
        <w:rPr>
          <w:spacing w:val="-4"/>
        </w:rPr>
        <w:t>年度内部控制自我评价报告的议案》、《关于审议聘请公司</w:t>
      </w:r>
      <w:r>
        <w:rPr>
          <w:spacing w:val="-57"/>
        </w:rPr>
        <w:t> </w:t>
      </w:r>
      <w:r>
        <w:rPr>
          <w:rFonts w:ascii="宋体" w:hAnsi="宋体" w:cs="宋体" w:eastAsia="宋体" w:hint="default"/>
        </w:rPr>
        <w:t>2011</w:t>
      </w:r>
      <w:r>
        <w:rPr>
          <w:rFonts w:ascii="宋体" w:hAnsi="宋体" w:cs="宋体" w:eastAsia="宋体" w:hint="default"/>
          <w:spacing w:val="-58"/>
        </w:rPr>
        <w:t> </w:t>
      </w:r>
      <w:r>
        <w:rPr/>
        <w:t>年度 </w:t>
      </w:r>
      <w:r>
        <w:rPr>
          <w:spacing w:val="-3"/>
        </w:rPr>
        <w:t>审计机构的议案》、《关于审议深圳市新国都技术股份有限公司监事会换届及推</w:t>
      </w:r>
      <w:r>
        <w:rPr>
          <w:spacing w:val="-110"/>
        </w:rPr>
        <w:t> </w:t>
      </w:r>
      <w:r>
        <w:rPr>
          <w:spacing w:val="-110"/>
        </w:rPr>
      </w:r>
      <w:r>
        <w:rPr>
          <w:spacing w:val="-3"/>
        </w:rPr>
        <w:t>荐第二届监事会监事候选人的议案》、《关于审议深圳市新国都技术股份有限公</w:t>
      </w:r>
      <w:r>
        <w:rPr>
          <w:spacing w:val="-110"/>
        </w:rPr>
        <w:t> </w:t>
      </w:r>
      <w:r>
        <w:rPr>
          <w:spacing w:val="-110"/>
        </w:rPr>
      </w:r>
      <w:r>
        <w:rPr/>
        <w:t>司</w:t>
      </w:r>
      <w:r>
        <w:rPr>
          <w:spacing w:val="-61"/>
        </w:rPr>
        <w:t> </w:t>
      </w:r>
      <w:r>
        <w:rPr>
          <w:rFonts w:ascii="宋体" w:hAnsi="宋体" w:cs="宋体" w:eastAsia="宋体" w:hint="default"/>
        </w:rPr>
        <w:t>2010</w:t>
      </w:r>
      <w:r>
        <w:rPr>
          <w:rFonts w:ascii="宋体" w:hAnsi="宋体" w:cs="宋体" w:eastAsia="宋体" w:hint="default"/>
          <w:spacing w:val="-60"/>
        </w:rPr>
        <w:t> </w:t>
      </w:r>
      <w:r>
        <w:rPr/>
        <w:t>年度经审计财务决算报告的议案》。</w:t>
      </w:r>
    </w:p>
    <w:p>
      <w:pPr>
        <w:spacing w:line="240" w:lineRule="auto" w:before="1"/>
        <w:rPr>
          <w:rFonts w:ascii="宋体" w:hAnsi="宋体" w:cs="宋体" w:eastAsia="宋体" w:hint="default"/>
          <w:sz w:val="30"/>
          <w:szCs w:val="30"/>
        </w:rPr>
      </w:pPr>
    </w:p>
    <w:p>
      <w:pPr>
        <w:pStyle w:val="BodyText"/>
        <w:spacing w:line="240" w:lineRule="auto"/>
        <w:ind w:right="0"/>
        <w:jc w:val="left"/>
      </w:pPr>
      <w:r>
        <w:rPr>
          <w:rFonts w:ascii="宋体" w:hAnsi="宋体" w:cs="宋体" w:eastAsia="宋体" w:hint="default"/>
        </w:rPr>
        <w:t>3</w:t>
      </w:r>
      <w:r>
        <w:rPr/>
        <w:t>、第一届监事会第十一次会议</w:t>
      </w:r>
    </w:p>
    <w:p>
      <w:pPr>
        <w:spacing w:line="240" w:lineRule="auto" w:before="12"/>
        <w:rPr>
          <w:rFonts w:ascii="宋体" w:hAnsi="宋体" w:cs="宋体" w:eastAsia="宋体" w:hint="default"/>
          <w:sz w:val="27"/>
          <w:szCs w:val="27"/>
        </w:rPr>
      </w:pPr>
    </w:p>
    <w:p>
      <w:pPr>
        <w:pStyle w:val="BodyText"/>
        <w:spacing w:line="240" w:lineRule="auto"/>
        <w:ind w:left="540" w:right="0"/>
        <w:jc w:val="left"/>
      </w:pPr>
      <w:r>
        <w:rPr>
          <w:rFonts w:ascii="宋体" w:hAnsi="宋体" w:cs="宋体" w:eastAsia="宋体" w:hint="default"/>
        </w:rPr>
        <w:t>2011</w:t>
      </w:r>
      <w:r>
        <w:rPr>
          <w:rFonts w:ascii="宋体" w:hAnsi="宋体" w:cs="宋体" w:eastAsia="宋体" w:hint="default"/>
          <w:spacing w:val="-80"/>
        </w:rPr>
        <w:t> </w:t>
      </w:r>
      <w:r>
        <w:rPr/>
        <w:t>年</w:t>
      </w:r>
      <w:r>
        <w:rPr>
          <w:spacing w:val="-80"/>
        </w:rPr>
        <w:t> </w:t>
      </w:r>
      <w:r>
        <w:rPr>
          <w:rFonts w:ascii="宋体" w:hAnsi="宋体" w:cs="宋体" w:eastAsia="宋体" w:hint="default"/>
        </w:rPr>
        <w:t>4</w:t>
      </w:r>
      <w:r>
        <w:rPr>
          <w:rFonts w:ascii="宋体" w:hAnsi="宋体" w:cs="宋体" w:eastAsia="宋体" w:hint="default"/>
          <w:spacing w:val="-80"/>
        </w:rPr>
        <w:t> </w:t>
      </w:r>
      <w:r>
        <w:rPr/>
        <w:t>月</w:t>
      </w:r>
      <w:r>
        <w:rPr>
          <w:spacing w:val="-79"/>
        </w:rPr>
        <w:t> </w:t>
      </w:r>
      <w:r>
        <w:rPr>
          <w:rFonts w:ascii="宋体" w:hAnsi="宋体" w:cs="宋体" w:eastAsia="宋体" w:hint="default"/>
        </w:rPr>
        <w:t>20</w:t>
      </w:r>
      <w:r>
        <w:rPr>
          <w:rFonts w:ascii="宋体" w:hAnsi="宋体" w:cs="宋体" w:eastAsia="宋体" w:hint="default"/>
          <w:spacing w:val="-80"/>
        </w:rPr>
        <w:t> </w:t>
      </w:r>
      <w:r>
        <w:rPr/>
        <w:t>日</w:t>
      </w:r>
      <w:r>
        <w:rPr>
          <w:rFonts w:ascii="宋体" w:hAnsi="宋体" w:cs="宋体" w:eastAsia="宋体" w:hint="default"/>
        </w:rPr>
        <w:t>,</w:t>
      </w:r>
      <w:r>
        <w:rPr/>
        <w:t>在公司会议室以现场方式召开了第一届监事会第十一次会</w:t>
      </w:r>
    </w:p>
    <w:p>
      <w:pPr>
        <w:pStyle w:val="BodyText"/>
        <w:spacing w:line="357" w:lineRule="auto" w:before="151"/>
        <w:ind w:right="221"/>
        <w:jc w:val="left"/>
      </w:pPr>
      <w:r>
        <w:rPr/>
        <w:t>议，审议通过了《关于审议公司 </w:t>
      </w:r>
      <w:r>
        <w:rPr>
          <w:rFonts w:ascii="宋体" w:hAnsi="宋体" w:cs="宋体" w:eastAsia="宋体" w:hint="default"/>
        </w:rPr>
        <w:t>2011</w:t>
      </w:r>
      <w:r>
        <w:rPr>
          <w:rFonts w:ascii="宋体" w:hAnsi="宋体" w:cs="宋体" w:eastAsia="宋体" w:hint="default"/>
          <w:spacing w:val="-95"/>
        </w:rPr>
        <w:t> </w:t>
      </w:r>
      <w:r>
        <w:rPr/>
        <w:t>年第一季度季度报告的议案》、《关于审 议上市公司治理专项活动整改报告的议案》。</w:t>
      </w:r>
    </w:p>
    <w:p>
      <w:pPr>
        <w:spacing w:line="240" w:lineRule="auto" w:before="2"/>
        <w:rPr>
          <w:rFonts w:ascii="宋体" w:hAnsi="宋体" w:cs="宋体" w:eastAsia="宋体" w:hint="default"/>
          <w:sz w:val="30"/>
          <w:szCs w:val="30"/>
        </w:rPr>
      </w:pPr>
    </w:p>
    <w:p>
      <w:pPr>
        <w:pStyle w:val="BodyText"/>
        <w:spacing w:line="240" w:lineRule="auto"/>
        <w:ind w:right="0"/>
        <w:jc w:val="left"/>
      </w:pPr>
      <w:r>
        <w:rPr>
          <w:rFonts w:ascii="宋体" w:hAnsi="宋体" w:cs="宋体" w:eastAsia="宋体" w:hint="default"/>
        </w:rPr>
        <w:t>4</w:t>
      </w:r>
      <w:r>
        <w:rPr/>
        <w:t>、第二届监事会第一次会议</w:t>
      </w:r>
    </w:p>
    <w:p>
      <w:pPr>
        <w:spacing w:line="240" w:lineRule="auto" w:before="12"/>
        <w:rPr>
          <w:rFonts w:ascii="宋体" w:hAnsi="宋体" w:cs="宋体" w:eastAsia="宋体" w:hint="default"/>
          <w:sz w:val="27"/>
          <w:szCs w:val="27"/>
        </w:rPr>
      </w:pPr>
    </w:p>
    <w:p>
      <w:pPr>
        <w:pStyle w:val="BodyText"/>
        <w:spacing w:line="355" w:lineRule="auto"/>
        <w:ind w:right="226" w:firstLine="419"/>
        <w:jc w:val="left"/>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5"/>
        </w:rPr>
        <w:t> </w:t>
      </w:r>
      <w:r>
        <w:rPr>
          <w:rFonts w:ascii="宋体" w:hAnsi="宋体" w:cs="宋体" w:eastAsia="宋体" w:hint="default"/>
        </w:rPr>
        <w:t>21</w:t>
      </w:r>
      <w:r>
        <w:rPr>
          <w:rFonts w:ascii="宋体" w:hAnsi="宋体" w:cs="宋体" w:eastAsia="宋体" w:hint="default"/>
          <w:spacing w:val="-56"/>
        </w:rPr>
        <w:t> </w:t>
      </w:r>
      <w:r>
        <w:rPr/>
        <w:t>日，在公司会议室以现场方式召开了第二届监事会第一次会 议，审议通过了《关于选举第二届监事会主席的议案》。</w:t>
      </w:r>
    </w:p>
    <w:p>
      <w:pPr>
        <w:spacing w:line="240" w:lineRule="auto" w:before="6"/>
        <w:rPr>
          <w:rFonts w:ascii="宋体" w:hAnsi="宋体" w:cs="宋体" w:eastAsia="宋体" w:hint="default"/>
          <w:sz w:val="30"/>
          <w:szCs w:val="30"/>
        </w:rPr>
      </w:pPr>
    </w:p>
    <w:p>
      <w:pPr>
        <w:pStyle w:val="BodyText"/>
        <w:spacing w:line="240" w:lineRule="auto"/>
        <w:ind w:right="0"/>
        <w:jc w:val="left"/>
      </w:pPr>
      <w:r>
        <w:rPr>
          <w:rFonts w:ascii="宋体" w:hAnsi="宋体" w:cs="宋体" w:eastAsia="宋体" w:hint="default"/>
        </w:rPr>
        <w:t>5</w:t>
      </w:r>
      <w:r>
        <w:rPr/>
        <w:t>、第二届监事会第二次会议</w:t>
      </w:r>
    </w:p>
    <w:p>
      <w:pPr>
        <w:spacing w:line="240" w:lineRule="auto" w:before="10"/>
        <w:rPr>
          <w:rFonts w:ascii="宋体" w:hAnsi="宋体" w:cs="宋体" w:eastAsia="宋体" w:hint="default"/>
          <w:sz w:val="27"/>
          <w:szCs w:val="27"/>
        </w:rPr>
      </w:pPr>
    </w:p>
    <w:p>
      <w:pPr>
        <w:pStyle w:val="BodyText"/>
        <w:spacing w:line="240" w:lineRule="auto"/>
        <w:ind w:left="540" w:right="0"/>
        <w:jc w:val="left"/>
      </w:pPr>
      <w:r>
        <w:rPr>
          <w:rFonts w:ascii="宋体" w:hAnsi="宋体" w:cs="宋体" w:eastAsia="宋体" w:hint="default"/>
        </w:rPr>
        <w:t>2011</w:t>
      </w:r>
      <w:r>
        <w:rPr>
          <w:rFonts w:ascii="宋体" w:hAnsi="宋体" w:cs="宋体" w:eastAsia="宋体" w:hint="default"/>
          <w:spacing w:val="-80"/>
        </w:rPr>
        <w:t> </w:t>
      </w:r>
      <w:r>
        <w:rPr/>
        <w:t>年</w:t>
      </w:r>
      <w:r>
        <w:rPr>
          <w:spacing w:val="-80"/>
        </w:rPr>
        <w:t> </w:t>
      </w:r>
      <w:r>
        <w:rPr>
          <w:rFonts w:ascii="宋体" w:hAnsi="宋体" w:cs="宋体" w:eastAsia="宋体" w:hint="default"/>
        </w:rPr>
        <w:t>8</w:t>
      </w:r>
      <w:r>
        <w:rPr>
          <w:rFonts w:ascii="宋体" w:hAnsi="宋体" w:cs="宋体" w:eastAsia="宋体" w:hint="default"/>
          <w:spacing w:val="-80"/>
        </w:rPr>
        <w:t> </w:t>
      </w:r>
      <w:r>
        <w:rPr/>
        <w:t>月</w:t>
      </w:r>
      <w:r>
        <w:rPr>
          <w:spacing w:val="-79"/>
        </w:rPr>
        <w:t> </w:t>
      </w:r>
      <w:r>
        <w:rPr>
          <w:rFonts w:ascii="宋体" w:hAnsi="宋体" w:cs="宋体" w:eastAsia="宋体" w:hint="default"/>
        </w:rPr>
        <w:t>5</w:t>
      </w:r>
      <w:r>
        <w:rPr>
          <w:rFonts w:ascii="宋体" w:hAnsi="宋体" w:cs="宋体" w:eastAsia="宋体" w:hint="default"/>
          <w:spacing w:val="-80"/>
        </w:rPr>
        <w:t> </w:t>
      </w:r>
      <w:r>
        <w:rPr/>
        <w:t>日</w:t>
      </w:r>
      <w:r>
        <w:rPr>
          <w:spacing w:val="-120"/>
        </w:rPr>
        <w:t>，</w:t>
      </w:r>
      <w:r>
        <w:rPr/>
        <w:t>在</w:t>
      </w:r>
      <w:r>
        <w:rPr>
          <w:spacing w:val="2"/>
        </w:rPr>
        <w:t>公</w:t>
      </w:r>
      <w:r>
        <w:rPr/>
        <w:t>司会议室以现场方式召开了第二届监事会第二次会议，</w:t>
      </w:r>
    </w:p>
    <w:p>
      <w:pPr>
        <w:pStyle w:val="BodyText"/>
        <w:spacing w:line="357" w:lineRule="auto" w:before="154"/>
        <w:ind w:right="126"/>
        <w:jc w:val="left"/>
      </w:pPr>
      <w:r>
        <w:rPr>
          <w:spacing w:val="-3"/>
        </w:rPr>
        <w:t>审议通过了《关于审议</w:t>
      </w:r>
      <w:r>
        <w:rPr>
          <w:spacing w:val="-57"/>
        </w:rPr>
        <w:t> </w:t>
      </w:r>
      <w:r>
        <w:rPr>
          <w:rFonts w:ascii="宋体" w:hAnsi="宋体" w:cs="宋体" w:eastAsia="宋体" w:hint="default"/>
        </w:rPr>
        <w:t>2011</w:t>
      </w:r>
      <w:r>
        <w:rPr>
          <w:rFonts w:ascii="宋体" w:hAnsi="宋体" w:cs="宋体" w:eastAsia="宋体" w:hint="default"/>
          <w:spacing w:val="-57"/>
        </w:rPr>
        <w:t> </w:t>
      </w:r>
      <w:r>
        <w:rPr>
          <w:spacing w:val="-5"/>
        </w:rPr>
        <w:t>半年度财务报表的议案》、《关于审议</w:t>
      </w:r>
      <w:r>
        <w:rPr>
          <w:spacing w:val="-54"/>
        </w:rPr>
        <w:t> </w:t>
      </w:r>
      <w:r>
        <w:rPr>
          <w:rFonts w:ascii="宋体" w:hAnsi="宋体" w:cs="宋体" w:eastAsia="宋体" w:hint="default"/>
        </w:rPr>
        <w:t>2011</w:t>
      </w:r>
      <w:r>
        <w:rPr>
          <w:rFonts w:ascii="宋体" w:hAnsi="宋体" w:cs="宋体" w:eastAsia="宋体" w:hint="default"/>
          <w:spacing w:val="-57"/>
        </w:rPr>
        <w:t> </w:t>
      </w:r>
      <w:r>
        <w:rPr/>
        <w:t>半年度</w:t>
      </w:r>
      <w:r>
        <w:rPr>
          <w:spacing w:val="-115"/>
        </w:rPr>
        <w:t> </w:t>
      </w:r>
      <w:r>
        <w:rPr/>
        <w:t>报告正文及摘要的议案》、《关于投资建设“电子支付技术苏州研发基地项目” 的议案》。</w:t>
      </w:r>
    </w:p>
    <w:p>
      <w:pPr>
        <w:spacing w:line="240" w:lineRule="auto" w:before="4"/>
        <w:rPr>
          <w:rFonts w:ascii="宋体" w:hAnsi="宋体" w:cs="宋体" w:eastAsia="宋体" w:hint="default"/>
          <w:sz w:val="30"/>
          <w:szCs w:val="30"/>
        </w:rPr>
      </w:pPr>
    </w:p>
    <w:p>
      <w:pPr>
        <w:pStyle w:val="BodyText"/>
        <w:spacing w:line="240" w:lineRule="auto"/>
        <w:ind w:right="0"/>
        <w:jc w:val="left"/>
      </w:pPr>
      <w:r>
        <w:rPr>
          <w:rFonts w:ascii="宋体" w:hAnsi="宋体" w:cs="宋体" w:eastAsia="宋体" w:hint="default"/>
        </w:rPr>
        <w:t>6</w:t>
      </w:r>
      <w:r>
        <w:rPr/>
        <w:t>、第二届监事会第三次会议</w:t>
      </w:r>
    </w:p>
    <w:p>
      <w:pPr>
        <w:spacing w:line="240" w:lineRule="auto" w:before="10"/>
        <w:rPr>
          <w:rFonts w:ascii="宋体" w:hAnsi="宋体" w:cs="宋体" w:eastAsia="宋体" w:hint="default"/>
          <w:sz w:val="27"/>
          <w:szCs w:val="27"/>
        </w:rPr>
      </w:pPr>
    </w:p>
    <w:p>
      <w:pPr>
        <w:pStyle w:val="BodyText"/>
        <w:spacing w:line="240" w:lineRule="auto"/>
        <w:ind w:left="540" w:right="0"/>
        <w:jc w:val="left"/>
      </w:pP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spacing w:val="-4"/>
        </w:rPr>
        <w:t>日，在公司会议室以现场方式召开了第二届监事会第三次会</w:t>
      </w:r>
    </w:p>
    <w:p>
      <w:pPr>
        <w:pStyle w:val="BodyText"/>
        <w:spacing w:line="240" w:lineRule="auto" w:before="154"/>
        <w:ind w:right="0"/>
        <w:jc w:val="left"/>
      </w:pPr>
      <w:r>
        <w:rPr>
          <w:spacing w:val="-5"/>
        </w:rPr>
        <w:t>议，审议通过了《关于审议公司</w:t>
      </w:r>
      <w:r>
        <w:rPr>
          <w:spacing w:val="-73"/>
        </w:rPr>
        <w:t> </w:t>
      </w:r>
      <w:r>
        <w:rPr>
          <w:rFonts w:ascii="宋体" w:hAnsi="宋体" w:cs="宋体" w:eastAsia="宋体" w:hint="default"/>
        </w:rPr>
        <w:t>2011</w:t>
      </w:r>
      <w:r>
        <w:rPr>
          <w:rFonts w:ascii="宋体" w:hAnsi="宋体" w:cs="宋体" w:eastAsia="宋体" w:hint="default"/>
          <w:spacing w:val="-73"/>
        </w:rPr>
        <w:t> </w:t>
      </w:r>
      <w:r>
        <w:rPr/>
        <w:t>年第三季度季度报告正文和全文的议案》、</w:t>
      </w:r>
    </w:p>
    <w:p>
      <w:pPr>
        <w:pStyle w:val="BodyText"/>
        <w:spacing w:line="357" w:lineRule="auto" w:before="151"/>
        <w:ind w:right="231"/>
        <w:jc w:val="left"/>
      </w:pPr>
      <w:r>
        <w:rPr>
          <w:spacing w:val="-3"/>
        </w:rPr>
        <w:t>《关于审议使用部分超募资金永久补充流动资金的议案》、《关于审议与深圳市</w:t>
      </w:r>
      <w:r>
        <w:rPr>
          <w:spacing w:val="-110"/>
        </w:rPr>
        <w:t> </w:t>
      </w:r>
      <w:r>
        <w:rPr>
          <w:spacing w:val="-110"/>
        </w:rPr>
      </w:r>
      <w:r>
        <w:rPr>
          <w:spacing w:val="-3"/>
        </w:rPr>
        <w:t>泰德信实业有限公司关联交易的议案》、《关于审议延长深圳市新国都技术股份</w:t>
      </w:r>
    </w:p>
    <w:p>
      <w:pPr>
        <w:spacing w:after="0" w:line="357" w:lineRule="auto"/>
        <w:jc w:val="left"/>
        <w:sectPr>
          <w:footerReference w:type="default" r:id="rId36"/>
          <w:pgSz w:w="11910" w:h="16840"/>
          <w:pgMar w:footer="1195" w:header="0" w:top="1380" w:bottom="1380" w:left="1680" w:right="1560"/>
          <w:pgNumType w:start="76"/>
        </w:sectPr>
      </w:pPr>
    </w:p>
    <w:p>
      <w:pPr>
        <w:pStyle w:val="BodyText"/>
        <w:spacing w:line="240" w:lineRule="auto" w:before="1"/>
        <w:ind w:right="94"/>
        <w:jc w:val="left"/>
      </w:pPr>
      <w:r>
        <w:rPr/>
        <w:t>有限公司宝安分公司营业期限的议案》。</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t>二、监事会对</w:t>
      </w:r>
      <w:r>
        <w:rPr>
          <w:spacing w:val="-71"/>
        </w:rPr>
        <w:t> </w:t>
      </w:r>
      <w:r>
        <w:rPr>
          <w:rFonts w:ascii="宋体" w:hAnsi="宋体" w:cs="宋体" w:eastAsia="宋体" w:hint="default"/>
        </w:rPr>
        <w:t>2011</w:t>
      </w:r>
      <w:r>
        <w:rPr>
          <w:rFonts w:ascii="宋体" w:hAnsi="宋体" w:cs="宋体" w:eastAsia="宋体" w:hint="default"/>
          <w:spacing w:val="-71"/>
        </w:rPr>
        <w:t> </w:t>
      </w:r>
      <w:r>
        <w:rPr/>
        <w:t>年度公司相关事项的核查意见</w:t>
      </w:r>
      <w:r>
        <w:rPr>
          <w:b w:val="0"/>
          <w:bCs w:val="0"/>
        </w:rPr>
      </w:r>
    </w:p>
    <w:p>
      <w:pPr>
        <w:spacing w:line="240" w:lineRule="auto" w:before="0"/>
        <w:rPr>
          <w:rFonts w:ascii="宋体" w:hAnsi="宋体" w:cs="宋体" w:eastAsia="宋体" w:hint="default"/>
          <w:b/>
          <w:bCs/>
          <w:sz w:val="26"/>
          <w:szCs w:val="26"/>
        </w:rPr>
      </w:pPr>
    </w:p>
    <w:p>
      <w:pPr>
        <w:pStyle w:val="BodyText"/>
        <w:spacing w:line="357" w:lineRule="auto"/>
        <w:ind w:right="217" w:firstLine="419"/>
        <w:jc w:val="both"/>
      </w:pPr>
      <w:r>
        <w:rPr>
          <w:spacing w:val="-2"/>
        </w:rPr>
        <w:t>报告期内，公司监事会严格按照有关法律、法规及公司章程的规定，对公司</w:t>
      </w:r>
      <w:r>
        <w:rPr/>
        <w:t> </w:t>
      </w:r>
      <w:r>
        <w:rPr>
          <w:spacing w:val="-3"/>
        </w:rPr>
        <w:t>依法运作情况、公司财务情况、募集资金使用情况、关联交易等事项进行了认真</w:t>
      </w:r>
      <w:r>
        <w:rPr>
          <w:spacing w:val="-111"/>
        </w:rPr>
        <w:t> </w:t>
      </w:r>
      <w:r>
        <w:rPr>
          <w:spacing w:val="-111"/>
        </w:rPr>
      </w:r>
      <w:r>
        <w:rPr/>
        <w:t>监督检查，对公司相关情况报告如下：</w:t>
      </w:r>
    </w:p>
    <w:p>
      <w:pPr>
        <w:pStyle w:val="BodyText"/>
        <w:spacing w:line="240" w:lineRule="auto" w:before="190"/>
        <w:ind w:right="94"/>
        <w:jc w:val="left"/>
      </w:pPr>
      <w:r>
        <w:rPr/>
        <w:t>（一）公司依法运作情况</w:t>
      </w:r>
    </w:p>
    <w:p>
      <w:pPr>
        <w:spacing w:line="240" w:lineRule="auto" w:before="10"/>
        <w:rPr>
          <w:rFonts w:ascii="宋体" w:hAnsi="宋体" w:cs="宋体" w:eastAsia="宋体" w:hint="default"/>
          <w:sz w:val="23"/>
          <w:szCs w:val="23"/>
        </w:rPr>
      </w:pPr>
    </w:p>
    <w:p>
      <w:pPr>
        <w:pStyle w:val="BodyText"/>
        <w:spacing w:line="357" w:lineRule="auto"/>
        <w:ind w:right="79" w:firstLine="479"/>
        <w:jc w:val="left"/>
      </w:pPr>
      <w:r>
        <w:rPr>
          <w:rFonts w:ascii="宋体" w:hAnsi="宋体" w:cs="宋体" w:eastAsia="宋体" w:hint="default"/>
        </w:rPr>
        <w:t>2011</w:t>
      </w:r>
      <w:r>
        <w:rPr>
          <w:rFonts w:ascii="宋体" w:hAnsi="宋体" w:cs="宋体" w:eastAsia="宋体" w:hint="default"/>
          <w:spacing w:val="-92"/>
        </w:rPr>
        <w:t> </w:t>
      </w:r>
      <w:r>
        <w:rPr/>
        <w:t>年，公司监事会依据《公司法》、《公司章程》、《监事会议事规则》 </w:t>
      </w:r>
      <w:r>
        <w:rPr>
          <w:spacing w:val="-3"/>
        </w:rPr>
        <w:t>等赋予的职权，积极参加股东大会，列席董事会会议，对公司的决策程序、内部</w:t>
      </w:r>
      <w:r>
        <w:rPr>
          <w:spacing w:val="-110"/>
        </w:rPr>
        <w:t> </w:t>
      </w:r>
      <w:r>
        <w:rPr>
          <w:spacing w:val="-110"/>
        </w:rPr>
      </w:r>
      <w:r>
        <w:rPr>
          <w:spacing w:val="-3"/>
        </w:rPr>
        <w:t>控制制度的建立与执行情况以及公司董事、高级管理人员履行职务情况进行了监</w:t>
      </w:r>
      <w:r>
        <w:rPr>
          <w:spacing w:val="-109"/>
        </w:rPr>
        <w:t> </w:t>
      </w:r>
      <w:r>
        <w:rPr>
          <w:spacing w:val="-109"/>
        </w:rPr>
      </w:r>
      <w:r>
        <w:rPr/>
        <w:t>督。</w:t>
      </w:r>
    </w:p>
    <w:p>
      <w:pPr>
        <w:pStyle w:val="BodyText"/>
        <w:spacing w:line="357" w:lineRule="auto" w:before="192"/>
        <w:ind w:right="217" w:firstLine="479"/>
        <w:jc w:val="both"/>
      </w:pPr>
      <w:r>
        <w:rPr>
          <w:spacing w:val="-3"/>
        </w:rPr>
        <w:t>监事会认为：公司决策程序遵守了《公司法》、《证券法》等法律、法规以</w:t>
      </w:r>
      <w:r>
        <w:rPr/>
        <w:t> </w:t>
      </w:r>
      <w:r>
        <w:rPr>
          <w:spacing w:val="-3"/>
        </w:rPr>
        <w:t>及《公司章程》等的相关规定，建立了较为完善的内部控制制度。董事会运作规</w:t>
      </w:r>
      <w:r>
        <w:rPr>
          <w:spacing w:val="-111"/>
        </w:rPr>
        <w:t> </w:t>
      </w:r>
      <w:r>
        <w:rPr>
          <w:spacing w:val="-111"/>
        </w:rPr>
      </w:r>
      <w:r>
        <w:rPr>
          <w:spacing w:val="-3"/>
        </w:rPr>
        <w:t>范、决策合理、程序合法，并认真执行股东大会的各项决议。公司董事、高级管</w:t>
      </w:r>
      <w:r>
        <w:rPr>
          <w:spacing w:val="-115"/>
        </w:rPr>
        <w:t> </w:t>
      </w:r>
      <w:r>
        <w:rPr>
          <w:spacing w:val="-115"/>
        </w:rPr>
      </w:r>
      <w:r>
        <w:rPr>
          <w:spacing w:val="-3"/>
        </w:rPr>
        <w:t>理人员执行公司职务时忠于职守、勤勉尽责，不存在违反法律、法规、《公司章</w:t>
      </w:r>
      <w:r>
        <w:rPr>
          <w:spacing w:val="-114"/>
        </w:rPr>
        <w:t> </w:t>
      </w:r>
      <w:r>
        <w:rPr>
          <w:spacing w:val="-114"/>
        </w:rPr>
      </w:r>
      <w:r>
        <w:rPr/>
        <w:t>程》或损害公司利益的行为。</w:t>
      </w:r>
    </w:p>
    <w:p>
      <w:pPr>
        <w:pStyle w:val="BodyText"/>
        <w:spacing w:line="240" w:lineRule="auto" w:before="190"/>
        <w:ind w:right="94"/>
        <w:jc w:val="left"/>
      </w:pPr>
      <w:r>
        <w:rPr/>
        <w:t>（二）检查公司财务的情况</w:t>
      </w:r>
    </w:p>
    <w:p>
      <w:pPr>
        <w:spacing w:line="240" w:lineRule="auto" w:before="9"/>
        <w:rPr>
          <w:rFonts w:ascii="宋体" w:hAnsi="宋体" w:cs="宋体" w:eastAsia="宋体" w:hint="default"/>
          <w:sz w:val="23"/>
          <w:szCs w:val="23"/>
        </w:rPr>
      </w:pPr>
    </w:p>
    <w:p>
      <w:pPr>
        <w:pStyle w:val="BodyText"/>
        <w:spacing w:line="357" w:lineRule="auto"/>
        <w:ind w:right="216" w:firstLine="479"/>
        <w:jc w:val="both"/>
      </w:pPr>
      <w:r>
        <w:rPr/>
        <w:t>监事会对 </w:t>
      </w:r>
      <w:r>
        <w:rPr>
          <w:rFonts w:ascii="宋体" w:hAnsi="宋体" w:cs="宋体" w:eastAsia="宋体" w:hint="default"/>
        </w:rPr>
        <w:t>2011</w:t>
      </w:r>
      <w:r>
        <w:rPr>
          <w:rFonts w:ascii="宋体" w:hAnsi="宋体" w:cs="宋体" w:eastAsia="宋体" w:hint="default"/>
          <w:spacing w:val="-95"/>
        </w:rPr>
        <w:t> </w:t>
      </w:r>
      <w:r>
        <w:rPr/>
        <w:t>年度公司的财务状况、财务管理、财务成果等进行了认真细 </w:t>
      </w:r>
      <w:r>
        <w:rPr>
          <w:spacing w:val="-3"/>
        </w:rPr>
        <w:t>致、有效地监督、检查和审核，认为：公司财务制度较健全、财务运作规范、财</w:t>
      </w:r>
      <w:r>
        <w:rPr>
          <w:spacing w:val="-111"/>
        </w:rPr>
        <w:t> </w:t>
      </w:r>
      <w:r>
        <w:rPr>
          <w:spacing w:val="-111"/>
        </w:rPr>
      </w:r>
      <w:r>
        <w:rPr/>
        <w:t>务状况良好。大华会计师事务所有限公司出具的公司 </w:t>
      </w:r>
      <w:r>
        <w:rPr>
          <w:rFonts w:ascii="宋体" w:hAnsi="宋体" w:cs="宋体" w:eastAsia="宋体" w:hint="default"/>
        </w:rPr>
        <w:t>2011</w:t>
      </w:r>
      <w:r>
        <w:rPr>
          <w:rFonts w:ascii="宋体" w:hAnsi="宋体" w:cs="宋体" w:eastAsia="宋体" w:hint="default"/>
          <w:spacing w:val="-95"/>
        </w:rPr>
        <w:t> </w:t>
      </w:r>
      <w:r>
        <w:rPr/>
        <w:t>年度审计报告真实、</w:t>
      </w:r>
    </w:p>
    <w:p>
      <w:pPr>
        <w:pStyle w:val="BodyText"/>
        <w:spacing w:line="240" w:lineRule="auto" w:before="36"/>
        <w:ind w:right="94"/>
        <w:jc w:val="left"/>
      </w:pPr>
      <w:r>
        <w:rPr/>
        <w:t>客观、准确地反映了公司</w:t>
      </w:r>
      <w:r>
        <w:rPr>
          <w:spacing w:val="-60"/>
        </w:rPr>
        <w:t> </w:t>
      </w:r>
      <w:r>
        <w:rPr>
          <w:rFonts w:ascii="宋体" w:hAnsi="宋体" w:cs="宋体" w:eastAsia="宋体" w:hint="default"/>
        </w:rPr>
        <w:t>2011</w:t>
      </w:r>
      <w:r>
        <w:rPr>
          <w:rFonts w:ascii="宋体" w:hAnsi="宋体" w:cs="宋体" w:eastAsia="宋体" w:hint="default"/>
          <w:spacing w:val="-60"/>
        </w:rPr>
        <w:t> </w:t>
      </w:r>
      <w:r>
        <w:rPr/>
        <w:t>年度的财务状况和经营成果。</w:t>
      </w:r>
    </w:p>
    <w:p>
      <w:pPr>
        <w:pStyle w:val="BodyText"/>
        <w:spacing w:line="680" w:lineRule="atLeast" w:before="162"/>
        <w:ind w:left="540" w:right="94" w:hanging="420"/>
        <w:jc w:val="left"/>
      </w:pPr>
      <w:r>
        <w:rPr/>
        <w:t>（三）公司收购、出售资产情况 </w:t>
      </w:r>
      <w:r>
        <w:rPr>
          <w:spacing w:val="-2"/>
        </w:rPr>
        <w:t>报告期内，公司无收购、出售资产情况。未发生内幕交易以及其他损害公司</w:t>
      </w:r>
    </w:p>
    <w:p>
      <w:pPr>
        <w:pStyle w:val="BodyText"/>
        <w:spacing w:line="240" w:lineRule="auto" w:before="154"/>
        <w:ind w:right="94"/>
        <w:jc w:val="left"/>
      </w:pPr>
      <w:r>
        <w:rPr/>
        <w:t>股东利益或造成公司资产流失的情况。</w:t>
      </w:r>
    </w:p>
    <w:p>
      <w:pPr>
        <w:spacing w:line="240" w:lineRule="auto" w:before="7"/>
        <w:rPr>
          <w:rFonts w:ascii="宋体" w:hAnsi="宋体" w:cs="宋体" w:eastAsia="宋体" w:hint="default"/>
          <w:sz w:val="23"/>
          <w:szCs w:val="23"/>
        </w:rPr>
      </w:pPr>
    </w:p>
    <w:p>
      <w:pPr>
        <w:pStyle w:val="BodyText"/>
        <w:spacing w:line="477" w:lineRule="auto"/>
        <w:ind w:left="600" w:right="205" w:hanging="480"/>
        <w:jc w:val="left"/>
      </w:pPr>
      <w:r>
        <w:rPr/>
        <w:t>（四）公司募集资金使用情况 </w:t>
      </w:r>
      <w:r>
        <w:rPr>
          <w:spacing w:val="-3"/>
        </w:rPr>
        <w:t>监事会对募集资金存放和使用情况进行了检查，公司建立了《募集资金使用</w:t>
      </w:r>
    </w:p>
    <w:p>
      <w:pPr>
        <w:spacing w:after="0" w:line="477" w:lineRule="auto"/>
        <w:jc w:val="left"/>
        <w:sectPr>
          <w:footerReference w:type="default" r:id="rId37"/>
          <w:pgSz w:w="11910" w:h="16840"/>
          <w:pgMar w:footer="1195" w:header="0" w:top="1380" w:bottom="1380" w:left="1680" w:right="1580"/>
          <w:pgNumType w:start="77"/>
        </w:sectPr>
      </w:pPr>
    </w:p>
    <w:p>
      <w:pPr>
        <w:pStyle w:val="BodyText"/>
        <w:spacing w:line="357" w:lineRule="auto" w:before="1"/>
        <w:ind w:right="231"/>
        <w:jc w:val="left"/>
      </w:pPr>
      <w:bookmarkStart w:name="_bookmark7" w:id="9"/>
      <w:bookmarkEnd w:id="9"/>
      <w:r>
        <w:rPr/>
      </w:r>
      <w:r>
        <w:rPr>
          <w:spacing w:val="-3"/>
        </w:rPr>
        <w:t>管理办法》，《投资决策程序与规则》，实际投入项目与承诺投入项目一致，没</w:t>
      </w:r>
      <w:r>
        <w:rPr>
          <w:spacing w:val="-113"/>
        </w:rPr>
        <w:t> </w:t>
      </w:r>
      <w:r>
        <w:rPr>
          <w:spacing w:val="-113"/>
        </w:rPr>
      </w:r>
      <w:r>
        <w:rPr/>
        <w:t>有发现募集资金违规行为。</w:t>
      </w:r>
    </w:p>
    <w:p>
      <w:pPr>
        <w:spacing w:line="240" w:lineRule="auto" w:before="5"/>
        <w:rPr>
          <w:rFonts w:ascii="宋体" w:hAnsi="宋体" w:cs="宋体" w:eastAsia="宋体" w:hint="default"/>
          <w:sz w:val="31"/>
          <w:szCs w:val="31"/>
        </w:rPr>
      </w:pPr>
    </w:p>
    <w:p>
      <w:pPr>
        <w:pStyle w:val="BodyText"/>
        <w:spacing w:line="240" w:lineRule="auto"/>
        <w:ind w:right="0"/>
        <w:jc w:val="left"/>
      </w:pPr>
      <w:r>
        <w:rPr/>
        <w:t>（五）公司关联交易情况</w:t>
      </w:r>
    </w:p>
    <w:p>
      <w:pPr>
        <w:spacing w:line="240" w:lineRule="auto" w:before="4"/>
        <w:rPr>
          <w:rFonts w:ascii="宋体" w:hAnsi="宋体" w:cs="宋体" w:eastAsia="宋体" w:hint="default"/>
          <w:sz w:val="28"/>
          <w:szCs w:val="28"/>
        </w:rPr>
      </w:pPr>
    </w:p>
    <w:p>
      <w:pPr>
        <w:pStyle w:val="BodyText"/>
        <w:spacing w:line="240" w:lineRule="auto"/>
        <w:ind w:left="540" w:right="0"/>
        <w:jc w:val="left"/>
      </w:pPr>
      <w:r>
        <w:rPr/>
        <w:t>由于同类物业市场价格上升，公司于</w:t>
      </w:r>
      <w:r>
        <w:rPr>
          <w:spacing w:val="-68"/>
        </w:rPr>
        <w:t> </w:t>
      </w:r>
      <w:r>
        <w:rPr>
          <w:rFonts w:ascii="宋体" w:hAnsi="宋体" w:cs="宋体" w:eastAsia="宋体" w:hint="default"/>
        </w:rPr>
        <w:t>2011</w:t>
      </w:r>
      <w:r>
        <w:rPr>
          <w:rFonts w:ascii="宋体" w:hAnsi="宋体" w:cs="宋体" w:eastAsia="宋体" w:hint="default"/>
          <w:spacing w:val="-69"/>
        </w:rPr>
        <w:t> </w:t>
      </w:r>
      <w:r>
        <w:rPr/>
        <w:t>年</w:t>
      </w:r>
      <w:r>
        <w:rPr>
          <w:spacing w:val="-69"/>
        </w:rPr>
        <w:t> </w:t>
      </w:r>
      <w:r>
        <w:rPr>
          <w:rFonts w:ascii="宋体" w:hAnsi="宋体" w:cs="宋体" w:eastAsia="宋体" w:hint="default"/>
        </w:rPr>
        <w:t>10</w:t>
      </w:r>
      <w:r>
        <w:rPr>
          <w:rFonts w:ascii="宋体" w:hAnsi="宋体" w:cs="宋体" w:eastAsia="宋体" w:hint="default"/>
          <w:spacing w:val="-69"/>
        </w:rPr>
        <w:t> </w:t>
      </w:r>
      <w:r>
        <w:rPr/>
        <w:t>月与泰德信双方签订《房屋</w:t>
      </w:r>
    </w:p>
    <w:p>
      <w:pPr>
        <w:pStyle w:val="BodyText"/>
        <w:spacing w:line="240" w:lineRule="auto" w:before="154"/>
        <w:ind w:right="0"/>
        <w:jc w:val="left"/>
      </w:pPr>
      <w:r>
        <w:rPr/>
        <w:t>租赁合同》的补充合同，将房屋单位租金上调至 </w:t>
      </w:r>
      <w:r>
        <w:rPr>
          <w:rFonts w:ascii="宋体" w:hAnsi="宋体" w:cs="宋体" w:eastAsia="宋体" w:hint="default"/>
        </w:rPr>
        <w:t>95</w:t>
      </w:r>
      <w:r>
        <w:rPr>
          <w:rFonts w:ascii="宋体" w:hAnsi="宋体" w:cs="宋体" w:eastAsia="宋体" w:hint="default"/>
          <w:spacing w:val="-94"/>
        </w:rPr>
        <w:t> </w:t>
      </w:r>
      <w:r>
        <w:rPr/>
        <w:t>元</w:t>
      </w:r>
      <w:r>
        <w:rPr>
          <w:rFonts w:ascii="宋体" w:hAnsi="宋体" w:cs="宋体" w:eastAsia="宋体" w:hint="default"/>
        </w:rPr>
        <w:t>/</w:t>
      </w:r>
      <w:r>
        <w:rPr/>
        <w:t>平方米</w:t>
      </w:r>
      <w:r>
        <w:rPr>
          <w:rFonts w:ascii="宋体" w:hAnsi="宋体" w:cs="宋体" w:eastAsia="宋体" w:hint="default"/>
        </w:rPr>
        <w:t>/</w:t>
      </w:r>
      <w:r>
        <w:rPr/>
        <w:t>月，调整后，月</w:t>
      </w:r>
    </w:p>
    <w:p>
      <w:pPr>
        <w:pStyle w:val="BodyText"/>
        <w:spacing w:line="240" w:lineRule="auto" w:before="152"/>
        <w:ind w:right="0"/>
        <w:jc w:val="left"/>
        <w:rPr>
          <w:rFonts w:ascii="宋体" w:hAnsi="宋体" w:cs="宋体" w:eastAsia="宋体" w:hint="default"/>
        </w:rPr>
      </w:pPr>
      <w:r>
        <w:rPr/>
        <w:t>总租金为</w:t>
      </w:r>
      <w:r>
        <w:rPr>
          <w:spacing w:val="-68"/>
        </w:rPr>
        <w:t> </w:t>
      </w:r>
      <w:r>
        <w:rPr>
          <w:rFonts w:ascii="宋体" w:hAnsi="宋体" w:cs="宋体" w:eastAsia="宋体" w:hint="default"/>
        </w:rPr>
        <w:t>84,227.00</w:t>
      </w:r>
      <w:r>
        <w:rPr>
          <w:rFonts w:ascii="宋体" w:hAnsi="宋体" w:cs="宋体" w:eastAsia="宋体" w:hint="default"/>
          <w:spacing w:val="-67"/>
        </w:rPr>
        <w:t> </w:t>
      </w:r>
      <w:r>
        <w:rPr/>
        <w:t>元，其余条款仍按原合同执行。租金调整时间自</w:t>
      </w:r>
      <w:r>
        <w:rPr>
          <w:spacing w:val="-66"/>
        </w:rPr>
        <w:t> </w:t>
      </w: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10</w:t>
      </w:r>
    </w:p>
    <w:p>
      <w:pPr>
        <w:pStyle w:val="BodyText"/>
        <w:spacing w:line="240" w:lineRule="auto" w:before="154"/>
        <w:ind w:right="0"/>
        <w:jc w:val="left"/>
      </w:pPr>
      <w:r>
        <w:rPr/>
        <w:t>月</w:t>
      </w:r>
      <w:r>
        <w:rPr>
          <w:spacing w:val="-61"/>
        </w:rPr>
        <w:t> </w:t>
      </w:r>
      <w:r>
        <w:rPr>
          <w:rFonts w:ascii="宋体" w:hAnsi="宋体" w:cs="宋体" w:eastAsia="宋体" w:hint="default"/>
        </w:rPr>
        <w:t>1</w:t>
      </w:r>
      <w:r>
        <w:rPr>
          <w:rFonts w:ascii="宋体" w:hAnsi="宋体" w:cs="宋体" w:eastAsia="宋体" w:hint="default"/>
          <w:spacing w:val="-60"/>
        </w:rPr>
        <w:t> </w:t>
      </w:r>
      <w:r>
        <w:rPr/>
        <w:t>日起计算，至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7"/>
        <w:rPr>
          <w:rFonts w:ascii="宋体" w:hAnsi="宋体" w:cs="宋体" w:eastAsia="宋体" w:hint="default"/>
          <w:sz w:val="23"/>
          <w:szCs w:val="23"/>
        </w:rPr>
      </w:pPr>
    </w:p>
    <w:p>
      <w:pPr>
        <w:pStyle w:val="BodyText"/>
        <w:spacing w:line="357" w:lineRule="auto"/>
        <w:ind w:right="237" w:firstLine="419"/>
        <w:jc w:val="both"/>
      </w:pPr>
      <w:r>
        <w:rPr>
          <w:spacing w:val="-2"/>
        </w:rPr>
        <w:t>除上述经常性关联交易外，报告期内，公司无重大关联交易情况发生。公司</w:t>
      </w:r>
      <w:r>
        <w:rPr/>
        <w:t> </w:t>
      </w:r>
      <w:r>
        <w:rPr>
          <w:spacing w:val="-3"/>
        </w:rPr>
        <w:t>的关联交易严格遵循公开、公平、公正的原则，操作规范，程序严谨，交易价格</w:t>
      </w:r>
      <w:r>
        <w:rPr>
          <w:spacing w:val="-115"/>
        </w:rPr>
        <w:t> </w:t>
      </w:r>
      <w:r>
        <w:rPr>
          <w:spacing w:val="-115"/>
        </w:rPr>
      </w:r>
      <w:r>
        <w:rPr/>
        <w:t>客观公平，没有损害公司及股东的利益。</w:t>
      </w:r>
    </w:p>
    <w:p>
      <w:pPr>
        <w:spacing w:line="240" w:lineRule="auto" w:before="7"/>
        <w:rPr>
          <w:rFonts w:ascii="宋体" w:hAnsi="宋体" w:cs="宋体" w:eastAsia="宋体" w:hint="default"/>
          <w:sz w:val="31"/>
          <w:szCs w:val="31"/>
        </w:rPr>
      </w:pPr>
    </w:p>
    <w:p>
      <w:pPr>
        <w:pStyle w:val="BodyText"/>
        <w:spacing w:line="240" w:lineRule="auto"/>
        <w:ind w:right="0"/>
        <w:jc w:val="left"/>
      </w:pPr>
      <w:r>
        <w:rPr/>
        <w:t>（六）公司</w:t>
      </w:r>
      <w:r>
        <w:rPr>
          <w:spacing w:val="-61"/>
        </w:rPr>
        <w:t> </w:t>
      </w:r>
      <w:r>
        <w:rPr>
          <w:rFonts w:ascii="宋体" w:hAnsi="宋体" w:cs="宋体" w:eastAsia="宋体" w:hint="default"/>
        </w:rPr>
        <w:t>2011</w:t>
      </w:r>
      <w:r>
        <w:rPr>
          <w:rFonts w:ascii="宋体" w:hAnsi="宋体" w:cs="宋体" w:eastAsia="宋体" w:hint="default"/>
          <w:spacing w:val="-60"/>
        </w:rPr>
        <w:t> </w:t>
      </w:r>
      <w:r>
        <w:rPr/>
        <w:t>年度内部控制自我评价报告</w:t>
      </w:r>
    </w:p>
    <w:p>
      <w:pPr>
        <w:spacing w:line="240" w:lineRule="auto" w:before="4"/>
        <w:rPr>
          <w:rFonts w:ascii="宋体" w:hAnsi="宋体" w:cs="宋体" w:eastAsia="宋体" w:hint="default"/>
          <w:sz w:val="28"/>
          <w:szCs w:val="28"/>
        </w:rPr>
      </w:pPr>
    </w:p>
    <w:p>
      <w:pPr>
        <w:pStyle w:val="BodyText"/>
        <w:spacing w:line="357" w:lineRule="auto"/>
        <w:ind w:right="236" w:firstLine="419"/>
        <w:jc w:val="both"/>
      </w:pPr>
      <w:r>
        <w:rPr/>
        <w:t>公司监事会成员认真审阅公司 </w:t>
      </w:r>
      <w:r>
        <w:rPr>
          <w:rFonts w:ascii="宋体" w:hAnsi="宋体" w:cs="宋体" w:eastAsia="宋体" w:hint="default"/>
        </w:rPr>
        <w:t>2011</w:t>
      </w:r>
      <w:r>
        <w:rPr>
          <w:rFonts w:ascii="宋体" w:hAnsi="宋体" w:cs="宋体" w:eastAsia="宋体" w:hint="default"/>
          <w:spacing w:val="-34"/>
        </w:rPr>
        <w:t> </w:t>
      </w:r>
      <w:r>
        <w:rPr/>
        <w:t>年度内部控制自我评价报告后认为：公 </w:t>
      </w:r>
      <w:r>
        <w:rPr>
          <w:spacing w:val="-3"/>
        </w:rPr>
        <w:t>司现已建立了较为完善的内部控制体系，符合国家相关法律法规要求以及公司生</w:t>
      </w:r>
      <w:r>
        <w:rPr>
          <w:spacing w:val="-109"/>
        </w:rPr>
        <w:t> </w:t>
      </w:r>
      <w:r>
        <w:rPr>
          <w:spacing w:val="-109"/>
        </w:rPr>
      </w:r>
      <w:r>
        <w:rPr>
          <w:spacing w:val="-3"/>
        </w:rPr>
        <w:t>产经营管理实际需要，并能得到有效执行，内部控制体系的建立对公司经营管理</w:t>
      </w:r>
      <w:r>
        <w:rPr>
          <w:spacing w:val="-111"/>
        </w:rPr>
        <w:t> </w:t>
      </w:r>
      <w:r>
        <w:rPr>
          <w:spacing w:val="-111"/>
        </w:rPr>
      </w:r>
      <w:r>
        <w:rPr>
          <w:spacing w:val="-3"/>
        </w:rPr>
        <w:t>的各个环节起到了较好的风险防范和控制作用，公司内部控制的自我评价报告真</w:t>
      </w:r>
      <w:r>
        <w:rPr>
          <w:spacing w:val="-109"/>
        </w:rPr>
        <w:t> </w:t>
      </w:r>
      <w:r>
        <w:rPr>
          <w:spacing w:val="-109"/>
        </w:rPr>
      </w:r>
      <w:r>
        <w:rPr/>
        <w:t>实、客观地反映了公司内部控制制度的建设及运行情况。</w:t>
      </w:r>
    </w:p>
    <w:p>
      <w:pPr>
        <w:pStyle w:val="BodyText"/>
        <w:spacing w:line="680" w:lineRule="atLeast" w:before="45"/>
        <w:ind w:left="540" w:right="0" w:hanging="420"/>
        <w:jc w:val="left"/>
      </w:pPr>
      <w:r>
        <w:rPr/>
        <w:t>（七）对公司</w:t>
      </w:r>
      <w:r>
        <w:rPr>
          <w:spacing w:val="-60"/>
        </w:rPr>
        <w:t> </w:t>
      </w:r>
      <w:r>
        <w:rPr>
          <w:rFonts w:ascii="宋体" w:hAnsi="宋体" w:cs="宋体" w:eastAsia="宋体" w:hint="default"/>
        </w:rPr>
        <w:t>2011</w:t>
      </w:r>
      <w:r>
        <w:rPr>
          <w:rFonts w:ascii="宋体" w:hAnsi="宋体" w:cs="宋体" w:eastAsia="宋体" w:hint="default"/>
          <w:spacing w:val="-60"/>
        </w:rPr>
        <w:t> </w:t>
      </w:r>
      <w:r>
        <w:rPr/>
        <w:t>年年度报告的核查意见 </w:t>
      </w:r>
      <w:r>
        <w:rPr>
          <w:spacing w:val="5"/>
        </w:rPr>
        <w:t>公司本次年度报告已经公司第二届董事会第五次会议审议通过，其内容真</w:t>
      </w:r>
    </w:p>
    <w:p>
      <w:pPr>
        <w:pStyle w:val="BodyText"/>
        <w:spacing w:line="357" w:lineRule="auto" w:before="154"/>
        <w:ind w:right="102"/>
        <w:jc w:val="left"/>
      </w:pPr>
      <w:r>
        <w:rPr>
          <w:spacing w:val="-6"/>
        </w:rPr>
        <w:t>实、完整，编制及审核程序符合《深圳证券交易所创业板上市公司规范运作指引》</w:t>
      </w:r>
      <w:r>
        <w:rPr>
          <w:spacing w:val="-118"/>
        </w:rPr>
        <w:t> </w:t>
      </w:r>
      <w:r>
        <w:rPr>
          <w:spacing w:val="-118"/>
        </w:rPr>
      </w:r>
      <w:r>
        <w:rPr>
          <w:spacing w:val="-3"/>
        </w:rPr>
        <w:t>中关于上市公司定期报告编制的相关规定，对本次年度报告的编制、审核以及出</w:t>
      </w:r>
      <w:r>
        <w:rPr>
          <w:spacing w:val="-111"/>
        </w:rPr>
        <w:t> </w:t>
      </w:r>
      <w:r>
        <w:rPr>
          <w:spacing w:val="-111"/>
        </w:rPr>
      </w:r>
      <w:r>
        <w:rPr/>
        <w:t>具的最终报告等没有异议。</w:t>
      </w:r>
    </w:p>
    <w:p>
      <w:pPr>
        <w:pStyle w:val="BodyText"/>
        <w:spacing w:line="355" w:lineRule="auto" w:before="192"/>
        <w:ind w:right="237" w:firstLine="419"/>
        <w:jc w:val="both"/>
      </w:pPr>
      <w:r>
        <w:rPr>
          <w:spacing w:val="-2"/>
        </w:rPr>
        <w:t>本届监事会将继续严格按照《公司法》、公司章程和国家有关法规政策的规</w:t>
      </w:r>
      <w:r>
        <w:rPr/>
        <w:t> 定，忠实履行自己的职责，进一步促进公司的规范运作。</w:t>
      </w:r>
    </w:p>
    <w:p>
      <w:pPr>
        <w:spacing w:after="0" w:line="355" w:lineRule="auto"/>
        <w:jc w:val="both"/>
        <w:sectPr>
          <w:pgSz w:w="11910" w:h="16840"/>
          <w:pgMar w:header="0" w:footer="1195" w:top="1380" w:bottom="1380" w:left="1680" w:right="1560"/>
        </w:sectPr>
      </w:pPr>
    </w:p>
    <w:p>
      <w:pPr>
        <w:pStyle w:val="Heading1"/>
        <w:tabs>
          <w:tab w:pos="4602" w:val="left" w:leader="none"/>
        </w:tabs>
        <w:spacing w:line="433" w:lineRule="exact"/>
        <w:ind w:left="2921" w:right="0"/>
        <w:jc w:val="left"/>
        <w:rPr>
          <w:b w:val="0"/>
          <w:bCs w:val="0"/>
        </w:rPr>
      </w:pPr>
      <w:r>
        <w:rPr>
          <w:w w:val="95"/>
        </w:rPr>
        <w:t>第九节</w:t>
        <w:tab/>
      </w:r>
      <w:r>
        <w:rPr/>
        <w:t>财务报告</w:t>
      </w:r>
      <w:r>
        <w:rPr>
          <w:b w:val="0"/>
          <w:bCs w:val="0"/>
        </w:rPr>
      </w:r>
    </w:p>
    <w:p>
      <w:pPr>
        <w:spacing w:line="240" w:lineRule="auto" w:before="1"/>
        <w:rPr>
          <w:rFonts w:ascii="宋体" w:hAnsi="宋体" w:cs="宋体" w:eastAsia="宋体" w:hint="default"/>
          <w:b/>
          <w:bCs/>
          <w:sz w:val="26"/>
          <w:szCs w:val="26"/>
        </w:rPr>
      </w:pPr>
    </w:p>
    <w:p>
      <w:pPr>
        <w:tabs>
          <w:tab w:pos="643" w:val="left" w:leader="none"/>
          <w:tab w:pos="1286" w:val="left" w:leader="none"/>
          <w:tab w:pos="1929" w:val="left" w:leader="none"/>
        </w:tabs>
        <w:spacing w:before="0"/>
        <w:ind w:left="0" w:right="25" w:firstLine="0"/>
        <w:jc w:val="center"/>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9"/>
          <w:szCs w:val="29"/>
        </w:rPr>
      </w:pPr>
    </w:p>
    <w:p>
      <w:pPr>
        <w:spacing w:line="322" w:lineRule="exact" w:before="0"/>
        <w:ind w:left="0" w:right="99"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大华审字</w:t>
      </w:r>
      <w:r>
        <w:rPr>
          <w:rFonts w:ascii="Arial" w:hAnsi="Arial" w:cs="Arial" w:eastAsia="Arial" w:hint="default"/>
          <w:b/>
          <w:bCs/>
          <w:sz w:val="21"/>
          <w:szCs w:val="21"/>
        </w:rPr>
        <w:t>[2012]128</w:t>
      </w:r>
      <w:r>
        <w:rPr>
          <w:rFonts w:ascii="Arial" w:hAnsi="Arial" w:cs="Arial" w:eastAsia="Arial" w:hint="default"/>
          <w:b/>
          <w:bCs/>
          <w:spacing w:val="-32"/>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5"/>
          <w:szCs w:val="15"/>
        </w:rPr>
      </w:pPr>
    </w:p>
    <w:p>
      <w:pPr>
        <w:pStyle w:val="Heading4"/>
        <w:spacing w:line="383" w:lineRule="exact"/>
        <w:ind w:left="120" w:right="0"/>
        <w:jc w:val="both"/>
        <w:rPr>
          <w:rFonts w:ascii="Arial" w:hAnsi="Arial" w:cs="Arial" w:eastAsia="Arial" w:hint="default"/>
        </w:rPr>
      </w:pPr>
      <w:r>
        <w:rPr/>
        <w:t>深圳市新国都技术股份有限公司全体股东</w:t>
      </w:r>
      <w:r>
        <w:rPr>
          <w:rFonts w:ascii="Arial" w:hAnsi="Arial" w:cs="Arial" w:eastAsia="Arial" w:hint="default"/>
        </w:rPr>
        <w:t>:</w:t>
      </w: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pStyle w:val="Heading4"/>
        <w:spacing w:line="388" w:lineRule="auto" w:before="218"/>
        <w:ind w:left="120" w:right="135" w:firstLine="559"/>
        <w:jc w:val="both"/>
      </w:pPr>
      <w:r>
        <w:rPr>
          <w:spacing w:val="2"/>
        </w:rPr>
        <w:t>我们审计了后附的深圳市新国都技术股份有限公司</w:t>
      </w:r>
      <w:r>
        <w:rPr>
          <w:rFonts w:ascii="Arial" w:hAnsi="Arial" w:cs="Arial" w:eastAsia="Arial" w:hint="default"/>
          <w:spacing w:val="2"/>
        </w:rPr>
        <w:t>(</w:t>
      </w:r>
      <w:r>
        <w:rPr>
          <w:spacing w:val="2"/>
        </w:rPr>
        <w:t>以下简称新</w:t>
      </w:r>
      <w:r>
        <w:rPr>
          <w:w w:val="100"/>
        </w:rPr>
        <w:t> </w:t>
      </w:r>
      <w:r>
        <w:rPr/>
        <w:t>国都技术公司</w:t>
      </w:r>
      <w:r>
        <w:rPr>
          <w:rFonts w:ascii="Arial" w:hAnsi="Arial" w:cs="Arial" w:eastAsia="Arial" w:hint="default"/>
        </w:rPr>
        <w:t>)</w:t>
      </w:r>
      <w:r>
        <w:rPr/>
        <w:t>财务报表，包括</w:t>
      </w:r>
      <w:r>
        <w:rPr>
          <w:spacing w:val="-53"/>
        </w:rPr>
        <w:t> </w:t>
      </w:r>
      <w:r>
        <w:rPr>
          <w:rFonts w:ascii="Arial" w:hAnsi="Arial" w:cs="Arial" w:eastAsia="Arial" w:hint="default"/>
        </w:rPr>
        <w:t>2011</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日的合并及母公司</w:t>
      </w:r>
      <w:r>
        <w:rPr>
          <w:w w:val="100"/>
        </w:rPr>
        <w:t> </w:t>
      </w:r>
      <w:r>
        <w:rPr/>
        <w:t>资产负债表，</w:t>
      </w:r>
      <w:r>
        <w:rPr>
          <w:rFonts w:ascii="Arial" w:hAnsi="Arial" w:cs="Arial" w:eastAsia="Arial" w:hint="default"/>
        </w:rPr>
        <w:t>2011</w:t>
      </w:r>
      <w:r>
        <w:rPr>
          <w:rFonts w:ascii="Arial" w:hAnsi="Arial" w:cs="Arial" w:eastAsia="Arial" w:hint="default"/>
          <w:spacing w:val="38"/>
        </w:rPr>
        <w:t> </w:t>
      </w:r>
      <w:r>
        <w:rPr/>
        <w:t>年度的合并及母公司利润表、合并及母公司现金</w:t>
      </w:r>
      <w:r>
        <w:rPr>
          <w:w w:val="100"/>
        </w:rPr>
        <w:t> </w:t>
      </w:r>
      <w:r>
        <w:rPr/>
        <w:t>流量表、合并及母公司股东权益变动表，以及财务报表附注。</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19"/>
          <w:szCs w:val="19"/>
        </w:rPr>
      </w:pPr>
    </w:p>
    <w:p>
      <w:pPr>
        <w:spacing w:line="350" w:lineRule="auto" w:before="0"/>
        <w:ind w:left="67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pacing w:val="-66"/>
          <w:sz w:val="28"/>
          <w:szCs w:val="28"/>
        </w:rPr>
      </w:r>
      <w:r>
        <w:rPr>
          <w:rFonts w:ascii="宋体" w:hAnsi="宋体" w:cs="宋体" w:eastAsia="宋体" w:hint="default"/>
          <w:spacing w:val="-5"/>
          <w:sz w:val="28"/>
          <w:szCs w:val="28"/>
        </w:rPr>
        <w:t>编制和公允列报财务报表是新国都技术公司管理层的责任，这种</w:t>
      </w:r>
    </w:p>
    <w:p>
      <w:pPr>
        <w:pStyle w:val="Heading4"/>
        <w:spacing w:line="388" w:lineRule="auto" w:before="128"/>
        <w:ind w:left="120" w:right="139"/>
        <w:jc w:val="both"/>
      </w:pPr>
      <w:r>
        <w:rPr>
          <w:spacing w:val="2"/>
        </w:rPr>
        <w:t>责任包括：</w:t>
      </w:r>
      <w:r>
        <w:rPr>
          <w:rFonts w:ascii="Arial" w:hAnsi="Arial" w:cs="Arial" w:eastAsia="Arial" w:hint="default"/>
          <w:spacing w:val="2"/>
        </w:rPr>
        <w:t>(1)</w:t>
      </w:r>
      <w:r>
        <w:rPr>
          <w:spacing w:val="2"/>
        </w:rPr>
        <w:t>按照企业会计准则的规定编制财务报表，并使其实现</w:t>
      </w:r>
      <w:r>
        <w:rPr>
          <w:spacing w:val="-93"/>
        </w:rPr>
        <w:t> </w:t>
      </w:r>
      <w:r>
        <w:rPr>
          <w:spacing w:val="-93"/>
        </w:rPr>
      </w:r>
      <w:r>
        <w:rPr>
          <w:spacing w:val="2"/>
        </w:rPr>
        <w:t>公允反映；</w:t>
      </w:r>
      <w:r>
        <w:rPr>
          <w:rFonts w:ascii="Arial" w:hAnsi="Arial" w:cs="Arial" w:eastAsia="Arial" w:hint="default"/>
          <w:spacing w:val="2"/>
        </w:rPr>
        <w:t>(2)</w:t>
      </w:r>
      <w:r>
        <w:rPr>
          <w:spacing w:val="2"/>
        </w:rPr>
        <w:t>设计、执行和维护必要的内部控制，以使财务报表不</w:t>
      </w:r>
      <w:r>
        <w:rPr>
          <w:spacing w:val="-93"/>
        </w:rPr>
        <w:t> </w:t>
      </w:r>
      <w:r>
        <w:rPr>
          <w:spacing w:val="-93"/>
        </w:rPr>
      </w:r>
      <w:r>
        <w:rPr/>
        <w:t>存在由于舞弊或错误导致的重大错报。</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19"/>
          <w:szCs w:val="19"/>
        </w:rPr>
      </w:pPr>
    </w:p>
    <w:p>
      <w:pPr>
        <w:spacing w:line="350" w:lineRule="auto" w:before="0"/>
        <w:ind w:left="67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spacing w:val="-68"/>
          <w:sz w:val="28"/>
          <w:szCs w:val="28"/>
        </w:rPr>
        <w:t> </w:t>
      </w:r>
      <w:r>
        <w:rPr>
          <w:rFonts w:ascii="Microsoft JhengHei" w:hAnsi="Microsoft JhengHei" w:cs="Microsoft JhengHei" w:eastAsia="Microsoft JhengHei" w:hint="default"/>
          <w:b/>
          <w:bCs/>
          <w:spacing w:val="-68"/>
          <w:sz w:val="28"/>
          <w:szCs w:val="28"/>
        </w:rPr>
      </w:r>
      <w:r>
        <w:rPr>
          <w:rFonts w:ascii="宋体" w:hAnsi="宋体" w:cs="宋体" w:eastAsia="宋体" w:hint="default"/>
          <w:spacing w:val="4"/>
          <w:sz w:val="28"/>
          <w:szCs w:val="28"/>
        </w:rPr>
        <w:t>我们的责任是在执行审计工作的基础上对财务报表发表审计意</w:t>
      </w:r>
    </w:p>
    <w:p>
      <w:pPr>
        <w:pStyle w:val="Heading4"/>
        <w:spacing w:line="408" w:lineRule="auto" w:before="129"/>
        <w:ind w:left="120" w:right="138"/>
        <w:jc w:val="both"/>
      </w:pPr>
      <w:r>
        <w:rPr>
          <w:spacing w:val="-5"/>
        </w:rPr>
        <w:t>见。我们按照中国注册会计师审计准则的规定执行了审计工作。中国</w:t>
      </w:r>
      <w:r>
        <w:rPr>
          <w:spacing w:val="-89"/>
        </w:rPr>
        <w:t> </w:t>
      </w:r>
      <w:r>
        <w:rPr>
          <w:spacing w:val="-89"/>
        </w:rPr>
      </w:r>
      <w:r>
        <w:rPr>
          <w:spacing w:val="-5"/>
        </w:rPr>
        <w:t>注册会计师审计准则要求我们遵守职业道德守则，计划和执行审计工</w:t>
      </w:r>
      <w:r>
        <w:rPr>
          <w:spacing w:val="-90"/>
        </w:rPr>
        <w:t> </w:t>
      </w:r>
      <w:r>
        <w:rPr>
          <w:spacing w:val="-90"/>
        </w:rPr>
      </w:r>
      <w:r>
        <w:rPr/>
        <w:t>作以对财务报表是否不存在重大错报获取合理保证。</w:t>
      </w:r>
    </w:p>
    <w:p>
      <w:pPr>
        <w:spacing w:after="0" w:line="408" w:lineRule="auto"/>
        <w:jc w:val="both"/>
        <w:sectPr>
          <w:pgSz w:w="11910" w:h="16840"/>
          <w:pgMar w:header="0" w:footer="1195" w:top="1400" w:bottom="1380" w:left="1680" w:right="1660"/>
        </w:sectPr>
      </w:pPr>
    </w:p>
    <w:p>
      <w:pPr>
        <w:pStyle w:val="Heading4"/>
        <w:spacing w:line="344" w:lineRule="exact"/>
        <w:ind w:right="0" w:firstLine="559"/>
        <w:jc w:val="left"/>
      </w:pPr>
      <w:r>
        <w:rPr>
          <w:spacing w:val="-5"/>
        </w:rPr>
        <w:t>审计工作涉及实施审计程序，以获取有关财务报表金额和披露的</w:t>
      </w:r>
    </w:p>
    <w:p>
      <w:pPr>
        <w:spacing w:line="240" w:lineRule="auto" w:before="9"/>
        <w:rPr>
          <w:rFonts w:ascii="宋体" w:hAnsi="宋体" w:cs="宋体" w:eastAsia="宋体" w:hint="default"/>
          <w:sz w:val="19"/>
          <w:szCs w:val="19"/>
        </w:rPr>
      </w:pPr>
    </w:p>
    <w:p>
      <w:pPr>
        <w:pStyle w:val="Heading4"/>
        <w:spacing w:line="408" w:lineRule="auto"/>
        <w:ind w:right="0"/>
        <w:jc w:val="left"/>
      </w:pPr>
      <w:r>
        <w:rPr>
          <w:spacing w:val="-4"/>
        </w:rPr>
        <w:t>审计证据。选择的审计程序取决于注册会计师的判断，包括对由于舞</w:t>
      </w:r>
      <w:r>
        <w:rPr>
          <w:spacing w:val="-116"/>
        </w:rPr>
        <w:t> </w:t>
      </w:r>
      <w:r>
        <w:rPr>
          <w:spacing w:val="-116"/>
        </w:rPr>
      </w:r>
      <w:r>
        <w:rPr>
          <w:spacing w:val="-1"/>
        </w:rPr>
        <w:t>弊或错误导致的财务报表重大错报风险的评估。在进行风险评估时，</w:t>
      </w:r>
      <w:r>
        <w:rPr>
          <w:spacing w:val="-116"/>
        </w:rPr>
        <w:t> </w:t>
      </w:r>
      <w:r>
        <w:rPr>
          <w:spacing w:val="-116"/>
        </w:rPr>
      </w:r>
      <w:r>
        <w:rPr>
          <w:spacing w:val="-5"/>
        </w:rPr>
        <w:t>注册会计师考虑与财务报表编制和公允列报相关的内部控制，以设计</w:t>
      </w:r>
      <w:r>
        <w:rPr>
          <w:spacing w:val="-90"/>
        </w:rPr>
        <w:t> </w:t>
      </w:r>
      <w:r>
        <w:rPr>
          <w:spacing w:val="-90"/>
        </w:rPr>
      </w:r>
      <w:r>
        <w:rPr>
          <w:spacing w:val="-5"/>
        </w:rPr>
        <w:t>恰当的审计程序。审计工作还包括评价管理层选用会计政策的恰当性</w:t>
      </w:r>
      <w:r>
        <w:rPr>
          <w:spacing w:val="-90"/>
        </w:rPr>
        <w:t> </w:t>
      </w:r>
      <w:r>
        <w:rPr>
          <w:spacing w:val="-90"/>
        </w:rPr>
      </w:r>
      <w:r>
        <w:rPr/>
        <w:t>和作出会计估计的合理性，以及评价财务报表的总体列报。</w:t>
      </w:r>
    </w:p>
    <w:p>
      <w:pPr>
        <w:pStyle w:val="Heading4"/>
        <w:spacing w:line="408" w:lineRule="auto" w:before="61"/>
        <w:ind w:right="0" w:firstLine="559"/>
        <w:jc w:val="left"/>
      </w:pPr>
      <w:r>
        <w:rPr>
          <w:spacing w:val="-5"/>
        </w:rPr>
        <w:t>我们相信，我们获取的审计证据是充分、适当的，为发表审计意</w:t>
      </w:r>
      <w:r>
        <w:rPr>
          <w:w w:val="100"/>
        </w:rPr>
        <w:t> </w:t>
      </w:r>
      <w:r>
        <w:rPr/>
        <w:t>见提供了基础。</w:t>
      </w:r>
    </w:p>
    <w:p>
      <w:pPr>
        <w:spacing w:line="240" w:lineRule="auto" w:before="0"/>
        <w:rPr>
          <w:rFonts w:ascii="宋体" w:hAnsi="宋体" w:cs="宋体" w:eastAsia="宋体" w:hint="default"/>
          <w:sz w:val="28"/>
          <w:szCs w:val="28"/>
        </w:rPr>
      </w:pPr>
    </w:p>
    <w:p>
      <w:pPr>
        <w:spacing w:line="350" w:lineRule="auto" w:before="230"/>
        <w:ind w:left="859" w:right="0" w:firstLine="0"/>
        <w:jc w:val="left"/>
        <w:rPr>
          <w:rFonts w:ascii="宋体" w:hAnsi="宋体" w:cs="宋体" w:eastAsia="宋体" w:hint="default"/>
          <w:sz w:val="28"/>
          <w:szCs w:val="28"/>
        </w:rPr>
      </w:pPr>
      <w:r>
        <w:rPr>
          <w:rFonts w:ascii="Arial" w:hAnsi="Arial" w:cs="Arial" w:eastAsia="Arial" w:hint="default"/>
          <w:b/>
          <w:bCs/>
          <w:sz w:val="28"/>
          <w:szCs w:val="28"/>
        </w:rPr>
        <w:t>(</w:t>
      </w:r>
      <w:r>
        <w:rPr>
          <w:rFonts w:ascii="Microsoft JhengHei" w:hAnsi="Microsoft JhengHei" w:cs="Microsoft JhengHei" w:eastAsia="Microsoft JhengHei" w:hint="default"/>
          <w:b/>
          <w:bCs/>
          <w:sz w:val="28"/>
          <w:szCs w:val="28"/>
        </w:rPr>
        <w:t>三</w:t>
      </w:r>
      <w:r>
        <w:rPr>
          <w:rFonts w:ascii="Arial" w:hAnsi="Arial" w:cs="Arial" w:eastAsia="Arial" w:hint="default"/>
          <w:b/>
          <w:bCs/>
          <w:sz w:val="28"/>
          <w:szCs w:val="28"/>
        </w:rPr>
        <w:t>)</w:t>
      </w:r>
      <w:r>
        <w:rPr>
          <w:rFonts w:ascii="Microsoft JhengHei" w:hAnsi="Microsoft JhengHei" w:cs="Microsoft JhengHei" w:eastAsia="Microsoft JhengHei" w:hint="default"/>
          <w:b/>
          <w:bCs/>
          <w:sz w:val="28"/>
          <w:szCs w:val="28"/>
        </w:rPr>
        <w:t>审计意见</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5"/>
          <w:sz w:val="28"/>
          <w:szCs w:val="28"/>
        </w:rPr>
        <w:t>我们认为，新国都技术公司的财务报表在所有重大方面按照企业</w:t>
      </w:r>
    </w:p>
    <w:p>
      <w:pPr>
        <w:pStyle w:val="Heading4"/>
        <w:spacing w:line="240" w:lineRule="auto" w:before="128"/>
        <w:ind w:right="0"/>
        <w:jc w:val="left"/>
        <w:rPr>
          <w:rFonts w:ascii="Arial" w:hAnsi="Arial" w:cs="Arial" w:eastAsia="Arial" w:hint="default"/>
        </w:rPr>
      </w:pPr>
      <w:r>
        <w:rPr/>
        <w:t>会计准则的规定编制，公允反映了新国都技术公司</w:t>
      </w:r>
      <w:r>
        <w:rPr>
          <w:spacing w:val="-73"/>
        </w:rPr>
        <w:t> </w:t>
      </w:r>
      <w:r>
        <w:rPr>
          <w:rFonts w:ascii="Arial" w:hAnsi="Arial" w:cs="Arial" w:eastAsia="Arial" w:hint="default"/>
        </w:rPr>
        <w:t>2011</w:t>
      </w:r>
      <w:r>
        <w:rPr>
          <w:rFonts w:ascii="Arial" w:hAnsi="Arial" w:cs="Arial" w:eastAsia="Arial" w:hint="default"/>
          <w:spacing w:val="-14"/>
        </w:rPr>
        <w:t> </w:t>
      </w:r>
      <w:r>
        <w:rPr/>
        <w:t>年</w:t>
      </w:r>
      <w:r>
        <w:rPr>
          <w:spacing w:val="-74"/>
        </w:rPr>
        <w:t> </w:t>
      </w:r>
      <w:r>
        <w:rPr>
          <w:rFonts w:ascii="Arial" w:hAnsi="Arial" w:cs="Arial" w:eastAsia="Arial" w:hint="default"/>
        </w:rPr>
        <w:t>12</w:t>
      </w:r>
      <w:r>
        <w:rPr>
          <w:rFonts w:ascii="Arial" w:hAnsi="Arial" w:cs="Arial" w:eastAsia="Arial" w:hint="default"/>
          <w:spacing w:val="-12"/>
        </w:rPr>
        <w:t> </w:t>
      </w:r>
      <w:r>
        <w:rPr/>
        <w:t>月</w:t>
      </w:r>
      <w:r>
        <w:rPr>
          <w:spacing w:val="-74"/>
        </w:rPr>
        <w:t> </w:t>
      </w:r>
      <w:r>
        <w:rPr>
          <w:rFonts w:ascii="Arial" w:hAnsi="Arial" w:cs="Arial" w:eastAsia="Arial" w:hint="default"/>
        </w:rPr>
        <w:t>31</w:t>
      </w:r>
    </w:p>
    <w:p>
      <w:pPr>
        <w:pStyle w:val="Heading4"/>
        <w:spacing w:line="388" w:lineRule="auto" w:before="237"/>
        <w:ind w:right="186"/>
        <w:jc w:val="left"/>
      </w:pPr>
      <w:r>
        <w:rPr/>
        <w:t>日的合并及母公司财务状况以及</w:t>
      </w:r>
      <w:r>
        <w:rPr>
          <w:spacing w:val="-80"/>
        </w:rPr>
        <w:t> </w:t>
      </w:r>
      <w:r>
        <w:rPr>
          <w:rFonts w:ascii="Arial" w:hAnsi="Arial" w:cs="Arial" w:eastAsia="Arial" w:hint="default"/>
        </w:rPr>
        <w:t>2011</w:t>
      </w:r>
      <w:r>
        <w:rPr>
          <w:rFonts w:ascii="Arial" w:hAnsi="Arial" w:cs="Arial" w:eastAsia="Arial" w:hint="default"/>
          <w:spacing w:val="-21"/>
        </w:rPr>
        <w:t> </w:t>
      </w:r>
      <w:r>
        <w:rPr/>
        <w:t>年度的合并及母公司经营成果</w:t>
      </w:r>
      <w:r>
        <w:rPr>
          <w:w w:val="100"/>
        </w:rPr>
        <w:t> </w:t>
      </w:r>
      <w:r>
        <w:rPr/>
        <w:t>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4440"/>
        <w:gridCol w:w="4160"/>
      </w:tblGrid>
      <w:tr>
        <w:trPr>
          <w:trHeight w:val="69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63" w:lineRule="exact"/>
              <w:ind w:right="675"/>
              <w:jc w:val="center"/>
              <w:rPr>
                <w:rFonts w:ascii="宋体" w:hAnsi="宋体" w:cs="宋体" w:eastAsia="宋体" w:hint="default"/>
                <w:sz w:val="28"/>
                <w:szCs w:val="28"/>
              </w:rPr>
            </w:pPr>
            <w:r>
              <w:rPr>
                <w:rFonts w:ascii="宋体" w:hAnsi="宋体" w:cs="宋体" w:eastAsia="宋体" w:hint="default"/>
                <w:sz w:val="28"/>
                <w:szCs w:val="28"/>
              </w:rPr>
              <w:t>大华会计师事务所有限公司</w:t>
            </w:r>
          </w:p>
        </w:tc>
        <w:tc>
          <w:tcPr>
            <w:tcW w:w="4160" w:type="dxa"/>
            <w:tcBorders>
              <w:top w:val="nil" w:sz="6" w:space="0" w:color="auto"/>
              <w:left w:val="nil" w:sz="6" w:space="0" w:color="auto"/>
              <w:bottom w:val="nil" w:sz="6" w:space="0" w:color="auto"/>
              <w:right w:val="nil" w:sz="6" w:space="0" w:color="auto"/>
            </w:tcBorders>
          </w:tcPr>
          <w:p>
            <w:pPr>
              <w:pStyle w:val="TableParagraph"/>
              <w:spacing w:line="263" w:lineRule="exact"/>
              <w:ind w:right="198"/>
              <w:jc w:val="right"/>
              <w:rPr>
                <w:rFonts w:ascii="宋体" w:hAnsi="宋体" w:cs="宋体" w:eastAsia="宋体" w:hint="default"/>
                <w:sz w:val="28"/>
                <w:szCs w:val="28"/>
              </w:rPr>
            </w:pPr>
            <w:r>
              <w:rPr>
                <w:rFonts w:ascii="宋体" w:hAnsi="宋体" w:cs="宋体" w:eastAsia="宋体" w:hint="default"/>
                <w:spacing w:val="-1"/>
                <w:sz w:val="28"/>
                <w:szCs w:val="28"/>
              </w:rPr>
              <w:t>中国注册会计师：刘高科</w:t>
            </w:r>
          </w:p>
        </w:tc>
      </w:tr>
      <w:tr>
        <w:trPr>
          <w:trHeight w:val="1140"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677"/>
              <w:jc w:val="center"/>
              <w:rPr>
                <w:rFonts w:ascii="宋体" w:hAnsi="宋体" w:cs="宋体" w:eastAsia="宋体" w:hint="default"/>
                <w:sz w:val="28"/>
                <w:szCs w:val="28"/>
              </w:rPr>
            </w:pPr>
            <w:r>
              <w:rPr>
                <w:rFonts w:ascii="宋体" w:hAnsi="宋体" w:cs="宋体" w:eastAsia="宋体" w:hint="default"/>
                <w:w w:val="100"/>
                <w:sz w:val="28"/>
                <w:szCs w:val="28"/>
              </w:rPr>
              <w:t>中</w:t>
            </w:r>
            <w:r>
              <w:rPr>
                <w:rFonts w:ascii="宋体" w:hAnsi="宋体" w:cs="宋体" w:eastAsia="宋体" w:hint="default"/>
                <w:spacing w:val="-2"/>
                <w:w w:val="100"/>
                <w:sz w:val="28"/>
                <w:szCs w:val="28"/>
              </w:rPr>
              <w:t>国</w:t>
            </w:r>
            <w:r>
              <w:rPr>
                <w:rFonts w:ascii="宋体" w:hAnsi="宋体" w:cs="宋体" w:eastAsia="宋体" w:hint="default"/>
                <w:spacing w:val="-19"/>
                <w:w w:val="27"/>
                <w:sz w:val="28"/>
                <w:szCs w:val="28"/>
              </w:rPr>
              <w:t>·</w:t>
            </w:r>
            <w:r>
              <w:rPr>
                <w:rFonts w:ascii="宋体" w:hAnsi="宋体" w:cs="宋体" w:eastAsia="宋体" w:hint="default"/>
                <w:w w:val="100"/>
                <w:sz w:val="28"/>
                <w:szCs w:val="28"/>
              </w:rPr>
              <w:t>北京</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8"/>
              <w:jc w:val="right"/>
              <w:rPr>
                <w:rFonts w:ascii="宋体" w:hAnsi="宋体" w:cs="宋体" w:eastAsia="宋体" w:hint="default"/>
                <w:sz w:val="28"/>
                <w:szCs w:val="28"/>
              </w:rPr>
            </w:pPr>
            <w:r>
              <w:rPr>
                <w:rFonts w:ascii="宋体" w:hAnsi="宋体" w:cs="宋体" w:eastAsia="宋体" w:hint="default"/>
                <w:spacing w:val="-1"/>
                <w:sz w:val="28"/>
                <w:szCs w:val="28"/>
              </w:rPr>
              <w:t>中国注册会计师：高德惠</w:t>
            </w:r>
          </w:p>
        </w:tc>
      </w:tr>
      <w:tr>
        <w:trPr>
          <w:trHeight w:val="716" w:hRule="exact"/>
        </w:trPr>
        <w:tc>
          <w:tcPr>
            <w:tcW w:w="4440" w:type="dxa"/>
            <w:tcBorders>
              <w:top w:val="nil" w:sz="6" w:space="0" w:color="auto"/>
              <w:left w:val="nil" w:sz="6" w:space="0" w:color="auto"/>
              <w:bottom w:val="nil" w:sz="6" w:space="0" w:color="auto"/>
              <w:right w:val="nil" w:sz="6" w:space="0" w:color="auto"/>
            </w:tcBorders>
          </w:tcPr>
          <w:p>
            <w:pP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36" w:right="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z w:val="28"/>
                <w:szCs w:val="28"/>
              </w:rPr>
              <w:t>〇</w:t>
            </w:r>
            <w:r>
              <w:rPr>
                <w:rFonts w:ascii="宋体" w:hAnsi="宋体" w:cs="宋体" w:eastAsia="宋体" w:hint="default"/>
                <w:sz w:val="28"/>
                <w:szCs w:val="28"/>
              </w:rPr>
              <w:t>一二年三月三十一日</w:t>
            </w:r>
          </w:p>
        </w:tc>
      </w:tr>
    </w:tbl>
    <w:p>
      <w:pPr>
        <w:spacing w:after="0" w:line="240" w:lineRule="auto"/>
        <w:jc w:val="left"/>
        <w:rPr>
          <w:rFonts w:ascii="宋体" w:hAnsi="宋体" w:cs="宋体" w:eastAsia="宋体" w:hint="default"/>
          <w:sz w:val="28"/>
          <w:szCs w:val="28"/>
        </w:rPr>
        <w:sectPr>
          <w:footerReference w:type="default" r:id="rId38"/>
          <w:pgSz w:w="11910" w:h="16840"/>
          <w:pgMar w:footer="1195" w:header="0" w:top="1540" w:bottom="1380" w:left="150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9"/>
          <w:pgSz w:w="11910" w:h="16840"/>
          <w:pgMar w:footer="1175" w:header="0" w:top="1580" w:bottom="1360" w:left="1680" w:right="1560"/>
          <w:pgNumType w:start="81"/>
        </w:sectPr>
      </w:pPr>
    </w:p>
    <w:p>
      <w:pPr>
        <w:pStyle w:val="Heading5"/>
        <w:spacing w:line="330" w:lineRule="exact" w:before="228"/>
        <w:ind w:left="2500" w:right="58"/>
        <w:jc w:val="center"/>
      </w:pPr>
      <w:r>
        <w:rPr/>
        <w:t>深圳市新国都技术股份有限公司</w:t>
      </w:r>
      <w:r>
        <w:rPr>
          <w:spacing w:val="24"/>
        </w:rPr>
        <w:t> </w:t>
      </w:r>
      <w:r>
        <w:rPr>
          <w:w w:val="105"/>
        </w:rPr>
        <w:t>合并资产负债表</w:t>
      </w:r>
      <w:r>
        <w:rPr/>
      </w:r>
    </w:p>
    <w:p>
      <w:pPr>
        <w:spacing w:before="28"/>
        <w:ind w:left="2410" w:right="58"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20"/>
          <w:szCs w:val="20"/>
        </w:rPr>
      </w:pPr>
    </w:p>
    <w:p>
      <w:pPr>
        <w:spacing w:before="0"/>
        <w:ind w:left="1193" w:right="0" w:firstLine="0"/>
        <w:jc w:val="left"/>
        <w:rPr>
          <w:rFonts w:ascii="宋体" w:hAnsi="宋体" w:cs="宋体" w:eastAsia="宋体" w:hint="default"/>
          <w:sz w:val="14"/>
          <w:szCs w:val="14"/>
        </w:rPr>
      </w:pPr>
      <w:r>
        <w:rPr>
          <w:rFonts w:ascii="宋体" w:hAnsi="宋体" w:cs="宋体" w:eastAsia="宋体" w:hint="default"/>
          <w:w w:val="105"/>
          <w:sz w:val="14"/>
          <w:szCs w:val="14"/>
        </w:rPr>
        <w:t>单位：人民币元</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10" w:h="16840"/>
          <w:pgMar w:top="1580" w:bottom="280" w:left="1680" w:right="1560"/>
          <w:cols w:num="2" w:equalWidth="0">
            <w:col w:w="6239" w:space="40"/>
            <w:col w:w="2391"/>
          </w:cols>
        </w:sectPr>
      </w:pPr>
    </w:p>
    <w:p>
      <w:pPr>
        <w:spacing w:line="240" w:lineRule="auto" w:before="0"/>
        <w:rPr>
          <w:rFonts w:ascii="宋体" w:hAnsi="宋体" w:cs="宋体" w:eastAsia="宋体" w:hint="default"/>
          <w:sz w:val="22"/>
          <w:szCs w:val="22"/>
        </w:rPr>
      </w:pPr>
      <w:r>
        <w:rPr/>
        <w:pict>
          <v:group style="position:absolute;margin-left:343.37738pt;margin-top:679.84967pt;width:80.95pt;height:1.9pt;mso-position-horizontal-relative:page;mso-position-vertical-relative:page;z-index:-650800" coordorigin="6868,13597" coordsize="1619,38">
            <v:group style="position:absolute;left:6874;top:13603;width:1606;height:2" coordorigin="6874,13603" coordsize="1606,2">
              <v:shape style="position:absolute;left:6874;top:13603;width:1606;height:2" coordorigin="6874,13603" coordsize="1606,0" path="m6874,13603l8480,13603e" filled="false" stroked="true" strokeweight=".620429pt" strokecolor="#000000">
                <v:path arrowok="t"/>
              </v:shape>
            </v:group>
            <v:group style="position:absolute;left:6874;top:13628;width:1606;height:2" coordorigin="6874,13628" coordsize="1606,2">
              <v:shape style="position:absolute;left:6874;top:13628;width:1606;height:2" coordorigin="6874,13628" coordsize="1606,0" path="m6874,13628l8480,13628e" filled="false" stroked="true" strokeweight=".620429pt" strokecolor="#000000">
                <v:path arrowok="t"/>
              </v:shape>
            </v:group>
            <w10:wrap type="none"/>
          </v:group>
        </w:pict>
      </w:r>
    </w:p>
    <w:p>
      <w:pPr>
        <w:tabs>
          <w:tab w:pos="4146" w:val="left" w:leader="none"/>
          <w:tab w:pos="5778" w:val="left" w:leader="none"/>
          <w:tab w:pos="7619" w:val="left" w:leader="none"/>
        </w:tabs>
        <w:spacing w:before="59"/>
        <w:ind w:left="1584" w:right="0" w:firstLine="0"/>
        <w:jc w:val="left"/>
        <w:rPr>
          <w:rFonts w:ascii="宋体" w:hAnsi="宋体" w:cs="宋体" w:eastAsia="宋体" w:hint="default"/>
          <w:sz w:val="14"/>
          <w:szCs w:val="14"/>
        </w:rPr>
      </w:pPr>
      <w:r>
        <w:rPr>
          <w:rFonts w:ascii="宋体" w:hAnsi="宋体" w:cs="宋体" w:eastAsia="宋体" w:hint="default"/>
          <w:w w:val="105"/>
          <w:sz w:val="14"/>
          <w:szCs w:val="14"/>
        </w:rPr>
        <w:t>资</w:t>
      </w:r>
      <w:r>
        <w:rPr>
          <w:rFonts w:ascii="宋体" w:hAnsi="宋体" w:cs="宋体" w:eastAsia="宋体" w:hint="default"/>
          <w:spacing w:val="5"/>
          <w:w w:val="105"/>
          <w:sz w:val="14"/>
          <w:szCs w:val="14"/>
        </w:rPr>
        <w:t> </w:t>
      </w:r>
      <w:r>
        <w:rPr>
          <w:rFonts w:ascii="宋体" w:hAnsi="宋体" w:cs="宋体" w:eastAsia="宋体" w:hint="default"/>
          <w:w w:val="105"/>
          <w:sz w:val="14"/>
          <w:szCs w:val="14"/>
        </w:rPr>
        <w:t>产</w:t>
        <w:tab/>
        <w:t>附注</w:t>
        <w:tab/>
        <w:t>期末数</w:t>
        <w:tab/>
        <w:t>期初数</w:t>
      </w:r>
      <w:r>
        <w:rPr>
          <w:rFonts w:ascii="宋体" w:hAnsi="宋体" w:cs="宋体" w:eastAsia="宋体" w:hint="default"/>
          <w:sz w:val="14"/>
          <w:szCs w:val="14"/>
        </w:rPr>
      </w:r>
    </w:p>
    <w:p>
      <w:pPr>
        <w:spacing w:line="240" w:lineRule="auto" w:before="6"/>
        <w:rPr>
          <w:rFonts w:ascii="宋体" w:hAnsi="宋体" w:cs="宋体" w:eastAsia="宋体" w:hint="default"/>
          <w:sz w:val="3"/>
          <w:szCs w:val="3"/>
        </w:rPr>
      </w:pPr>
    </w:p>
    <w:p>
      <w:pPr>
        <w:tabs>
          <w:tab w:pos="3705" w:val="left" w:leader="none"/>
          <w:tab w:pos="5187" w:val="left" w:leader="none"/>
          <w:tab w:pos="7126" w:val="left" w:leader="none"/>
        </w:tabs>
        <w:spacing w:line="20" w:lineRule="exact"/>
        <w:ind w:left="121" w:right="0" w:firstLine="0"/>
        <w:rPr>
          <w:rFonts w:ascii="宋体" w:hAnsi="宋体" w:cs="宋体" w:eastAsia="宋体" w:hint="default"/>
          <w:sz w:val="2"/>
          <w:szCs w:val="2"/>
        </w:rPr>
      </w:pPr>
      <w:r>
        <w:rPr>
          <w:rFonts w:ascii="宋体"/>
          <w:sz w:val="2"/>
        </w:rPr>
        <w:pict>
          <v:group style="width:168.2pt;height:.65pt;mso-position-horizontal-relative:char;mso-position-vertical-relative:line" coordorigin="0,0" coordsize="3364,13">
            <v:group style="position:absolute;left:7;top:1;width:3350;height:2" coordorigin="7,1" coordsize="3350,2">
              <v:shape style="position:absolute;left:7;top:1;width:3350;height:2" coordorigin="7,1" coordsize="3350,0" path="m7,1l3357,1e" filled="false" stroked="true" strokeweight=".090477pt" strokecolor="#000000">
                <v:path arrowok="t"/>
              </v:shape>
            </v:group>
            <v:group style="position:absolute;left:6;top:6;width:3352;height:2" coordorigin="6,6" coordsize="3352,2">
              <v:shape style="position:absolute;left:6;top:6;width:3352;height:2" coordorigin="6,6" coordsize="3352,0" path="m6,6l3358,6e" filled="false" stroked="true" strokeweight=".620422pt" strokecolor="#000000">
                <v:path arrowok="t"/>
              </v:shape>
            </v:group>
          </v:group>
        </w:pict>
      </w:r>
      <w:r>
        <w:rPr>
          <w:rFonts w:ascii="宋体"/>
          <w:sz w:val="2"/>
        </w:rPr>
      </w:r>
      <w:r>
        <w:rPr>
          <w:rFonts w:ascii="宋体"/>
          <w:sz w:val="2"/>
        </w:rPr>
        <w:tab/>
      </w:r>
      <w:r>
        <w:rPr>
          <w:rFonts w:ascii="宋体"/>
          <w:sz w:val="2"/>
        </w:rPr>
        <w:pict>
          <v:group style="width:58.6pt;height:.65pt;mso-position-horizontal-relative:char;mso-position-vertical-relative:line" coordorigin="0,0" coordsize="1172,13">
            <v:group style="position:absolute;left:7;top:1;width:1158;height:2" coordorigin="7,1" coordsize="1158,2">
              <v:shape style="position:absolute;left:7;top:1;width:1158;height:2" coordorigin="7,1" coordsize="1158,0" path="m7,1l1165,1e" filled="false" stroked="true" strokeweight=".090477pt" strokecolor="#000000">
                <v:path arrowok="t"/>
              </v:shape>
            </v:group>
            <v:group style="position:absolute;left:6;top:6;width:1160;height:2" coordorigin="6,6" coordsize="1160,2">
              <v:shape style="position:absolute;left:6;top:6;width:1160;height:2" coordorigin="6,6" coordsize="1160,0" path="m6,6l1166,6e" filled="false" stroked="true" strokeweight=".620422pt" strokecolor="#000000">
                <v:path arrowok="t"/>
              </v:shape>
            </v:group>
          </v:group>
        </w:pict>
      </w:r>
      <w:r>
        <w:rPr>
          <w:rFonts w:ascii="宋体"/>
          <w:sz w:val="2"/>
        </w:rPr>
      </w:r>
      <w:r>
        <w:rPr>
          <w:rFonts w:ascii="宋体"/>
          <w:sz w:val="2"/>
        </w:rPr>
        <w:tab/>
      </w:r>
      <w:r>
        <w:rPr>
          <w:rFonts w:ascii="宋体"/>
          <w:sz w:val="2"/>
        </w:rPr>
        <w:pict>
          <v:group style="width:80.95pt;height:.65pt;mso-position-horizontal-relative:char;mso-position-vertical-relative:line" coordorigin="0,0" coordsize="1619,13">
            <v:group style="position:absolute;left:7;top:1;width:1605;height:2" coordorigin="7,1" coordsize="1605,2">
              <v:shape style="position:absolute;left:7;top:1;width:1605;height:2" coordorigin="7,1" coordsize="1605,0" path="m7,1l1611,1e" filled="false" stroked="true" strokeweight=".090477pt" strokecolor="#000000">
                <v:path arrowok="t"/>
              </v:shape>
            </v:group>
            <v:group style="position:absolute;left:6;top:6;width:1606;height:2" coordorigin="6,6" coordsize="1606,2">
              <v:shape style="position:absolute;left:6;top:6;width:1606;height:2" coordorigin="6,6" coordsize="1606,0" path="m6,6l1612,6e" filled="false" stroked="true" strokeweight=".620422pt" strokecolor="#000000">
                <v:path arrowok="t"/>
              </v:shape>
            </v:group>
          </v:group>
        </w:pict>
      </w:r>
      <w:r>
        <w:rPr>
          <w:rFonts w:ascii="宋体"/>
          <w:sz w:val="2"/>
        </w:rPr>
      </w:r>
      <w:r>
        <w:rPr>
          <w:rFonts w:ascii="宋体"/>
          <w:sz w:val="2"/>
        </w:rPr>
        <w:tab/>
      </w:r>
      <w:r>
        <w:rPr>
          <w:rFonts w:ascii="宋体"/>
          <w:sz w:val="2"/>
        </w:rPr>
        <w:pict>
          <v:group style="width:71.3pt;height:.65pt;mso-position-horizontal-relative:char;mso-position-vertical-relative:line" coordorigin="0,0" coordsize="1426,13">
            <v:group style="position:absolute;left:7;top:1;width:1412;height:2" coordorigin="7,1" coordsize="1412,2">
              <v:shape style="position:absolute;left:7;top:1;width:1412;height:2" coordorigin="7,1" coordsize="1412,0" path="m7,1l1418,1e" filled="false" stroked="true" strokeweight=".090477pt" strokecolor="#000000">
                <v:path arrowok="t"/>
              </v:shape>
            </v:group>
            <v:group style="position:absolute;left:6;top:6;width:1413;height:2" coordorigin="6,6" coordsize="1413,2">
              <v:shape style="position:absolute;left:6;top:6;width:1413;height:2" coordorigin="6,6" coordsize="1413,0" path="m6,6l1419,6e" filled="false" stroked="true" strokeweight=".620422pt" strokecolor="#000000">
                <v:path arrowok="t"/>
              </v:shape>
            </v:group>
          </v:group>
        </w:pict>
      </w:r>
      <w:r>
        <w:rPr>
          <w:rFonts w:ascii="宋体"/>
          <w:sz w:val="2"/>
        </w:rPr>
      </w:r>
    </w:p>
    <w:p>
      <w:pPr>
        <w:spacing w:line="240" w:lineRule="auto" w:before="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890"/>
        <w:gridCol w:w="2185"/>
        <w:gridCol w:w="1606"/>
        <w:gridCol w:w="333"/>
        <w:gridCol w:w="1413"/>
      </w:tblGrid>
      <w:tr>
        <w:trPr>
          <w:trHeight w:val="304"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4"/>
                <w:szCs w:val="14"/>
              </w:rPr>
            </w:pPr>
            <w:r>
              <w:rPr>
                <w:rFonts w:ascii="宋体" w:hAnsi="宋体" w:cs="宋体" w:eastAsia="宋体" w:hint="default"/>
                <w:b/>
                <w:bCs/>
                <w:w w:val="105"/>
                <w:sz w:val="14"/>
                <w:szCs w:val="14"/>
              </w:rPr>
              <w:t>流动资产：</w:t>
            </w:r>
            <w:r>
              <w:rPr>
                <w:rFonts w:ascii="宋体" w:hAnsi="宋体" w:cs="宋体" w:eastAsia="宋体" w:hint="default"/>
                <w:sz w:val="14"/>
                <w:szCs w:val="14"/>
              </w:rPr>
            </w:r>
          </w:p>
        </w:tc>
        <w:tc>
          <w:tcPr>
            <w:tcW w:w="5536" w:type="dxa"/>
            <w:gridSpan w:val="4"/>
            <w:tcBorders>
              <w:top w:val="nil" w:sz="6" w:space="0" w:color="auto"/>
              <w:left w:val="nil" w:sz="6" w:space="0" w:color="auto"/>
              <w:bottom w:val="nil" w:sz="6" w:space="0" w:color="auto"/>
              <w:right w:val="nil" w:sz="6" w:space="0" w:color="auto"/>
            </w:tcBorders>
          </w:tcPr>
          <w:p>
            <w:pP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货币资金</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五(一)</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754,915,045.66</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734,292,536.26</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交易性金融资产</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9"/>
              <w:jc w:val="right"/>
              <w:rPr>
                <w:rFonts w:ascii="宋体" w:hAnsi="宋体" w:cs="宋体" w:eastAsia="宋体" w:hint="default"/>
                <w:sz w:val="14"/>
                <w:szCs w:val="14"/>
              </w:rPr>
            </w:pPr>
            <w:r>
              <w:rPr>
                <w:rFonts w:ascii="宋体"/>
                <w:w w:val="106"/>
                <w:sz w:val="14"/>
              </w:rPr>
              <w:t>-</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6"/>
                <w:sz w:val="14"/>
              </w:rPr>
              <w:t>-</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应收票据</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五(二)</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43,390,886.80</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29,405,693.80</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五(四)</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143,079,478.65</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70,525,269.50</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预付款项</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五(五)</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2,266,379.19</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3,335,666.92</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应收利息</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五(三)</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1,978,055.64</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2,601,026.47</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应收股利</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9"/>
              <w:jc w:val="right"/>
              <w:rPr>
                <w:rFonts w:ascii="宋体" w:hAnsi="宋体" w:cs="宋体" w:eastAsia="宋体" w:hint="default"/>
                <w:sz w:val="14"/>
                <w:szCs w:val="14"/>
              </w:rPr>
            </w:pPr>
            <w:r>
              <w:rPr>
                <w:rFonts w:ascii="宋体"/>
                <w:w w:val="106"/>
                <w:sz w:val="14"/>
              </w:rPr>
              <w:t>-</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6"/>
                <w:sz w:val="14"/>
              </w:rPr>
              <w:t>-</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五(六)</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7,073,950.52</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3,842,824.23</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存货</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3"/>
              <w:jc w:val="right"/>
              <w:rPr>
                <w:rFonts w:ascii="宋体" w:hAnsi="宋体" w:cs="宋体" w:eastAsia="宋体" w:hint="default"/>
                <w:sz w:val="14"/>
                <w:szCs w:val="14"/>
              </w:rPr>
            </w:pPr>
            <w:r>
              <w:rPr>
                <w:rFonts w:ascii="宋体" w:hAnsi="宋体" w:cs="宋体" w:eastAsia="宋体" w:hint="default"/>
                <w:w w:val="105"/>
                <w:sz w:val="14"/>
                <w:szCs w:val="14"/>
              </w:rPr>
              <w:t>五(七)</w:t>
            </w:r>
            <w:r>
              <w:rPr>
                <w:rFonts w:ascii="宋体" w:hAnsi="宋体" w:cs="宋体" w:eastAsia="宋体" w:hint="default"/>
                <w:sz w:val="14"/>
                <w:szCs w:val="14"/>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105,999,252.56</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5"/>
                <w:sz w:val="14"/>
              </w:rPr>
              <w:t>62,291,485.25</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一年内到期的非流动资产</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9"/>
              <w:jc w:val="right"/>
              <w:rPr>
                <w:rFonts w:ascii="宋体" w:hAnsi="宋体" w:cs="宋体" w:eastAsia="宋体" w:hint="default"/>
                <w:sz w:val="14"/>
                <w:szCs w:val="14"/>
              </w:rPr>
            </w:pPr>
            <w:r>
              <w:rPr>
                <w:rFonts w:ascii="宋体"/>
                <w:w w:val="106"/>
                <w:sz w:val="14"/>
              </w:rPr>
              <w:t>-</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6"/>
                <w:sz w:val="14"/>
              </w:rPr>
              <w:t>-</w:t>
            </w:r>
            <w:r>
              <w:rPr>
                <w:rFonts w:ascii="宋体"/>
                <w:sz w:val="14"/>
              </w:rPr>
            </w:r>
          </w:p>
        </w:tc>
      </w:tr>
      <w:tr>
        <w:trPr>
          <w:trHeight w:val="25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4" w:right="0"/>
              <w:jc w:val="left"/>
              <w:rPr>
                <w:rFonts w:ascii="宋体" w:hAnsi="宋体" w:cs="宋体" w:eastAsia="宋体" w:hint="default"/>
                <w:sz w:val="14"/>
                <w:szCs w:val="14"/>
              </w:rPr>
            </w:pPr>
            <w:r>
              <w:rPr>
                <w:rFonts w:ascii="宋体" w:hAnsi="宋体" w:cs="宋体" w:eastAsia="宋体" w:hint="default"/>
                <w:w w:val="105"/>
                <w:sz w:val="14"/>
                <w:szCs w:val="14"/>
              </w:rPr>
              <w:t>其他流动资产</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249"/>
              <w:jc w:val="right"/>
              <w:rPr>
                <w:rFonts w:ascii="宋体" w:hAnsi="宋体" w:cs="宋体" w:eastAsia="宋体" w:hint="default"/>
                <w:sz w:val="14"/>
                <w:szCs w:val="14"/>
              </w:rPr>
            </w:pPr>
            <w:r>
              <w:rPr>
                <w:rFonts w:ascii="宋体"/>
                <w:w w:val="106"/>
                <w:sz w:val="14"/>
              </w:rPr>
              <w:t>-</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single" w:sz="5" w:space="0" w:color="000000"/>
              <w:right w:val="nil" w:sz="6" w:space="0" w:color="auto"/>
            </w:tcBorders>
          </w:tcPr>
          <w:p>
            <w:pPr>
              <w:pStyle w:val="TableParagraph"/>
              <w:spacing w:line="240" w:lineRule="auto" w:before="20"/>
              <w:ind w:right="100"/>
              <w:jc w:val="right"/>
              <w:rPr>
                <w:rFonts w:ascii="宋体" w:hAnsi="宋体" w:cs="宋体" w:eastAsia="宋体" w:hint="default"/>
                <w:sz w:val="14"/>
                <w:szCs w:val="14"/>
              </w:rPr>
            </w:pPr>
            <w:r>
              <w:rPr>
                <w:rFonts w:ascii="宋体"/>
                <w:w w:val="106"/>
                <w:sz w:val="14"/>
              </w:rPr>
              <w:t>-</w:t>
            </w:r>
            <w:r>
              <w:rPr>
                <w:rFonts w:ascii="宋体"/>
                <w:sz w:val="14"/>
              </w:rPr>
            </w:r>
          </w:p>
        </w:tc>
      </w:tr>
      <w:tr>
        <w:trPr>
          <w:trHeight w:val="26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3" w:right="0"/>
              <w:jc w:val="left"/>
              <w:rPr>
                <w:rFonts w:ascii="宋体" w:hAnsi="宋体" w:cs="宋体" w:eastAsia="宋体" w:hint="default"/>
                <w:sz w:val="14"/>
                <w:szCs w:val="14"/>
              </w:rPr>
            </w:pPr>
            <w:r>
              <w:rPr>
                <w:rFonts w:ascii="宋体" w:hAnsi="宋体" w:cs="宋体" w:eastAsia="宋体" w:hint="default"/>
                <w:w w:val="105"/>
                <w:sz w:val="14"/>
                <w:szCs w:val="14"/>
              </w:rPr>
              <w:t>流动资产合计</w:t>
            </w:r>
            <w:r>
              <w:rPr>
                <w:rFonts w:ascii="宋体" w:hAnsi="宋体" w:cs="宋体" w:eastAsia="宋体" w:hint="default"/>
                <w:sz w:val="14"/>
                <w:szCs w:val="14"/>
              </w:rPr>
            </w:r>
          </w:p>
        </w:tc>
        <w:tc>
          <w:tcPr>
            <w:tcW w:w="2185" w:type="dxa"/>
            <w:tcBorders>
              <w:top w:val="nil" w:sz="6" w:space="0" w:color="auto"/>
              <w:left w:val="nil" w:sz="6" w:space="0" w:color="auto"/>
              <w:bottom w:val="nil" w:sz="6" w:space="0" w:color="auto"/>
              <w:right w:val="nil" w:sz="6" w:space="0" w:color="auto"/>
            </w:tcBorders>
          </w:tcPr>
          <w:p>
            <w:pPr/>
          </w:p>
        </w:tc>
        <w:tc>
          <w:tcPr>
            <w:tcW w:w="1606" w:type="dxa"/>
            <w:tcBorders>
              <w:top w:val="single" w:sz="5" w:space="0" w:color="000000"/>
              <w:left w:val="nil" w:sz="6" w:space="0" w:color="auto"/>
              <w:bottom w:val="single" w:sz="5" w:space="0" w:color="000000"/>
              <w:right w:val="nil" w:sz="6" w:space="0" w:color="auto"/>
            </w:tcBorders>
          </w:tcPr>
          <w:p>
            <w:pPr>
              <w:pStyle w:val="TableParagraph"/>
              <w:spacing w:line="240" w:lineRule="auto" w:before="24"/>
              <w:ind w:right="100"/>
              <w:jc w:val="right"/>
              <w:rPr>
                <w:rFonts w:ascii="宋体" w:hAnsi="宋体" w:cs="宋体" w:eastAsia="宋体" w:hint="default"/>
                <w:sz w:val="14"/>
                <w:szCs w:val="14"/>
              </w:rPr>
            </w:pPr>
            <w:r>
              <w:rPr>
                <w:rFonts w:ascii="宋体"/>
                <w:w w:val="105"/>
                <w:sz w:val="14"/>
              </w:rPr>
              <w:t>1,058,703,049.02</w:t>
            </w:r>
            <w:r>
              <w:rPr>
                <w:rFonts w:ascii="宋体"/>
                <w:sz w:val="14"/>
              </w:rPr>
            </w:r>
          </w:p>
        </w:tc>
        <w:tc>
          <w:tcPr>
            <w:tcW w:w="333" w:type="dxa"/>
            <w:tcBorders>
              <w:top w:val="nil" w:sz="6" w:space="0" w:color="auto"/>
              <w:left w:val="nil" w:sz="6" w:space="0" w:color="auto"/>
              <w:bottom w:val="nil" w:sz="6" w:space="0" w:color="auto"/>
              <w:right w:val="nil" w:sz="6" w:space="0" w:color="auto"/>
            </w:tcBorders>
          </w:tcPr>
          <w:p>
            <w:pPr/>
          </w:p>
        </w:tc>
        <w:tc>
          <w:tcPr>
            <w:tcW w:w="1413" w:type="dxa"/>
            <w:tcBorders>
              <w:top w:val="single" w:sz="5" w:space="0" w:color="000000"/>
              <w:left w:val="nil" w:sz="6" w:space="0" w:color="auto"/>
              <w:bottom w:val="single" w:sz="5" w:space="0" w:color="000000"/>
              <w:right w:val="nil" w:sz="6" w:space="0" w:color="auto"/>
            </w:tcBorders>
          </w:tcPr>
          <w:p>
            <w:pPr>
              <w:pStyle w:val="TableParagraph"/>
              <w:spacing w:line="240" w:lineRule="auto" w:before="24"/>
              <w:ind w:right="100"/>
              <w:jc w:val="right"/>
              <w:rPr>
                <w:rFonts w:ascii="宋体" w:hAnsi="宋体" w:cs="宋体" w:eastAsia="宋体" w:hint="default"/>
                <w:sz w:val="14"/>
                <w:szCs w:val="14"/>
              </w:rPr>
            </w:pPr>
            <w:r>
              <w:rPr>
                <w:rFonts w:ascii="宋体"/>
                <w:w w:val="105"/>
                <w:sz w:val="14"/>
              </w:rPr>
              <w:t>906,294,502.43</w:t>
            </w:r>
            <w:r>
              <w:rPr>
                <w:rFonts w:ascii="宋体"/>
                <w:sz w:val="14"/>
              </w:rPr>
            </w:r>
          </w:p>
        </w:tc>
      </w:tr>
    </w:tbl>
    <w:p>
      <w:pPr>
        <w:spacing w:line="240" w:lineRule="auto" w:before="2"/>
        <w:rPr>
          <w:rFonts w:ascii="宋体" w:hAnsi="宋体" w:cs="宋体" w:eastAsia="宋体" w:hint="default"/>
          <w:sz w:val="17"/>
          <w:szCs w:val="17"/>
        </w:rPr>
      </w:pPr>
    </w:p>
    <w:p>
      <w:pPr>
        <w:spacing w:before="59"/>
        <w:ind w:left="153" w:right="0" w:firstLine="0"/>
        <w:jc w:val="left"/>
        <w:rPr>
          <w:rFonts w:ascii="宋体" w:hAnsi="宋体" w:cs="宋体" w:eastAsia="宋体" w:hint="default"/>
          <w:sz w:val="14"/>
          <w:szCs w:val="14"/>
        </w:rPr>
      </w:pPr>
      <w:r>
        <w:rPr>
          <w:rFonts w:ascii="宋体" w:hAnsi="宋体" w:cs="宋体" w:eastAsia="宋体" w:hint="default"/>
          <w:b/>
          <w:bCs/>
          <w:w w:val="105"/>
          <w:sz w:val="14"/>
          <w:szCs w:val="14"/>
        </w:rPr>
        <w:t>非流动资产：</w:t>
      </w:r>
      <w:r>
        <w:rPr>
          <w:rFonts w:ascii="宋体" w:hAnsi="宋体" w:cs="宋体" w:eastAsia="宋体" w:hint="default"/>
          <w:sz w:val="14"/>
          <w:szCs w:val="14"/>
        </w:rPr>
      </w:r>
    </w:p>
    <w:p>
      <w:pPr>
        <w:spacing w:line="240" w:lineRule="auto" w:before="1"/>
        <w:rPr>
          <w:rFonts w:ascii="宋体" w:hAnsi="宋体" w:cs="宋体" w:eastAsia="宋体" w:hint="default"/>
          <w:b/>
          <w:bCs/>
          <w:sz w:val="3"/>
          <w:szCs w:val="3"/>
        </w:rPr>
      </w:pPr>
    </w:p>
    <w:tbl>
      <w:tblPr>
        <w:tblW w:w="0" w:type="auto"/>
        <w:jc w:val="left"/>
        <w:tblInd w:w="127" w:type="dxa"/>
        <w:tblLayout w:type="fixed"/>
        <w:tblCellMar>
          <w:top w:w="0" w:type="dxa"/>
          <w:left w:w="0" w:type="dxa"/>
          <w:bottom w:w="0" w:type="dxa"/>
          <w:right w:w="0" w:type="dxa"/>
        </w:tblCellMar>
        <w:tblLook w:val="01E0"/>
      </w:tblPr>
      <w:tblGrid>
        <w:gridCol w:w="1744"/>
        <w:gridCol w:w="2892"/>
        <w:gridCol w:w="3781"/>
      </w:tblGrid>
      <w:tr>
        <w:trPr>
          <w:trHeight w:val="286"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71"/>
              <w:jc w:val="right"/>
              <w:rPr>
                <w:rFonts w:ascii="宋体" w:hAnsi="宋体" w:cs="宋体" w:eastAsia="宋体" w:hint="default"/>
                <w:sz w:val="14"/>
                <w:szCs w:val="14"/>
              </w:rPr>
            </w:pPr>
            <w:r>
              <w:rPr>
                <w:rFonts w:ascii="宋体" w:hAnsi="宋体" w:cs="宋体" w:eastAsia="宋体" w:hint="default"/>
                <w:w w:val="105"/>
                <w:sz w:val="14"/>
                <w:szCs w:val="14"/>
              </w:rPr>
              <w:t>可供出售金融资产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41"/>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持有至到期投资</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长期应收款</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长期股权投资</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3"/>
              <w:jc w:val="right"/>
              <w:rPr>
                <w:rFonts w:ascii="宋体" w:hAnsi="宋体" w:cs="宋体" w:eastAsia="宋体" w:hint="default"/>
                <w:sz w:val="14"/>
                <w:szCs w:val="14"/>
              </w:rPr>
            </w:pPr>
            <w:r>
              <w:rPr>
                <w:rFonts w:ascii="宋体" w:hAnsi="宋体" w:cs="宋体" w:eastAsia="宋体" w:hint="default"/>
                <w:w w:val="105"/>
                <w:sz w:val="14"/>
                <w:szCs w:val="14"/>
              </w:rPr>
              <w:t>五(八)</w:t>
            </w:r>
            <w:r>
              <w:rPr>
                <w:rFonts w:ascii="宋体" w:hAnsi="宋体" w:cs="宋体" w:eastAsia="宋体" w:hint="default"/>
                <w:sz w:val="14"/>
                <w:szCs w:val="14"/>
              </w:rPr>
            </w:r>
          </w:p>
        </w:tc>
        <w:tc>
          <w:tcPr>
            <w:tcW w:w="3781"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20"/>
              <w:ind w:right="100"/>
              <w:jc w:val="right"/>
              <w:rPr>
                <w:rFonts w:ascii="宋体" w:hAnsi="宋体" w:cs="宋体" w:eastAsia="宋体" w:hint="default"/>
                <w:sz w:val="14"/>
                <w:szCs w:val="14"/>
              </w:rPr>
            </w:pPr>
            <w:r>
              <w:rPr>
                <w:rFonts w:ascii="宋体"/>
                <w:w w:val="105"/>
                <w:sz w:val="14"/>
              </w:rPr>
              <w:t>3,254,181.45</w:t>
              <w:tab/>
              <w:t>2,658,215.20</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投资性房地产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固定资产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3"/>
              <w:jc w:val="right"/>
              <w:rPr>
                <w:rFonts w:ascii="宋体" w:hAnsi="宋体" w:cs="宋体" w:eastAsia="宋体" w:hint="default"/>
                <w:sz w:val="14"/>
                <w:szCs w:val="14"/>
              </w:rPr>
            </w:pPr>
            <w:r>
              <w:rPr>
                <w:rFonts w:ascii="宋体" w:hAnsi="宋体" w:cs="宋体" w:eastAsia="宋体" w:hint="default"/>
                <w:w w:val="105"/>
                <w:sz w:val="14"/>
                <w:szCs w:val="14"/>
              </w:rPr>
              <w:t>五(九)</w:t>
            </w:r>
            <w:r>
              <w:rPr>
                <w:rFonts w:ascii="宋体" w:hAnsi="宋体" w:cs="宋体" w:eastAsia="宋体" w:hint="default"/>
                <w:sz w:val="14"/>
                <w:szCs w:val="14"/>
              </w:rPr>
            </w:r>
          </w:p>
        </w:tc>
        <w:tc>
          <w:tcPr>
            <w:tcW w:w="3781" w:type="dxa"/>
            <w:tcBorders>
              <w:top w:val="nil" w:sz="6" w:space="0" w:color="auto"/>
              <w:left w:val="nil" w:sz="6" w:space="0" w:color="auto"/>
              <w:bottom w:val="nil" w:sz="6" w:space="0" w:color="auto"/>
              <w:right w:val="nil" w:sz="6" w:space="0" w:color="auto"/>
            </w:tcBorders>
          </w:tcPr>
          <w:p>
            <w:pPr>
              <w:pStyle w:val="TableParagraph"/>
              <w:tabs>
                <w:tab w:pos="1820" w:val="left" w:leader="none"/>
              </w:tabs>
              <w:spacing w:line="240" w:lineRule="auto" w:before="20"/>
              <w:ind w:right="100"/>
              <w:jc w:val="right"/>
              <w:rPr>
                <w:rFonts w:ascii="宋体" w:hAnsi="宋体" w:cs="宋体" w:eastAsia="宋体" w:hint="default"/>
                <w:sz w:val="14"/>
                <w:szCs w:val="14"/>
              </w:rPr>
            </w:pPr>
            <w:r>
              <w:rPr>
                <w:rFonts w:ascii="宋体"/>
                <w:w w:val="105"/>
                <w:sz w:val="14"/>
              </w:rPr>
              <w:t>11,758,942.97</w:t>
              <w:tab/>
              <w:t>9,222,218.25</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在建工程</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工程物资</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固定资产清理</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生产性生物资产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无形资产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3"/>
              <w:jc w:val="right"/>
              <w:rPr>
                <w:rFonts w:ascii="宋体" w:hAnsi="宋体" w:cs="宋体" w:eastAsia="宋体" w:hint="default"/>
                <w:sz w:val="14"/>
                <w:szCs w:val="14"/>
              </w:rPr>
            </w:pPr>
            <w:r>
              <w:rPr>
                <w:rFonts w:ascii="宋体" w:hAnsi="宋体" w:cs="宋体" w:eastAsia="宋体" w:hint="default"/>
                <w:w w:val="105"/>
                <w:sz w:val="14"/>
                <w:szCs w:val="14"/>
              </w:rPr>
              <w:t>五(十)</w:t>
            </w:r>
            <w:r>
              <w:rPr>
                <w:rFonts w:ascii="宋体" w:hAnsi="宋体" w:cs="宋体" w:eastAsia="宋体" w:hint="default"/>
                <w:sz w:val="14"/>
                <w:szCs w:val="14"/>
              </w:rPr>
            </w:r>
          </w:p>
        </w:tc>
        <w:tc>
          <w:tcPr>
            <w:tcW w:w="3781"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20"/>
              <w:ind w:right="100"/>
              <w:jc w:val="right"/>
              <w:rPr>
                <w:rFonts w:ascii="宋体" w:hAnsi="宋体" w:cs="宋体" w:eastAsia="宋体" w:hint="default"/>
                <w:sz w:val="14"/>
                <w:szCs w:val="14"/>
              </w:rPr>
            </w:pPr>
            <w:r>
              <w:rPr>
                <w:rFonts w:ascii="宋体"/>
                <w:w w:val="105"/>
                <w:sz w:val="14"/>
              </w:rPr>
              <w:t>32,587,865.98</w:t>
              <w:tab/>
              <w:t>12,793,055.29</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开发支出</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商誉</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nil" w:sz="6" w:space="0" w:color="auto"/>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长期待摊费用</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7"/>
              <w:jc w:val="right"/>
              <w:rPr>
                <w:rFonts w:ascii="宋体" w:hAnsi="宋体" w:cs="宋体" w:eastAsia="宋体" w:hint="default"/>
                <w:sz w:val="14"/>
                <w:szCs w:val="14"/>
              </w:rPr>
            </w:pPr>
            <w:r>
              <w:rPr>
                <w:rFonts w:ascii="宋体" w:hAnsi="宋体" w:cs="宋体" w:eastAsia="宋体" w:hint="default"/>
                <w:w w:val="105"/>
                <w:sz w:val="14"/>
                <w:szCs w:val="14"/>
              </w:rPr>
              <w:t>五(十一)</w:t>
            </w:r>
            <w:r>
              <w:rPr>
                <w:rFonts w:ascii="宋体" w:hAnsi="宋体" w:cs="宋体" w:eastAsia="宋体" w:hint="default"/>
                <w:sz w:val="14"/>
                <w:szCs w:val="14"/>
              </w:rPr>
            </w:r>
          </w:p>
        </w:tc>
        <w:tc>
          <w:tcPr>
            <w:tcW w:w="3781"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20"/>
              <w:ind w:right="100"/>
              <w:jc w:val="right"/>
              <w:rPr>
                <w:rFonts w:ascii="宋体" w:hAnsi="宋体" w:cs="宋体" w:eastAsia="宋体" w:hint="default"/>
                <w:sz w:val="14"/>
                <w:szCs w:val="14"/>
              </w:rPr>
            </w:pPr>
            <w:r>
              <w:rPr>
                <w:rFonts w:ascii="宋体"/>
                <w:w w:val="105"/>
                <w:sz w:val="14"/>
              </w:rPr>
              <w:t>2,640,774.10</w:t>
              <w:tab/>
              <w:t>1,309,139.02</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递延所得税资产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7"/>
              <w:jc w:val="right"/>
              <w:rPr>
                <w:rFonts w:ascii="宋体" w:hAnsi="宋体" w:cs="宋体" w:eastAsia="宋体" w:hint="default"/>
                <w:sz w:val="14"/>
                <w:szCs w:val="14"/>
              </w:rPr>
            </w:pPr>
            <w:r>
              <w:rPr>
                <w:rFonts w:ascii="宋体" w:hAnsi="宋体" w:cs="宋体" w:eastAsia="宋体" w:hint="default"/>
                <w:w w:val="105"/>
                <w:sz w:val="14"/>
                <w:szCs w:val="14"/>
              </w:rPr>
              <w:t>五(十二)</w:t>
            </w:r>
            <w:r>
              <w:rPr>
                <w:rFonts w:ascii="宋体" w:hAnsi="宋体" w:cs="宋体" w:eastAsia="宋体" w:hint="default"/>
                <w:sz w:val="14"/>
                <w:szCs w:val="14"/>
              </w:rPr>
            </w:r>
          </w:p>
        </w:tc>
        <w:tc>
          <w:tcPr>
            <w:tcW w:w="3781"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20"/>
              <w:ind w:right="100"/>
              <w:jc w:val="right"/>
              <w:rPr>
                <w:rFonts w:ascii="宋体" w:hAnsi="宋体" w:cs="宋体" w:eastAsia="宋体" w:hint="default"/>
                <w:sz w:val="14"/>
                <w:szCs w:val="14"/>
              </w:rPr>
            </w:pPr>
            <w:r>
              <w:rPr>
                <w:rFonts w:ascii="宋体"/>
                <w:w w:val="105"/>
                <w:sz w:val="14"/>
              </w:rPr>
              <w:t>4,390,587.86</w:t>
              <w:tab/>
              <w:t>1,192,658.45</w:t>
            </w:r>
            <w:r>
              <w:rPr>
                <w:rFonts w:ascii="宋体"/>
                <w:sz w:val="14"/>
              </w:rPr>
            </w:r>
          </w:p>
        </w:tc>
      </w:tr>
      <w:tr>
        <w:trPr>
          <w:trHeight w:val="25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5" w:right="0"/>
              <w:jc w:val="left"/>
              <w:rPr>
                <w:rFonts w:ascii="宋体" w:hAnsi="宋体" w:cs="宋体" w:eastAsia="宋体" w:hint="default"/>
                <w:sz w:val="14"/>
                <w:szCs w:val="14"/>
              </w:rPr>
            </w:pPr>
            <w:r>
              <w:rPr>
                <w:rFonts w:ascii="宋体" w:hAnsi="宋体" w:cs="宋体" w:eastAsia="宋体" w:hint="default"/>
                <w:w w:val="105"/>
                <w:sz w:val="14"/>
                <w:szCs w:val="14"/>
              </w:rPr>
              <w:t>其他非流动资产</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nil" w:sz="6" w:space="0" w:color="auto"/>
              <w:left w:val="nil" w:sz="6" w:space="0" w:color="auto"/>
              <w:bottom w:val="single" w:sz="5" w:space="0" w:color="000000"/>
              <w:right w:val="nil" w:sz="6" w:space="0" w:color="auto"/>
            </w:tcBorders>
          </w:tcPr>
          <w:p>
            <w:pPr>
              <w:pStyle w:val="TableParagraph"/>
              <w:tabs>
                <w:tab w:pos="3455" w:val="left" w:leader="none"/>
              </w:tabs>
              <w:spacing w:line="240" w:lineRule="auto" w:before="20"/>
              <w:ind w:left="1709" w:right="0"/>
              <w:jc w:val="left"/>
              <w:rPr>
                <w:rFonts w:ascii="宋体" w:hAnsi="宋体" w:cs="宋体" w:eastAsia="宋体" w:hint="default"/>
                <w:sz w:val="14"/>
                <w:szCs w:val="14"/>
              </w:rPr>
            </w:pPr>
            <w:r>
              <w:rPr>
                <w:rFonts w:ascii="宋体"/>
                <w:w w:val="105"/>
                <w:sz w:val="14"/>
              </w:rPr>
              <w:t>-</w:t>
              <w:tab/>
              <w:t>-</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1"/>
              <w:jc w:val="right"/>
              <w:rPr>
                <w:rFonts w:ascii="宋体" w:hAnsi="宋体" w:cs="宋体" w:eastAsia="宋体" w:hint="default"/>
                <w:sz w:val="14"/>
                <w:szCs w:val="14"/>
              </w:rPr>
            </w:pPr>
            <w:r>
              <w:rPr>
                <w:rFonts w:ascii="宋体" w:hAnsi="宋体" w:cs="宋体" w:eastAsia="宋体" w:hint="default"/>
                <w:w w:val="105"/>
                <w:sz w:val="14"/>
                <w:szCs w:val="14"/>
              </w:rPr>
              <w:t>非流动资产合计</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single" w:sz="5" w:space="0" w:color="000000"/>
              <w:left w:val="nil" w:sz="6" w:space="0" w:color="auto"/>
              <w:bottom w:val="single" w:sz="5" w:space="0" w:color="000000"/>
              <w:right w:val="nil" w:sz="6" w:space="0" w:color="auto"/>
            </w:tcBorders>
          </w:tcPr>
          <w:p>
            <w:pPr>
              <w:pStyle w:val="TableParagraph"/>
              <w:spacing w:line="20" w:lineRule="exact"/>
              <w:ind w:left="430" w:right="0"/>
              <w:jc w:val="left"/>
              <w:rPr>
                <w:rFonts w:ascii="宋体" w:hAnsi="宋体" w:cs="宋体" w:eastAsia="宋体" w:hint="default"/>
                <w:sz w:val="2"/>
                <w:szCs w:val="2"/>
              </w:rPr>
            </w:pPr>
            <w:r>
              <w:rPr>
                <w:rFonts w:ascii="宋体" w:hAnsi="宋体" w:cs="宋体" w:eastAsia="宋体" w:hint="default"/>
                <w:sz w:val="2"/>
                <w:szCs w:val="2"/>
              </w:rPr>
              <w:pict>
                <v:group style="width:80.3pt;height:.65pt;mso-position-horizontal-relative:char;mso-position-vertical-relative:line" coordorigin="0,0" coordsize="1606,13">
                  <v:shape style="position:absolute;left:0;top:0;width:1606;height:12" type="#_x0000_t75" stroked="false">
                    <v:imagedata r:id="rId40" o:title=""/>
                  </v:shape>
                </v:group>
              </w:pict>
            </w:r>
            <w:r>
              <w:rPr>
                <w:rFonts w:ascii="宋体" w:hAnsi="宋体" w:cs="宋体" w:eastAsia="宋体" w:hint="default"/>
                <w:sz w:val="2"/>
                <w:szCs w:val="2"/>
              </w:rPr>
            </w:r>
          </w:p>
          <w:p>
            <w:pPr>
              <w:pStyle w:val="TableParagraph"/>
              <w:tabs>
                <w:tab w:pos="1745" w:val="left" w:leader="none"/>
              </w:tabs>
              <w:spacing w:line="240" w:lineRule="auto" w:before="16"/>
              <w:ind w:right="100"/>
              <w:jc w:val="right"/>
              <w:rPr>
                <w:rFonts w:ascii="宋体" w:hAnsi="宋体" w:cs="宋体" w:eastAsia="宋体" w:hint="default"/>
                <w:sz w:val="14"/>
                <w:szCs w:val="14"/>
              </w:rPr>
            </w:pPr>
            <w:r>
              <w:rPr>
                <w:rFonts w:ascii="宋体"/>
                <w:w w:val="105"/>
                <w:sz w:val="14"/>
              </w:rPr>
              <w:t>54,632,352.36</w:t>
              <w:tab/>
              <w:t>27,175,286.21</w:t>
            </w:r>
            <w:r>
              <w:rPr>
                <w:rFonts w:ascii="宋体"/>
                <w:sz w:val="14"/>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single" w:sz="5" w:space="0" w:color="000000"/>
              <w:left w:val="nil" w:sz="6" w:space="0" w:color="auto"/>
              <w:bottom w:val="single" w:sz="5" w:space="0" w:color="000000"/>
              <w:right w:val="nil" w:sz="6" w:space="0" w:color="auto"/>
            </w:tcBorders>
          </w:tcPr>
          <w:p>
            <w:pPr>
              <w:pStyle w:val="TableParagraph"/>
              <w:spacing w:line="20" w:lineRule="exact"/>
              <w:ind w:left="423" w:right="0"/>
              <w:jc w:val="left"/>
              <w:rPr>
                <w:rFonts w:ascii="宋体" w:hAnsi="宋体" w:cs="宋体" w:eastAsia="宋体" w:hint="default"/>
                <w:sz w:val="2"/>
                <w:szCs w:val="2"/>
              </w:rPr>
            </w:pPr>
            <w:r>
              <w:rPr>
                <w:rFonts w:ascii="宋体" w:hAnsi="宋体" w:cs="宋体" w:eastAsia="宋体" w:hint="default"/>
                <w:sz w:val="2"/>
                <w:szCs w:val="2"/>
              </w:rPr>
              <w:pict>
                <v:group style="width:80.95pt;height:.65pt;mso-position-horizontal-relative:char;mso-position-vertical-relative:line" coordorigin="0,0" coordsize="1619,13">
                  <v:group style="position:absolute;left:7;top:1;width:1605;height:2" coordorigin="7,1" coordsize="1605,2">
                    <v:shape style="position:absolute;left:7;top:1;width:1605;height:2" coordorigin="7,1" coordsize="1605,0" path="m7,1l1611,1e" filled="false" stroked="true" strokeweight=".090477pt" strokecolor="#000000">
                      <v:path arrowok="t"/>
                    </v:shape>
                  </v:group>
                  <v:group style="position:absolute;left:6;top:6;width:1606;height:2" coordorigin="6,6" coordsize="1606,2">
                    <v:shape style="position:absolute;left:6;top:6;width:1606;height:2" coordorigin="6,6" coordsize="1606,0" path="m6,6l1612,6e" filled="false" stroked="true" strokeweight=".620429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0" w:lineRule="exact"/>
              <w:ind w:left="423" w:right="0"/>
              <w:jc w:val="left"/>
              <w:rPr>
                <w:rFonts w:ascii="宋体" w:hAnsi="宋体" w:cs="宋体" w:eastAsia="宋体" w:hint="default"/>
                <w:sz w:val="2"/>
                <w:szCs w:val="2"/>
              </w:rPr>
            </w:pPr>
            <w:r>
              <w:rPr>
                <w:rFonts w:ascii="宋体" w:hAnsi="宋体" w:cs="宋体" w:eastAsia="宋体" w:hint="default"/>
                <w:sz w:val="2"/>
                <w:szCs w:val="2"/>
              </w:rPr>
              <w:pict>
                <v:group style="width:80.95pt;height:.65pt;mso-position-horizontal-relative:char;mso-position-vertical-relative:line" coordorigin="0,0" coordsize="1619,13">
                  <v:group style="position:absolute;left:7;top:1;width:1605;height:2" coordorigin="7,1" coordsize="1605,2">
                    <v:shape style="position:absolute;left:7;top:1;width:1605;height:2" coordorigin="7,1" coordsize="1605,0" path="m7,1l1611,1e" filled="false" stroked="true" strokeweight=".090477pt" strokecolor="#000000">
                      <v:path arrowok="t"/>
                    </v:shape>
                  </v:group>
                  <v:group style="position:absolute;left:6;top:6;width:1606;height:2" coordorigin="6,6" coordsize="1606,2">
                    <v:shape style="position:absolute;left:6;top:6;width:1606;height:2" coordorigin="6,6" coordsize="1606,0" path="m6,6l1612,6e" filled="false" stroked="true" strokeweight=".620429pt" strokecolor="#000000">
                      <v:path arrowok="t"/>
                    </v:shape>
                  </v:group>
                </v:group>
              </w:pict>
            </w:r>
            <w:r>
              <w:rPr>
                <w:rFonts w:ascii="宋体" w:hAnsi="宋体" w:cs="宋体" w:eastAsia="宋体" w:hint="default"/>
                <w:sz w:val="2"/>
                <w:szCs w:val="2"/>
              </w:rPr>
            </w:r>
          </w:p>
        </w:tc>
      </w:tr>
      <w:tr>
        <w:trPr>
          <w:trHeight w:val="26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1" w:right="0"/>
              <w:jc w:val="left"/>
              <w:rPr>
                <w:rFonts w:ascii="宋体" w:hAnsi="宋体" w:cs="宋体" w:eastAsia="宋体" w:hint="default"/>
                <w:sz w:val="14"/>
                <w:szCs w:val="14"/>
              </w:rPr>
            </w:pPr>
            <w:r>
              <w:rPr>
                <w:rFonts w:ascii="宋体" w:hAnsi="宋体" w:cs="宋体" w:eastAsia="宋体" w:hint="default"/>
                <w:b/>
                <w:bCs/>
                <w:w w:val="105"/>
                <w:sz w:val="14"/>
                <w:szCs w:val="14"/>
              </w:rPr>
              <w:t>资产总计</w:t>
            </w:r>
            <w:r>
              <w:rPr>
                <w:rFonts w:ascii="宋体" w:hAnsi="宋体" w:cs="宋体" w:eastAsia="宋体" w:hint="default"/>
                <w:sz w:val="14"/>
                <w:szCs w:val="14"/>
              </w:rPr>
            </w:r>
          </w:p>
        </w:tc>
        <w:tc>
          <w:tcPr>
            <w:tcW w:w="2892" w:type="dxa"/>
            <w:tcBorders>
              <w:top w:val="nil" w:sz="6" w:space="0" w:color="auto"/>
              <w:left w:val="nil" w:sz="6" w:space="0" w:color="auto"/>
              <w:bottom w:val="nil" w:sz="6" w:space="0" w:color="auto"/>
              <w:right w:val="nil" w:sz="6" w:space="0" w:color="auto"/>
            </w:tcBorders>
          </w:tcPr>
          <w:p>
            <w:pPr/>
          </w:p>
        </w:tc>
        <w:tc>
          <w:tcPr>
            <w:tcW w:w="3781" w:type="dxa"/>
            <w:tcBorders>
              <w:top w:val="single" w:sz="5" w:space="0" w:color="000000"/>
              <w:left w:val="nil" w:sz="6" w:space="0" w:color="auto"/>
              <w:bottom w:val="single" w:sz="15" w:space="0" w:color="000000"/>
              <w:right w:val="nil" w:sz="6" w:space="0" w:color="auto"/>
            </w:tcBorders>
          </w:tcPr>
          <w:p>
            <w:pPr>
              <w:pStyle w:val="TableParagraph"/>
              <w:tabs>
                <w:tab w:pos="1894" w:val="left" w:leader="none"/>
              </w:tabs>
              <w:spacing w:line="240" w:lineRule="auto" w:before="24"/>
              <w:ind w:right="100"/>
              <w:jc w:val="right"/>
              <w:rPr>
                <w:rFonts w:ascii="宋体" w:hAnsi="宋体" w:cs="宋体" w:eastAsia="宋体" w:hint="default"/>
                <w:sz w:val="14"/>
                <w:szCs w:val="14"/>
              </w:rPr>
            </w:pPr>
            <w:r>
              <w:rPr>
                <w:rFonts w:ascii="宋体"/>
                <w:w w:val="105"/>
                <w:sz w:val="14"/>
              </w:rPr>
              <w:t>1,113,335,401.38</w:t>
              <w:tab/>
              <w:t>933,469,788.64</w:t>
            </w:r>
            <w:r>
              <w:rPr>
                <w:rFonts w:ascii="宋体"/>
                <w:sz w:val="14"/>
              </w:rPr>
            </w:r>
          </w:p>
        </w:tc>
      </w:tr>
      <w:tr>
        <w:trPr>
          <w:trHeight w:val="189" w:hRule="exact"/>
        </w:trPr>
        <w:tc>
          <w:tcPr>
            <w:tcW w:w="1744" w:type="dxa"/>
            <w:tcBorders>
              <w:top w:val="nil" w:sz="6" w:space="0" w:color="auto"/>
              <w:left w:val="nil" w:sz="6" w:space="0" w:color="auto"/>
              <w:bottom w:val="single" w:sz="5" w:space="0" w:color="000000"/>
              <w:right w:val="nil" w:sz="6" w:space="0" w:color="auto"/>
            </w:tcBorders>
          </w:tcPr>
          <w:p>
            <w:pPr/>
          </w:p>
        </w:tc>
        <w:tc>
          <w:tcPr>
            <w:tcW w:w="2892" w:type="dxa"/>
            <w:tcBorders>
              <w:top w:val="nil" w:sz="6" w:space="0" w:color="auto"/>
              <w:left w:val="nil" w:sz="6" w:space="0" w:color="auto"/>
              <w:bottom w:val="single" w:sz="5" w:space="0" w:color="000000"/>
              <w:right w:val="nil" w:sz="6" w:space="0" w:color="auto"/>
            </w:tcBorders>
          </w:tcPr>
          <w:p>
            <w:pPr/>
          </w:p>
        </w:tc>
        <w:tc>
          <w:tcPr>
            <w:tcW w:w="3781" w:type="dxa"/>
            <w:tcBorders>
              <w:top w:val="single" w:sz="15" w:space="0" w:color="000000"/>
              <w:left w:val="nil" w:sz="6" w:space="0" w:color="auto"/>
              <w:bottom w:val="single" w:sz="5" w:space="0" w:color="000000"/>
              <w:right w:val="nil" w:sz="6" w:space="0" w:color="auto"/>
            </w:tcBorders>
          </w:tcPr>
          <w:p>
            <w:pPr/>
          </w:p>
        </w:tc>
      </w:tr>
      <w:tr>
        <w:trPr>
          <w:trHeight w:val="275" w:hRule="exact"/>
        </w:trPr>
        <w:tc>
          <w:tcPr>
            <w:tcW w:w="1744" w:type="dxa"/>
            <w:tcBorders>
              <w:top w:val="single" w:sz="5" w:space="0" w:color="000000"/>
              <w:left w:val="nil" w:sz="6" w:space="0" w:color="auto"/>
              <w:bottom w:val="nil" w:sz="6" w:space="0" w:color="auto"/>
              <w:right w:val="nil" w:sz="6" w:space="0" w:color="auto"/>
            </w:tcBorders>
          </w:tcPr>
          <w:p>
            <w:pPr>
              <w:pStyle w:val="TableParagraph"/>
              <w:spacing w:line="169" w:lineRule="exact"/>
              <w:ind w:left="25" w:right="0"/>
              <w:jc w:val="left"/>
              <w:rPr>
                <w:rFonts w:ascii="宋体" w:hAnsi="宋体" w:cs="宋体" w:eastAsia="宋体" w:hint="default"/>
                <w:sz w:val="14"/>
                <w:szCs w:val="14"/>
              </w:rPr>
            </w:pPr>
            <w:r>
              <w:rPr>
                <w:rFonts w:ascii="宋体" w:hAnsi="宋体" w:cs="宋体" w:eastAsia="宋体" w:hint="default"/>
                <w:w w:val="105"/>
                <w:sz w:val="14"/>
                <w:szCs w:val="14"/>
              </w:rPr>
              <w:t>公司负责人：刘祥</w:t>
            </w:r>
            <w:r>
              <w:rPr>
                <w:rFonts w:ascii="宋体" w:hAnsi="宋体" w:cs="宋体" w:eastAsia="宋体" w:hint="default"/>
                <w:sz w:val="14"/>
                <w:szCs w:val="14"/>
              </w:rPr>
            </w:r>
          </w:p>
        </w:tc>
        <w:tc>
          <w:tcPr>
            <w:tcW w:w="2892" w:type="dxa"/>
            <w:tcBorders>
              <w:top w:val="single" w:sz="5" w:space="0" w:color="000000"/>
              <w:left w:val="nil" w:sz="6" w:space="0" w:color="auto"/>
              <w:bottom w:val="nil" w:sz="6" w:space="0" w:color="auto"/>
              <w:right w:val="nil" w:sz="6" w:space="0" w:color="auto"/>
            </w:tcBorders>
          </w:tcPr>
          <w:p>
            <w:pPr>
              <w:pStyle w:val="TableParagraph"/>
              <w:spacing w:line="169" w:lineRule="exact"/>
              <w:ind w:left="373" w:right="0"/>
              <w:jc w:val="left"/>
              <w:rPr>
                <w:rFonts w:ascii="宋体" w:hAnsi="宋体" w:cs="宋体" w:eastAsia="宋体" w:hint="default"/>
                <w:sz w:val="14"/>
                <w:szCs w:val="14"/>
              </w:rPr>
            </w:pPr>
            <w:r>
              <w:rPr>
                <w:rFonts w:ascii="宋体" w:hAnsi="宋体" w:cs="宋体" w:eastAsia="宋体" w:hint="default"/>
                <w:w w:val="105"/>
                <w:sz w:val="14"/>
                <w:szCs w:val="14"/>
              </w:rPr>
              <w:t>主管会计工作负责人：赵辉</w:t>
            </w:r>
            <w:r>
              <w:rPr>
                <w:rFonts w:ascii="宋体" w:hAnsi="宋体" w:cs="宋体" w:eastAsia="宋体" w:hint="default"/>
                <w:sz w:val="14"/>
                <w:szCs w:val="14"/>
              </w:rPr>
            </w:r>
          </w:p>
        </w:tc>
        <w:tc>
          <w:tcPr>
            <w:tcW w:w="3781" w:type="dxa"/>
            <w:tcBorders>
              <w:top w:val="single" w:sz="5" w:space="0" w:color="000000"/>
              <w:left w:val="nil" w:sz="6" w:space="0" w:color="auto"/>
              <w:bottom w:val="nil" w:sz="6" w:space="0" w:color="auto"/>
              <w:right w:val="nil" w:sz="6" w:space="0" w:color="auto"/>
            </w:tcBorders>
          </w:tcPr>
          <w:p>
            <w:pPr>
              <w:pStyle w:val="TableParagraph"/>
              <w:spacing w:line="169" w:lineRule="exact"/>
              <w:ind w:left="169" w:right="0"/>
              <w:jc w:val="left"/>
              <w:rPr>
                <w:rFonts w:ascii="宋体" w:hAnsi="宋体" w:cs="宋体" w:eastAsia="宋体" w:hint="default"/>
                <w:sz w:val="14"/>
                <w:szCs w:val="14"/>
              </w:rPr>
            </w:pPr>
            <w:r>
              <w:rPr>
                <w:rFonts w:ascii="宋体" w:hAnsi="宋体" w:cs="宋体" w:eastAsia="宋体" w:hint="default"/>
                <w:w w:val="105"/>
                <w:sz w:val="14"/>
                <w:szCs w:val="14"/>
              </w:rPr>
              <w:t>会计机构负责人：赵辉</w:t>
            </w:r>
            <w:r>
              <w:rPr>
                <w:rFonts w:ascii="宋体" w:hAnsi="宋体" w:cs="宋体" w:eastAsia="宋体" w:hint="default"/>
                <w:sz w:val="14"/>
                <w:szCs w:val="14"/>
              </w:rPr>
            </w:r>
          </w:p>
        </w:tc>
      </w:tr>
    </w:tbl>
    <w:p>
      <w:pPr>
        <w:spacing w:after="0" w:line="169" w:lineRule="exact"/>
        <w:jc w:val="left"/>
        <w:rPr>
          <w:rFonts w:ascii="宋体" w:hAnsi="宋体" w:cs="宋体" w:eastAsia="宋体" w:hint="default"/>
          <w:sz w:val="14"/>
          <w:szCs w:val="14"/>
        </w:rPr>
        <w:sectPr>
          <w:type w:val="continuous"/>
          <w:pgSz w:w="11910" w:h="16840"/>
          <w:pgMar w:top="1580" w:bottom="280" w:left="168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0" w:footer="1175" w:top="1580" w:bottom="1380" w:left="1680" w:right="1660"/>
        </w:sectPr>
      </w:pPr>
    </w:p>
    <w:p>
      <w:pPr>
        <w:pStyle w:val="Heading6"/>
        <w:spacing w:line="312" w:lineRule="exact" w:before="68"/>
        <w:ind w:left="2439" w:right="20" w:firstLine="0"/>
        <w:jc w:val="center"/>
      </w:pPr>
      <w:r>
        <w:rPr>
          <w:w w:val="105"/>
        </w:rPr>
        <w:t>深圳市新国都技术股份有限公司</w:t>
      </w:r>
      <w:r>
        <w:rPr>
          <w:spacing w:val="-51"/>
          <w:w w:val="105"/>
        </w:rPr>
        <w:t> </w:t>
      </w:r>
      <w:r>
        <w:rPr>
          <w:w w:val="105"/>
        </w:rPr>
        <w:t>合并资产负债表（续）</w:t>
      </w:r>
      <w:r>
        <w:rPr/>
      </w:r>
    </w:p>
    <w:p>
      <w:pPr>
        <w:spacing w:before="11"/>
        <w:ind w:left="2349" w:right="20"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16"/>
          <w:szCs w:val="16"/>
        </w:rPr>
      </w:pPr>
    </w:p>
    <w:p>
      <w:pPr>
        <w:spacing w:before="0"/>
        <w:ind w:left="1180" w:right="0" w:firstLine="0"/>
        <w:jc w:val="left"/>
        <w:rPr>
          <w:rFonts w:ascii="宋体" w:hAnsi="宋体" w:cs="宋体" w:eastAsia="宋体" w:hint="default"/>
          <w:sz w:val="14"/>
          <w:szCs w:val="14"/>
        </w:rPr>
      </w:pPr>
      <w:r>
        <w:rPr>
          <w:rFonts w:ascii="宋体" w:hAnsi="宋体" w:cs="宋体" w:eastAsia="宋体" w:hint="default"/>
          <w:w w:val="105"/>
          <w:sz w:val="14"/>
          <w:szCs w:val="14"/>
        </w:rPr>
        <w:t>单位：人民币元</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10" w:h="16840"/>
          <w:pgMar w:top="1580" w:bottom="280" w:left="1680" w:right="1660"/>
          <w:cols w:num="2" w:equalWidth="0">
            <w:col w:w="6176" w:space="40"/>
            <w:col w:w="2354"/>
          </w:cols>
        </w:sectPr>
      </w:pPr>
    </w:p>
    <w:p>
      <w:pPr>
        <w:spacing w:line="240" w:lineRule="auto" w:before="8"/>
        <w:rPr>
          <w:rFonts w:ascii="宋体" w:hAnsi="宋体" w:cs="宋体" w:eastAsia="宋体" w:hint="default"/>
          <w:sz w:val="18"/>
          <w:szCs w:val="18"/>
        </w:rPr>
      </w:pPr>
    </w:p>
    <w:p>
      <w:pPr>
        <w:tabs>
          <w:tab w:pos="4104" w:val="left" w:leader="none"/>
          <w:tab w:pos="5719" w:val="left" w:leader="none"/>
          <w:tab w:pos="7542" w:val="left" w:leader="none"/>
        </w:tabs>
        <w:spacing w:before="56"/>
        <w:ind w:left="1273" w:right="0" w:firstLine="0"/>
        <w:jc w:val="left"/>
        <w:rPr>
          <w:rFonts w:ascii="宋体" w:hAnsi="宋体" w:cs="宋体" w:eastAsia="宋体" w:hint="default"/>
          <w:sz w:val="14"/>
          <w:szCs w:val="14"/>
        </w:rPr>
      </w:pPr>
      <w:r>
        <w:rPr>
          <w:rFonts w:ascii="宋体" w:hAnsi="宋体" w:cs="宋体" w:eastAsia="宋体" w:hint="default"/>
          <w:w w:val="105"/>
          <w:sz w:val="14"/>
          <w:szCs w:val="14"/>
        </w:rPr>
        <w:t>负债和股东权益</w:t>
        <w:tab/>
        <w:t>附注</w:t>
        <w:tab/>
        <w:t>期末数</w:t>
        <w:tab/>
        <w:t>期初数</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3668" w:val="left" w:leader="none"/>
          <w:tab w:pos="5135" w:val="left" w:leader="none"/>
          <w:tab w:pos="7054" w:val="left" w:leader="none"/>
        </w:tabs>
        <w:spacing w:line="20" w:lineRule="exact"/>
        <w:ind w:left="121" w:right="0" w:firstLine="0"/>
        <w:rPr>
          <w:rFonts w:ascii="宋体" w:hAnsi="宋体" w:cs="宋体" w:eastAsia="宋体" w:hint="default"/>
          <w:sz w:val="2"/>
          <w:szCs w:val="2"/>
        </w:rPr>
      </w:pPr>
      <w:r>
        <w:rPr>
          <w:rFonts w:ascii="宋体"/>
          <w:sz w:val="2"/>
        </w:rPr>
        <w:pict>
          <v:group style="width:166.45pt;height:.65pt;mso-position-horizontal-relative:char;mso-position-vertical-relative:line" coordorigin="0,0" coordsize="3329,13">
            <v:group style="position:absolute;left:7;top:1;width:3316;height:2" coordorigin="7,1" coordsize="3316,2">
              <v:shape style="position:absolute;left:7;top:1;width:3316;height:2" coordorigin="7,1" coordsize="3316,0" path="m7,1l3322,1e" filled="false" stroked="true" strokeweight=".088633pt" strokecolor="#000000">
                <v:path arrowok="t"/>
              </v:shape>
            </v:group>
            <v:group style="position:absolute;left:6;top:6;width:3317;height:2" coordorigin="6,6" coordsize="3317,2">
              <v:shape style="position:absolute;left:6;top:6;width:3317;height:2" coordorigin="6,6" coordsize="3317,0" path="m6,6l3323,6e" filled="false" stroked="true" strokeweight=".607771pt" strokecolor="#000000">
                <v:path arrowok="t"/>
              </v:shape>
            </v:group>
          </v:group>
        </w:pict>
      </w:r>
      <w:r>
        <w:rPr>
          <w:rFonts w:ascii="宋体"/>
          <w:sz w:val="2"/>
        </w:rPr>
      </w:r>
      <w:r>
        <w:rPr>
          <w:rFonts w:ascii="宋体"/>
          <w:sz w:val="2"/>
        </w:rPr>
        <w:tab/>
      </w:r>
      <w:r>
        <w:rPr>
          <w:rFonts w:ascii="宋体"/>
          <w:sz w:val="2"/>
        </w:rPr>
        <w:pict>
          <v:group style="width:58pt;height:.65pt;mso-position-horizontal-relative:char;mso-position-vertical-relative:line" coordorigin="0,0" coordsize="1160,13">
            <v:group style="position:absolute;left:7;top:1;width:1146;height:2" coordorigin="7,1" coordsize="1146,2">
              <v:shape style="position:absolute;left:7;top:1;width:1146;height:2" coordorigin="7,1" coordsize="1146,0" path="m7,1l1153,1e" filled="false" stroked="true" strokeweight=".088633pt" strokecolor="#000000">
                <v:path arrowok="t"/>
              </v:shape>
            </v:group>
            <v:group style="position:absolute;left:6;top:6;width:1148;height:2" coordorigin="6,6" coordsize="1148,2">
              <v:shape style="position:absolute;left:6;top:6;width:1148;height:2" coordorigin="6,6" coordsize="1148,0" path="m6,6l1154,6e" filled="false" stroked="true" strokeweight=".607771pt" strokecolor="#000000">
                <v:path arrowok="t"/>
              </v:shape>
            </v:group>
          </v:group>
        </w:pict>
      </w:r>
      <w:r>
        <w:rPr>
          <w:rFonts w:ascii="宋体"/>
          <w:sz w:val="2"/>
        </w:rPr>
      </w:r>
      <w:r>
        <w:rPr>
          <w:rFonts w:ascii="宋体"/>
          <w:sz w:val="2"/>
        </w:rPr>
        <w:tab/>
      </w: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71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71pt" strokecolor="#000000">
                <v:path arrowok="t"/>
              </v:shape>
            </v:group>
          </v:group>
        </w:pict>
      </w:r>
      <w:r>
        <w:rPr>
          <w:rFonts w:ascii="宋体"/>
          <w:sz w:val="2"/>
        </w:rPr>
      </w:r>
    </w:p>
    <w:p>
      <w:pPr>
        <w:spacing w:line="240" w:lineRule="auto" w:before="10"/>
        <w:rPr>
          <w:rFonts w:ascii="宋体" w:hAnsi="宋体" w:cs="宋体" w:eastAsia="宋体" w:hint="default"/>
          <w:sz w:val="18"/>
          <w:szCs w:val="18"/>
        </w:rPr>
      </w:pPr>
    </w:p>
    <w:p>
      <w:pPr>
        <w:spacing w:before="0"/>
        <w:ind w:left="153" w:right="0" w:firstLine="0"/>
        <w:jc w:val="left"/>
        <w:rPr>
          <w:rFonts w:ascii="宋体" w:hAnsi="宋体" w:cs="宋体" w:eastAsia="宋体" w:hint="default"/>
          <w:sz w:val="14"/>
          <w:szCs w:val="14"/>
        </w:rPr>
      </w:pPr>
      <w:r>
        <w:rPr>
          <w:rFonts w:ascii="宋体" w:hAnsi="宋体" w:cs="宋体" w:eastAsia="宋体" w:hint="default"/>
          <w:b/>
          <w:bCs/>
          <w:w w:val="105"/>
          <w:sz w:val="14"/>
          <w:szCs w:val="14"/>
        </w:rPr>
        <w:t>流动负债：</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短期借款</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交易性金融负债</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3747" w:val="left" w:leader="none"/>
          <w:tab w:pos="5458" w:val="left" w:leader="none"/>
          <w:tab w:pos="7186"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应付票据</w:t>
        <w:tab/>
        <w:t>五(十四)</w:t>
        <w:tab/>
      </w:r>
      <w:r>
        <w:rPr>
          <w:rFonts w:ascii="宋体" w:hAnsi="宋体" w:cs="宋体" w:eastAsia="宋体" w:hint="default"/>
          <w:w w:val="105"/>
          <w:sz w:val="14"/>
          <w:szCs w:val="14"/>
        </w:rPr>
        <w:t>41,511,155.04</w:t>
        <w:tab/>
        <w:t>12,893,051.02</w:t>
      </w:r>
      <w:r>
        <w:rPr>
          <w:rFonts w:ascii="宋体" w:hAnsi="宋体" w:cs="宋体" w:eastAsia="宋体" w:hint="default"/>
          <w:sz w:val="14"/>
          <w:szCs w:val="14"/>
        </w:rPr>
      </w:r>
    </w:p>
    <w:p>
      <w:pPr>
        <w:tabs>
          <w:tab w:pos="3747" w:val="left" w:leader="none"/>
          <w:tab w:pos="5458" w:val="left" w:leader="none"/>
          <w:tab w:pos="7186"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应付账款</w:t>
        <w:tab/>
        <w:t>五(十五)</w:t>
        <w:tab/>
      </w:r>
      <w:r>
        <w:rPr>
          <w:rFonts w:ascii="宋体" w:hAnsi="宋体" w:cs="宋体" w:eastAsia="宋体" w:hint="default"/>
          <w:w w:val="105"/>
          <w:sz w:val="14"/>
          <w:szCs w:val="14"/>
        </w:rPr>
        <w:t>35,820,149.51</w:t>
        <w:tab/>
        <w:t>27,784,653.19</w:t>
      </w:r>
      <w:r>
        <w:rPr>
          <w:rFonts w:ascii="宋体" w:hAnsi="宋体" w:cs="宋体" w:eastAsia="宋体" w:hint="default"/>
          <w:sz w:val="14"/>
          <w:szCs w:val="14"/>
        </w:rPr>
      </w:r>
    </w:p>
    <w:p>
      <w:pPr>
        <w:tabs>
          <w:tab w:pos="3747" w:val="left" w:leader="none"/>
          <w:tab w:pos="5458"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预收款项</w:t>
        <w:tab/>
        <w:t>五(十六)</w:t>
        <w:tab/>
      </w:r>
      <w:r>
        <w:rPr>
          <w:rFonts w:ascii="宋体" w:hAnsi="宋体" w:cs="宋体" w:eastAsia="宋体" w:hint="default"/>
          <w:w w:val="105"/>
          <w:sz w:val="14"/>
          <w:szCs w:val="14"/>
        </w:rPr>
        <w:t>63,682,289.74</w:t>
        <w:tab/>
        <w:t>7,796,472.55</w:t>
      </w:r>
      <w:r>
        <w:rPr>
          <w:rFonts w:ascii="宋体" w:hAnsi="宋体" w:cs="宋体" w:eastAsia="宋体" w:hint="default"/>
          <w:sz w:val="14"/>
          <w:szCs w:val="14"/>
        </w:rPr>
      </w:r>
    </w:p>
    <w:p>
      <w:pPr>
        <w:tabs>
          <w:tab w:pos="3747" w:val="left" w:leader="none"/>
          <w:tab w:pos="5458"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应付职工薪酬</w:t>
        <w:tab/>
        <w:t>五(十七)</w:t>
        <w:tab/>
      </w:r>
      <w:r>
        <w:rPr>
          <w:rFonts w:ascii="宋体" w:hAnsi="宋体" w:cs="宋体" w:eastAsia="宋体" w:hint="default"/>
          <w:w w:val="105"/>
          <w:sz w:val="14"/>
          <w:szCs w:val="14"/>
        </w:rPr>
        <w:t>12,050,991.23</w:t>
        <w:tab/>
        <w:t>5,067,315.86</w:t>
      </w:r>
      <w:r>
        <w:rPr>
          <w:rFonts w:ascii="宋体" w:hAnsi="宋体" w:cs="宋体" w:eastAsia="宋体" w:hint="default"/>
          <w:sz w:val="14"/>
          <w:szCs w:val="14"/>
        </w:rPr>
      </w:r>
    </w:p>
    <w:p>
      <w:pPr>
        <w:tabs>
          <w:tab w:pos="3747" w:val="left" w:leader="none"/>
          <w:tab w:pos="5458"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应交税费</w:t>
        <w:tab/>
        <w:t>五(十八)</w:t>
        <w:tab/>
      </w:r>
      <w:r>
        <w:rPr>
          <w:rFonts w:ascii="宋体" w:hAnsi="宋体" w:cs="宋体" w:eastAsia="宋体" w:hint="default"/>
          <w:w w:val="105"/>
          <w:sz w:val="14"/>
          <w:szCs w:val="14"/>
        </w:rPr>
        <w:t>11,465,194.19</w:t>
        <w:tab/>
        <w:t>2,044,283.59</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应付股利</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3747" w:val="left" w:leader="none"/>
          <w:tab w:pos="5532"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其他应付款</w:t>
        <w:tab/>
        <w:t>五(十九)</w:t>
        <w:tab/>
      </w:r>
      <w:r>
        <w:rPr>
          <w:rFonts w:ascii="宋体" w:hAnsi="宋体" w:cs="宋体" w:eastAsia="宋体" w:hint="default"/>
          <w:w w:val="105"/>
          <w:sz w:val="14"/>
          <w:szCs w:val="14"/>
        </w:rPr>
        <w:t>5,024,229.19</w:t>
        <w:tab/>
        <w:t>2,029,006.81</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一年内到期的非流动负债</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其他流动负债</w:t>
        <w:tab/>
      </w:r>
      <w:r>
        <w:rPr>
          <w:rFonts w:ascii="宋体" w:hAnsi="宋体" w:cs="宋体" w:eastAsia="宋体" w:hint="default"/>
          <w:w w:val="105"/>
          <w:sz w:val="14"/>
          <w:szCs w:val="14"/>
        </w:rPr>
        <w:t>-</w:t>
        <w:tab/>
        <w:t>-</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60" w:val="left" w:leader="none"/>
        </w:tabs>
        <w:spacing w:line="20" w:lineRule="exact"/>
        <w:ind w:left="5141" w:right="0" w:firstLine="0"/>
        <w:rPr>
          <w:rFonts w:ascii="宋体" w:hAnsi="宋体" w:cs="宋体" w:eastAsia="宋体" w:hint="default"/>
          <w:sz w:val="2"/>
          <w:szCs w:val="2"/>
        </w:rPr>
      </w:pPr>
      <w:r>
        <w:rPr>
          <w:rFonts w:ascii="宋体"/>
          <w:sz w:val="2"/>
        </w:rPr>
        <w:pict>
          <v:group style="width:79.5pt;height:.65pt;mso-position-horizontal-relative:char;mso-position-vertical-relative:line" coordorigin="0,0" coordsize="1590,13">
            <v:shape style="position:absolute;left:0;top:0;width:1589;height:12" type="#_x0000_t75" stroked="false">
              <v:imagedata r:id="rId41" o:title=""/>
            </v:shape>
          </v:group>
        </w:pict>
      </w:r>
      <w:r>
        <w:rPr>
          <w:rFonts w:ascii="宋体"/>
          <w:sz w:val="2"/>
        </w:rPr>
      </w:r>
      <w:r>
        <w:rPr>
          <w:rFonts w:ascii="宋体"/>
          <w:sz w:val="2"/>
        </w:rPr>
        <w:tab/>
      </w:r>
      <w:r>
        <w:rPr>
          <w:rFonts w:ascii="宋体"/>
          <w:sz w:val="2"/>
        </w:rPr>
        <w:pict>
          <v:group style="width:69.95pt;height:.65pt;mso-position-horizontal-relative:char;mso-position-vertical-relative:line" coordorigin="0,0" coordsize="1399,13">
            <v:shape style="position:absolute;left:0;top:0;width:1398;height:12" type="#_x0000_t75" stroked="false">
              <v:imagedata r:id="rId42" o:title=""/>
            </v:shape>
          </v:group>
        </w:pict>
      </w:r>
      <w:r>
        <w:rPr>
          <w:rFonts w:ascii="宋体"/>
          <w:sz w:val="2"/>
        </w:rPr>
      </w:r>
    </w:p>
    <w:p>
      <w:pPr>
        <w:tabs>
          <w:tab w:pos="5384" w:val="left" w:leader="none"/>
          <w:tab w:pos="7186" w:val="left" w:leader="none"/>
        </w:tabs>
        <w:spacing w:before="3"/>
        <w:ind w:left="239" w:right="0" w:firstLine="0"/>
        <w:jc w:val="center"/>
        <w:rPr>
          <w:rFonts w:ascii="宋体" w:hAnsi="宋体" w:cs="宋体" w:eastAsia="宋体" w:hint="default"/>
          <w:sz w:val="14"/>
          <w:szCs w:val="14"/>
        </w:rPr>
      </w:pPr>
      <w:r>
        <w:rPr>
          <w:rFonts w:ascii="宋体" w:hAnsi="宋体" w:cs="宋体" w:eastAsia="宋体" w:hint="default"/>
          <w:w w:val="105"/>
          <w:sz w:val="14"/>
          <w:szCs w:val="14"/>
        </w:rPr>
        <w:t>流动负债合计</w:t>
        <w:tab/>
      </w:r>
      <w:r>
        <w:rPr>
          <w:rFonts w:ascii="宋体" w:hAnsi="宋体" w:cs="宋体" w:eastAsia="宋体" w:hint="default"/>
          <w:w w:val="105"/>
          <w:sz w:val="14"/>
          <w:szCs w:val="14"/>
        </w:rPr>
        <w:t>169,554,008.90</w:t>
        <w:tab/>
        <w:t>57,614,783.02</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54" w:val="left" w:leader="none"/>
        </w:tabs>
        <w:spacing w:line="20" w:lineRule="exact"/>
        <w:ind w:left="5135" w:right="0" w:firstLine="0"/>
        <w:rPr>
          <w:rFonts w:ascii="宋体" w:hAnsi="宋体" w:cs="宋体" w:eastAsia="宋体" w:hint="default"/>
          <w:sz w:val="2"/>
          <w:szCs w:val="2"/>
        </w:rPr>
      </w:pP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83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83pt" strokecolor="#000000">
                <v:path arrowok="t"/>
              </v:shape>
            </v:group>
          </v:group>
        </w:pict>
      </w:r>
      <w:r>
        <w:rPr>
          <w:rFonts w:ascii="宋体"/>
          <w:sz w:val="2"/>
        </w:rPr>
      </w:r>
    </w:p>
    <w:p>
      <w:pPr>
        <w:spacing w:line="240" w:lineRule="auto" w:before="10"/>
        <w:rPr>
          <w:rFonts w:ascii="宋体" w:hAnsi="宋体" w:cs="宋体" w:eastAsia="宋体" w:hint="default"/>
          <w:sz w:val="18"/>
          <w:szCs w:val="18"/>
        </w:rPr>
      </w:pPr>
    </w:p>
    <w:p>
      <w:pPr>
        <w:spacing w:before="0"/>
        <w:ind w:left="153" w:right="0" w:firstLine="0"/>
        <w:jc w:val="left"/>
        <w:rPr>
          <w:rFonts w:ascii="宋体" w:hAnsi="宋体" w:cs="宋体" w:eastAsia="宋体" w:hint="default"/>
          <w:sz w:val="14"/>
          <w:szCs w:val="14"/>
        </w:rPr>
      </w:pPr>
      <w:r>
        <w:rPr>
          <w:rFonts w:ascii="宋体" w:hAnsi="宋体" w:cs="宋体" w:eastAsia="宋体" w:hint="default"/>
          <w:b/>
          <w:bCs/>
          <w:w w:val="105"/>
          <w:sz w:val="14"/>
          <w:szCs w:val="14"/>
        </w:rPr>
        <w:t>非流动负债：</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长期借款</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应付债券</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长期应付款</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专项应付款</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预计负债</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递延所得税负债</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3747" w:val="left" w:leader="none"/>
          <w:tab w:pos="5532"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其他非流动负债</w:t>
        <w:tab/>
        <w:t>五(二十)</w:t>
        <w:tab/>
      </w:r>
      <w:r>
        <w:rPr>
          <w:rFonts w:ascii="宋体" w:hAnsi="宋体" w:cs="宋体" w:eastAsia="宋体" w:hint="default"/>
          <w:w w:val="105"/>
          <w:sz w:val="14"/>
          <w:szCs w:val="14"/>
        </w:rPr>
        <w:t>5,750,000.00</w:t>
        <w:tab/>
        <w:t>3,850,000.00</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60" w:val="left" w:leader="none"/>
        </w:tabs>
        <w:spacing w:line="20" w:lineRule="exact"/>
        <w:ind w:left="5141" w:right="0" w:firstLine="0"/>
        <w:rPr>
          <w:rFonts w:ascii="宋体" w:hAnsi="宋体" w:cs="宋体" w:eastAsia="宋体" w:hint="default"/>
          <w:sz w:val="2"/>
          <w:szCs w:val="2"/>
        </w:rPr>
      </w:pPr>
      <w:r>
        <w:rPr>
          <w:rFonts w:ascii="宋体"/>
          <w:sz w:val="2"/>
        </w:rPr>
        <w:pict>
          <v:group style="width:79.5pt;height:.65pt;mso-position-horizontal-relative:char;mso-position-vertical-relative:line" coordorigin="0,0" coordsize="1590,13">
            <v:shape style="position:absolute;left:0;top:0;width:1589;height:12" type="#_x0000_t75" stroked="false">
              <v:imagedata r:id="rId41" o:title=""/>
            </v:shape>
          </v:group>
        </w:pict>
      </w:r>
      <w:r>
        <w:rPr>
          <w:rFonts w:ascii="宋体"/>
          <w:sz w:val="2"/>
        </w:rPr>
      </w:r>
      <w:r>
        <w:rPr>
          <w:rFonts w:ascii="宋体"/>
          <w:sz w:val="2"/>
        </w:rPr>
        <w:tab/>
      </w:r>
      <w:r>
        <w:rPr>
          <w:rFonts w:ascii="宋体"/>
          <w:sz w:val="2"/>
        </w:rPr>
        <w:pict>
          <v:group style="width:69.95pt;height:.65pt;mso-position-horizontal-relative:char;mso-position-vertical-relative:line" coordorigin="0,0" coordsize="1399,13">
            <v:shape style="position:absolute;left:0;top:0;width:1398;height:12" type="#_x0000_t75" stroked="false">
              <v:imagedata r:id="rId42" o:title=""/>
            </v:shape>
          </v:group>
        </w:pict>
      </w:r>
      <w:r>
        <w:rPr>
          <w:rFonts w:ascii="宋体"/>
          <w:sz w:val="2"/>
        </w:rPr>
      </w:r>
    </w:p>
    <w:p>
      <w:pPr>
        <w:tabs>
          <w:tab w:pos="5532" w:val="left" w:leader="none"/>
          <w:tab w:pos="7260" w:val="left" w:leader="none"/>
        </w:tabs>
        <w:spacing w:before="3"/>
        <w:ind w:left="239" w:right="0" w:firstLine="0"/>
        <w:jc w:val="center"/>
        <w:rPr>
          <w:rFonts w:ascii="宋体" w:hAnsi="宋体" w:cs="宋体" w:eastAsia="宋体" w:hint="default"/>
          <w:sz w:val="14"/>
          <w:szCs w:val="14"/>
        </w:rPr>
      </w:pPr>
      <w:r>
        <w:rPr>
          <w:rFonts w:ascii="宋体" w:hAnsi="宋体" w:cs="宋体" w:eastAsia="宋体" w:hint="default"/>
          <w:w w:val="105"/>
          <w:sz w:val="14"/>
          <w:szCs w:val="14"/>
        </w:rPr>
        <w:t>非流动负债合计</w:t>
        <w:tab/>
      </w:r>
      <w:r>
        <w:rPr>
          <w:rFonts w:ascii="宋体" w:hAnsi="宋体" w:cs="宋体" w:eastAsia="宋体" w:hint="default"/>
          <w:w w:val="105"/>
          <w:sz w:val="14"/>
          <w:szCs w:val="14"/>
        </w:rPr>
        <w:t>5,750,000.00</w:t>
        <w:tab/>
        <w:t>3,850,000.00</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54" w:val="left" w:leader="none"/>
        </w:tabs>
        <w:spacing w:line="20" w:lineRule="exact"/>
        <w:ind w:left="5135" w:right="0" w:firstLine="0"/>
        <w:rPr>
          <w:rFonts w:ascii="宋体" w:hAnsi="宋体" w:cs="宋体" w:eastAsia="宋体" w:hint="default"/>
          <w:sz w:val="2"/>
          <w:szCs w:val="2"/>
        </w:rPr>
      </w:pP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45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45pt" strokecolor="#000000">
                <v:path arrowok="t"/>
              </v:shape>
            </v:group>
          </v:group>
        </w:pict>
      </w:r>
      <w:r>
        <w:rPr>
          <w:rFonts w:ascii="宋体"/>
          <w:sz w:val="2"/>
        </w:rPr>
      </w:r>
    </w:p>
    <w:p>
      <w:pPr>
        <w:tabs>
          <w:tab w:pos="5384" w:val="left" w:leader="none"/>
          <w:tab w:pos="7186" w:val="left" w:leader="none"/>
        </w:tabs>
        <w:spacing w:before="3"/>
        <w:ind w:left="239" w:right="0" w:firstLine="0"/>
        <w:jc w:val="center"/>
        <w:rPr>
          <w:rFonts w:ascii="宋体" w:hAnsi="宋体" w:cs="宋体" w:eastAsia="宋体" w:hint="default"/>
          <w:sz w:val="14"/>
          <w:szCs w:val="14"/>
        </w:rPr>
      </w:pPr>
      <w:r>
        <w:rPr>
          <w:rFonts w:ascii="宋体" w:hAnsi="宋体" w:cs="宋体" w:eastAsia="宋体" w:hint="default"/>
          <w:w w:val="105"/>
          <w:sz w:val="14"/>
          <w:szCs w:val="14"/>
        </w:rPr>
        <w:t>负债合计</w:t>
        <w:tab/>
      </w:r>
      <w:r>
        <w:rPr>
          <w:rFonts w:ascii="宋体" w:hAnsi="宋体" w:cs="宋体" w:eastAsia="宋体" w:hint="default"/>
          <w:w w:val="105"/>
          <w:sz w:val="14"/>
          <w:szCs w:val="14"/>
        </w:rPr>
        <w:t>175,304,008.90</w:t>
        <w:tab/>
        <w:t>61,464,783.02</w:t>
      </w:r>
      <w:r>
        <w:rPr>
          <w:rFonts w:ascii="宋体" w:hAnsi="宋体" w:cs="宋体" w:eastAsia="宋体" w:hint="default"/>
          <w:sz w:val="14"/>
          <w:szCs w:val="14"/>
        </w:rPr>
      </w:r>
    </w:p>
    <w:p>
      <w:pPr>
        <w:tabs>
          <w:tab w:pos="7053" w:val="left" w:leader="none"/>
        </w:tabs>
        <w:spacing w:line="36" w:lineRule="exact"/>
        <w:ind w:left="5135" w:right="0" w:firstLine="0"/>
        <w:rPr>
          <w:rFonts w:ascii="宋体" w:hAnsi="宋体" w:cs="宋体" w:eastAsia="宋体" w:hint="default"/>
          <w:sz w:val="3"/>
          <w:szCs w:val="3"/>
        </w:rPr>
      </w:pPr>
      <w:r>
        <w:rPr>
          <w:rFonts w:ascii="宋体"/>
          <w:position w:val="0"/>
          <w:sz w:val="3"/>
        </w:rPr>
        <w:pict>
          <v:group style="width:80.1pt;height:1.85pt;mso-position-horizontal-relative:char;mso-position-vertical-relative:line" coordorigin="0,0" coordsize="1602,37">
            <v:group style="position:absolute;left:6;top:6;width:1590;height:2" coordorigin="6,6" coordsize="1590,2">
              <v:shape style="position:absolute;left:6;top:6;width:1590;height:2" coordorigin="6,6" coordsize="1590,0" path="m6,6l1596,6e" filled="false" stroked="true" strokeweight=".622971pt" strokecolor="#000000">
                <v:path arrowok="t"/>
              </v:shape>
            </v:group>
            <v:group style="position:absolute;left:6;top:31;width:1590;height:2" coordorigin="6,31" coordsize="1590,2">
              <v:shape style="position:absolute;left:6;top:31;width:1590;height:2" coordorigin="6,31" coordsize="1590,0" path="m6,31l1596,31e" filled="false" stroked="true" strokeweight=".607783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0.55pt;height:1.85pt;mso-position-horizontal-relative:char;mso-position-vertical-relative:line" coordorigin="0,0" coordsize="1411,37">
            <v:group style="position:absolute;left:6;top:6;width:1399;height:2" coordorigin="6,6" coordsize="1399,2">
              <v:shape style="position:absolute;left:6;top:6;width:1399;height:2" coordorigin="6,6" coordsize="1399,0" path="m6,6l1404,6e" filled="false" stroked="true" strokeweight=".622971pt" strokecolor="#000000">
                <v:path arrowok="t"/>
              </v:shape>
            </v:group>
            <v:group style="position:absolute;left:6;top:31;width:1399;height:2" coordorigin="6,31" coordsize="1399,2">
              <v:shape style="position:absolute;left:6;top:31;width:1399;height:2" coordorigin="6,31" coordsize="1399,0" path="m6,31l1404,31e" filled="false" stroked="true" strokeweight=".607783pt" strokecolor="#000000">
                <v:path arrowok="t"/>
              </v:shape>
            </v:group>
          </v:group>
        </w:pict>
      </w:r>
      <w:r>
        <w:rPr>
          <w:rFonts w:ascii="宋体"/>
          <w:position w:val="0"/>
          <w:sz w:val="3"/>
        </w:rPr>
      </w:r>
    </w:p>
    <w:p>
      <w:pPr>
        <w:spacing w:line="240" w:lineRule="auto" w:before="3"/>
        <w:rPr>
          <w:rFonts w:ascii="宋体" w:hAnsi="宋体" w:cs="宋体" w:eastAsia="宋体" w:hint="default"/>
          <w:sz w:val="20"/>
          <w:szCs w:val="20"/>
        </w:rPr>
      </w:pPr>
    </w:p>
    <w:p>
      <w:pPr>
        <w:spacing w:before="0"/>
        <w:ind w:left="153" w:right="0" w:firstLine="0"/>
        <w:jc w:val="left"/>
        <w:rPr>
          <w:rFonts w:ascii="宋体" w:hAnsi="宋体" w:cs="宋体" w:eastAsia="宋体" w:hint="default"/>
          <w:sz w:val="14"/>
          <w:szCs w:val="14"/>
        </w:rPr>
      </w:pPr>
      <w:r>
        <w:rPr>
          <w:rFonts w:ascii="宋体" w:hAnsi="宋体" w:cs="宋体" w:eastAsia="宋体" w:hint="default"/>
          <w:b/>
          <w:bCs/>
          <w:w w:val="105"/>
          <w:sz w:val="14"/>
          <w:szCs w:val="14"/>
        </w:rPr>
        <w:t>股东权益：</w:t>
      </w:r>
      <w:r>
        <w:rPr>
          <w:rFonts w:ascii="宋体" w:hAnsi="宋体" w:cs="宋体" w:eastAsia="宋体" w:hint="default"/>
          <w:sz w:val="14"/>
          <w:szCs w:val="14"/>
        </w:rPr>
      </w:r>
    </w:p>
    <w:p>
      <w:pPr>
        <w:tabs>
          <w:tab w:pos="3673" w:val="left" w:leader="none"/>
          <w:tab w:pos="5384" w:val="left" w:leader="none"/>
          <w:tab w:pos="7186"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股本</w:t>
        <w:tab/>
        <w:t>五(二十一)</w:t>
        <w:tab/>
      </w:r>
      <w:r>
        <w:rPr>
          <w:rFonts w:ascii="宋体" w:hAnsi="宋体" w:cs="宋体" w:eastAsia="宋体" w:hint="default"/>
          <w:w w:val="105"/>
          <w:sz w:val="14"/>
          <w:szCs w:val="14"/>
        </w:rPr>
        <w:t>114,300,000.00</w:t>
        <w:tab/>
        <w:t>63,500,000.00</w:t>
      </w:r>
      <w:r>
        <w:rPr>
          <w:rFonts w:ascii="宋体" w:hAnsi="宋体" w:cs="宋体" w:eastAsia="宋体" w:hint="default"/>
          <w:sz w:val="14"/>
          <w:szCs w:val="14"/>
        </w:rPr>
      </w:r>
    </w:p>
    <w:p>
      <w:pPr>
        <w:tabs>
          <w:tab w:pos="3673" w:val="left" w:leader="none"/>
          <w:tab w:pos="5384" w:val="left" w:leader="none"/>
          <w:tab w:pos="7112"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资本公积</w:t>
        <w:tab/>
        <w:t>五(二十二)</w:t>
        <w:tab/>
      </w:r>
      <w:r>
        <w:rPr>
          <w:rFonts w:ascii="宋体" w:hAnsi="宋体" w:cs="宋体" w:eastAsia="宋体" w:hint="default"/>
          <w:w w:val="105"/>
          <w:sz w:val="14"/>
          <w:szCs w:val="14"/>
        </w:rPr>
        <w:t>641,920,393.65</w:t>
        <w:tab/>
        <w:t>692,720,393.65</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减：库存股</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专项储备</w:t>
        <w:tab/>
      </w:r>
      <w:r>
        <w:rPr>
          <w:rFonts w:ascii="宋体" w:hAnsi="宋体" w:cs="宋体" w:eastAsia="宋体" w:hint="default"/>
          <w:w w:val="105"/>
          <w:sz w:val="14"/>
          <w:szCs w:val="14"/>
        </w:rPr>
        <w:t>-</w:t>
        <w:tab/>
        <w:t>-</w:t>
      </w:r>
      <w:r>
        <w:rPr>
          <w:rFonts w:ascii="宋体" w:hAnsi="宋体" w:cs="宋体" w:eastAsia="宋体" w:hint="default"/>
          <w:sz w:val="14"/>
          <w:szCs w:val="14"/>
        </w:rPr>
      </w:r>
    </w:p>
    <w:p>
      <w:pPr>
        <w:tabs>
          <w:tab w:pos="3673" w:val="left" w:leader="none"/>
          <w:tab w:pos="5458" w:val="left" w:leader="none"/>
          <w:tab w:pos="7260"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盈余公积</w:t>
        <w:tab/>
        <w:t>五(二十三)</w:t>
        <w:tab/>
      </w:r>
      <w:r>
        <w:rPr>
          <w:rFonts w:ascii="宋体" w:hAnsi="宋体" w:cs="宋体" w:eastAsia="宋体" w:hint="default"/>
          <w:w w:val="105"/>
          <w:sz w:val="14"/>
          <w:szCs w:val="14"/>
        </w:rPr>
        <w:t>10,796,086.08</w:t>
        <w:tab/>
        <w:t>7,020,701.36</w:t>
      </w:r>
      <w:r>
        <w:rPr>
          <w:rFonts w:ascii="宋体" w:hAnsi="宋体" w:cs="宋体" w:eastAsia="宋体" w:hint="default"/>
          <w:sz w:val="14"/>
          <w:szCs w:val="14"/>
        </w:rPr>
      </w:r>
    </w:p>
    <w:p>
      <w:pPr>
        <w:tabs>
          <w:tab w:pos="3673" w:val="left" w:leader="none"/>
          <w:tab w:pos="5384" w:val="left" w:leader="none"/>
          <w:tab w:pos="7112" w:val="left" w:leader="none"/>
        </w:tabs>
        <w:spacing w:before="58"/>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未分配利润</w:t>
        <w:tab/>
        <w:t>五(二十四)</w:t>
        <w:tab/>
      </w:r>
      <w:r>
        <w:rPr>
          <w:rFonts w:ascii="宋体" w:hAnsi="宋体" w:cs="宋体" w:eastAsia="宋体" w:hint="default"/>
          <w:w w:val="105"/>
          <w:sz w:val="14"/>
          <w:szCs w:val="14"/>
        </w:rPr>
        <w:t>168,030,408.69</w:t>
        <w:tab/>
        <w:t>108,763,910.61</w:t>
      </w:r>
      <w:r>
        <w:rPr>
          <w:rFonts w:ascii="宋体" w:hAnsi="宋体" w:cs="宋体" w:eastAsia="宋体" w:hint="default"/>
          <w:sz w:val="14"/>
          <w:szCs w:val="14"/>
        </w:rPr>
      </w:r>
    </w:p>
    <w:p>
      <w:pPr>
        <w:tabs>
          <w:tab w:pos="6106" w:val="left" w:leader="none"/>
          <w:tab w:pos="7834" w:val="left" w:leader="none"/>
        </w:tabs>
        <w:spacing w:before="58"/>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外币报表折算差额</w:t>
        <w:tab/>
      </w:r>
      <w:r>
        <w:rPr>
          <w:rFonts w:ascii="宋体" w:hAnsi="宋体" w:cs="宋体" w:eastAsia="宋体" w:hint="default"/>
          <w:w w:val="105"/>
          <w:sz w:val="14"/>
          <w:szCs w:val="14"/>
        </w:rPr>
        <w:t>-</w:t>
        <w:tab/>
        <w:t>-</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60" w:val="left" w:leader="none"/>
        </w:tabs>
        <w:spacing w:line="20" w:lineRule="exact"/>
        <w:ind w:left="5141" w:right="0" w:firstLine="0"/>
        <w:rPr>
          <w:rFonts w:ascii="宋体" w:hAnsi="宋体" w:cs="宋体" w:eastAsia="宋体" w:hint="default"/>
          <w:sz w:val="2"/>
          <w:szCs w:val="2"/>
        </w:rPr>
      </w:pPr>
      <w:r>
        <w:rPr>
          <w:rFonts w:ascii="宋体"/>
          <w:sz w:val="2"/>
        </w:rPr>
        <w:pict>
          <v:group style="width:79.5pt;height:.65pt;mso-position-horizontal-relative:char;mso-position-vertical-relative:line" coordorigin="0,0" coordsize="1590,13">
            <v:shape style="position:absolute;left:0;top:0;width:1589;height:12" type="#_x0000_t75" stroked="false">
              <v:imagedata r:id="rId41" o:title=""/>
            </v:shape>
          </v:group>
        </w:pict>
      </w:r>
      <w:r>
        <w:rPr>
          <w:rFonts w:ascii="宋体"/>
          <w:sz w:val="2"/>
        </w:rPr>
      </w:r>
      <w:r>
        <w:rPr>
          <w:rFonts w:ascii="宋体"/>
          <w:sz w:val="2"/>
        </w:rPr>
        <w:tab/>
      </w:r>
      <w:r>
        <w:rPr>
          <w:rFonts w:ascii="宋体"/>
          <w:sz w:val="2"/>
        </w:rPr>
        <w:pict>
          <v:group style="width:69.95pt;height:.65pt;mso-position-horizontal-relative:char;mso-position-vertical-relative:line" coordorigin="0,0" coordsize="1399,13">
            <v:shape style="position:absolute;left:0;top:0;width:1398;height:12" type="#_x0000_t75" stroked="false">
              <v:imagedata r:id="rId42" o:title=""/>
            </v:shape>
          </v:group>
        </w:pict>
      </w:r>
      <w:r>
        <w:rPr>
          <w:rFonts w:ascii="宋体"/>
          <w:sz w:val="2"/>
        </w:rPr>
      </w:r>
    </w:p>
    <w:p>
      <w:pPr>
        <w:tabs>
          <w:tab w:pos="5384" w:val="left" w:leader="none"/>
          <w:tab w:pos="7112" w:val="left" w:leader="none"/>
        </w:tabs>
        <w:spacing w:before="3"/>
        <w:ind w:left="91" w:right="0" w:firstLine="0"/>
        <w:jc w:val="center"/>
        <w:rPr>
          <w:rFonts w:ascii="宋体" w:hAnsi="宋体" w:cs="宋体" w:eastAsia="宋体" w:hint="default"/>
          <w:sz w:val="14"/>
          <w:szCs w:val="14"/>
        </w:rPr>
      </w:pPr>
      <w:r>
        <w:rPr>
          <w:rFonts w:ascii="宋体" w:hAnsi="宋体" w:cs="宋体" w:eastAsia="宋体" w:hint="default"/>
          <w:w w:val="105"/>
          <w:sz w:val="14"/>
          <w:szCs w:val="14"/>
        </w:rPr>
        <w:t>归属于母公司股东权益</w:t>
        <w:tab/>
      </w:r>
      <w:r>
        <w:rPr>
          <w:rFonts w:ascii="宋体" w:hAnsi="宋体" w:cs="宋体" w:eastAsia="宋体" w:hint="default"/>
          <w:w w:val="105"/>
          <w:sz w:val="14"/>
          <w:szCs w:val="14"/>
        </w:rPr>
        <w:t>935,046,888.42</w:t>
        <w:tab/>
        <w:t>872,005,005.62</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54" w:val="left" w:leader="none"/>
        </w:tabs>
        <w:spacing w:line="20" w:lineRule="exact"/>
        <w:ind w:left="5135" w:right="0" w:firstLine="0"/>
        <w:rPr>
          <w:rFonts w:ascii="宋体" w:hAnsi="宋体" w:cs="宋体" w:eastAsia="宋体" w:hint="default"/>
          <w:sz w:val="2"/>
          <w:szCs w:val="2"/>
        </w:rPr>
      </w:pP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83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83pt" strokecolor="#000000">
                <v:path arrowok="t"/>
              </v:shape>
            </v:group>
          </v:group>
        </w:pict>
      </w:r>
      <w:r>
        <w:rPr>
          <w:rFonts w:ascii="宋体"/>
          <w:sz w:val="2"/>
        </w:rPr>
      </w:r>
    </w:p>
    <w:p>
      <w:pPr>
        <w:tabs>
          <w:tab w:pos="5441" w:val="left" w:leader="none"/>
          <w:tab w:pos="7834" w:val="left" w:leader="none"/>
        </w:tabs>
        <w:spacing w:before="3"/>
        <w:ind w:left="0" w:right="54" w:firstLine="0"/>
        <w:jc w:val="center"/>
        <w:rPr>
          <w:rFonts w:ascii="宋体" w:hAnsi="宋体" w:cs="宋体" w:eastAsia="宋体" w:hint="default"/>
          <w:sz w:val="14"/>
          <w:szCs w:val="14"/>
        </w:rPr>
      </w:pPr>
      <w:r>
        <w:rPr>
          <w:rFonts w:ascii="宋体" w:hAnsi="宋体" w:cs="宋体" w:eastAsia="宋体" w:hint="default"/>
          <w:w w:val="105"/>
          <w:sz w:val="14"/>
          <w:szCs w:val="14"/>
        </w:rPr>
        <w:t>少数股东权益</w:t>
        <w:tab/>
      </w:r>
      <w:r>
        <w:rPr>
          <w:rFonts w:ascii="宋体" w:hAnsi="宋体" w:cs="宋体" w:eastAsia="宋体" w:hint="default"/>
          <w:w w:val="105"/>
          <w:sz w:val="14"/>
          <w:szCs w:val="14"/>
        </w:rPr>
        <w:t>2,984,504.06</w:t>
        <w:tab/>
        <w:t>-</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60" w:val="left" w:leader="none"/>
        </w:tabs>
        <w:spacing w:line="20" w:lineRule="exact"/>
        <w:ind w:left="5141" w:right="0" w:firstLine="0"/>
        <w:rPr>
          <w:rFonts w:ascii="宋体" w:hAnsi="宋体" w:cs="宋体" w:eastAsia="宋体" w:hint="default"/>
          <w:sz w:val="2"/>
          <w:szCs w:val="2"/>
        </w:rPr>
      </w:pPr>
      <w:r>
        <w:rPr>
          <w:rFonts w:ascii="宋体"/>
          <w:sz w:val="2"/>
        </w:rPr>
        <w:pict>
          <v:group style="width:79.5pt;height:.65pt;mso-position-horizontal-relative:char;mso-position-vertical-relative:line" coordorigin="0,0" coordsize="1590,13">
            <v:shape style="position:absolute;left:0;top:0;width:1589;height:12" type="#_x0000_t75" stroked="false">
              <v:imagedata r:id="rId43" o:title=""/>
            </v:shape>
          </v:group>
        </w:pict>
      </w:r>
      <w:r>
        <w:rPr>
          <w:rFonts w:ascii="宋体"/>
          <w:sz w:val="2"/>
        </w:rPr>
      </w:r>
      <w:r>
        <w:rPr>
          <w:rFonts w:ascii="宋体"/>
          <w:sz w:val="2"/>
        </w:rPr>
        <w:tab/>
      </w:r>
      <w:r>
        <w:rPr>
          <w:rFonts w:ascii="宋体"/>
          <w:sz w:val="2"/>
        </w:rPr>
        <w:pict>
          <v:group style="width:69.95pt;height:.65pt;mso-position-horizontal-relative:char;mso-position-vertical-relative:line" coordorigin="0,0" coordsize="1399,13">
            <v:shape style="position:absolute;left:0;top:0;width:1398;height:12" type="#_x0000_t75" stroked="false">
              <v:imagedata r:id="rId44" o:title=""/>
            </v:shape>
          </v:group>
        </w:pict>
      </w:r>
      <w:r>
        <w:rPr>
          <w:rFonts w:ascii="宋体"/>
          <w:sz w:val="2"/>
        </w:rPr>
      </w:r>
    </w:p>
    <w:p>
      <w:pPr>
        <w:tabs>
          <w:tab w:pos="5384" w:val="left" w:leader="none"/>
          <w:tab w:pos="7112" w:val="left" w:leader="none"/>
        </w:tabs>
        <w:spacing w:before="3"/>
        <w:ind w:left="239" w:right="0" w:firstLine="0"/>
        <w:jc w:val="center"/>
        <w:rPr>
          <w:rFonts w:ascii="宋体" w:hAnsi="宋体" w:cs="宋体" w:eastAsia="宋体" w:hint="default"/>
          <w:sz w:val="14"/>
          <w:szCs w:val="14"/>
        </w:rPr>
      </w:pPr>
      <w:r>
        <w:rPr>
          <w:rFonts w:ascii="宋体" w:hAnsi="宋体" w:cs="宋体" w:eastAsia="宋体" w:hint="default"/>
          <w:w w:val="105"/>
          <w:sz w:val="14"/>
          <w:szCs w:val="14"/>
        </w:rPr>
        <w:t>股东权益合计</w:t>
        <w:tab/>
      </w:r>
      <w:r>
        <w:rPr>
          <w:rFonts w:ascii="宋体" w:hAnsi="宋体" w:cs="宋体" w:eastAsia="宋体" w:hint="default"/>
          <w:w w:val="105"/>
          <w:sz w:val="14"/>
          <w:szCs w:val="14"/>
        </w:rPr>
        <w:t>938,031,392.48</w:t>
        <w:tab/>
        <w:t>872,005,005.62</w:t>
      </w:r>
      <w:r>
        <w:rPr>
          <w:rFonts w:ascii="宋体" w:hAnsi="宋体" w:cs="宋体" w:eastAsia="宋体" w:hint="default"/>
          <w:sz w:val="14"/>
          <w:szCs w:val="14"/>
        </w:rPr>
      </w:r>
    </w:p>
    <w:p>
      <w:pPr>
        <w:spacing w:line="240" w:lineRule="auto" w:before="9"/>
        <w:rPr>
          <w:rFonts w:ascii="宋体" w:hAnsi="宋体" w:cs="宋体" w:eastAsia="宋体" w:hint="default"/>
          <w:sz w:val="2"/>
          <w:szCs w:val="2"/>
        </w:rPr>
      </w:pPr>
    </w:p>
    <w:p>
      <w:pPr>
        <w:tabs>
          <w:tab w:pos="7054" w:val="left" w:leader="none"/>
        </w:tabs>
        <w:spacing w:line="20" w:lineRule="exact"/>
        <w:ind w:left="5135" w:right="0" w:firstLine="0"/>
        <w:rPr>
          <w:rFonts w:ascii="宋体" w:hAnsi="宋体" w:cs="宋体" w:eastAsia="宋体" w:hint="default"/>
          <w:sz w:val="2"/>
          <w:szCs w:val="2"/>
        </w:rPr>
      </w:pP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45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45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tabs>
          <w:tab w:pos="7054" w:val="left" w:leader="none"/>
        </w:tabs>
        <w:spacing w:line="20" w:lineRule="exact"/>
        <w:ind w:left="5135" w:right="0" w:firstLine="0"/>
        <w:rPr>
          <w:rFonts w:ascii="宋体" w:hAnsi="宋体" w:cs="宋体" w:eastAsia="宋体" w:hint="default"/>
          <w:sz w:val="2"/>
          <w:szCs w:val="2"/>
        </w:rPr>
      </w:pPr>
      <w:r>
        <w:rPr>
          <w:rFonts w:ascii="宋体"/>
          <w:sz w:val="2"/>
        </w:rPr>
        <w:pict>
          <v:group style="width:80.1pt;height:.65pt;mso-position-horizontal-relative:char;mso-position-vertical-relative:line" coordorigin="0,0" coordsize="1602,13">
            <v:group style="position:absolute;left:7;top:1;width:1588;height:2" coordorigin="7,1" coordsize="1588,2">
              <v:shape style="position:absolute;left:7;top:1;width:1588;height:2" coordorigin="7,1" coordsize="1588,0" path="m7,1l1595,1e" filled="false" stroked="true" strokeweight=".088633pt" strokecolor="#000000">
                <v:path arrowok="t"/>
              </v:shape>
            </v:group>
            <v:group style="position:absolute;left:6;top:6;width:1590;height:2" coordorigin="6,6" coordsize="1590,2">
              <v:shape style="position:absolute;left:6;top:6;width:1590;height:2" coordorigin="6,6" coordsize="1590,0" path="m6,6l1595,6e" filled="false" stroked="true" strokeweight=".607783pt" strokecolor="#000000">
                <v:path arrowok="t"/>
              </v:shape>
            </v:group>
          </v:group>
        </w:pict>
      </w:r>
      <w:r>
        <w:rPr>
          <w:rFonts w:ascii="宋体"/>
          <w:sz w:val="2"/>
        </w:rPr>
      </w:r>
      <w:r>
        <w:rPr>
          <w:rFonts w:ascii="宋体"/>
          <w:sz w:val="2"/>
        </w:rPr>
        <w:tab/>
      </w:r>
      <w:r>
        <w:rPr>
          <w:rFonts w:ascii="宋体"/>
          <w:sz w:val="2"/>
        </w:rPr>
        <w:pict>
          <v:group style="width:70.55pt;height:.65pt;mso-position-horizontal-relative:char;mso-position-vertical-relative:line" coordorigin="0,0" coordsize="1411,13">
            <v:group style="position:absolute;left:7;top:1;width:1397;height:2" coordorigin="7,1" coordsize="1397,2">
              <v:shape style="position:absolute;left:7;top:1;width:1397;height:2" coordorigin="7,1" coordsize="1397,0" path="m7,1l1403,1e" filled="false" stroked="true" strokeweight=".088633pt" strokecolor="#000000">
                <v:path arrowok="t"/>
              </v:shape>
            </v:group>
            <v:group style="position:absolute;left:6;top:6;width:1399;height:2" coordorigin="6,6" coordsize="1399,2">
              <v:shape style="position:absolute;left:6;top:6;width:1399;height:2" coordorigin="6,6" coordsize="1399,0" path="m6,6l1404,6e" filled="false" stroked="true" strokeweight=".607783pt" strokecolor="#000000">
                <v:path arrowok="t"/>
              </v:shape>
            </v:group>
          </v:group>
        </w:pict>
      </w:r>
      <w:r>
        <w:rPr>
          <w:rFonts w:ascii="宋体"/>
          <w:sz w:val="2"/>
        </w:rPr>
      </w:r>
    </w:p>
    <w:p>
      <w:pPr>
        <w:tabs>
          <w:tab w:pos="5293" w:val="left" w:leader="none"/>
          <w:tab w:pos="7168" w:val="left" w:leader="none"/>
        </w:tabs>
        <w:spacing w:before="3"/>
        <w:ind w:left="0" w:right="54" w:firstLine="0"/>
        <w:jc w:val="center"/>
        <w:rPr>
          <w:rFonts w:ascii="宋体" w:hAnsi="宋体" w:cs="宋体" w:eastAsia="宋体" w:hint="default"/>
          <w:sz w:val="14"/>
          <w:szCs w:val="14"/>
        </w:rPr>
      </w:pPr>
      <w:r>
        <w:rPr>
          <w:rFonts w:ascii="宋体" w:hAnsi="宋体" w:cs="宋体" w:eastAsia="宋体" w:hint="default"/>
          <w:b/>
          <w:bCs/>
          <w:w w:val="105"/>
          <w:sz w:val="14"/>
          <w:szCs w:val="14"/>
        </w:rPr>
        <w:t>负债和股东权益总计</w:t>
        <w:tab/>
      </w:r>
      <w:r>
        <w:rPr>
          <w:rFonts w:ascii="宋体" w:hAnsi="宋体" w:cs="宋体" w:eastAsia="宋体" w:hint="default"/>
          <w:w w:val="105"/>
          <w:sz w:val="14"/>
          <w:szCs w:val="14"/>
        </w:rPr>
        <w:t>1,113,335,401.38</w:t>
        <w:tab/>
        <w:t>933,469,788.64</w:t>
      </w:r>
      <w:r>
        <w:rPr>
          <w:rFonts w:ascii="宋体" w:hAnsi="宋体" w:cs="宋体" w:eastAsia="宋体" w:hint="default"/>
          <w:sz w:val="14"/>
          <w:szCs w:val="14"/>
        </w:rPr>
      </w:r>
    </w:p>
    <w:p>
      <w:pPr>
        <w:tabs>
          <w:tab w:pos="7054" w:val="left" w:leader="none"/>
        </w:tabs>
        <w:spacing w:line="36" w:lineRule="exact"/>
        <w:ind w:left="5135" w:right="0" w:firstLine="0"/>
        <w:rPr>
          <w:rFonts w:ascii="宋体" w:hAnsi="宋体" w:cs="宋体" w:eastAsia="宋体" w:hint="default"/>
          <w:sz w:val="3"/>
          <w:szCs w:val="3"/>
        </w:rPr>
      </w:pPr>
      <w:r>
        <w:rPr>
          <w:rFonts w:ascii="宋体"/>
          <w:position w:val="0"/>
          <w:sz w:val="3"/>
        </w:rPr>
        <w:pict>
          <v:group style="width:80.1pt;height:1.85pt;mso-position-horizontal-relative:char;mso-position-vertical-relative:line" coordorigin="0,0" coordsize="1602,37">
            <v:group style="position:absolute;left:6;top:6;width:1590;height:2" coordorigin="6,6" coordsize="1590,2">
              <v:shape style="position:absolute;left:6;top:6;width:1590;height:2" coordorigin="6,6" coordsize="1590,0" path="m6,6l1595,6e" filled="false" stroked="true" strokeweight=".607783pt" strokecolor="#000000">
                <v:path arrowok="t"/>
              </v:shape>
            </v:group>
            <v:group style="position:absolute;left:6;top:30;width:1590;height:2" coordorigin="6,30" coordsize="1590,2">
              <v:shape style="position:absolute;left:6;top:30;width:1590;height:2" coordorigin="6,30" coordsize="1590,0" path="m6,30l1595,30e" filled="false" stroked="true" strokeweight=".60774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0.55pt;height:1.85pt;mso-position-horizontal-relative:char;mso-position-vertical-relative:line" coordorigin="0,0" coordsize="1411,37">
            <v:group style="position:absolute;left:6;top:6;width:1399;height:2" coordorigin="6,6" coordsize="1399,2">
              <v:shape style="position:absolute;left:6;top:6;width:1399;height:2" coordorigin="6,6" coordsize="1399,0" path="m6,6l1404,6e" filled="false" stroked="true" strokeweight=".607783pt" strokecolor="#000000">
                <v:path arrowok="t"/>
              </v:shape>
            </v:group>
            <v:group style="position:absolute;left:6;top:30;width:1399;height:2" coordorigin="6,30" coordsize="1399,2">
              <v:shape style="position:absolute;left:6;top:30;width:1399;height:2" coordorigin="6,30" coordsize="1399,0" path="m6,30l1404,30e" filled="false" stroked="true" strokeweight=".607745pt" strokecolor="#000000">
                <v:path arrowok="t"/>
              </v:shape>
            </v:group>
          </v:group>
        </w:pict>
      </w:r>
      <w:r>
        <w:rPr>
          <w:rFonts w:ascii="宋体"/>
          <w:position w:val="0"/>
          <w:sz w:val="3"/>
        </w:rPr>
      </w:r>
    </w:p>
    <w:p>
      <w:pPr>
        <w:spacing w:line="240" w:lineRule="auto" w:before="5"/>
        <w:rPr>
          <w:rFonts w:ascii="宋体" w:hAnsi="宋体" w:cs="宋体" w:eastAsia="宋体" w:hint="default"/>
          <w:sz w:val="18"/>
          <w:szCs w:val="18"/>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17.15pt;height:.65pt;mso-position-horizontal-relative:char;mso-position-vertical-relative:line" coordorigin="0,0" coordsize="8343,13">
            <v:group style="position:absolute;left:7;top:1;width:8330;height:2" coordorigin="7,1" coordsize="8330,2">
              <v:shape style="position:absolute;left:7;top:1;width:8330;height:2" coordorigin="7,1" coordsize="8330,0" path="m7,1l8336,1e" filled="false" stroked="true" strokeweight=".088633pt" strokecolor="#000000">
                <v:path arrowok="t"/>
              </v:shape>
            </v:group>
            <v:group style="position:absolute;left:6;top:6;width:8331;height:2" coordorigin="6,6" coordsize="8331,2">
              <v:shape style="position:absolute;left:6;top:6;width:8331;height:2" coordorigin="6,6" coordsize="8331,0" path="m6,6l8337,6e" filled="false" stroked="true" strokeweight=".607745pt" strokecolor="#000000">
                <v:path arrowok="t"/>
              </v:shape>
            </v:group>
          </v:group>
        </w:pict>
      </w:r>
      <w:r>
        <w:rPr>
          <w:rFonts w:ascii="宋体" w:hAnsi="宋体" w:cs="宋体" w:eastAsia="宋体" w:hint="default"/>
          <w:sz w:val="2"/>
          <w:szCs w:val="2"/>
        </w:rPr>
      </w:r>
    </w:p>
    <w:p>
      <w:pPr>
        <w:tabs>
          <w:tab w:pos="2222" w:val="left" w:leader="none"/>
          <w:tab w:pos="4883" w:val="left" w:leader="none"/>
        </w:tabs>
        <w:spacing w:before="3"/>
        <w:ind w:left="153" w:right="0" w:firstLine="0"/>
        <w:jc w:val="left"/>
        <w:rPr>
          <w:rFonts w:ascii="宋体" w:hAnsi="宋体" w:cs="宋体" w:eastAsia="宋体" w:hint="default"/>
          <w:sz w:val="14"/>
          <w:szCs w:val="14"/>
        </w:rPr>
      </w:pPr>
      <w:r>
        <w:rPr>
          <w:rFonts w:ascii="宋体" w:hAnsi="宋体" w:cs="宋体" w:eastAsia="宋体" w:hint="default"/>
          <w:w w:val="105"/>
          <w:sz w:val="14"/>
          <w:szCs w:val="14"/>
        </w:rPr>
        <w:t>公司负责人：刘祥</w:t>
        <w:tab/>
        <w:t>主管会计工作负责人：赵辉</w:t>
        <w:tab/>
        <w:t>会计机构负责人：赵辉</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10" w:h="16840"/>
          <w:pgMar w:top="1580" w:bottom="280" w:left="168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5"/>
        <w:spacing w:line="336" w:lineRule="exact"/>
        <w:ind w:right="2432"/>
        <w:jc w:val="center"/>
      </w:pPr>
      <w:r>
        <w:rPr>
          <w:w w:val="105"/>
        </w:rPr>
        <w:t>深圳市新国都技术股份有限公司</w:t>
      </w:r>
      <w:r>
        <w:rPr>
          <w:spacing w:val="-133"/>
          <w:w w:val="105"/>
        </w:rPr>
        <w:t> </w:t>
      </w:r>
      <w:r>
        <w:rPr>
          <w:w w:val="105"/>
        </w:rPr>
        <w:t>合并利润表</w:t>
      </w:r>
      <w:r>
        <w:rPr/>
      </w:r>
    </w:p>
    <w:p>
      <w:pPr>
        <w:spacing w:before="58"/>
        <w:ind w:left="2373" w:right="2432" w:firstLine="0"/>
        <w:jc w:val="center"/>
        <w:rPr>
          <w:rFonts w:ascii="宋体" w:hAnsi="宋体" w:cs="宋体" w:eastAsia="宋体" w:hint="default"/>
          <w:sz w:val="14"/>
          <w:szCs w:val="14"/>
        </w:rPr>
      </w:pPr>
      <w:r>
        <w:rPr>
          <w:rFonts w:ascii="宋体" w:hAnsi="宋体" w:cs="宋体" w:eastAsia="宋体" w:hint="default"/>
          <w:w w:val="110"/>
          <w:sz w:val="14"/>
          <w:szCs w:val="14"/>
        </w:rPr>
        <w:t>2</w:t>
      </w:r>
      <w:r>
        <w:rPr>
          <w:rFonts w:ascii="宋体" w:hAnsi="宋体" w:cs="宋体" w:eastAsia="宋体" w:hint="default"/>
          <w:w w:val="110"/>
          <w:sz w:val="14"/>
          <w:szCs w:val="14"/>
        </w:rPr>
        <w:t>011年度</w:t>
      </w:r>
      <w:r>
        <w:rPr>
          <w:rFonts w:ascii="宋体" w:hAnsi="宋体" w:cs="宋体" w:eastAsia="宋体" w:hint="default"/>
          <w:sz w:val="14"/>
          <w:szCs w:val="14"/>
        </w:rPr>
      </w:r>
    </w:p>
    <w:p>
      <w:pPr>
        <w:spacing w:line="240" w:lineRule="auto" w:before="10"/>
        <w:rPr>
          <w:rFonts w:ascii="宋体" w:hAnsi="宋体" w:cs="宋体" w:eastAsia="宋体" w:hint="default"/>
          <w:sz w:val="10"/>
          <w:szCs w:val="10"/>
        </w:rPr>
      </w:pPr>
    </w:p>
    <w:p>
      <w:pPr>
        <w:spacing w:before="0"/>
        <w:ind w:left="0" w:right="133" w:firstLine="0"/>
        <w:jc w:val="right"/>
        <w:rPr>
          <w:rFonts w:ascii="宋体" w:hAnsi="宋体" w:cs="宋体" w:eastAsia="宋体" w:hint="default"/>
          <w:sz w:val="14"/>
          <w:szCs w:val="14"/>
        </w:rPr>
      </w:pPr>
      <w:r>
        <w:rPr>
          <w:rFonts w:ascii="宋体" w:hAnsi="宋体" w:cs="宋体" w:eastAsia="宋体" w:hint="default"/>
          <w:w w:val="105"/>
          <w:sz w:val="14"/>
          <w:szCs w:val="14"/>
        </w:rPr>
        <w:t>单位：人民币元</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4181" w:val="left" w:leader="none"/>
          <w:tab w:pos="5827" w:val="left" w:leader="none"/>
          <w:tab w:pos="7685" w:val="left" w:leader="none"/>
        </w:tabs>
        <w:spacing w:before="98"/>
        <w:ind w:left="1672" w:right="0" w:firstLine="0"/>
        <w:jc w:val="left"/>
        <w:rPr>
          <w:rFonts w:ascii="宋体" w:hAnsi="宋体" w:cs="宋体" w:eastAsia="宋体" w:hint="default"/>
          <w:sz w:val="14"/>
          <w:szCs w:val="14"/>
        </w:rPr>
      </w:pPr>
      <w:r>
        <w:rPr>
          <w:rFonts w:ascii="宋体" w:hAnsi="宋体" w:cs="宋体" w:eastAsia="宋体" w:hint="default"/>
          <w:w w:val="105"/>
          <w:sz w:val="14"/>
          <w:szCs w:val="14"/>
        </w:rPr>
        <w:t>项目</w:t>
        <w:tab/>
        <w:t>附注</w:t>
        <w:tab/>
        <w:t>本期数</w:t>
        <w:tab/>
      </w:r>
      <w:r>
        <w:rPr>
          <w:rFonts w:ascii="宋体" w:hAnsi="宋体" w:cs="宋体" w:eastAsia="宋体" w:hint="default"/>
          <w:w w:val="110"/>
          <w:sz w:val="14"/>
          <w:szCs w:val="14"/>
        </w:rPr>
        <w:t>上期数</w:t>
      </w:r>
      <w:r>
        <w:rPr>
          <w:rFonts w:ascii="宋体" w:hAnsi="宋体" w:cs="宋体" w:eastAsia="宋体" w:hint="default"/>
          <w:sz w:val="14"/>
          <w:szCs w:val="14"/>
        </w:rPr>
      </w:r>
    </w:p>
    <w:p>
      <w:pPr>
        <w:spacing w:line="240" w:lineRule="auto" w:before="8"/>
        <w:rPr>
          <w:rFonts w:ascii="宋体" w:hAnsi="宋体" w:cs="宋体" w:eastAsia="宋体" w:hint="default"/>
          <w:sz w:val="5"/>
          <w:szCs w:val="5"/>
        </w:rPr>
      </w:pPr>
    </w:p>
    <w:p>
      <w:pPr>
        <w:tabs>
          <w:tab w:pos="3736" w:val="left" w:leader="none"/>
          <w:tab w:pos="5231" w:val="left" w:leader="none"/>
          <w:tab w:pos="7187" w:val="left" w:leader="none"/>
        </w:tabs>
        <w:spacing w:line="20" w:lineRule="exact"/>
        <w:ind w:left="121" w:right="0" w:firstLine="0"/>
        <w:rPr>
          <w:rFonts w:ascii="宋体" w:hAnsi="宋体" w:cs="宋体" w:eastAsia="宋体" w:hint="default"/>
          <w:sz w:val="2"/>
          <w:szCs w:val="2"/>
        </w:rPr>
      </w:pPr>
      <w:r>
        <w:rPr>
          <w:rFonts w:ascii="宋体"/>
          <w:sz w:val="2"/>
        </w:rPr>
        <w:pict>
          <v:group style="width:169.7pt;height:.65pt;mso-position-horizontal-relative:char;mso-position-vertical-relative:line" coordorigin="0,0" coordsize="3394,13">
            <v:group style="position:absolute;left:7;top:1;width:3380;height:2" coordorigin="7,1" coordsize="3380,2">
              <v:shape style="position:absolute;left:7;top:1;width:3380;height:2" coordorigin="7,1" coordsize="3380,0" path="m7,1l3386,1e" filled="false" stroked="true" strokeweight=".092244pt" strokecolor="#000000">
                <v:path arrowok="t"/>
              </v:shape>
            </v:group>
            <v:group style="position:absolute;left:6;top:6;width:3381;height:2" coordorigin="6,6" coordsize="3381,2">
              <v:shape style="position:absolute;left:6;top:6;width:3381;height:2" coordorigin="6,6" coordsize="3381,0" path="m6,6l3387,6e" filled="false" stroked="true" strokeweight=".632523pt" strokecolor="#000000">
                <v:path arrowok="t"/>
              </v:shape>
            </v:group>
          </v:group>
        </w:pict>
      </w:r>
      <w:r>
        <w:rPr>
          <w:rFonts w:ascii="宋体"/>
          <w:sz w:val="2"/>
        </w:rPr>
      </w:r>
      <w:r>
        <w:rPr>
          <w:rFonts w:ascii="宋体"/>
          <w:sz w:val="2"/>
        </w:rPr>
        <w:tab/>
      </w:r>
      <w:r>
        <w:rPr>
          <w:rFonts w:ascii="宋体"/>
          <w:sz w:val="2"/>
        </w:rPr>
        <w:pict>
          <v:group style="width:59.15pt;height:.65pt;mso-position-horizontal-relative:char;mso-position-vertical-relative:line" coordorigin="0,0" coordsize="1183,13">
            <v:group style="position:absolute;left:7;top:1;width:1168;height:2" coordorigin="7,1" coordsize="1168,2">
              <v:shape style="position:absolute;left:7;top:1;width:1168;height:2" coordorigin="7,1" coordsize="1168,0" path="m7,1l1175,1e" filled="false" stroked="true" strokeweight=".092244pt" strokecolor="#000000">
                <v:path arrowok="t"/>
              </v:shape>
            </v:group>
            <v:group style="position:absolute;left:6;top:6;width:1170;height:2" coordorigin="6,6" coordsize="1170,2">
              <v:shape style="position:absolute;left:6;top:6;width:1170;height:2" coordorigin="6,6" coordsize="1170,0" path="m6,6l1176,6e" filled="false" stroked="true" strokeweight=".632523pt" strokecolor="#000000">
                <v:path arrowok="t"/>
              </v:shape>
            </v:group>
          </v:group>
        </w:pict>
      </w:r>
      <w:r>
        <w:rPr>
          <w:rFonts w:ascii="宋体"/>
          <w:sz w:val="2"/>
        </w:rPr>
      </w:r>
      <w:r>
        <w:rPr>
          <w:rFonts w:ascii="宋体"/>
          <w:sz w:val="2"/>
        </w:rPr>
        <w:tab/>
      </w:r>
      <w:r>
        <w:rPr>
          <w:rFonts w:ascii="宋体"/>
          <w:sz w:val="2"/>
        </w:rPr>
        <w:pict>
          <v:group style="width:81.650pt;height:.65pt;mso-position-horizontal-relative:char;mso-position-vertical-relative:line" coordorigin="0,0" coordsize="1633,13">
            <v:group style="position:absolute;left:7;top:1;width:1619;height:2" coordorigin="7,1" coordsize="1619,2">
              <v:shape style="position:absolute;left:7;top:1;width:1619;height:2" coordorigin="7,1" coordsize="1619,0" path="m7,1l1626,1e" filled="false" stroked="true" strokeweight=".092244pt" strokecolor="#000000">
                <v:path arrowok="t"/>
              </v:shape>
            </v:group>
            <v:group style="position:absolute;left:6;top:6;width:1620;height:2" coordorigin="6,6" coordsize="1620,2">
              <v:shape style="position:absolute;left:6;top:6;width:1620;height:2" coordorigin="6,6" coordsize="1620,0" path="m6,6l1626,6e" filled="false" stroked="true" strokeweight=".632523pt" strokecolor="#000000">
                <v:path arrowok="t"/>
              </v:shape>
            </v:group>
          </v:group>
        </w:pict>
      </w:r>
      <w:r>
        <w:rPr>
          <w:rFonts w:ascii="宋体"/>
          <w:sz w:val="2"/>
        </w:rPr>
      </w:r>
      <w:r>
        <w:rPr>
          <w:rFonts w:ascii="宋体"/>
          <w:sz w:val="2"/>
        </w:rPr>
        <w:tab/>
      </w:r>
      <w:r>
        <w:rPr>
          <w:rFonts w:ascii="宋体"/>
          <w:sz w:val="2"/>
        </w:rPr>
        <w:pict>
          <v:group style="width:71.9pt;height:.65pt;mso-position-horizontal-relative:char;mso-position-vertical-relative:line" coordorigin="0,0" coordsize="1438,13">
            <v:group style="position:absolute;left:7;top:1;width:1424;height:2" coordorigin="7,1" coordsize="1424,2">
              <v:shape style="position:absolute;left:7;top:1;width:1424;height:2" coordorigin="7,1" coordsize="1424,0" path="m7,1l1431,1e" filled="false" stroked="true" strokeweight=".092244pt" strokecolor="#000000">
                <v:path arrowok="t"/>
              </v:shape>
            </v:group>
            <v:group style="position:absolute;left:6;top:6;width:1426;height:2" coordorigin="6,6" coordsize="1426,2">
              <v:shape style="position:absolute;left:6;top:6;width:1426;height:2" coordorigin="6,6" coordsize="1426,0" path="m6,6l1431,6e" filled="false" stroked="true" strokeweight=".632523pt" strokecolor="#000000">
                <v:path arrowok="t"/>
              </v:shape>
            </v:group>
          </v:group>
        </w:pict>
      </w:r>
      <w:r>
        <w:rPr>
          <w:rFonts w:ascii="宋体"/>
          <w:sz w:val="2"/>
        </w:rPr>
      </w:r>
    </w:p>
    <w:p>
      <w:pPr>
        <w:spacing w:line="240" w:lineRule="auto" w:before="9"/>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574"/>
        <w:gridCol w:w="1545"/>
        <w:gridCol w:w="1620"/>
        <w:gridCol w:w="336"/>
        <w:gridCol w:w="1425"/>
      </w:tblGrid>
      <w:tr>
        <w:trPr>
          <w:trHeight w:val="33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4"/>
                <w:szCs w:val="14"/>
              </w:rPr>
            </w:pPr>
            <w:r>
              <w:rPr>
                <w:rFonts w:ascii="宋体" w:hAnsi="宋体" w:cs="宋体" w:eastAsia="宋体" w:hint="default"/>
                <w:b/>
                <w:bCs/>
                <w:w w:val="105"/>
                <w:sz w:val="14"/>
                <w:szCs w:val="14"/>
              </w:rPr>
              <w:t>一、营业收入</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4"/>
              <w:jc w:val="center"/>
              <w:rPr>
                <w:rFonts w:ascii="宋体" w:hAnsi="宋体" w:cs="宋体" w:eastAsia="宋体" w:hint="default"/>
                <w:sz w:val="14"/>
                <w:szCs w:val="14"/>
              </w:rPr>
            </w:pPr>
            <w:r>
              <w:rPr>
                <w:rFonts w:ascii="宋体" w:hAnsi="宋体" w:cs="宋体" w:eastAsia="宋体" w:hint="default"/>
                <w:w w:val="110"/>
                <w:sz w:val="14"/>
                <w:szCs w:val="14"/>
              </w:rPr>
              <w:t>五(二十五)</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宋体" w:hAnsi="宋体" w:cs="宋体" w:eastAsia="宋体" w:hint="default"/>
                <w:sz w:val="14"/>
                <w:szCs w:val="14"/>
              </w:rPr>
            </w:pPr>
            <w:r>
              <w:rPr>
                <w:rFonts w:ascii="宋体"/>
                <w:w w:val="105"/>
                <w:sz w:val="14"/>
              </w:rPr>
              <w:t>341,596,897.96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6" w:right="0"/>
              <w:jc w:val="left"/>
              <w:rPr>
                <w:rFonts w:ascii="宋体" w:hAnsi="宋体" w:cs="宋体" w:eastAsia="宋体" w:hint="default"/>
                <w:sz w:val="14"/>
                <w:szCs w:val="14"/>
              </w:rPr>
            </w:pPr>
            <w:r>
              <w:rPr>
                <w:rFonts w:ascii="宋体"/>
                <w:w w:val="110"/>
                <w:sz w:val="14"/>
              </w:rPr>
              <w:t>208,527,076.74</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5" w:right="0"/>
              <w:jc w:val="left"/>
              <w:rPr>
                <w:rFonts w:ascii="宋体" w:hAnsi="宋体" w:cs="宋体" w:eastAsia="宋体" w:hint="default"/>
                <w:sz w:val="14"/>
                <w:szCs w:val="14"/>
              </w:rPr>
            </w:pPr>
            <w:r>
              <w:rPr>
                <w:rFonts w:ascii="宋体" w:hAnsi="宋体" w:cs="宋体" w:eastAsia="宋体" w:hint="default"/>
                <w:w w:val="110"/>
                <w:sz w:val="14"/>
                <w:szCs w:val="14"/>
              </w:rPr>
              <w:t>减：营业成本</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五(二十五)</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160,292,089.18</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2" w:right="0"/>
              <w:jc w:val="left"/>
              <w:rPr>
                <w:rFonts w:ascii="宋体" w:hAnsi="宋体" w:cs="宋体" w:eastAsia="宋体" w:hint="default"/>
                <w:sz w:val="14"/>
                <w:szCs w:val="14"/>
              </w:rPr>
            </w:pPr>
            <w:r>
              <w:rPr>
                <w:rFonts w:ascii="宋体"/>
                <w:w w:val="110"/>
                <w:sz w:val="14"/>
              </w:rPr>
              <w:t>97,995,951.11</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营业税金及附加</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五(二十六)</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5,479,077.60</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17" w:right="0"/>
              <w:jc w:val="left"/>
              <w:rPr>
                <w:rFonts w:ascii="宋体" w:hAnsi="宋体" w:cs="宋体" w:eastAsia="宋体" w:hint="default"/>
                <w:sz w:val="14"/>
                <w:szCs w:val="14"/>
              </w:rPr>
            </w:pPr>
            <w:r>
              <w:rPr>
                <w:rFonts w:ascii="宋体"/>
                <w:w w:val="110"/>
                <w:sz w:val="14"/>
              </w:rPr>
              <w:t>1,587,935.55</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销售费用</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五(二十七)</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59,969,577.45</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2" w:right="0"/>
              <w:jc w:val="left"/>
              <w:rPr>
                <w:rFonts w:ascii="宋体" w:hAnsi="宋体" w:cs="宋体" w:eastAsia="宋体" w:hint="default"/>
                <w:sz w:val="14"/>
                <w:szCs w:val="14"/>
              </w:rPr>
            </w:pPr>
            <w:r>
              <w:rPr>
                <w:rFonts w:ascii="宋体"/>
                <w:w w:val="110"/>
                <w:sz w:val="14"/>
              </w:rPr>
              <w:t>30,528,646.44</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管理费用</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五(二十七)</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66,023,224.05</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2" w:right="0"/>
              <w:jc w:val="left"/>
              <w:rPr>
                <w:rFonts w:ascii="宋体" w:hAnsi="宋体" w:cs="宋体" w:eastAsia="宋体" w:hint="default"/>
                <w:sz w:val="14"/>
                <w:szCs w:val="14"/>
              </w:rPr>
            </w:pPr>
            <w:r>
              <w:rPr>
                <w:rFonts w:ascii="宋体"/>
                <w:w w:val="110"/>
                <w:sz w:val="14"/>
              </w:rPr>
              <w:t>31,296,596.55</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财务费用</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五(二十七)</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4"/>
                <w:szCs w:val="14"/>
              </w:rPr>
            </w:pPr>
            <w:r>
              <w:rPr>
                <w:rFonts w:ascii="宋体"/>
                <w:w w:val="105"/>
                <w:sz w:val="14"/>
              </w:rPr>
              <w:t>(13,470,870.21)</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4"/>
                <w:szCs w:val="14"/>
              </w:rPr>
            </w:pPr>
            <w:r>
              <w:rPr>
                <w:rFonts w:ascii="宋体"/>
                <w:w w:val="105"/>
                <w:sz w:val="14"/>
              </w:rPr>
              <w:t>(3,135,496.74)</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资产减值损失</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五（二十八)</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4,956,844.19</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17" w:right="0"/>
              <w:jc w:val="left"/>
              <w:rPr>
                <w:rFonts w:ascii="宋体" w:hAnsi="宋体" w:cs="宋体" w:eastAsia="宋体" w:hint="default"/>
                <w:sz w:val="14"/>
                <w:szCs w:val="14"/>
              </w:rPr>
            </w:pPr>
            <w:r>
              <w:rPr>
                <w:rFonts w:ascii="宋体"/>
                <w:w w:val="110"/>
                <w:sz w:val="14"/>
              </w:rPr>
              <w:t>2,355,962.93</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5" w:right="0"/>
              <w:jc w:val="left"/>
              <w:rPr>
                <w:rFonts w:ascii="宋体" w:hAnsi="宋体" w:cs="宋体" w:eastAsia="宋体" w:hint="default"/>
                <w:sz w:val="14"/>
                <w:szCs w:val="14"/>
              </w:rPr>
            </w:pPr>
            <w:r>
              <w:rPr>
                <w:rFonts w:ascii="宋体" w:hAnsi="宋体" w:cs="宋体" w:eastAsia="宋体" w:hint="default"/>
                <w:w w:val="110"/>
                <w:sz w:val="14"/>
                <w:szCs w:val="14"/>
              </w:rPr>
              <w:t>加：公允价值变动收益</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1"/>
              <w:jc w:val="right"/>
              <w:rPr>
                <w:rFonts w:ascii="宋体" w:hAnsi="宋体" w:cs="宋体" w:eastAsia="宋体" w:hint="default"/>
                <w:sz w:val="14"/>
                <w:szCs w:val="14"/>
              </w:rPr>
            </w:pPr>
            <w:r>
              <w:rPr>
                <w:rFonts w:ascii="宋体"/>
                <w:w w:val="107"/>
                <w:sz w:val="14"/>
              </w:rPr>
              <w:t>-</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1"/>
              <w:jc w:val="right"/>
              <w:rPr>
                <w:rFonts w:ascii="宋体" w:hAnsi="宋体" w:cs="宋体" w:eastAsia="宋体" w:hint="default"/>
                <w:sz w:val="14"/>
                <w:szCs w:val="14"/>
              </w:rPr>
            </w:pPr>
            <w:r>
              <w:rPr>
                <w:rFonts w:ascii="宋体"/>
                <w:w w:val="107"/>
                <w:sz w:val="14"/>
              </w:rPr>
              <w:t>-</w:t>
            </w:r>
            <w:r>
              <w:rPr>
                <w:rFonts w:ascii="宋体"/>
                <w:sz w:val="14"/>
              </w:rPr>
            </w:r>
          </w:p>
        </w:tc>
      </w:tr>
      <w:tr>
        <w:trPr>
          <w:trHeight w:val="32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7" w:right="0"/>
              <w:jc w:val="left"/>
              <w:rPr>
                <w:rFonts w:ascii="宋体" w:hAnsi="宋体" w:cs="宋体" w:eastAsia="宋体" w:hint="default"/>
                <w:sz w:val="14"/>
                <w:szCs w:val="14"/>
              </w:rPr>
            </w:pPr>
            <w:r>
              <w:rPr>
                <w:rFonts w:ascii="宋体" w:hAnsi="宋体" w:cs="宋体" w:eastAsia="宋体" w:hint="default"/>
                <w:w w:val="110"/>
                <w:sz w:val="14"/>
                <w:szCs w:val="14"/>
              </w:rPr>
              <w:t>投资收益</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center"/>
              <w:rPr>
                <w:rFonts w:ascii="宋体" w:hAnsi="宋体" w:cs="宋体" w:eastAsia="宋体" w:hint="default"/>
                <w:sz w:val="14"/>
                <w:szCs w:val="14"/>
              </w:rPr>
            </w:pPr>
            <w:r>
              <w:rPr>
                <w:rFonts w:ascii="宋体" w:hAnsi="宋体" w:cs="宋体" w:eastAsia="宋体" w:hint="default"/>
                <w:w w:val="110"/>
                <w:sz w:val="14"/>
                <w:szCs w:val="14"/>
              </w:rPr>
              <w:t>五(二十九)</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595,966.25</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590,335.95</w:t>
            </w:r>
            <w:r>
              <w:rPr>
                <w:rFonts w:ascii="宋体"/>
                <w:sz w:val="14"/>
              </w:rPr>
            </w:r>
          </w:p>
        </w:tc>
      </w:tr>
      <w:tr>
        <w:trPr>
          <w:trHeight w:val="31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4"/>
                <w:szCs w:val="14"/>
              </w:rPr>
            </w:pPr>
            <w:r>
              <w:rPr>
                <w:rFonts w:ascii="宋体" w:hAnsi="宋体" w:cs="宋体" w:eastAsia="宋体" w:hint="default"/>
                <w:w w:val="110"/>
                <w:sz w:val="14"/>
                <w:szCs w:val="14"/>
              </w:rPr>
              <w:t>其中：对联营企业和合营企业的投资收益</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5" w:space="0" w:color="000000"/>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595,966.25</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5" w:space="0" w:color="000000"/>
              <w:right w:val="nil" w:sz="6" w:space="0" w:color="auto"/>
            </w:tcBorders>
          </w:tcPr>
          <w:p>
            <w:pPr>
              <w:pStyle w:val="TableParagraph"/>
              <w:spacing w:line="240" w:lineRule="auto" w:before="51"/>
              <w:ind w:right="101"/>
              <w:jc w:val="right"/>
              <w:rPr>
                <w:rFonts w:ascii="宋体" w:hAnsi="宋体" w:cs="宋体" w:eastAsia="宋体" w:hint="default"/>
                <w:sz w:val="14"/>
                <w:szCs w:val="14"/>
              </w:rPr>
            </w:pPr>
            <w:r>
              <w:rPr>
                <w:rFonts w:ascii="宋体"/>
                <w:w w:val="105"/>
                <w:sz w:val="14"/>
              </w:rPr>
              <w:t>590,335.95</w:t>
            </w:r>
            <w:r>
              <w:rPr>
                <w:rFonts w:ascii="宋体"/>
                <w:sz w:val="14"/>
              </w:rPr>
            </w:r>
          </w:p>
        </w:tc>
      </w:tr>
      <w:tr>
        <w:trPr>
          <w:trHeight w:val="32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4"/>
                <w:szCs w:val="14"/>
              </w:rPr>
            </w:pPr>
            <w:r>
              <w:rPr>
                <w:rFonts w:ascii="宋体" w:hAnsi="宋体" w:cs="宋体" w:eastAsia="宋体" w:hint="default"/>
                <w:b/>
                <w:bCs/>
                <w:w w:val="105"/>
                <w:sz w:val="14"/>
                <w:szCs w:val="14"/>
              </w:rPr>
              <w:t>二、营业利润</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55"/>
              <w:ind w:right="101"/>
              <w:jc w:val="right"/>
              <w:rPr>
                <w:rFonts w:ascii="宋体" w:hAnsi="宋体" w:cs="宋体" w:eastAsia="宋体" w:hint="default"/>
                <w:sz w:val="14"/>
                <w:szCs w:val="14"/>
              </w:rPr>
            </w:pPr>
            <w:r>
              <w:rPr>
                <w:rFonts w:ascii="宋体"/>
                <w:w w:val="105"/>
                <w:sz w:val="14"/>
              </w:rPr>
              <w:t>58,942,921.95</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55"/>
              <w:ind w:left="342" w:right="0"/>
              <w:jc w:val="left"/>
              <w:rPr>
                <w:rFonts w:ascii="宋体" w:hAnsi="宋体" w:cs="宋体" w:eastAsia="宋体" w:hint="default"/>
                <w:sz w:val="14"/>
                <w:szCs w:val="14"/>
              </w:rPr>
            </w:pPr>
            <w:r>
              <w:rPr>
                <w:rFonts w:ascii="宋体"/>
                <w:w w:val="110"/>
                <w:sz w:val="14"/>
              </w:rPr>
              <w:t>48,487,816.85</w:t>
            </w:r>
            <w:r>
              <w:rPr>
                <w:rFonts w:ascii="宋体"/>
                <w:sz w:val="14"/>
              </w:rPr>
            </w:r>
          </w:p>
        </w:tc>
      </w:tr>
      <w:tr>
        <w:trPr>
          <w:trHeight w:val="281"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宋体" w:hAnsi="宋体" w:cs="宋体" w:eastAsia="宋体" w:hint="default"/>
                <w:sz w:val="14"/>
                <w:szCs w:val="14"/>
              </w:rPr>
            </w:pPr>
            <w:r>
              <w:rPr>
                <w:rFonts w:ascii="宋体" w:hAnsi="宋体" w:cs="宋体" w:eastAsia="宋体" w:hint="default"/>
                <w:w w:val="110"/>
                <w:sz w:val="14"/>
                <w:szCs w:val="14"/>
              </w:rPr>
              <w:t>加：营业外收入</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center"/>
              <w:rPr>
                <w:rFonts w:ascii="宋体" w:hAnsi="宋体" w:cs="宋体" w:eastAsia="宋体" w:hint="default"/>
                <w:sz w:val="14"/>
                <w:szCs w:val="14"/>
              </w:rPr>
            </w:pPr>
            <w:r>
              <w:rPr>
                <w:rFonts w:ascii="宋体" w:hAnsi="宋体" w:cs="宋体" w:eastAsia="宋体" w:hint="default"/>
                <w:w w:val="110"/>
                <w:sz w:val="14"/>
                <w:szCs w:val="14"/>
              </w:rPr>
              <w:t>五(三十)</w:t>
            </w:r>
            <w:r>
              <w:rPr>
                <w:rFonts w:ascii="宋体" w:hAnsi="宋体" w:cs="宋体" w:eastAsia="宋体" w:hint="default"/>
                <w:sz w:val="14"/>
                <w:szCs w:val="14"/>
              </w:rPr>
            </w:r>
          </w:p>
        </w:tc>
        <w:tc>
          <w:tcPr>
            <w:tcW w:w="1620"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25,129,546.26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left="342" w:right="0"/>
              <w:jc w:val="left"/>
              <w:rPr>
                <w:rFonts w:ascii="宋体" w:hAnsi="宋体" w:cs="宋体" w:eastAsia="宋体" w:hint="default"/>
                <w:sz w:val="14"/>
                <w:szCs w:val="14"/>
              </w:rPr>
            </w:pPr>
            <w:r>
              <w:rPr>
                <w:rFonts w:ascii="宋体"/>
                <w:w w:val="110"/>
                <w:sz w:val="14"/>
              </w:rPr>
              <w:t>11,153,494.92</w:t>
            </w:r>
            <w:r>
              <w:rPr>
                <w:rFonts w:ascii="宋体"/>
                <w:sz w:val="14"/>
              </w:rPr>
            </w:r>
          </w:p>
        </w:tc>
      </w:tr>
      <w:tr>
        <w:trPr>
          <w:trHeight w:val="27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6" w:right="0"/>
              <w:jc w:val="left"/>
              <w:rPr>
                <w:rFonts w:ascii="宋体" w:hAnsi="宋体" w:cs="宋体" w:eastAsia="宋体" w:hint="default"/>
                <w:sz w:val="14"/>
                <w:szCs w:val="14"/>
              </w:rPr>
            </w:pPr>
            <w:r>
              <w:rPr>
                <w:rFonts w:ascii="宋体" w:hAnsi="宋体" w:cs="宋体" w:eastAsia="宋体" w:hint="default"/>
                <w:w w:val="110"/>
                <w:sz w:val="14"/>
                <w:szCs w:val="14"/>
              </w:rPr>
              <w:t>减：营业外支出</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4"/>
              <w:jc w:val="center"/>
              <w:rPr>
                <w:rFonts w:ascii="宋体" w:hAnsi="宋体" w:cs="宋体" w:eastAsia="宋体" w:hint="default"/>
                <w:sz w:val="14"/>
                <w:szCs w:val="14"/>
              </w:rPr>
            </w:pPr>
            <w:r>
              <w:rPr>
                <w:rFonts w:ascii="宋体" w:hAnsi="宋体" w:cs="宋体" w:eastAsia="宋体" w:hint="default"/>
                <w:w w:val="110"/>
                <w:sz w:val="14"/>
                <w:szCs w:val="14"/>
              </w:rPr>
              <w:t>五(三十一)</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93,831.67</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34,914.67</w:t>
            </w:r>
            <w:r>
              <w:rPr>
                <w:rFonts w:ascii="宋体"/>
                <w:sz w:val="14"/>
              </w:rPr>
            </w:r>
          </w:p>
        </w:tc>
      </w:tr>
      <w:tr>
        <w:trPr>
          <w:trHeight w:val="26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1" w:right="0"/>
              <w:jc w:val="left"/>
              <w:rPr>
                <w:rFonts w:ascii="宋体" w:hAnsi="宋体" w:cs="宋体" w:eastAsia="宋体" w:hint="default"/>
                <w:sz w:val="14"/>
                <w:szCs w:val="14"/>
              </w:rPr>
            </w:pPr>
            <w:r>
              <w:rPr>
                <w:rFonts w:ascii="宋体" w:hAnsi="宋体" w:cs="宋体" w:eastAsia="宋体" w:hint="default"/>
                <w:w w:val="110"/>
                <w:sz w:val="14"/>
                <w:szCs w:val="14"/>
              </w:rPr>
              <w:t>其中：非流动资产处置损失</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251"/>
              <w:jc w:val="right"/>
              <w:rPr>
                <w:rFonts w:ascii="宋体" w:hAnsi="宋体" w:cs="宋体" w:eastAsia="宋体" w:hint="default"/>
                <w:sz w:val="14"/>
                <w:szCs w:val="14"/>
              </w:rPr>
            </w:pPr>
            <w:r>
              <w:rPr>
                <w:rFonts w:ascii="宋体"/>
                <w:w w:val="107"/>
                <w:sz w:val="14"/>
              </w:rPr>
              <w:t>-</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14,514.67</w:t>
            </w:r>
            <w:r>
              <w:rPr>
                <w:rFonts w:ascii="宋体"/>
                <w:sz w:val="14"/>
              </w:rPr>
            </w:r>
          </w:p>
        </w:tc>
      </w:tr>
      <w:tr>
        <w:trPr>
          <w:trHeight w:val="27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4"/>
                <w:szCs w:val="14"/>
              </w:rPr>
            </w:pPr>
            <w:r>
              <w:rPr>
                <w:rFonts w:ascii="宋体" w:hAnsi="宋体" w:cs="宋体" w:eastAsia="宋体" w:hint="default"/>
                <w:b/>
                <w:bCs/>
                <w:w w:val="105"/>
                <w:sz w:val="14"/>
                <w:szCs w:val="14"/>
              </w:rPr>
              <w:t>三、利润总额</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83,978,636.54</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left="342" w:right="0"/>
              <w:jc w:val="left"/>
              <w:rPr>
                <w:rFonts w:ascii="宋体" w:hAnsi="宋体" w:cs="宋体" w:eastAsia="宋体" w:hint="default"/>
                <w:sz w:val="14"/>
                <w:szCs w:val="14"/>
              </w:rPr>
            </w:pPr>
            <w:r>
              <w:rPr>
                <w:rFonts w:ascii="宋体"/>
                <w:w w:val="110"/>
                <w:sz w:val="14"/>
              </w:rPr>
              <w:t>59,606,397.10</w:t>
            </w:r>
            <w:r>
              <w:rPr>
                <w:rFonts w:ascii="宋体"/>
                <w:sz w:val="14"/>
              </w:rPr>
            </w:r>
          </w:p>
        </w:tc>
      </w:tr>
      <w:tr>
        <w:trPr>
          <w:trHeight w:val="27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宋体" w:hAnsi="宋体" w:cs="宋体" w:eastAsia="宋体" w:hint="default"/>
                <w:sz w:val="14"/>
                <w:szCs w:val="14"/>
              </w:rPr>
            </w:pPr>
            <w:r>
              <w:rPr>
                <w:rFonts w:ascii="宋体" w:hAnsi="宋体" w:cs="宋体" w:eastAsia="宋体" w:hint="default"/>
                <w:w w:val="110"/>
                <w:sz w:val="14"/>
                <w:szCs w:val="14"/>
              </w:rPr>
              <w:t>减：所得税费用</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center"/>
              <w:rPr>
                <w:rFonts w:ascii="宋体" w:hAnsi="宋体" w:cs="宋体" w:eastAsia="宋体" w:hint="default"/>
                <w:sz w:val="14"/>
                <w:szCs w:val="14"/>
              </w:rPr>
            </w:pPr>
            <w:r>
              <w:rPr>
                <w:rFonts w:ascii="宋体" w:hAnsi="宋体" w:cs="宋体" w:eastAsia="宋体" w:hint="default"/>
                <w:w w:val="110"/>
                <w:sz w:val="14"/>
                <w:szCs w:val="14"/>
              </w:rPr>
              <w:t>五(三十二)</w:t>
            </w:r>
            <w:r>
              <w:rPr>
                <w:rFonts w:ascii="宋体" w:hAnsi="宋体" w:cs="宋体" w:eastAsia="宋体" w:hint="default"/>
                <w:sz w:val="14"/>
                <w:szCs w:val="14"/>
              </w:rPr>
            </w: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8,252,249.68</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left="417" w:right="0"/>
              <w:jc w:val="left"/>
              <w:rPr>
                <w:rFonts w:ascii="宋体" w:hAnsi="宋体" w:cs="宋体" w:eastAsia="宋体" w:hint="default"/>
                <w:sz w:val="14"/>
                <w:szCs w:val="14"/>
              </w:rPr>
            </w:pPr>
            <w:r>
              <w:rPr>
                <w:rFonts w:ascii="宋体"/>
                <w:w w:val="110"/>
                <w:sz w:val="14"/>
              </w:rPr>
              <w:t>1,711,951.84</w:t>
            </w:r>
            <w:r>
              <w:rPr>
                <w:rFonts w:ascii="宋体"/>
                <w:sz w:val="14"/>
              </w:rPr>
            </w:r>
          </w:p>
        </w:tc>
      </w:tr>
      <w:tr>
        <w:trPr>
          <w:trHeight w:val="27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4"/>
                <w:szCs w:val="14"/>
              </w:rPr>
            </w:pPr>
            <w:r>
              <w:rPr>
                <w:rFonts w:ascii="宋体" w:hAnsi="宋体" w:cs="宋体" w:eastAsia="宋体" w:hint="default"/>
                <w:b/>
                <w:bCs/>
                <w:w w:val="105"/>
                <w:sz w:val="14"/>
                <w:szCs w:val="14"/>
              </w:rPr>
              <w:t>四、净利润</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75,726,386.86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left="342" w:right="0"/>
              <w:jc w:val="left"/>
              <w:rPr>
                <w:rFonts w:ascii="宋体" w:hAnsi="宋体" w:cs="宋体" w:eastAsia="宋体" w:hint="default"/>
                <w:sz w:val="14"/>
                <w:szCs w:val="14"/>
              </w:rPr>
            </w:pPr>
            <w:r>
              <w:rPr>
                <w:rFonts w:ascii="宋体"/>
                <w:w w:val="110"/>
                <w:sz w:val="14"/>
              </w:rPr>
              <w:t>57,894,445.26</w:t>
            </w:r>
            <w:r>
              <w:rPr>
                <w:rFonts w:ascii="宋体"/>
                <w:sz w:val="14"/>
              </w:rPr>
            </w:r>
          </w:p>
        </w:tc>
      </w:tr>
      <w:tr>
        <w:trPr>
          <w:trHeight w:val="281"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4"/>
                <w:szCs w:val="14"/>
              </w:rPr>
            </w:pPr>
            <w:r>
              <w:rPr>
                <w:rFonts w:ascii="宋体" w:hAnsi="宋体" w:cs="宋体" w:eastAsia="宋体" w:hint="default"/>
                <w:w w:val="110"/>
                <w:sz w:val="14"/>
                <w:szCs w:val="14"/>
              </w:rPr>
              <w:t>其中：同一控制下被合并方在合并前实现的净利润</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right="251"/>
              <w:jc w:val="right"/>
              <w:rPr>
                <w:rFonts w:ascii="宋体" w:hAnsi="宋体" w:cs="宋体" w:eastAsia="宋体" w:hint="default"/>
                <w:sz w:val="14"/>
                <w:szCs w:val="14"/>
              </w:rPr>
            </w:pPr>
            <w:r>
              <w:rPr>
                <w:rFonts w:ascii="宋体"/>
                <w:w w:val="107"/>
                <w:sz w:val="14"/>
              </w:rPr>
              <w:t>-</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nil" w:sz="6" w:space="0" w:color="auto"/>
              <w:right w:val="nil" w:sz="6" w:space="0" w:color="auto"/>
            </w:tcBorders>
          </w:tcPr>
          <w:p>
            <w:pPr>
              <w:pStyle w:val="TableParagraph"/>
              <w:spacing w:line="240" w:lineRule="auto" w:before="28"/>
              <w:ind w:right="251"/>
              <w:jc w:val="right"/>
              <w:rPr>
                <w:rFonts w:ascii="宋体" w:hAnsi="宋体" w:cs="宋体" w:eastAsia="宋体" w:hint="default"/>
                <w:sz w:val="14"/>
                <w:szCs w:val="14"/>
              </w:rPr>
            </w:pPr>
            <w:r>
              <w:rPr>
                <w:rFonts w:ascii="宋体"/>
                <w:w w:val="107"/>
                <w:sz w:val="14"/>
              </w:rPr>
              <w:t>-</w:t>
            </w:r>
            <w:r>
              <w:rPr>
                <w:rFonts w:ascii="宋体"/>
                <w:sz w:val="14"/>
              </w:rPr>
            </w:r>
          </w:p>
        </w:tc>
      </w:tr>
      <w:tr>
        <w:trPr>
          <w:trHeight w:val="271"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87" w:right="0"/>
              <w:jc w:val="left"/>
              <w:rPr>
                <w:rFonts w:ascii="宋体" w:hAnsi="宋体" w:cs="宋体" w:eastAsia="宋体" w:hint="default"/>
                <w:sz w:val="14"/>
                <w:szCs w:val="14"/>
              </w:rPr>
            </w:pPr>
            <w:r>
              <w:rPr>
                <w:rFonts w:ascii="宋体" w:hAnsi="宋体" w:cs="宋体" w:eastAsia="宋体" w:hint="default"/>
                <w:w w:val="110"/>
                <w:sz w:val="14"/>
                <w:szCs w:val="14"/>
              </w:rPr>
              <w:t>少数股东损益</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4"/>
                <w:szCs w:val="14"/>
              </w:rPr>
            </w:pPr>
            <w:r>
              <w:rPr>
                <w:rFonts w:ascii="宋体"/>
                <w:w w:val="105"/>
                <w:sz w:val="14"/>
              </w:rPr>
              <w:t>(15,495.94)</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1"/>
              <w:jc w:val="right"/>
              <w:rPr>
                <w:rFonts w:ascii="宋体" w:hAnsi="宋体" w:cs="宋体" w:eastAsia="宋体" w:hint="default"/>
                <w:sz w:val="14"/>
                <w:szCs w:val="14"/>
              </w:rPr>
            </w:pPr>
            <w:r>
              <w:rPr>
                <w:rFonts w:ascii="宋体"/>
                <w:w w:val="107"/>
                <w:sz w:val="14"/>
              </w:rPr>
              <w:t>-</w:t>
            </w:r>
            <w:r>
              <w:rPr>
                <w:rFonts w:ascii="宋体"/>
                <w:sz w:val="14"/>
              </w:rPr>
            </w:r>
          </w:p>
        </w:tc>
      </w:tr>
      <w:tr>
        <w:trPr>
          <w:trHeight w:val="541"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355" w:lineRule="auto" w:before="24"/>
              <w:ind w:left="35" w:right="1277" w:firstLine="452"/>
              <w:jc w:val="left"/>
              <w:rPr>
                <w:rFonts w:ascii="宋体" w:hAnsi="宋体" w:cs="宋体" w:eastAsia="宋体" w:hint="default"/>
                <w:sz w:val="14"/>
                <w:szCs w:val="14"/>
              </w:rPr>
            </w:pPr>
            <w:r>
              <w:rPr>
                <w:rFonts w:ascii="宋体" w:hAnsi="宋体" w:cs="宋体" w:eastAsia="宋体" w:hint="default"/>
                <w:w w:val="105"/>
                <w:sz w:val="14"/>
                <w:szCs w:val="14"/>
              </w:rPr>
              <w:t>归属于母公司股东的净利润</w:t>
            </w:r>
            <w:r>
              <w:rPr>
                <w:rFonts w:ascii="宋体" w:hAnsi="宋体" w:cs="宋体" w:eastAsia="宋体" w:hint="default"/>
                <w:w w:val="107"/>
                <w:sz w:val="14"/>
                <w:szCs w:val="14"/>
              </w:rPr>
              <w:t> </w:t>
            </w:r>
            <w:r>
              <w:rPr>
                <w:rFonts w:ascii="宋体" w:hAnsi="宋体" w:cs="宋体" w:eastAsia="宋体" w:hint="default"/>
                <w:b/>
                <w:bCs/>
                <w:w w:val="105"/>
                <w:sz w:val="14"/>
                <w:szCs w:val="14"/>
              </w:rPr>
              <w:t>五、每股收益：</w:t>
            </w:r>
            <w:r>
              <w:rPr>
                <w:rFonts w:ascii="宋体" w:hAnsi="宋体" w:cs="宋体" w:eastAsia="宋体" w:hint="default"/>
                <w:sz w:val="14"/>
                <w:szCs w:val="14"/>
              </w:rPr>
            </w:r>
          </w:p>
        </w:tc>
        <w:tc>
          <w:tcPr>
            <w:tcW w:w="154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75,741,882.80</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2" w:right="0"/>
              <w:jc w:val="left"/>
              <w:rPr>
                <w:rFonts w:ascii="宋体" w:hAnsi="宋体" w:cs="宋体" w:eastAsia="宋体" w:hint="default"/>
                <w:sz w:val="14"/>
                <w:szCs w:val="14"/>
              </w:rPr>
            </w:pPr>
            <w:r>
              <w:rPr>
                <w:rFonts w:ascii="宋体"/>
                <w:w w:val="110"/>
                <w:sz w:val="14"/>
              </w:rPr>
              <w:t>57,894,445.26</w:t>
            </w:r>
            <w:r>
              <w:rPr>
                <w:rFonts w:ascii="宋体"/>
                <w:sz w:val="14"/>
              </w:rPr>
            </w:r>
          </w:p>
        </w:tc>
      </w:tr>
      <w:tr>
        <w:trPr>
          <w:trHeight w:val="260"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61" w:right="0"/>
              <w:jc w:val="left"/>
              <w:rPr>
                <w:rFonts w:ascii="宋体" w:hAnsi="宋体" w:cs="宋体" w:eastAsia="宋体" w:hint="default"/>
                <w:sz w:val="14"/>
                <w:szCs w:val="14"/>
              </w:rPr>
            </w:pPr>
            <w:r>
              <w:rPr>
                <w:rFonts w:ascii="宋体" w:hAnsi="宋体" w:cs="宋体" w:eastAsia="宋体" w:hint="default"/>
                <w:w w:val="110"/>
                <w:sz w:val="14"/>
                <w:szCs w:val="14"/>
              </w:rPr>
              <w:t>（一）基本每股收益</w:t>
            </w:r>
            <w:r>
              <w:rPr>
                <w:rFonts w:ascii="宋体" w:hAnsi="宋体" w:cs="宋体" w:eastAsia="宋体" w:hint="default"/>
                <w:sz w:val="14"/>
                <w:szCs w:val="14"/>
              </w:rPr>
            </w:r>
          </w:p>
        </w:tc>
        <w:tc>
          <w:tcPr>
            <w:tcW w:w="1620"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0.66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5" w:space="0" w:color="000000"/>
              <w:right w:val="nil" w:sz="6" w:space="0" w:color="auto"/>
            </w:tcBorders>
          </w:tcPr>
          <w:p>
            <w:pPr>
              <w:pStyle w:val="TableParagraph"/>
              <w:spacing w:line="240" w:lineRule="auto" w:before="24"/>
              <w:ind w:right="101"/>
              <w:jc w:val="right"/>
              <w:rPr>
                <w:rFonts w:ascii="宋体" w:hAnsi="宋体" w:cs="宋体" w:eastAsia="宋体" w:hint="default"/>
                <w:sz w:val="14"/>
                <w:szCs w:val="14"/>
              </w:rPr>
            </w:pPr>
            <w:r>
              <w:rPr>
                <w:rFonts w:ascii="宋体"/>
                <w:w w:val="105"/>
                <w:sz w:val="14"/>
              </w:rPr>
              <w:t>1.15</w:t>
            </w:r>
            <w:r>
              <w:rPr>
                <w:rFonts w:ascii="宋体"/>
                <w:sz w:val="14"/>
              </w:rPr>
            </w:r>
          </w:p>
        </w:tc>
      </w:tr>
      <w:tr>
        <w:trPr>
          <w:trHeight w:val="270"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61" w:right="0"/>
              <w:jc w:val="left"/>
              <w:rPr>
                <w:rFonts w:ascii="宋体" w:hAnsi="宋体" w:cs="宋体" w:eastAsia="宋体" w:hint="default"/>
                <w:sz w:val="14"/>
                <w:szCs w:val="14"/>
              </w:rPr>
            </w:pPr>
            <w:r>
              <w:rPr>
                <w:rFonts w:ascii="宋体" w:hAnsi="宋体" w:cs="宋体" w:eastAsia="宋体" w:hint="default"/>
                <w:w w:val="110"/>
                <w:sz w:val="14"/>
                <w:szCs w:val="14"/>
              </w:rPr>
              <w:t>（二）稀释每股收益</w:t>
            </w:r>
            <w:r>
              <w:rPr>
                <w:rFonts w:ascii="宋体" w:hAnsi="宋体" w:cs="宋体" w:eastAsia="宋体" w:hint="default"/>
                <w:sz w:val="14"/>
                <w:szCs w:val="14"/>
              </w:rPr>
            </w: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0.66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1.15</w:t>
            </w:r>
            <w:r>
              <w:rPr>
                <w:rFonts w:ascii="宋体"/>
                <w:sz w:val="14"/>
              </w:rPr>
            </w:r>
          </w:p>
        </w:tc>
      </w:tr>
      <w:tr>
        <w:trPr>
          <w:trHeight w:val="270"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4"/>
                <w:szCs w:val="14"/>
              </w:rPr>
            </w:pPr>
            <w:r>
              <w:rPr>
                <w:rFonts w:ascii="宋体" w:hAnsi="宋体" w:cs="宋体" w:eastAsia="宋体" w:hint="default"/>
                <w:b/>
                <w:bCs/>
                <w:w w:val="105"/>
                <w:sz w:val="14"/>
                <w:szCs w:val="14"/>
              </w:rPr>
              <w:t>六、其他综合收益</w:t>
            </w:r>
            <w:r>
              <w:rPr>
                <w:rFonts w:ascii="宋体" w:hAnsi="宋体" w:cs="宋体" w:eastAsia="宋体" w:hint="default"/>
                <w:sz w:val="14"/>
                <w:szCs w:val="14"/>
              </w:rPr>
            </w:r>
          </w:p>
        </w:tc>
        <w:tc>
          <w:tcPr>
            <w:tcW w:w="1620"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251"/>
              <w:jc w:val="right"/>
              <w:rPr>
                <w:rFonts w:ascii="宋体" w:hAnsi="宋体" w:cs="宋体" w:eastAsia="宋体" w:hint="default"/>
                <w:sz w:val="14"/>
                <w:szCs w:val="14"/>
              </w:rPr>
            </w:pPr>
            <w:r>
              <w:rPr>
                <w:rFonts w:ascii="宋体"/>
                <w:w w:val="107"/>
                <w:sz w:val="14"/>
              </w:rPr>
              <w:t>-</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5" w:space="0" w:color="000000"/>
              <w:right w:val="nil" w:sz="6" w:space="0" w:color="auto"/>
            </w:tcBorders>
          </w:tcPr>
          <w:p>
            <w:pPr>
              <w:pStyle w:val="TableParagraph"/>
              <w:spacing w:line="240" w:lineRule="auto" w:before="28"/>
              <w:ind w:right="251"/>
              <w:jc w:val="right"/>
              <w:rPr>
                <w:rFonts w:ascii="宋体" w:hAnsi="宋体" w:cs="宋体" w:eastAsia="宋体" w:hint="default"/>
                <w:sz w:val="14"/>
                <w:szCs w:val="14"/>
              </w:rPr>
            </w:pPr>
            <w:r>
              <w:rPr>
                <w:rFonts w:ascii="宋体"/>
                <w:w w:val="107"/>
                <w:sz w:val="14"/>
              </w:rPr>
              <w:t>-</w:t>
            </w:r>
            <w:r>
              <w:rPr>
                <w:rFonts w:ascii="宋体"/>
                <w:sz w:val="14"/>
              </w:rPr>
            </w:r>
          </w:p>
        </w:tc>
      </w:tr>
      <w:tr>
        <w:trPr>
          <w:trHeight w:val="270"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4"/>
                <w:szCs w:val="14"/>
              </w:rPr>
            </w:pPr>
            <w:r>
              <w:rPr>
                <w:rFonts w:ascii="宋体" w:hAnsi="宋体" w:cs="宋体" w:eastAsia="宋体" w:hint="default"/>
                <w:b/>
                <w:bCs/>
                <w:w w:val="105"/>
                <w:sz w:val="14"/>
                <w:szCs w:val="14"/>
              </w:rPr>
              <w:t>七、综合收益总额</w:t>
            </w:r>
            <w:r>
              <w:rPr>
                <w:rFonts w:ascii="宋体" w:hAnsi="宋体" w:cs="宋体" w:eastAsia="宋体" w:hint="default"/>
                <w:sz w:val="14"/>
                <w:szCs w:val="14"/>
              </w:rPr>
            </w:r>
          </w:p>
        </w:tc>
        <w:tc>
          <w:tcPr>
            <w:tcW w:w="1620" w:type="dxa"/>
            <w:tcBorders>
              <w:top w:val="single" w:sz="5" w:space="0" w:color="000000"/>
              <w:left w:val="nil" w:sz="6" w:space="0" w:color="auto"/>
              <w:bottom w:val="single" w:sz="15" w:space="0" w:color="000000"/>
              <w:right w:val="nil" w:sz="6" w:space="0" w:color="auto"/>
            </w:tcBorders>
          </w:tcPr>
          <w:p>
            <w:pPr>
              <w:pStyle w:val="TableParagraph"/>
              <w:spacing w:line="240" w:lineRule="auto" w:before="28"/>
              <w:ind w:right="101"/>
              <w:jc w:val="right"/>
              <w:rPr>
                <w:rFonts w:ascii="宋体" w:hAnsi="宋体" w:cs="宋体" w:eastAsia="宋体" w:hint="default"/>
                <w:sz w:val="14"/>
                <w:szCs w:val="14"/>
              </w:rPr>
            </w:pPr>
            <w:r>
              <w:rPr>
                <w:rFonts w:ascii="宋体"/>
                <w:w w:val="105"/>
                <w:sz w:val="14"/>
              </w:rPr>
              <w:t>75,726,386.86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5" w:space="0" w:color="000000"/>
              <w:left w:val="nil" w:sz="6" w:space="0" w:color="auto"/>
              <w:bottom w:val="single" w:sz="15" w:space="0" w:color="000000"/>
              <w:right w:val="nil" w:sz="6" w:space="0" w:color="auto"/>
            </w:tcBorders>
          </w:tcPr>
          <w:p>
            <w:pPr>
              <w:pStyle w:val="TableParagraph"/>
              <w:spacing w:line="240" w:lineRule="auto" w:before="28"/>
              <w:ind w:left="342" w:right="0"/>
              <w:jc w:val="left"/>
              <w:rPr>
                <w:rFonts w:ascii="宋体" w:hAnsi="宋体" w:cs="宋体" w:eastAsia="宋体" w:hint="default"/>
                <w:sz w:val="14"/>
                <w:szCs w:val="14"/>
              </w:rPr>
            </w:pPr>
            <w:r>
              <w:rPr>
                <w:rFonts w:ascii="宋体"/>
                <w:w w:val="110"/>
                <w:sz w:val="14"/>
              </w:rPr>
              <w:t>57,894,445.26</w:t>
            </w:r>
            <w:r>
              <w:rPr>
                <w:rFonts w:ascii="宋体"/>
                <w:sz w:val="14"/>
              </w:rPr>
            </w:r>
          </w:p>
        </w:tc>
      </w:tr>
      <w:tr>
        <w:trPr>
          <w:trHeight w:val="281"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宋体" w:hAnsi="宋体" w:cs="宋体" w:eastAsia="宋体" w:hint="default"/>
                <w:sz w:val="14"/>
                <w:szCs w:val="14"/>
              </w:rPr>
            </w:pPr>
            <w:r>
              <w:rPr>
                <w:rFonts w:ascii="宋体" w:hAnsi="宋体" w:cs="宋体" w:eastAsia="宋体" w:hint="default"/>
                <w:w w:val="110"/>
                <w:sz w:val="14"/>
                <w:szCs w:val="14"/>
              </w:rPr>
              <w:t>归属于母公司股东的综合收益总额</w:t>
            </w:r>
            <w:r>
              <w:rPr>
                <w:rFonts w:ascii="宋体" w:hAnsi="宋体" w:cs="宋体" w:eastAsia="宋体" w:hint="default"/>
                <w:sz w:val="14"/>
                <w:szCs w:val="14"/>
              </w:rPr>
            </w:r>
          </w:p>
        </w:tc>
        <w:tc>
          <w:tcPr>
            <w:tcW w:w="1620" w:type="dxa"/>
            <w:tcBorders>
              <w:top w:val="single" w:sz="15" w:space="0" w:color="000000"/>
              <w:left w:val="nil" w:sz="6" w:space="0" w:color="auto"/>
              <w:bottom w:val="nil" w:sz="6" w:space="0" w:color="auto"/>
              <w:right w:val="nil" w:sz="6" w:space="0" w:color="auto"/>
            </w:tcBorders>
          </w:tcPr>
          <w:p>
            <w:pPr>
              <w:pStyle w:val="TableParagraph"/>
              <w:spacing w:line="240" w:lineRule="auto" w:before="15"/>
              <w:ind w:right="101"/>
              <w:jc w:val="right"/>
              <w:rPr>
                <w:rFonts w:ascii="宋体" w:hAnsi="宋体" w:cs="宋体" w:eastAsia="宋体" w:hint="default"/>
                <w:sz w:val="14"/>
                <w:szCs w:val="14"/>
              </w:rPr>
            </w:pPr>
            <w:r>
              <w:rPr>
                <w:rFonts w:ascii="宋体"/>
                <w:w w:val="105"/>
                <w:sz w:val="14"/>
              </w:rPr>
              <w:t>75,726,386.86</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single" w:sz="15" w:space="0" w:color="000000"/>
              <w:left w:val="nil" w:sz="6" w:space="0" w:color="auto"/>
              <w:bottom w:val="nil" w:sz="6" w:space="0" w:color="auto"/>
              <w:right w:val="nil" w:sz="6" w:space="0" w:color="auto"/>
            </w:tcBorders>
          </w:tcPr>
          <w:p>
            <w:pPr>
              <w:pStyle w:val="TableParagraph"/>
              <w:spacing w:line="240" w:lineRule="auto" w:before="15"/>
              <w:ind w:left="342" w:right="0"/>
              <w:jc w:val="left"/>
              <w:rPr>
                <w:rFonts w:ascii="宋体" w:hAnsi="宋体" w:cs="宋体" w:eastAsia="宋体" w:hint="default"/>
                <w:sz w:val="14"/>
                <w:szCs w:val="14"/>
              </w:rPr>
            </w:pPr>
            <w:r>
              <w:rPr>
                <w:rFonts w:ascii="宋体"/>
                <w:w w:val="110"/>
                <w:sz w:val="14"/>
              </w:rPr>
              <w:t>57,894,445.26</w:t>
            </w:r>
            <w:r>
              <w:rPr>
                <w:rFonts w:ascii="宋体"/>
                <w:sz w:val="14"/>
              </w:rPr>
            </w:r>
          </w:p>
        </w:tc>
      </w:tr>
      <w:tr>
        <w:trPr>
          <w:trHeight w:val="308" w:hRule="exact"/>
        </w:trPr>
        <w:tc>
          <w:tcPr>
            <w:tcW w:w="51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336" w:right="0"/>
              <w:jc w:val="left"/>
              <w:rPr>
                <w:rFonts w:ascii="宋体" w:hAnsi="宋体" w:cs="宋体" w:eastAsia="宋体" w:hint="default"/>
                <w:sz w:val="14"/>
                <w:szCs w:val="14"/>
              </w:rPr>
            </w:pPr>
            <w:r>
              <w:rPr>
                <w:rFonts w:ascii="宋体" w:hAnsi="宋体" w:cs="宋体" w:eastAsia="宋体" w:hint="default"/>
                <w:w w:val="110"/>
                <w:sz w:val="14"/>
                <w:szCs w:val="14"/>
              </w:rPr>
              <w:t>归属于少数股东的综合收益总额</w:t>
            </w:r>
            <w:r>
              <w:rPr>
                <w:rFonts w:ascii="宋体" w:hAnsi="宋体" w:cs="宋体" w:eastAsia="宋体" w:hint="default"/>
                <w:sz w:val="14"/>
                <w:szCs w:val="14"/>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1"/>
              <w:jc w:val="right"/>
              <w:rPr>
                <w:rFonts w:ascii="宋体" w:hAnsi="宋体" w:cs="宋体" w:eastAsia="宋体" w:hint="default"/>
                <w:sz w:val="14"/>
                <w:szCs w:val="14"/>
              </w:rPr>
            </w:pPr>
            <w:r>
              <w:rPr>
                <w:rFonts w:ascii="宋体"/>
                <w:w w:val="107"/>
                <w:sz w:val="14"/>
              </w:rPr>
              <w:t>-</w:t>
            </w:r>
            <w:r>
              <w:rPr>
                <w:rFonts w:ascii="宋体"/>
                <w:sz w:val="14"/>
              </w:rPr>
            </w:r>
          </w:p>
        </w:tc>
        <w:tc>
          <w:tcPr>
            <w:tcW w:w="3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1"/>
              <w:jc w:val="right"/>
              <w:rPr>
                <w:rFonts w:ascii="宋体" w:hAnsi="宋体" w:cs="宋体" w:eastAsia="宋体" w:hint="default"/>
                <w:sz w:val="14"/>
                <w:szCs w:val="14"/>
              </w:rPr>
            </w:pPr>
            <w:r>
              <w:rPr>
                <w:rFonts w:ascii="宋体"/>
                <w:w w:val="107"/>
                <w:sz w:val="14"/>
              </w:rPr>
              <w:t>-</w:t>
            </w:r>
            <w:r>
              <w:rPr>
                <w:rFonts w:ascii="宋体"/>
                <w:sz w:val="14"/>
              </w:rPr>
            </w:r>
          </w:p>
        </w:tc>
      </w:tr>
    </w:tbl>
    <w:p>
      <w:pPr>
        <w:spacing w:line="240" w:lineRule="auto" w:before="7"/>
        <w:rPr>
          <w:rFonts w:ascii="宋体" w:hAnsi="宋体" w:cs="宋体" w:eastAsia="宋体" w:hint="default"/>
          <w:sz w:val="16"/>
          <w:szCs w:val="16"/>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25.25pt;height:.65pt;mso-position-horizontal-relative:char;mso-position-vertical-relative:line" coordorigin="0,0" coordsize="8505,13">
            <v:group style="position:absolute;left:7;top:1;width:8490;height:2" coordorigin="7,1" coordsize="8490,2">
              <v:shape style="position:absolute;left:7;top:1;width:8490;height:2" coordorigin="7,1" coordsize="8490,0" path="m7,1l8497,1e" filled="false" stroked="true" strokeweight=".092244pt" strokecolor="#000000">
                <v:path arrowok="t"/>
              </v:shape>
            </v:group>
            <v:group style="position:absolute;left:6;top:6;width:8492;height:2" coordorigin="6,6" coordsize="8492,2">
              <v:shape style="position:absolute;left:6;top:6;width:8492;height:2" coordorigin="6,6" coordsize="8492,0" path="m6,6l8498,6e" filled="false" stroked="true" strokeweight=".632543pt" strokecolor="#000000">
                <v:path arrowok="t"/>
              </v:shape>
            </v:group>
          </v:group>
        </w:pict>
      </w:r>
      <w:r>
        <w:rPr>
          <w:rFonts w:ascii="宋体" w:hAnsi="宋体" w:cs="宋体" w:eastAsia="宋体" w:hint="default"/>
          <w:sz w:val="2"/>
          <w:szCs w:val="2"/>
        </w:rPr>
      </w:r>
    </w:p>
    <w:p>
      <w:pPr>
        <w:tabs>
          <w:tab w:pos="2263" w:val="left" w:leader="none"/>
          <w:tab w:pos="4975" w:val="left" w:leader="none"/>
        </w:tabs>
        <w:spacing w:before="20"/>
        <w:ind w:left="153" w:right="0" w:firstLine="0"/>
        <w:jc w:val="left"/>
        <w:rPr>
          <w:rFonts w:ascii="宋体" w:hAnsi="宋体" w:cs="宋体" w:eastAsia="宋体" w:hint="default"/>
          <w:sz w:val="14"/>
          <w:szCs w:val="14"/>
        </w:rPr>
      </w:pPr>
      <w:r>
        <w:rPr>
          <w:rFonts w:ascii="宋体" w:hAnsi="宋体" w:cs="宋体" w:eastAsia="宋体" w:hint="default"/>
          <w:w w:val="105"/>
          <w:sz w:val="14"/>
          <w:szCs w:val="14"/>
        </w:rPr>
        <w:t>公司负责人：刘祥</w:t>
        <w:tab/>
        <w:t>主管会计工作负责人：赵辉</w:t>
        <w:tab/>
      </w:r>
      <w:r>
        <w:rPr>
          <w:rFonts w:ascii="宋体" w:hAnsi="宋体" w:cs="宋体" w:eastAsia="宋体" w:hint="default"/>
          <w:w w:val="110"/>
          <w:sz w:val="14"/>
          <w:szCs w:val="14"/>
        </w:rPr>
        <w:t>会计机构负责人：赵辉</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0" w:footer="1175" w:top="1580" w:bottom="1380" w:left="168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75" w:top="1580" w:bottom="1380" w:left="1680" w:right="1620"/>
        </w:sectPr>
      </w:pPr>
    </w:p>
    <w:p>
      <w:pPr>
        <w:spacing w:line="284" w:lineRule="exact" w:before="71"/>
        <w:ind w:left="3482" w:right="0" w:hanging="830"/>
        <w:jc w:val="left"/>
        <w:rPr>
          <w:rFonts w:ascii="黑体" w:hAnsi="黑体" w:cs="黑体" w:eastAsia="黑体" w:hint="default"/>
          <w:sz w:val="23"/>
          <w:szCs w:val="23"/>
        </w:rPr>
      </w:pPr>
      <w:r>
        <w:rPr>
          <w:rFonts w:ascii="黑体" w:hAnsi="黑体" w:cs="黑体" w:eastAsia="黑体" w:hint="default"/>
          <w:sz w:val="23"/>
          <w:szCs w:val="23"/>
        </w:rPr>
        <w:t>深圳市新国都技术股份有限公司</w:t>
      </w:r>
      <w:r>
        <w:rPr>
          <w:rFonts w:ascii="黑体" w:hAnsi="黑体" w:cs="黑体" w:eastAsia="黑体" w:hint="default"/>
          <w:spacing w:val="-20"/>
          <w:sz w:val="23"/>
          <w:szCs w:val="23"/>
        </w:rPr>
        <w:t> </w:t>
      </w:r>
      <w:r>
        <w:rPr>
          <w:rFonts w:ascii="黑体" w:hAnsi="黑体" w:cs="黑体" w:eastAsia="黑体" w:hint="default"/>
          <w:w w:val="105"/>
          <w:sz w:val="23"/>
          <w:szCs w:val="23"/>
        </w:rPr>
        <w:t>合并现金流量表</w:t>
      </w:r>
      <w:r>
        <w:rPr>
          <w:rFonts w:ascii="黑体" w:hAnsi="黑体" w:cs="黑体" w:eastAsia="黑体" w:hint="default"/>
          <w:sz w:val="23"/>
          <w:szCs w:val="23"/>
        </w:rPr>
      </w:r>
    </w:p>
    <w:p>
      <w:pPr>
        <w:spacing w:before="10"/>
        <w:ind w:left="3948" w:right="0" w:firstLine="0"/>
        <w:jc w:val="left"/>
        <w:rPr>
          <w:rFonts w:ascii="黑体" w:hAnsi="黑体" w:cs="黑体" w:eastAsia="黑体" w:hint="default"/>
          <w:sz w:val="12"/>
          <w:szCs w:val="12"/>
        </w:rPr>
      </w:pPr>
      <w:r>
        <w:rPr>
          <w:rFonts w:ascii="黑体" w:hAnsi="黑体" w:cs="黑体" w:eastAsia="黑体" w:hint="default"/>
          <w:w w:val="110"/>
          <w:sz w:val="12"/>
          <w:szCs w:val="12"/>
        </w:rPr>
        <w:t>2011年度</w:t>
      </w:r>
      <w:r>
        <w:rPr>
          <w:rFonts w:ascii="黑体" w:hAnsi="黑体" w:cs="黑体" w:eastAsia="黑体" w:hint="default"/>
          <w:sz w:val="12"/>
          <w:szCs w:val="12"/>
        </w:rPr>
      </w:r>
    </w:p>
    <w:p>
      <w:pPr>
        <w:spacing w:line="240" w:lineRule="auto" w:before="0"/>
        <w:rPr>
          <w:rFonts w:ascii="黑体" w:hAnsi="黑体" w:cs="黑体" w:eastAsia="黑体" w:hint="default"/>
          <w:sz w:val="12"/>
          <w:szCs w:val="12"/>
        </w:rPr>
      </w:pPr>
      <w:r>
        <w:rPr/>
        <w:br w:type="column"/>
      </w:r>
      <w:r>
        <w:rPr>
          <w:rFonts w:ascii="黑体"/>
          <w:sz w:val="12"/>
        </w:rPr>
      </w:r>
    </w:p>
    <w:p>
      <w:pPr>
        <w:spacing w:line="240" w:lineRule="auto" w:before="0"/>
        <w:rPr>
          <w:rFonts w:ascii="黑体" w:hAnsi="黑体" w:cs="黑体" w:eastAsia="黑体" w:hint="default"/>
          <w:sz w:val="12"/>
          <w:szCs w:val="12"/>
        </w:rPr>
      </w:pPr>
    </w:p>
    <w:p>
      <w:pPr>
        <w:spacing w:line="240" w:lineRule="auto" w:before="0"/>
        <w:rPr>
          <w:rFonts w:ascii="黑体" w:hAnsi="黑体" w:cs="黑体" w:eastAsia="黑体" w:hint="default"/>
          <w:sz w:val="12"/>
          <w:szCs w:val="12"/>
        </w:rPr>
      </w:pPr>
    </w:p>
    <w:p>
      <w:pPr>
        <w:spacing w:line="240" w:lineRule="auto" w:before="0"/>
        <w:rPr>
          <w:rFonts w:ascii="黑体" w:hAnsi="黑体" w:cs="黑体" w:eastAsia="黑体" w:hint="default"/>
          <w:sz w:val="12"/>
          <w:szCs w:val="12"/>
        </w:rPr>
      </w:pPr>
    </w:p>
    <w:p>
      <w:pPr>
        <w:spacing w:line="240" w:lineRule="auto" w:before="11"/>
        <w:rPr>
          <w:rFonts w:ascii="黑体" w:hAnsi="黑体" w:cs="黑体" w:eastAsia="黑体" w:hint="default"/>
          <w:sz w:val="17"/>
          <w:szCs w:val="17"/>
        </w:rPr>
      </w:pPr>
    </w:p>
    <w:p>
      <w:pPr>
        <w:spacing w:before="0"/>
        <w:ind w:left="1475" w:right="0" w:firstLine="0"/>
        <w:jc w:val="left"/>
        <w:rPr>
          <w:rFonts w:ascii="宋体" w:hAnsi="宋体" w:cs="宋体" w:eastAsia="宋体" w:hint="default"/>
          <w:sz w:val="12"/>
          <w:szCs w:val="12"/>
        </w:rPr>
      </w:pPr>
      <w:r>
        <w:rPr>
          <w:rFonts w:ascii="宋体" w:hAnsi="宋体" w:cs="宋体" w:eastAsia="宋体" w:hint="default"/>
          <w:w w:val="110"/>
          <w:sz w:val="12"/>
          <w:szCs w:val="12"/>
        </w:rPr>
        <w:t>单位：人民币元</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40"/>
          <w:pgMar w:top="1580" w:bottom="280" w:left="1680" w:right="1620"/>
          <w:cols w:num="2" w:equalWidth="0">
            <w:col w:w="5968" w:space="40"/>
            <w:col w:w="2602"/>
          </w:cols>
        </w:sectPr>
      </w:pPr>
    </w:p>
    <w:p>
      <w:pPr>
        <w:spacing w:line="240" w:lineRule="auto" w:before="8"/>
        <w:rPr>
          <w:rFonts w:ascii="宋体" w:hAnsi="宋体" w:cs="宋体" w:eastAsia="宋体" w:hint="default"/>
          <w:sz w:val="16"/>
          <w:szCs w:val="16"/>
        </w:rPr>
      </w:pPr>
    </w:p>
    <w:p>
      <w:pPr>
        <w:tabs>
          <w:tab w:pos="4632" w:val="left" w:leader="none"/>
          <w:tab w:pos="5976" w:val="left" w:leader="none"/>
          <w:tab w:pos="7597" w:val="left" w:leader="none"/>
        </w:tabs>
        <w:spacing w:line="338" w:lineRule="auto" w:before="69"/>
        <w:ind w:left="149" w:right="615" w:firstLine="1737"/>
        <w:jc w:val="left"/>
        <w:rPr>
          <w:rFonts w:ascii="宋体" w:hAnsi="宋体" w:cs="宋体" w:eastAsia="宋体" w:hint="default"/>
          <w:sz w:val="12"/>
          <w:szCs w:val="12"/>
        </w:rPr>
      </w:pPr>
      <w:r>
        <w:rPr/>
        <w:pict>
          <v:group style="position:absolute;margin-left:90.066681pt;margin-top:13.01348pt;width:195.65pt;height:.6pt;mso-position-horizontal-relative:page;mso-position-vertical-relative:paragraph;z-index:-649696" coordorigin="1801,260" coordsize="3913,12">
            <v:group style="position:absolute;left:1808;top:261;width:3901;height:2" coordorigin="1808,261" coordsize="3901,2">
              <v:shape style="position:absolute;left:1808;top:261;width:3901;height:2" coordorigin="1808,261" coordsize="3901,0" path="m1808,261l5708,261e" filled="false" stroked="true" strokeweight=".080766pt" strokecolor="#000000">
                <v:path arrowok="t"/>
              </v:shape>
            </v:group>
            <v:group style="position:absolute;left:1807;top:266;width:3902;height:2" coordorigin="1807,266" coordsize="3902,2">
              <v:shape style="position:absolute;left:1807;top:266;width:3902;height:2" coordorigin="1807,266" coordsize="3902,0" path="m1807,266l5708,266e" filled="false" stroked="true" strokeweight=".553825pt" strokecolor="#000000">
                <v:path arrowok="t"/>
              </v:shape>
            </v:group>
            <w10:wrap type="none"/>
          </v:group>
        </w:pict>
      </w:r>
      <w:r>
        <w:rPr/>
        <w:pict>
          <v:group style="position:absolute;margin-left:302.794159pt;margin-top:13.01348pt;width:38.3pt;height:.6pt;mso-position-horizontal-relative:page;mso-position-vertical-relative:paragraph;z-index:-649672" coordorigin="6056,260" coordsize="766,12">
            <v:group style="position:absolute;left:6062;top:261;width:754;height:2" coordorigin="6062,261" coordsize="754,2">
              <v:shape style="position:absolute;left:6062;top:261;width:754;height:2" coordorigin="6062,261" coordsize="754,0" path="m6062,261l6815,261e" filled="false" stroked="true" strokeweight=".080766pt" strokecolor="#000000">
                <v:path arrowok="t"/>
              </v:shape>
            </v:group>
            <v:group style="position:absolute;left:6061;top:266;width:755;height:2" coordorigin="6061,266" coordsize="755,2">
              <v:shape style="position:absolute;left:6061;top:266;width:755;height:2" coordorigin="6061,266" coordsize="755,0" path="m6061,266l6816,266e" filled="false" stroked="true" strokeweight=".553825pt" strokecolor="#000000">
                <v:path arrowok="t"/>
              </v:shape>
            </v:group>
            <w10:wrap type="none"/>
          </v:group>
        </w:pict>
      </w:r>
      <w:r>
        <w:rPr/>
        <w:pict>
          <v:group style="position:absolute;margin-left:358.178345pt;margin-top:13.01348pt;width:68.45pt;height:.6pt;mso-position-horizontal-relative:page;mso-position-vertical-relative:paragraph;z-index:-649648" coordorigin="7164,260" coordsize="1369,12">
            <v:group style="position:absolute;left:7170;top:261;width:1356;height:2" coordorigin="7170,261" coordsize="1356,2">
              <v:shape style="position:absolute;left:7170;top:261;width:1356;height:2" coordorigin="7170,261" coordsize="1356,0" path="m7170,261l8526,261e" filled="false" stroked="true" strokeweight=".080766pt" strokecolor="#000000">
                <v:path arrowok="t"/>
              </v:shape>
            </v:group>
            <v:group style="position:absolute;left:7169;top:266;width:1358;height:2" coordorigin="7169,266" coordsize="1358,2">
              <v:shape style="position:absolute;left:7169;top:266;width:1358;height:2" coordorigin="7169,266" coordsize="1358,0" path="m7169,266l8526,266e" filled="false" stroked="true" strokeweight=".553825pt" strokecolor="#000000">
                <v:path arrowok="t"/>
              </v:shape>
            </v:group>
            <w10:wrap type="none"/>
          </v:group>
        </w:pict>
      </w:r>
      <w:r>
        <w:rPr/>
        <w:pict>
          <v:group style="position:absolute;margin-left:438.383179pt;margin-top:13.01348pt;width:70.2pt;height:.6pt;mso-position-horizontal-relative:page;mso-position-vertical-relative:paragraph;z-index:-649576" coordorigin="8768,260" coordsize="1404,12">
            <v:group style="position:absolute;left:8774;top:261;width:1392;height:2" coordorigin="8774,261" coordsize="1392,2">
              <v:shape style="position:absolute;left:8774;top:261;width:1392;height:2" coordorigin="8774,261" coordsize="1392,0" path="m8774,261l10165,261e" filled="false" stroked="true" strokeweight=".080766pt" strokecolor="#000000">
                <v:path arrowok="t"/>
              </v:shape>
            </v:group>
            <v:group style="position:absolute;left:8773;top:266;width:1393;height:2" coordorigin="8773,266" coordsize="1393,2">
              <v:shape style="position:absolute;left:8773;top:266;width:1393;height:2" coordorigin="8773,266" coordsize="1393,0" path="m8773,266l10166,266e" filled="false" stroked="true" strokeweight=".553825pt" strokecolor="#000000">
                <v:path arrowok="t"/>
              </v:shape>
            </v:group>
            <w10:wrap type="none"/>
          </v:group>
        </w:pict>
      </w:r>
      <w:r>
        <w:rPr/>
        <w:pict>
          <v:shape style="position:absolute;margin-left:102.77346pt;margin-top:23.75186pt;width:405.55pt;height:112.5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7"/>
                    <w:gridCol w:w="2087"/>
                    <w:gridCol w:w="1357"/>
                    <w:gridCol w:w="247"/>
                    <w:gridCol w:w="1393"/>
                  </w:tblGrid>
                  <w:tr>
                    <w:trPr>
                      <w:trHeight w:val="242"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2"/>
                            <w:szCs w:val="12"/>
                          </w:rPr>
                        </w:pPr>
                        <w:r>
                          <w:rPr>
                            <w:rFonts w:ascii="宋体" w:hAnsi="宋体" w:cs="宋体" w:eastAsia="宋体" w:hint="default"/>
                            <w:w w:val="110"/>
                            <w:sz w:val="12"/>
                            <w:szCs w:val="12"/>
                          </w:rPr>
                          <w:t>销售商品、提供劳务收到的现金</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7"/>
                          <w:jc w:val="right"/>
                          <w:rPr>
                            <w:rFonts w:ascii="宋体" w:hAnsi="宋体" w:cs="宋体" w:eastAsia="宋体" w:hint="default"/>
                            <w:sz w:val="12"/>
                            <w:szCs w:val="12"/>
                          </w:rPr>
                        </w:pPr>
                        <w:r>
                          <w:rPr>
                            <w:rFonts w:ascii="宋体"/>
                            <w:w w:val="105"/>
                            <w:sz w:val="12"/>
                          </w:rPr>
                          <w:t>372,860,834.05</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7"/>
                          <w:jc w:val="right"/>
                          <w:rPr>
                            <w:rFonts w:ascii="宋体" w:hAnsi="宋体" w:cs="宋体" w:eastAsia="宋体" w:hint="default"/>
                            <w:sz w:val="12"/>
                            <w:szCs w:val="12"/>
                          </w:rPr>
                        </w:pPr>
                        <w:r>
                          <w:rPr>
                            <w:rFonts w:ascii="宋体"/>
                            <w:w w:val="105"/>
                            <w:sz w:val="12"/>
                          </w:rPr>
                          <w:t>179,029,033.94</w:t>
                        </w:r>
                        <w:r>
                          <w:rPr>
                            <w:rFonts w:ascii="宋体"/>
                            <w:sz w:val="12"/>
                          </w:rPr>
                        </w:r>
                      </w:p>
                    </w:tc>
                  </w:tr>
                  <w:tr>
                    <w:trPr>
                      <w:trHeight w:val="222"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2"/>
                            <w:szCs w:val="12"/>
                          </w:rPr>
                        </w:pPr>
                        <w:r>
                          <w:rPr>
                            <w:rFonts w:ascii="宋体" w:hAnsi="宋体" w:cs="宋体" w:eastAsia="宋体" w:hint="default"/>
                            <w:w w:val="110"/>
                            <w:sz w:val="12"/>
                            <w:szCs w:val="12"/>
                          </w:rPr>
                          <w:t>收到的税费返还</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23,051,982.63</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8,275,568.46</w:t>
                        </w:r>
                        <w:r>
                          <w:rPr>
                            <w:rFonts w:ascii="宋体"/>
                            <w:sz w:val="12"/>
                          </w:rPr>
                        </w:r>
                      </w:p>
                    </w:tc>
                  </w:tr>
                  <w:tr>
                    <w:trPr>
                      <w:trHeight w:val="213"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2"/>
                            <w:szCs w:val="12"/>
                          </w:rPr>
                        </w:pPr>
                        <w:r>
                          <w:rPr>
                            <w:rFonts w:ascii="宋体" w:hAnsi="宋体" w:cs="宋体" w:eastAsia="宋体" w:hint="default"/>
                            <w:w w:val="110"/>
                            <w:sz w:val="12"/>
                            <w:szCs w:val="12"/>
                          </w:rPr>
                          <w:t>收到其他与经营活动有关的现金</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8"/>
                          <w:jc w:val="right"/>
                          <w:rPr>
                            <w:rFonts w:ascii="宋体" w:hAnsi="宋体" w:cs="宋体" w:eastAsia="宋体" w:hint="default"/>
                            <w:sz w:val="12"/>
                            <w:szCs w:val="12"/>
                          </w:rPr>
                        </w:pPr>
                        <w:r>
                          <w:rPr>
                            <w:rFonts w:ascii="宋体" w:hAnsi="宋体" w:cs="宋体" w:eastAsia="宋体" w:hint="default"/>
                            <w:w w:val="105"/>
                            <w:sz w:val="12"/>
                            <w:szCs w:val="12"/>
                          </w:rPr>
                          <w:t>五(三十三)</w:t>
                        </w:r>
                        <w:r>
                          <w:rPr>
                            <w:rFonts w:ascii="宋体" w:hAnsi="宋体" w:cs="宋体" w:eastAsia="宋体" w:hint="default"/>
                            <w:sz w:val="12"/>
                            <w:szCs w:val="12"/>
                          </w:rPr>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9,453,655.55</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7,889,750.77</w:t>
                        </w:r>
                        <w:r>
                          <w:rPr>
                            <w:rFonts w:ascii="宋体"/>
                            <w:sz w:val="12"/>
                          </w:rPr>
                        </w:r>
                      </w:p>
                    </w:tc>
                  </w:tr>
                  <w:tr>
                    <w:trPr>
                      <w:trHeight w:val="221"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2"/>
                            <w:szCs w:val="12"/>
                          </w:rPr>
                        </w:pPr>
                        <w:r>
                          <w:rPr>
                            <w:rFonts w:ascii="宋体" w:hAnsi="宋体" w:cs="宋体" w:eastAsia="宋体" w:hint="default"/>
                            <w:w w:val="110"/>
                            <w:sz w:val="12"/>
                            <w:szCs w:val="12"/>
                          </w:rPr>
                          <w:t>经营活动现金流入小计</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405,366,472.23</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195,194,353.17</w:t>
                        </w:r>
                        <w:r>
                          <w:rPr>
                            <w:rFonts w:ascii="宋体"/>
                            <w:sz w:val="12"/>
                          </w:rPr>
                        </w:r>
                      </w:p>
                    </w:tc>
                  </w:tr>
                  <w:tr>
                    <w:trPr>
                      <w:trHeight w:val="230"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2"/>
                            <w:szCs w:val="12"/>
                          </w:rPr>
                        </w:pPr>
                        <w:r>
                          <w:rPr>
                            <w:rFonts w:ascii="宋体" w:hAnsi="宋体" w:cs="宋体" w:eastAsia="宋体" w:hint="default"/>
                            <w:w w:val="110"/>
                            <w:sz w:val="12"/>
                            <w:szCs w:val="12"/>
                          </w:rPr>
                          <w:t>购买商品、接受劳务支付的现金</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202,948,626.72</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118,195,225.52</w:t>
                        </w:r>
                        <w:r>
                          <w:rPr>
                            <w:rFonts w:ascii="宋体"/>
                            <w:sz w:val="12"/>
                          </w:rPr>
                        </w:r>
                      </w:p>
                    </w:tc>
                  </w:tr>
                  <w:tr>
                    <w:trPr>
                      <w:trHeight w:val="222"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2"/>
                            <w:szCs w:val="12"/>
                          </w:rPr>
                        </w:pPr>
                        <w:r>
                          <w:rPr>
                            <w:rFonts w:ascii="宋体" w:hAnsi="宋体" w:cs="宋体" w:eastAsia="宋体" w:hint="default"/>
                            <w:w w:val="110"/>
                            <w:sz w:val="12"/>
                            <w:szCs w:val="12"/>
                          </w:rPr>
                          <w:t>支付给职工以及为职工支付的现金</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45,053,509.37</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25,685,775.63</w:t>
                        </w:r>
                        <w:r>
                          <w:rPr>
                            <w:rFonts w:ascii="宋体"/>
                            <w:sz w:val="12"/>
                          </w:rPr>
                        </w:r>
                      </w:p>
                    </w:tc>
                  </w:tr>
                  <w:tr>
                    <w:trPr>
                      <w:trHeight w:val="222"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2"/>
                            <w:szCs w:val="12"/>
                          </w:rPr>
                        </w:pPr>
                        <w:r>
                          <w:rPr>
                            <w:rFonts w:ascii="宋体" w:hAnsi="宋体" w:cs="宋体" w:eastAsia="宋体" w:hint="default"/>
                            <w:w w:val="110"/>
                            <w:sz w:val="12"/>
                            <w:szCs w:val="12"/>
                          </w:rPr>
                          <w:t>支付的各项税费</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45,050,264.88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22,542,648.09</w:t>
                        </w:r>
                        <w:r>
                          <w:rPr>
                            <w:rFonts w:ascii="宋体"/>
                            <w:sz w:val="12"/>
                          </w:rPr>
                        </w:r>
                      </w:p>
                    </w:tc>
                  </w:tr>
                  <w:tr>
                    <w:trPr>
                      <w:trHeight w:val="214"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2"/>
                            <w:szCs w:val="12"/>
                          </w:rPr>
                        </w:pPr>
                        <w:r>
                          <w:rPr>
                            <w:rFonts w:ascii="宋体" w:hAnsi="宋体" w:cs="宋体" w:eastAsia="宋体" w:hint="default"/>
                            <w:w w:val="110"/>
                            <w:sz w:val="12"/>
                            <w:szCs w:val="12"/>
                          </w:rPr>
                          <w:t>支付其他与经营活动有关的现金</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8"/>
                          <w:jc w:val="right"/>
                          <w:rPr>
                            <w:rFonts w:ascii="宋体" w:hAnsi="宋体" w:cs="宋体" w:eastAsia="宋体" w:hint="default"/>
                            <w:sz w:val="12"/>
                            <w:szCs w:val="12"/>
                          </w:rPr>
                        </w:pPr>
                        <w:r>
                          <w:rPr>
                            <w:rFonts w:ascii="宋体" w:hAnsi="宋体" w:cs="宋体" w:eastAsia="宋体" w:hint="default"/>
                            <w:w w:val="105"/>
                            <w:sz w:val="12"/>
                            <w:szCs w:val="12"/>
                          </w:rPr>
                          <w:t>五(三十三)</w:t>
                        </w:r>
                        <w:r>
                          <w:rPr>
                            <w:rFonts w:ascii="宋体" w:hAnsi="宋体" w:cs="宋体" w:eastAsia="宋体" w:hint="default"/>
                            <w:sz w:val="12"/>
                            <w:szCs w:val="12"/>
                          </w:rPr>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73,524,811.48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31,775,327.97</w:t>
                        </w:r>
                        <w:r>
                          <w:rPr>
                            <w:rFonts w:ascii="宋体"/>
                            <w:sz w:val="12"/>
                          </w:rPr>
                        </w:r>
                      </w:p>
                    </w:tc>
                  </w:tr>
                  <w:tr>
                    <w:trPr>
                      <w:trHeight w:val="221"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2"/>
                            <w:szCs w:val="12"/>
                          </w:rPr>
                        </w:pPr>
                        <w:r>
                          <w:rPr>
                            <w:rFonts w:ascii="宋体" w:hAnsi="宋体" w:cs="宋体" w:eastAsia="宋体" w:hint="default"/>
                            <w:w w:val="110"/>
                            <w:sz w:val="12"/>
                            <w:szCs w:val="12"/>
                          </w:rPr>
                          <w:t>经营活动现金流出小计</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366,577,212.45</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198,198,977.21</w:t>
                        </w:r>
                        <w:r>
                          <w:rPr>
                            <w:rFonts w:ascii="宋体"/>
                            <w:sz w:val="12"/>
                          </w:rPr>
                        </w:r>
                      </w:p>
                    </w:tc>
                  </w:tr>
                  <w:tr>
                    <w:trPr>
                      <w:trHeight w:val="233" w:hRule="exact"/>
                    </w:trPr>
                    <w:tc>
                      <w:tcPr>
                        <w:tcW w:w="3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2"/>
                            <w:szCs w:val="12"/>
                          </w:rPr>
                        </w:pPr>
                        <w:r>
                          <w:rPr>
                            <w:rFonts w:ascii="宋体" w:hAnsi="宋体" w:cs="宋体" w:eastAsia="宋体" w:hint="default"/>
                            <w:w w:val="110"/>
                            <w:sz w:val="12"/>
                            <w:szCs w:val="12"/>
                          </w:rPr>
                          <w:t>经营活动产生的现金流量净额</w:t>
                        </w:r>
                        <w:r>
                          <w:rPr>
                            <w:rFonts w:ascii="宋体" w:hAnsi="宋体" w:cs="宋体" w:eastAsia="宋体" w:hint="default"/>
                            <w:sz w:val="12"/>
                            <w:szCs w:val="12"/>
                          </w:rPr>
                        </w:r>
                      </w:p>
                    </w:tc>
                    <w:tc>
                      <w:tcPr>
                        <w:tcW w:w="2087"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38,789,259.78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22"/>
                          <w:jc w:val="right"/>
                          <w:rPr>
                            <w:rFonts w:ascii="宋体" w:hAnsi="宋体" w:cs="宋体" w:eastAsia="宋体" w:hint="default"/>
                            <w:sz w:val="12"/>
                            <w:szCs w:val="12"/>
                          </w:rPr>
                        </w:pPr>
                        <w:r>
                          <w:rPr>
                            <w:rFonts w:ascii="宋体"/>
                            <w:w w:val="105"/>
                            <w:sz w:val="12"/>
                          </w:rPr>
                          <w:t>(3,004,624.04)</w:t>
                        </w:r>
                        <w:r>
                          <w:rPr>
                            <w:rFonts w:ascii="宋体"/>
                            <w:sz w:val="12"/>
                          </w:rPr>
                        </w:r>
                      </w:p>
                    </w:tc>
                  </w:tr>
                </w:tbl>
                <w:p>
                  <w:pPr/>
                </w:p>
              </w:txbxContent>
            </v:textbox>
            <w10:wrap type="none"/>
          </v:shape>
        </w:pict>
      </w:r>
      <w:r>
        <w:rPr>
          <w:rFonts w:ascii="宋体" w:hAnsi="宋体" w:cs="宋体" w:eastAsia="宋体" w:hint="default"/>
          <w:w w:val="110"/>
          <w:sz w:val="12"/>
          <w:szCs w:val="12"/>
        </w:rPr>
        <w:t>项</w:t>
      </w:r>
      <w:r>
        <w:rPr>
          <w:rFonts w:ascii="宋体" w:hAnsi="宋体" w:cs="宋体" w:eastAsia="宋体" w:hint="default"/>
          <w:spacing w:val="-5"/>
          <w:w w:val="110"/>
          <w:sz w:val="12"/>
          <w:szCs w:val="12"/>
        </w:rPr>
        <w:t> </w:t>
      </w:r>
      <w:r>
        <w:rPr>
          <w:rFonts w:ascii="宋体" w:hAnsi="宋体" w:cs="宋体" w:eastAsia="宋体" w:hint="default"/>
          <w:w w:val="110"/>
          <w:sz w:val="12"/>
          <w:szCs w:val="12"/>
        </w:rPr>
        <w:t>目</w:t>
        <w:tab/>
      </w:r>
      <w:r>
        <w:rPr>
          <w:rFonts w:ascii="宋体" w:hAnsi="宋体" w:cs="宋体" w:eastAsia="宋体" w:hint="default"/>
          <w:w w:val="105"/>
          <w:sz w:val="12"/>
          <w:szCs w:val="12"/>
        </w:rPr>
        <w:t>附注</w:t>
        <w:tab/>
        <w:t>本期数</w:t>
        <w:tab/>
        <w:t>上期数</w:t>
      </w:r>
      <w:r>
        <w:rPr>
          <w:rFonts w:ascii="宋体" w:hAnsi="宋体" w:cs="宋体" w:eastAsia="宋体" w:hint="default"/>
          <w:w w:val="108"/>
          <w:sz w:val="12"/>
          <w:szCs w:val="12"/>
        </w:rPr>
        <w:t> </w:t>
      </w:r>
      <w:r>
        <w:rPr>
          <w:rFonts w:ascii="宋体" w:hAnsi="宋体" w:cs="宋体" w:eastAsia="宋体" w:hint="default"/>
          <w:b/>
          <w:bCs/>
          <w:w w:val="110"/>
          <w:sz w:val="12"/>
          <w:szCs w:val="12"/>
        </w:rPr>
        <w:t>一、经营活动产生的现金流量：</w:t>
      </w:r>
      <w:r>
        <w:rPr>
          <w:rFonts w:ascii="宋体" w:hAnsi="宋体" w:cs="宋体" w:eastAsia="宋体" w:hint="default"/>
          <w:sz w:val="12"/>
          <w:szCs w:val="1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tabs>
          <w:tab w:pos="7087" w:val="left" w:leader="none"/>
        </w:tabs>
        <w:spacing w:line="20" w:lineRule="exact"/>
        <w:ind w:left="5483" w:right="0" w:firstLine="0"/>
        <w:rPr>
          <w:rFonts w:ascii="宋体" w:hAnsi="宋体" w:cs="宋体" w:eastAsia="宋体" w:hint="default"/>
          <w:sz w:val="2"/>
          <w:szCs w:val="2"/>
        </w:rPr>
      </w:pPr>
      <w:r>
        <w:rPr>
          <w:rFonts w:ascii="宋体"/>
          <w:sz w:val="2"/>
        </w:rPr>
        <w:pict>
          <v:group style="width:68.45pt;height:.6pt;mso-position-horizontal-relative:char;mso-position-vertical-relative:line" coordorigin="0,0" coordsize="1369,12">
            <v:group style="position:absolute;left:6;top:6;width:1358;height:2" coordorigin="6,6" coordsize="1358,2">
              <v:shape style="position:absolute;left:6;top:6;width:1358;height:2" coordorigin="6,6" coordsize="1358,0" path="m6,6l1363,6e" filled="false" stroked="true" strokeweight=".55382pt" strokecolor="#000000">
                <v:path arrowok="t"/>
              </v:shape>
            </v:group>
          </v:group>
        </w:pict>
      </w:r>
      <w:r>
        <w:rPr>
          <w:rFonts w:ascii="宋体"/>
          <w:sz w:val="2"/>
        </w:rPr>
      </w:r>
      <w:r>
        <w:rPr>
          <w:rFonts w:ascii="宋体"/>
          <w:sz w:val="2"/>
        </w:rPr>
        <w:tab/>
      </w:r>
      <w:r>
        <w:rPr>
          <w:rFonts w:ascii="宋体"/>
          <w:sz w:val="2"/>
        </w:rPr>
        <w:pict>
          <v:group style="width:70.2pt;height:.6pt;mso-position-horizontal-relative:char;mso-position-vertical-relative:line" coordorigin="0,0" coordsize="1404,12">
            <v:group style="position:absolute;left:6;top:6;width:1393;height:2" coordorigin="6,6" coordsize="1393,2">
              <v:shape style="position:absolute;left:6;top:6;width:1393;height:2" coordorigin="6,6" coordsize="1393,0" path="m6,6l1398,6e" filled="false" stroked="true" strokeweight=".55382pt" strokecolor="#000000">
                <v:path arrowok="t"/>
              </v:shape>
            </v:group>
          </v:group>
        </w:pict>
      </w:r>
      <w:r>
        <w:rPr>
          <w:rFonts w:ascii="宋体"/>
          <w:sz w:val="2"/>
        </w:rPr>
      </w:r>
    </w:p>
    <w:p>
      <w:pPr>
        <w:spacing w:line="240" w:lineRule="auto" w:before="3"/>
        <w:rPr>
          <w:rFonts w:ascii="宋体" w:hAnsi="宋体" w:cs="宋体" w:eastAsia="宋体" w:hint="default"/>
          <w:b/>
          <w:bCs/>
          <w:sz w:val="13"/>
          <w:szCs w:val="13"/>
        </w:rPr>
      </w:pPr>
    </w:p>
    <w:p>
      <w:pPr>
        <w:spacing w:before="69"/>
        <w:ind w:left="149" w:right="615" w:firstLine="0"/>
        <w:jc w:val="left"/>
        <w:rPr>
          <w:rFonts w:ascii="宋体" w:hAnsi="宋体" w:cs="宋体" w:eastAsia="宋体" w:hint="default"/>
          <w:sz w:val="12"/>
          <w:szCs w:val="12"/>
        </w:rPr>
      </w:pPr>
      <w:r>
        <w:rPr>
          <w:rFonts w:ascii="宋体" w:hAnsi="宋体" w:cs="宋体" w:eastAsia="宋体" w:hint="default"/>
          <w:b/>
          <w:bCs/>
          <w:w w:val="110"/>
          <w:sz w:val="12"/>
          <w:szCs w:val="12"/>
        </w:rPr>
        <w:t>二、投资活动产生的现金流量：</w:t>
      </w:r>
      <w:r>
        <w:rPr>
          <w:rFonts w:ascii="宋体" w:hAnsi="宋体" w:cs="宋体" w:eastAsia="宋体" w:hint="default"/>
          <w:sz w:val="12"/>
          <w:szCs w:val="12"/>
        </w:rPr>
      </w:r>
    </w:p>
    <w:p>
      <w:pPr>
        <w:tabs>
          <w:tab w:pos="6561" w:val="left" w:leader="none"/>
          <w:tab w:pos="8200" w:val="left" w:leader="none"/>
        </w:tabs>
        <w:spacing w:before="64"/>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收回投资所收到的现金</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tabs>
          <w:tab w:pos="6561" w:val="left" w:leader="none"/>
          <w:tab w:pos="8200" w:val="left" w:leader="none"/>
        </w:tabs>
        <w:spacing w:before="64"/>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取得投资收益收到的现金</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tabs>
          <w:tab w:pos="6561" w:val="left" w:leader="none"/>
          <w:tab w:pos="8200" w:val="left" w:leader="none"/>
        </w:tabs>
        <w:spacing w:before="64"/>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处置固定资产、无形资产和其他长期资产收回的现金净额</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tabs>
          <w:tab w:pos="5973" w:val="left" w:leader="none"/>
          <w:tab w:pos="6561" w:val="left" w:leader="none"/>
          <w:tab w:pos="8200" w:val="left" w:leader="none"/>
        </w:tabs>
        <w:spacing w:line="338" w:lineRule="auto" w:before="64"/>
        <w:ind w:left="410" w:right="338" w:firstLine="0"/>
        <w:jc w:val="left"/>
        <w:rPr>
          <w:rFonts w:ascii="宋体" w:hAnsi="宋体" w:cs="宋体" w:eastAsia="宋体" w:hint="default"/>
          <w:sz w:val="12"/>
          <w:szCs w:val="12"/>
        </w:rPr>
      </w:pPr>
      <w:r>
        <w:rPr>
          <w:rFonts w:ascii="宋体" w:hAnsi="宋体" w:cs="宋体" w:eastAsia="宋体" w:hint="default"/>
          <w:w w:val="105"/>
          <w:sz w:val="12"/>
          <w:szCs w:val="12"/>
        </w:rPr>
        <w:t>处置子公司及其他营业单位收到的现金净额</w:t>
        <w:tab/>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w w:val="108"/>
          <w:sz w:val="12"/>
          <w:szCs w:val="12"/>
        </w:rPr>
        <w:t> </w:t>
      </w:r>
      <w:r>
        <w:rPr>
          <w:rFonts w:ascii="宋体" w:hAnsi="宋体" w:cs="宋体" w:eastAsia="宋体" w:hint="default"/>
          <w:w w:val="105"/>
          <w:sz w:val="12"/>
          <w:szCs w:val="12"/>
        </w:rPr>
        <w:t>收到其他与投资活动有关的现金</w:t>
        <w:tab/>
      </w:r>
      <w:r>
        <w:rPr>
          <w:rFonts w:ascii="宋体" w:hAnsi="宋体" w:cs="宋体" w:eastAsia="宋体" w:hint="default"/>
          <w:w w:val="105"/>
          <w:sz w:val="12"/>
          <w:szCs w:val="12"/>
        </w:rPr>
        <w:t>1,900,000.00</w:t>
        <w:tab/>
      </w:r>
      <w:r>
        <w:rPr>
          <w:rFonts w:ascii="宋体" w:hAnsi="宋体" w:cs="宋体" w:eastAsia="宋体" w:hint="default"/>
          <w:w w:val="110"/>
          <w:sz w:val="12"/>
          <w:szCs w:val="12"/>
        </w:rPr>
        <w:t>-</w:t>
      </w:r>
      <w:r>
        <w:rPr>
          <w:rFonts w:ascii="宋体" w:hAnsi="宋体" w:cs="宋体" w:eastAsia="宋体" w:hint="default"/>
          <w:sz w:val="12"/>
          <w:szCs w:val="12"/>
        </w:rPr>
      </w:r>
    </w:p>
    <w:p>
      <w:pPr>
        <w:tabs>
          <w:tab w:pos="7093" w:val="left" w:leader="none"/>
        </w:tabs>
        <w:spacing w:line="20" w:lineRule="exact"/>
        <w:ind w:left="5489" w:right="0" w:firstLine="0"/>
        <w:rPr>
          <w:rFonts w:ascii="宋体" w:hAnsi="宋体" w:cs="宋体" w:eastAsia="宋体" w:hint="default"/>
          <w:sz w:val="2"/>
          <w:szCs w:val="2"/>
        </w:rPr>
      </w:pPr>
      <w:r>
        <w:rPr>
          <w:rFonts w:ascii="宋体"/>
          <w:sz w:val="2"/>
        </w:rPr>
        <w:pict>
          <v:group style="width:67.9pt;height:.6pt;mso-position-horizontal-relative:char;mso-position-vertical-relative:line" coordorigin="0,0" coordsize="1358,12">
            <v:shape style="position:absolute;left:0;top:0;width:1357;height:11" type="#_x0000_t75" stroked="false">
              <v:imagedata r:id="rId45" o:title=""/>
            </v:shape>
          </v:group>
        </w:pict>
      </w:r>
      <w:r>
        <w:rPr>
          <w:rFonts w:ascii="宋体"/>
          <w:sz w:val="2"/>
        </w:rPr>
      </w:r>
      <w:r>
        <w:rPr>
          <w:rFonts w:ascii="宋体"/>
          <w:sz w:val="2"/>
        </w:rPr>
        <w:tab/>
      </w:r>
      <w:r>
        <w:rPr>
          <w:rFonts w:ascii="宋体"/>
          <w:sz w:val="2"/>
        </w:rPr>
        <w:pict>
          <v:group style="width:69.650pt;height:.6pt;mso-position-horizontal-relative:char;mso-position-vertical-relative:line" coordorigin="0,0" coordsize="1393,12">
            <v:shape style="position:absolute;left:0;top:0;width:1393;height:11" type="#_x0000_t75" stroked="false">
              <v:imagedata r:id="rId46" o:title=""/>
            </v:shape>
          </v:group>
        </w:pict>
      </w:r>
      <w:r>
        <w:rPr>
          <w:rFonts w:ascii="宋体"/>
          <w:sz w:val="2"/>
        </w:rPr>
      </w:r>
    </w:p>
    <w:p>
      <w:pPr>
        <w:tabs>
          <w:tab w:pos="5973" w:val="left" w:leader="none"/>
          <w:tab w:pos="8331" w:val="left" w:leader="none"/>
        </w:tabs>
        <w:spacing w:before="10"/>
        <w:ind w:left="540" w:right="0" w:firstLine="0"/>
        <w:jc w:val="left"/>
        <w:rPr>
          <w:rFonts w:ascii="宋体" w:hAnsi="宋体" w:cs="宋体" w:eastAsia="宋体" w:hint="default"/>
          <w:sz w:val="12"/>
          <w:szCs w:val="12"/>
        </w:rPr>
      </w:pPr>
      <w:r>
        <w:rPr>
          <w:rFonts w:ascii="宋体" w:hAnsi="宋体" w:cs="宋体" w:eastAsia="宋体" w:hint="default"/>
          <w:w w:val="105"/>
          <w:sz w:val="12"/>
          <w:szCs w:val="12"/>
        </w:rPr>
        <w:t>投资活动现金流入小计</w:t>
        <w:tab/>
      </w:r>
      <w:r>
        <w:rPr>
          <w:rFonts w:ascii="宋体" w:hAnsi="宋体" w:cs="宋体" w:eastAsia="宋体" w:hint="default"/>
          <w:w w:val="105"/>
          <w:sz w:val="12"/>
          <w:szCs w:val="12"/>
        </w:rPr>
        <w:t>1,900,000.00</w:t>
        <w:tab/>
      </w:r>
      <w:r>
        <w:rPr>
          <w:rFonts w:ascii="宋体" w:hAnsi="宋体" w:cs="宋体" w:eastAsia="宋体" w:hint="default"/>
          <w:w w:val="110"/>
          <w:sz w:val="12"/>
          <w:szCs w:val="12"/>
        </w:rPr>
        <w:t>-</w:t>
      </w:r>
      <w:r>
        <w:rPr>
          <w:rFonts w:ascii="宋体" w:hAnsi="宋体" w:cs="宋体" w:eastAsia="宋体" w:hint="default"/>
          <w:sz w:val="12"/>
          <w:szCs w:val="12"/>
        </w:rPr>
      </w:r>
    </w:p>
    <w:p>
      <w:pPr>
        <w:spacing w:line="240" w:lineRule="auto" w:before="8"/>
        <w:rPr>
          <w:rFonts w:ascii="宋体" w:hAnsi="宋体" w:cs="宋体" w:eastAsia="宋体" w:hint="default"/>
          <w:sz w:val="2"/>
          <w:szCs w:val="2"/>
        </w:rPr>
      </w:pPr>
    </w:p>
    <w:p>
      <w:pPr>
        <w:tabs>
          <w:tab w:pos="7087" w:val="left" w:leader="none"/>
        </w:tabs>
        <w:spacing w:line="20" w:lineRule="exact"/>
        <w:ind w:left="5483" w:right="0" w:firstLine="0"/>
        <w:rPr>
          <w:rFonts w:ascii="宋体" w:hAnsi="宋体" w:cs="宋体" w:eastAsia="宋体" w:hint="default"/>
          <w:sz w:val="2"/>
          <w:szCs w:val="2"/>
        </w:rPr>
      </w:pPr>
      <w:r>
        <w:rPr>
          <w:rFonts w:ascii="宋体"/>
          <w:sz w:val="2"/>
        </w:rPr>
        <w:pict>
          <v:group style="width:68.45pt;height:.6pt;mso-position-horizontal-relative:char;mso-position-vertical-relative:line" coordorigin="0,0" coordsize="1369,12">
            <v:group style="position:absolute;left:6;top:1;width:1356;height:2" coordorigin="6,1" coordsize="1356,2">
              <v:shape style="position:absolute;left:6;top:1;width:1356;height:2" coordorigin="6,1" coordsize="1356,0" path="m6,1l1362,1e" filled="false" stroked="true" strokeweight=".080766pt" strokecolor="#000000">
                <v:path arrowok="t"/>
              </v:shape>
            </v:group>
            <v:group style="position:absolute;left:6;top:6;width:1358;height:2" coordorigin="6,6" coordsize="1358,2">
              <v:shape style="position:absolute;left:6;top:6;width:1358;height:2" coordorigin="6,6" coordsize="1358,0" path="m6,6l1363,6e" filled="false" stroked="true" strokeweight=".55382pt" strokecolor="#000000">
                <v:path arrowok="t"/>
              </v:shape>
            </v:group>
          </v:group>
        </w:pict>
      </w:r>
      <w:r>
        <w:rPr>
          <w:rFonts w:ascii="宋体"/>
          <w:sz w:val="2"/>
        </w:rPr>
      </w:r>
      <w:r>
        <w:rPr>
          <w:rFonts w:ascii="宋体"/>
          <w:sz w:val="2"/>
        </w:rPr>
        <w:tab/>
      </w:r>
      <w:r>
        <w:rPr>
          <w:rFonts w:ascii="宋体"/>
          <w:sz w:val="2"/>
        </w:rPr>
        <w:pict>
          <v:group style="width:70.2pt;height:.6pt;mso-position-horizontal-relative:char;mso-position-vertical-relative:line" coordorigin="0,0" coordsize="1404,12">
            <v:group style="position:absolute;left:6;top:1;width:1392;height:2" coordorigin="6,1" coordsize="1392,2">
              <v:shape style="position:absolute;left:6;top:1;width:1392;height:2" coordorigin="6,1" coordsize="1392,0" path="m6,1l1398,1e" filled="false" stroked="true" strokeweight=".080766pt" strokecolor="#000000">
                <v:path arrowok="t"/>
              </v:shape>
            </v:group>
            <v:group style="position:absolute;left:6;top:6;width:1393;height:2" coordorigin="6,6" coordsize="1393,2">
              <v:shape style="position:absolute;left:6;top:6;width:1393;height:2" coordorigin="6,6" coordsize="1393,0" path="m6,6l1398,6e" filled="false" stroked="true" strokeweight=".55382pt" strokecolor="#000000">
                <v:path arrowok="t"/>
              </v:shape>
            </v:group>
          </v:group>
        </w:pict>
      </w:r>
      <w:r>
        <w:rPr>
          <w:rFonts w:ascii="宋体"/>
          <w:sz w:val="2"/>
        </w:rPr>
      </w:r>
    </w:p>
    <w:p>
      <w:pPr>
        <w:tabs>
          <w:tab w:pos="5908" w:val="left" w:leader="none"/>
          <w:tab w:pos="6561" w:val="left" w:leader="none"/>
          <w:tab w:pos="7613" w:val="left" w:leader="none"/>
          <w:tab w:pos="8200" w:val="left" w:leader="none"/>
        </w:tabs>
        <w:spacing w:line="338" w:lineRule="auto" w:before="10"/>
        <w:ind w:left="410" w:right="208" w:firstLine="0"/>
        <w:jc w:val="left"/>
        <w:rPr>
          <w:rFonts w:ascii="宋体" w:hAnsi="宋体" w:cs="宋体" w:eastAsia="宋体" w:hint="default"/>
          <w:sz w:val="12"/>
          <w:szCs w:val="12"/>
        </w:rPr>
      </w:pPr>
      <w:r>
        <w:rPr>
          <w:rFonts w:ascii="宋体" w:hAnsi="宋体" w:cs="宋体" w:eastAsia="宋体" w:hint="default"/>
          <w:w w:val="105"/>
          <w:sz w:val="12"/>
          <w:szCs w:val="12"/>
        </w:rPr>
        <w:t>购建固定资产、无形资产和其他长期资产支付的现金</w:t>
        <w:tab/>
      </w:r>
      <w:r>
        <w:rPr>
          <w:rFonts w:ascii="宋体" w:hAnsi="宋体" w:cs="宋体" w:eastAsia="宋体" w:hint="default"/>
          <w:w w:val="105"/>
          <w:sz w:val="12"/>
          <w:szCs w:val="12"/>
        </w:rPr>
        <w:t>23,398,152.60</w:t>
        <w:tab/>
        <w:t>1,590,826.50</w:t>
      </w:r>
      <w:r>
        <w:rPr>
          <w:rFonts w:ascii="宋体" w:hAnsi="宋体" w:cs="宋体" w:eastAsia="宋体" w:hint="default"/>
          <w:spacing w:val="-37"/>
          <w:w w:val="105"/>
          <w:sz w:val="12"/>
          <w:szCs w:val="12"/>
        </w:rPr>
        <w:t> </w:t>
      </w:r>
      <w:r>
        <w:rPr>
          <w:rFonts w:ascii="宋体" w:hAnsi="宋体" w:cs="宋体" w:eastAsia="宋体" w:hint="default"/>
          <w:spacing w:val="-37"/>
          <w:w w:val="105"/>
          <w:sz w:val="12"/>
          <w:szCs w:val="12"/>
        </w:rPr>
      </w:r>
      <w:r>
        <w:rPr>
          <w:rFonts w:ascii="宋体" w:hAnsi="宋体" w:cs="宋体" w:eastAsia="宋体" w:hint="default"/>
          <w:w w:val="105"/>
          <w:sz w:val="12"/>
          <w:szCs w:val="12"/>
        </w:rPr>
        <w:t>投资支付的现金</w:t>
        <w:tab/>
        <w:tab/>
      </w:r>
      <w:r>
        <w:rPr>
          <w:rFonts w:ascii="宋体" w:hAnsi="宋体" w:cs="宋体" w:eastAsia="宋体" w:hint="default"/>
          <w:w w:val="105"/>
          <w:sz w:val="12"/>
          <w:szCs w:val="12"/>
        </w:rPr>
        <w:t>-</w:t>
        <w:tab/>
        <w:tab/>
      </w:r>
      <w:r>
        <w:rPr>
          <w:rFonts w:ascii="宋体" w:hAnsi="宋体" w:cs="宋体" w:eastAsia="宋体" w:hint="default"/>
          <w:w w:val="110"/>
          <w:sz w:val="12"/>
          <w:szCs w:val="12"/>
        </w:rPr>
        <w:t>-</w:t>
      </w:r>
      <w:r>
        <w:rPr>
          <w:rFonts w:ascii="宋体" w:hAnsi="宋体" w:cs="宋体" w:eastAsia="宋体" w:hint="default"/>
          <w:sz w:val="12"/>
          <w:szCs w:val="12"/>
        </w:rPr>
      </w:r>
    </w:p>
    <w:p>
      <w:pPr>
        <w:tabs>
          <w:tab w:pos="6561" w:val="left" w:leader="none"/>
          <w:tab w:pos="8200" w:val="left" w:leader="none"/>
        </w:tabs>
        <w:spacing w:before="15"/>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质押贷款净增加额</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tabs>
          <w:tab w:pos="6561" w:val="left" w:leader="none"/>
          <w:tab w:pos="8200" w:val="left" w:leader="none"/>
        </w:tabs>
        <w:spacing w:before="64"/>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取得子公司及其他营业单位支付的现金净额</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tabs>
          <w:tab w:pos="6561" w:val="left" w:leader="none"/>
          <w:tab w:pos="8200" w:val="left" w:leader="none"/>
        </w:tabs>
        <w:spacing w:before="64"/>
        <w:ind w:left="410" w:right="0" w:firstLine="0"/>
        <w:jc w:val="left"/>
        <w:rPr>
          <w:rFonts w:ascii="宋体" w:hAnsi="宋体" w:cs="宋体" w:eastAsia="宋体" w:hint="default"/>
          <w:sz w:val="12"/>
          <w:szCs w:val="12"/>
        </w:rPr>
      </w:pPr>
      <w:r>
        <w:rPr>
          <w:rFonts w:ascii="宋体" w:hAnsi="宋体" w:cs="宋体" w:eastAsia="宋体" w:hint="default"/>
          <w:w w:val="105"/>
          <w:sz w:val="12"/>
          <w:szCs w:val="12"/>
        </w:rPr>
        <w:t>支付其他与投资活动有关的现金</w:t>
        <w:tab/>
      </w:r>
      <w:r>
        <w:rPr>
          <w:rFonts w:ascii="宋体" w:hAnsi="宋体" w:cs="宋体" w:eastAsia="宋体" w:hint="default"/>
          <w:w w:val="105"/>
          <w:sz w:val="12"/>
          <w:szCs w:val="12"/>
        </w:rPr>
        <w:t>-</w:t>
        <w:tab/>
      </w:r>
      <w:r>
        <w:rPr>
          <w:rFonts w:ascii="宋体" w:hAnsi="宋体" w:cs="宋体" w:eastAsia="宋体" w:hint="default"/>
          <w:w w:val="110"/>
          <w:sz w:val="12"/>
          <w:szCs w:val="12"/>
        </w:rPr>
        <w:t>-</w:t>
      </w:r>
      <w:r>
        <w:rPr>
          <w:rFonts w:ascii="宋体" w:hAnsi="宋体" w:cs="宋体" w:eastAsia="宋体" w:hint="default"/>
          <w:sz w:val="12"/>
          <w:szCs w:val="12"/>
        </w:rPr>
      </w:r>
    </w:p>
    <w:p>
      <w:pPr>
        <w:spacing w:line="240" w:lineRule="auto" w:before="8"/>
        <w:rPr>
          <w:rFonts w:ascii="宋体" w:hAnsi="宋体" w:cs="宋体" w:eastAsia="宋体" w:hint="default"/>
          <w:sz w:val="2"/>
          <w:szCs w:val="2"/>
        </w:rPr>
      </w:pPr>
    </w:p>
    <w:p>
      <w:pPr>
        <w:tabs>
          <w:tab w:pos="7093" w:val="left" w:leader="none"/>
        </w:tabs>
        <w:spacing w:line="20" w:lineRule="exact"/>
        <w:ind w:left="5489" w:right="0" w:firstLine="0"/>
        <w:rPr>
          <w:rFonts w:ascii="宋体" w:hAnsi="宋体" w:cs="宋体" w:eastAsia="宋体" w:hint="default"/>
          <w:sz w:val="2"/>
          <w:szCs w:val="2"/>
        </w:rPr>
      </w:pPr>
      <w:r>
        <w:rPr>
          <w:rFonts w:ascii="宋体"/>
          <w:sz w:val="2"/>
        </w:rPr>
        <w:pict>
          <v:group style="width:67.9pt;height:.6pt;mso-position-horizontal-relative:char;mso-position-vertical-relative:line" coordorigin="0,0" coordsize="1358,12">
            <v:shape style="position:absolute;left:0;top:0;width:1357;height:11" type="#_x0000_t75" stroked="false">
              <v:imagedata r:id="rId45" o:title=""/>
            </v:shape>
          </v:group>
        </w:pict>
      </w:r>
      <w:r>
        <w:rPr>
          <w:rFonts w:ascii="宋体"/>
          <w:sz w:val="2"/>
        </w:rPr>
      </w:r>
      <w:r>
        <w:rPr>
          <w:rFonts w:ascii="宋体"/>
          <w:sz w:val="2"/>
        </w:rPr>
        <w:tab/>
      </w:r>
      <w:r>
        <w:rPr>
          <w:rFonts w:ascii="宋体"/>
          <w:sz w:val="2"/>
        </w:rPr>
        <w:pict>
          <v:group style="width:69.650pt;height:.6pt;mso-position-horizontal-relative:char;mso-position-vertical-relative:line" coordorigin="0,0" coordsize="1393,12">
            <v:shape style="position:absolute;left:0;top:0;width:1393;height:11" type="#_x0000_t75" stroked="false">
              <v:imagedata r:id="rId46" o:title=""/>
            </v:shape>
          </v:group>
        </w:pict>
      </w:r>
      <w:r>
        <w:rPr>
          <w:rFonts w:ascii="宋体"/>
          <w:sz w:val="2"/>
        </w:rPr>
      </w:r>
    </w:p>
    <w:p>
      <w:pPr>
        <w:tabs>
          <w:tab w:pos="5908" w:val="left" w:leader="none"/>
          <w:tab w:pos="7613" w:val="left" w:leader="none"/>
        </w:tabs>
        <w:spacing w:before="10"/>
        <w:ind w:left="540" w:right="0" w:firstLine="0"/>
        <w:jc w:val="left"/>
        <w:rPr>
          <w:rFonts w:ascii="宋体" w:hAnsi="宋体" w:cs="宋体" w:eastAsia="宋体" w:hint="default"/>
          <w:sz w:val="12"/>
          <w:szCs w:val="12"/>
        </w:rPr>
      </w:pPr>
      <w:r>
        <w:rPr>
          <w:rFonts w:ascii="宋体" w:hAnsi="宋体" w:cs="宋体" w:eastAsia="宋体" w:hint="default"/>
          <w:w w:val="105"/>
          <w:sz w:val="12"/>
          <w:szCs w:val="12"/>
        </w:rPr>
        <w:t>投资活动现金流出小计</w:t>
        <w:tab/>
      </w:r>
      <w:r>
        <w:rPr>
          <w:rFonts w:ascii="宋体" w:hAnsi="宋体" w:cs="宋体" w:eastAsia="宋体" w:hint="default"/>
          <w:w w:val="105"/>
          <w:sz w:val="12"/>
          <w:szCs w:val="12"/>
        </w:rPr>
        <w:t>23,398,152.60</w:t>
        <w:tab/>
      </w:r>
      <w:r>
        <w:rPr>
          <w:rFonts w:ascii="宋体" w:hAnsi="宋体" w:cs="宋体" w:eastAsia="宋体" w:hint="default"/>
          <w:w w:val="110"/>
          <w:sz w:val="12"/>
          <w:szCs w:val="12"/>
        </w:rPr>
        <w:t>1,590,826.50</w:t>
      </w:r>
      <w:r>
        <w:rPr>
          <w:rFonts w:ascii="宋体" w:hAnsi="宋体" w:cs="宋体" w:eastAsia="宋体" w:hint="default"/>
          <w:sz w:val="12"/>
          <w:szCs w:val="12"/>
        </w:rPr>
      </w:r>
    </w:p>
    <w:p>
      <w:pPr>
        <w:spacing w:line="240" w:lineRule="auto" w:before="8"/>
        <w:rPr>
          <w:rFonts w:ascii="宋体" w:hAnsi="宋体" w:cs="宋体" w:eastAsia="宋体" w:hint="default"/>
          <w:sz w:val="2"/>
          <w:szCs w:val="2"/>
        </w:rPr>
      </w:pPr>
    </w:p>
    <w:p>
      <w:pPr>
        <w:tabs>
          <w:tab w:pos="7087" w:val="left" w:leader="none"/>
        </w:tabs>
        <w:spacing w:line="20" w:lineRule="exact"/>
        <w:ind w:left="5483" w:right="0" w:firstLine="0"/>
        <w:rPr>
          <w:rFonts w:ascii="宋体" w:hAnsi="宋体" w:cs="宋体" w:eastAsia="宋体" w:hint="default"/>
          <w:sz w:val="2"/>
          <w:szCs w:val="2"/>
        </w:rPr>
      </w:pPr>
      <w:r>
        <w:rPr>
          <w:rFonts w:ascii="宋体"/>
          <w:sz w:val="2"/>
        </w:rPr>
        <w:pict>
          <v:group style="width:68.45pt;height:.6pt;mso-position-horizontal-relative:char;mso-position-vertical-relative:line" coordorigin="0,0" coordsize="1369,12">
            <v:group style="position:absolute;left:6;top:1;width:1356;height:2" coordorigin="6,1" coordsize="1356,2">
              <v:shape style="position:absolute;left:6;top:1;width:1356;height:2" coordorigin="6,1" coordsize="1356,0" path="m6,1l1362,1e" filled="false" stroked="true" strokeweight=".080766pt" strokecolor="#000000">
                <v:path arrowok="t"/>
              </v:shape>
            </v:group>
            <v:group style="position:absolute;left:6;top:6;width:1358;height:2" coordorigin="6,6" coordsize="1358,2">
              <v:shape style="position:absolute;left:6;top:6;width:1358;height:2" coordorigin="6,6" coordsize="1358,0" path="m6,6l1363,6e" filled="false" stroked="true" strokeweight=".553802pt" strokecolor="#000000">
                <v:path arrowok="t"/>
              </v:shape>
            </v:group>
          </v:group>
        </w:pict>
      </w:r>
      <w:r>
        <w:rPr>
          <w:rFonts w:ascii="宋体"/>
          <w:sz w:val="2"/>
        </w:rPr>
      </w:r>
      <w:r>
        <w:rPr>
          <w:rFonts w:ascii="宋体"/>
          <w:sz w:val="2"/>
        </w:rPr>
        <w:tab/>
      </w:r>
      <w:r>
        <w:rPr>
          <w:rFonts w:ascii="宋体"/>
          <w:sz w:val="2"/>
        </w:rPr>
        <w:pict>
          <v:group style="width:70.2pt;height:.6pt;mso-position-horizontal-relative:char;mso-position-vertical-relative:line" coordorigin="0,0" coordsize="1404,12">
            <v:group style="position:absolute;left:6;top:1;width:1392;height:2" coordorigin="6,1" coordsize="1392,2">
              <v:shape style="position:absolute;left:6;top:1;width:1392;height:2" coordorigin="6,1" coordsize="1392,0" path="m6,1l1398,1e" filled="false" stroked="true" strokeweight=".080766pt" strokecolor="#000000">
                <v:path arrowok="t"/>
              </v:shape>
            </v:group>
            <v:group style="position:absolute;left:6;top:6;width:1393;height:2" coordorigin="6,6" coordsize="1393,2">
              <v:shape style="position:absolute;left:6;top:6;width:1393;height:2" coordorigin="6,6" coordsize="1393,0" path="m6,6l1398,6e" filled="false" stroked="true" strokeweight=".553802pt" strokecolor="#000000">
                <v:path arrowok="t"/>
              </v:shape>
            </v:group>
          </v:group>
        </w:pict>
      </w:r>
      <w:r>
        <w:rPr>
          <w:rFonts w:ascii="宋体"/>
          <w:sz w:val="2"/>
        </w:rPr>
      </w:r>
    </w:p>
    <w:p>
      <w:pPr>
        <w:tabs>
          <w:tab w:pos="5843" w:val="left" w:leader="none"/>
          <w:tab w:pos="7548" w:val="left" w:leader="none"/>
        </w:tabs>
        <w:spacing w:before="10"/>
        <w:ind w:left="540" w:right="0" w:firstLine="0"/>
        <w:jc w:val="left"/>
        <w:rPr>
          <w:rFonts w:ascii="宋体" w:hAnsi="宋体" w:cs="宋体" w:eastAsia="宋体" w:hint="default"/>
          <w:sz w:val="12"/>
          <w:szCs w:val="12"/>
        </w:rPr>
      </w:pPr>
      <w:r>
        <w:rPr>
          <w:rFonts w:ascii="宋体" w:hAnsi="宋体" w:cs="宋体" w:eastAsia="宋体" w:hint="default"/>
          <w:w w:val="105"/>
          <w:sz w:val="12"/>
          <w:szCs w:val="12"/>
        </w:rPr>
        <w:t>投资活动产生的现金流量净额</w:t>
        <w:tab/>
      </w:r>
      <w:r>
        <w:rPr>
          <w:rFonts w:ascii="宋体" w:hAnsi="宋体" w:cs="宋体" w:eastAsia="宋体" w:hint="default"/>
          <w:w w:val="105"/>
          <w:sz w:val="12"/>
          <w:szCs w:val="12"/>
        </w:rPr>
        <w:t>(21,498,152.60)</w:t>
        <w:tab/>
      </w:r>
      <w:r>
        <w:rPr>
          <w:rFonts w:ascii="宋体" w:hAnsi="宋体" w:cs="宋体" w:eastAsia="宋体" w:hint="default"/>
          <w:w w:val="110"/>
          <w:sz w:val="12"/>
          <w:szCs w:val="12"/>
        </w:rPr>
        <w:t>(1,590,826.50)</w:t>
      </w:r>
      <w:r>
        <w:rPr>
          <w:rFonts w:ascii="宋体" w:hAnsi="宋体" w:cs="宋体" w:eastAsia="宋体" w:hint="default"/>
          <w:sz w:val="12"/>
          <w:szCs w:val="12"/>
        </w:rPr>
      </w:r>
    </w:p>
    <w:p>
      <w:pPr>
        <w:tabs>
          <w:tab w:pos="7087" w:val="left" w:leader="none"/>
        </w:tabs>
        <w:spacing w:line="33" w:lineRule="exact"/>
        <w:ind w:left="5483" w:right="0" w:firstLine="0"/>
        <w:rPr>
          <w:rFonts w:ascii="宋体" w:hAnsi="宋体" w:cs="宋体" w:eastAsia="宋体" w:hint="default"/>
          <w:sz w:val="3"/>
          <w:szCs w:val="3"/>
        </w:rPr>
      </w:pPr>
      <w:r>
        <w:rPr>
          <w:rFonts w:ascii="宋体"/>
          <w:position w:val="0"/>
          <w:sz w:val="3"/>
        </w:rPr>
        <w:pict>
          <v:group style="width:68.45pt;height:1.7pt;mso-position-horizontal-relative:char;mso-position-vertical-relative:line" coordorigin="0,0" coordsize="1369,34">
            <v:group style="position:absolute;left:6;top:6;width:1358;height:2" coordorigin="6,6" coordsize="1358,2">
              <v:shape style="position:absolute;left:6;top:6;width:1358;height:2" coordorigin="6,6" coordsize="1358,0" path="m6,6l1363,6e" filled="false" stroked="true" strokeweight=".553802pt" strokecolor="#000000">
                <v:path arrowok="t"/>
              </v:shape>
            </v:group>
            <v:group style="position:absolute;left:6;top:28;width:1358;height:2" coordorigin="6,28" coordsize="1358,2">
              <v:shape style="position:absolute;left:6;top:28;width:1358;height:2" coordorigin="6,28" coordsize="1358,0" path="m6,28l1363,28e" filled="false" stroked="true" strokeweight=".553837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0.2pt;height:1.7pt;mso-position-horizontal-relative:char;mso-position-vertical-relative:line" coordorigin="0,0" coordsize="1404,34">
            <v:group style="position:absolute;left:6;top:6;width:1393;height:2" coordorigin="6,6" coordsize="1393,2">
              <v:shape style="position:absolute;left:6;top:6;width:1393;height:2" coordorigin="6,6" coordsize="1393,0" path="m6,6l1398,6e" filled="false" stroked="true" strokeweight=".553802pt" strokecolor="#000000">
                <v:path arrowok="t"/>
              </v:shape>
            </v:group>
            <v:group style="position:absolute;left:6;top:28;width:1393;height:2" coordorigin="6,28" coordsize="1393,2">
              <v:shape style="position:absolute;left:6;top:28;width:1393;height:2" coordorigin="6,28" coordsize="1393,0" path="m6,28l1398,28e" filled="false" stroked="true" strokeweight=".553837pt" strokecolor="#000000">
                <v:path arrowok="t"/>
              </v:shape>
            </v:group>
          </v:group>
        </w:pict>
      </w:r>
      <w:r>
        <w:rPr>
          <w:rFonts w:ascii="宋体"/>
          <w:position w:val="0"/>
          <w:sz w:val="3"/>
        </w:rPr>
      </w:r>
    </w:p>
    <w:p>
      <w:pPr>
        <w:spacing w:line="240" w:lineRule="auto" w:before="1"/>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3548"/>
        <w:gridCol w:w="1826"/>
        <w:gridCol w:w="1357"/>
        <w:gridCol w:w="247"/>
        <w:gridCol w:w="1393"/>
      </w:tblGrid>
      <w:tr>
        <w:trPr>
          <w:trHeight w:val="496"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338" w:lineRule="auto" w:before="69"/>
              <w:ind w:left="295" w:right="1665" w:hanging="261"/>
              <w:jc w:val="left"/>
              <w:rPr>
                <w:rFonts w:ascii="宋体" w:hAnsi="宋体" w:cs="宋体" w:eastAsia="宋体" w:hint="default"/>
                <w:sz w:val="12"/>
                <w:szCs w:val="12"/>
              </w:rPr>
            </w:pPr>
            <w:r>
              <w:rPr>
                <w:rFonts w:ascii="宋体" w:hAnsi="宋体" w:cs="宋体" w:eastAsia="宋体" w:hint="default"/>
                <w:b/>
                <w:bCs/>
                <w:w w:val="105"/>
                <w:sz w:val="12"/>
                <w:szCs w:val="12"/>
              </w:rPr>
              <w:t>三、筹资活动产生的现金流量：</w:t>
            </w:r>
            <w:r>
              <w:rPr>
                <w:rFonts w:ascii="宋体" w:hAnsi="宋体" w:cs="宋体" w:eastAsia="宋体" w:hint="default"/>
                <w:b/>
                <w:bCs/>
                <w:spacing w:val="5"/>
                <w:w w:val="105"/>
                <w:sz w:val="12"/>
                <w:szCs w:val="12"/>
              </w:rPr>
              <w:t> </w:t>
            </w:r>
            <w:r>
              <w:rPr>
                <w:rFonts w:ascii="宋体" w:hAnsi="宋体" w:cs="宋体" w:eastAsia="宋体" w:hint="default"/>
                <w:w w:val="110"/>
                <w:sz w:val="12"/>
                <w:szCs w:val="12"/>
              </w:rPr>
              <w:t>吸收投资收到的现金</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87"/>
              <w:jc w:val="right"/>
              <w:rPr>
                <w:rFonts w:ascii="宋体" w:hAnsi="宋体" w:cs="宋体" w:eastAsia="宋体" w:hint="default"/>
                <w:sz w:val="12"/>
                <w:szCs w:val="12"/>
              </w:rPr>
            </w:pPr>
            <w:r>
              <w:rPr>
                <w:rFonts w:ascii="宋体"/>
                <w:w w:val="105"/>
                <w:sz w:val="12"/>
              </w:rPr>
              <w:t>3,000,000.00</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87"/>
              <w:jc w:val="right"/>
              <w:rPr>
                <w:rFonts w:ascii="宋体" w:hAnsi="宋体" w:cs="宋体" w:eastAsia="宋体" w:hint="default"/>
                <w:sz w:val="12"/>
                <w:szCs w:val="12"/>
              </w:rPr>
            </w:pPr>
            <w:r>
              <w:rPr>
                <w:rFonts w:ascii="宋体"/>
                <w:w w:val="105"/>
                <w:sz w:val="12"/>
              </w:rPr>
              <w:t>653,280,000.00</w:t>
            </w:r>
            <w:r>
              <w:rPr>
                <w:rFonts w:ascii="宋体"/>
                <w:sz w:val="12"/>
              </w:rPr>
            </w:r>
          </w:p>
        </w:tc>
      </w:tr>
      <w:tr>
        <w:trPr>
          <w:trHeight w:val="222"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5" w:right="0"/>
              <w:jc w:val="left"/>
              <w:rPr>
                <w:rFonts w:ascii="宋体" w:hAnsi="宋体" w:cs="宋体" w:eastAsia="宋体" w:hint="default"/>
                <w:sz w:val="12"/>
                <w:szCs w:val="12"/>
              </w:rPr>
            </w:pPr>
            <w:r>
              <w:rPr>
                <w:rFonts w:ascii="宋体" w:hAnsi="宋体" w:cs="宋体" w:eastAsia="宋体" w:hint="default"/>
                <w:w w:val="110"/>
                <w:sz w:val="12"/>
                <w:szCs w:val="12"/>
              </w:rPr>
              <w:t>其中：子公司吸收少数股东投资收到的现金</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2"/>
                <w:szCs w:val="12"/>
              </w:rPr>
            </w:pPr>
            <w:r>
              <w:rPr>
                <w:rFonts w:ascii="宋体"/>
                <w:w w:val="105"/>
                <w:sz w:val="12"/>
              </w:rPr>
              <w:t>3,000,000.00</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7"/>
              <w:jc w:val="right"/>
              <w:rPr>
                <w:rFonts w:ascii="宋体" w:hAnsi="宋体" w:cs="宋体" w:eastAsia="宋体" w:hint="default"/>
                <w:sz w:val="12"/>
                <w:szCs w:val="12"/>
              </w:rPr>
            </w:pPr>
            <w:r>
              <w:rPr>
                <w:rFonts w:ascii="宋体"/>
                <w:w w:val="108"/>
                <w:sz w:val="12"/>
              </w:rPr>
              <w:t>-</w:t>
            </w:r>
            <w:r>
              <w:rPr>
                <w:rFonts w:ascii="宋体"/>
                <w:sz w:val="12"/>
              </w:rPr>
            </w:r>
          </w:p>
        </w:tc>
      </w:tr>
      <w:tr>
        <w:trPr>
          <w:trHeight w:val="656"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338" w:lineRule="auto" w:before="16"/>
              <w:ind w:left="295" w:right="1424"/>
              <w:jc w:val="left"/>
              <w:rPr>
                <w:rFonts w:ascii="宋体" w:hAnsi="宋体" w:cs="宋体" w:eastAsia="宋体" w:hint="default"/>
                <w:sz w:val="12"/>
                <w:szCs w:val="12"/>
              </w:rPr>
            </w:pPr>
            <w:r>
              <w:rPr>
                <w:rFonts w:ascii="宋体" w:hAnsi="宋体" w:cs="宋体" w:eastAsia="宋体" w:hint="default"/>
                <w:w w:val="110"/>
                <w:sz w:val="12"/>
                <w:szCs w:val="12"/>
              </w:rPr>
              <w:t>取得借款收到的现金</w:t>
            </w:r>
            <w:r>
              <w:rPr>
                <w:rFonts w:ascii="宋体" w:hAnsi="宋体" w:cs="宋体" w:eastAsia="宋体" w:hint="default"/>
                <w:w w:val="108"/>
                <w:sz w:val="12"/>
                <w:szCs w:val="12"/>
              </w:rPr>
              <w:t> </w:t>
            </w:r>
            <w:r>
              <w:rPr>
                <w:rFonts w:ascii="宋体" w:hAnsi="宋体" w:cs="宋体" w:eastAsia="宋体" w:hint="default"/>
                <w:w w:val="110"/>
                <w:sz w:val="12"/>
                <w:szCs w:val="12"/>
              </w:rPr>
              <w:t>发行债券收到的现金</w:t>
            </w:r>
            <w:r>
              <w:rPr>
                <w:rFonts w:ascii="宋体" w:hAnsi="宋体" w:cs="宋体" w:eastAsia="宋体" w:hint="default"/>
                <w:w w:val="108"/>
                <w:sz w:val="12"/>
                <w:szCs w:val="12"/>
              </w:rPr>
              <w:t> </w:t>
            </w:r>
            <w:r>
              <w:rPr>
                <w:rFonts w:ascii="宋体" w:hAnsi="宋体" w:cs="宋体" w:eastAsia="宋体" w:hint="default"/>
                <w:w w:val="105"/>
                <w:sz w:val="12"/>
                <w:szCs w:val="12"/>
              </w:rPr>
              <w:t>收到其他与筹资活动有关的现金</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98"/>
              <w:jc w:val="right"/>
              <w:rPr>
                <w:rFonts w:ascii="宋体" w:hAnsi="宋体" w:cs="宋体" w:eastAsia="宋体" w:hint="default"/>
                <w:sz w:val="12"/>
                <w:szCs w:val="12"/>
              </w:rPr>
            </w:pPr>
            <w:r>
              <w:rPr>
                <w:rFonts w:ascii="宋体" w:hAnsi="宋体" w:cs="宋体" w:eastAsia="宋体" w:hint="default"/>
                <w:w w:val="105"/>
                <w:sz w:val="12"/>
                <w:szCs w:val="12"/>
              </w:rPr>
              <w:t>五(三十三)</w:t>
            </w:r>
            <w:r>
              <w:rPr>
                <w:rFonts w:ascii="宋体" w:hAnsi="宋体" w:cs="宋体" w:eastAsia="宋体" w:hint="default"/>
                <w:sz w:val="12"/>
                <w:szCs w:val="12"/>
              </w:rPr>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419" w:right="0"/>
              <w:jc w:val="left"/>
              <w:rPr>
                <w:rFonts w:ascii="宋体" w:hAnsi="宋体" w:cs="宋体" w:eastAsia="宋体" w:hint="default"/>
                <w:sz w:val="12"/>
                <w:szCs w:val="12"/>
              </w:rPr>
            </w:pPr>
            <w:r>
              <w:rPr>
                <w:rFonts w:ascii="宋体"/>
                <w:w w:val="110"/>
                <w:sz w:val="12"/>
              </w:rPr>
              <w:t>13,159,022.58</w:t>
            </w:r>
            <w:r>
              <w:rPr>
                <w:rFonts w:ascii="宋体"/>
                <w:sz w:val="12"/>
              </w:rPr>
            </w:r>
          </w:p>
          <w:p>
            <w:pPr>
              <w:pStyle w:val="TableParagraph"/>
              <w:spacing w:line="338" w:lineRule="auto" w:before="64"/>
              <w:ind w:left="419" w:right="87" w:firstLine="652"/>
              <w:jc w:val="left"/>
              <w:rPr>
                <w:rFonts w:ascii="宋体" w:hAnsi="宋体" w:cs="宋体" w:eastAsia="宋体" w:hint="default"/>
                <w:sz w:val="12"/>
                <w:szCs w:val="12"/>
              </w:rPr>
            </w:pPr>
            <w:r>
              <w:rPr>
                <w:rFonts w:ascii="宋体"/>
                <w:w w:val="110"/>
                <w:sz w:val="12"/>
              </w:rPr>
              <w:t>-</w:t>
            </w:r>
            <w:r>
              <w:rPr>
                <w:rFonts w:ascii="宋体"/>
                <w:w w:val="108"/>
                <w:sz w:val="12"/>
              </w:rPr>
              <w:t> </w:t>
            </w:r>
            <w:r>
              <w:rPr>
                <w:rFonts w:ascii="宋体"/>
                <w:w w:val="105"/>
                <w:sz w:val="12"/>
              </w:rPr>
              <w:t>18,168,720.08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17"/>
              <w:jc w:val="right"/>
              <w:rPr>
                <w:rFonts w:ascii="宋体" w:hAnsi="宋体" w:cs="宋体" w:eastAsia="宋体" w:hint="default"/>
                <w:sz w:val="12"/>
                <w:szCs w:val="12"/>
              </w:rPr>
            </w:pPr>
            <w:r>
              <w:rPr>
                <w:rFonts w:ascii="宋体"/>
                <w:w w:val="108"/>
                <w:sz w:val="12"/>
              </w:rPr>
              <w:t>-</w:t>
            </w:r>
            <w:r>
              <w:rPr>
                <w:rFonts w:ascii="宋体"/>
                <w:sz w:val="12"/>
              </w:rPr>
            </w:r>
          </w:p>
          <w:p>
            <w:pPr>
              <w:pStyle w:val="TableParagraph"/>
              <w:spacing w:line="338" w:lineRule="auto" w:before="64"/>
              <w:ind w:left="520" w:right="87" w:firstLine="587"/>
              <w:jc w:val="left"/>
              <w:rPr>
                <w:rFonts w:ascii="宋体" w:hAnsi="宋体" w:cs="宋体" w:eastAsia="宋体" w:hint="default"/>
                <w:sz w:val="12"/>
                <w:szCs w:val="12"/>
              </w:rPr>
            </w:pPr>
            <w:r>
              <w:rPr>
                <w:rFonts w:ascii="宋体"/>
                <w:w w:val="110"/>
                <w:sz w:val="12"/>
              </w:rPr>
              <w:t>-</w:t>
            </w:r>
            <w:r>
              <w:rPr>
                <w:rFonts w:ascii="宋体"/>
                <w:w w:val="108"/>
                <w:sz w:val="12"/>
              </w:rPr>
              <w:t> </w:t>
            </w:r>
            <w:r>
              <w:rPr>
                <w:rFonts w:ascii="宋体"/>
                <w:w w:val="105"/>
                <w:sz w:val="12"/>
              </w:rPr>
              <w:t>1,353,450.83</w:t>
            </w:r>
            <w:r>
              <w:rPr>
                <w:rFonts w:ascii="宋体"/>
                <w:sz w:val="12"/>
              </w:rPr>
            </w:r>
          </w:p>
        </w:tc>
      </w:tr>
      <w:tr>
        <w:trPr>
          <w:trHeight w:val="22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6" w:right="0"/>
              <w:jc w:val="left"/>
              <w:rPr>
                <w:rFonts w:ascii="宋体" w:hAnsi="宋体" w:cs="宋体" w:eastAsia="宋体" w:hint="default"/>
                <w:sz w:val="12"/>
                <w:szCs w:val="12"/>
              </w:rPr>
            </w:pPr>
            <w:r>
              <w:rPr>
                <w:rFonts w:ascii="宋体" w:hAnsi="宋体" w:cs="宋体" w:eastAsia="宋体" w:hint="default"/>
                <w:w w:val="110"/>
                <w:sz w:val="12"/>
                <w:szCs w:val="12"/>
              </w:rPr>
              <w:t>筹资活动现金流入小计</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419" w:right="0"/>
              <w:jc w:val="left"/>
              <w:rPr>
                <w:rFonts w:ascii="宋体" w:hAnsi="宋体" w:cs="宋体" w:eastAsia="宋体" w:hint="default"/>
                <w:sz w:val="12"/>
                <w:szCs w:val="12"/>
              </w:rPr>
            </w:pPr>
            <w:r>
              <w:rPr>
                <w:rFonts w:ascii="宋体"/>
                <w:w w:val="110"/>
                <w:sz w:val="12"/>
              </w:rPr>
              <w:t>34,327,742.66</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654,633,450.83</w:t>
            </w:r>
            <w:r>
              <w:rPr>
                <w:rFonts w:ascii="宋体"/>
                <w:sz w:val="12"/>
              </w:rPr>
            </w:r>
          </w:p>
        </w:tc>
      </w:tr>
      <w:tr>
        <w:trPr>
          <w:trHeight w:val="23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5" w:right="0"/>
              <w:jc w:val="left"/>
              <w:rPr>
                <w:rFonts w:ascii="宋体" w:hAnsi="宋体" w:cs="宋体" w:eastAsia="宋体" w:hint="default"/>
                <w:sz w:val="12"/>
                <w:szCs w:val="12"/>
              </w:rPr>
            </w:pPr>
            <w:r>
              <w:rPr>
                <w:rFonts w:ascii="宋体" w:hAnsi="宋体" w:cs="宋体" w:eastAsia="宋体" w:hint="default"/>
                <w:w w:val="110"/>
                <w:sz w:val="12"/>
                <w:szCs w:val="12"/>
              </w:rPr>
              <w:t>偿还债务支付的现金</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419" w:right="0"/>
              <w:jc w:val="left"/>
              <w:rPr>
                <w:rFonts w:ascii="宋体" w:hAnsi="宋体" w:cs="宋体" w:eastAsia="宋体" w:hint="default"/>
                <w:sz w:val="12"/>
                <w:szCs w:val="12"/>
              </w:rPr>
            </w:pPr>
            <w:r>
              <w:rPr>
                <w:rFonts w:ascii="宋体"/>
                <w:w w:val="110"/>
                <w:sz w:val="12"/>
              </w:rPr>
              <w:t>13,159,022.58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217"/>
              <w:jc w:val="right"/>
              <w:rPr>
                <w:rFonts w:ascii="宋体" w:hAnsi="宋体" w:cs="宋体" w:eastAsia="宋体" w:hint="default"/>
                <w:sz w:val="12"/>
                <w:szCs w:val="12"/>
              </w:rPr>
            </w:pPr>
            <w:r>
              <w:rPr>
                <w:rFonts w:ascii="宋体"/>
                <w:w w:val="108"/>
                <w:sz w:val="12"/>
              </w:rPr>
              <w:t>-</w:t>
            </w:r>
            <w:r>
              <w:rPr>
                <w:rFonts w:ascii="宋体"/>
                <w:sz w:val="12"/>
              </w:rPr>
            </w:r>
          </w:p>
        </w:tc>
      </w:tr>
      <w:tr>
        <w:trPr>
          <w:trHeight w:val="657"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338" w:lineRule="auto" w:before="16"/>
              <w:ind w:left="295" w:right="771"/>
              <w:jc w:val="left"/>
              <w:rPr>
                <w:rFonts w:ascii="宋体" w:hAnsi="宋体" w:cs="宋体" w:eastAsia="宋体" w:hint="default"/>
                <w:sz w:val="12"/>
                <w:szCs w:val="12"/>
              </w:rPr>
            </w:pPr>
            <w:r>
              <w:rPr>
                <w:rFonts w:ascii="宋体" w:hAnsi="宋体" w:cs="宋体" w:eastAsia="宋体" w:hint="default"/>
                <w:w w:val="110"/>
                <w:sz w:val="12"/>
                <w:szCs w:val="12"/>
              </w:rPr>
              <w:t>分配股利、利润或偿付利息支付的现金</w:t>
            </w:r>
            <w:r>
              <w:rPr>
                <w:rFonts w:ascii="宋体" w:hAnsi="宋体" w:cs="宋体" w:eastAsia="宋体" w:hint="default"/>
                <w:w w:val="108"/>
                <w:sz w:val="12"/>
                <w:szCs w:val="12"/>
              </w:rPr>
              <w:t> </w:t>
            </w:r>
            <w:r>
              <w:rPr>
                <w:rFonts w:ascii="宋体" w:hAnsi="宋体" w:cs="宋体" w:eastAsia="宋体" w:hint="default"/>
                <w:w w:val="105"/>
                <w:sz w:val="12"/>
                <w:szCs w:val="12"/>
              </w:rPr>
              <w:t>其中：子公司支付给少数股东的股利、利润</w:t>
            </w:r>
            <w:r>
              <w:rPr>
                <w:rFonts w:ascii="宋体" w:hAnsi="宋体" w:cs="宋体" w:eastAsia="宋体" w:hint="default"/>
                <w:spacing w:val="21"/>
                <w:w w:val="105"/>
                <w:sz w:val="12"/>
                <w:szCs w:val="12"/>
              </w:rPr>
              <w:t> </w:t>
            </w:r>
            <w:r>
              <w:rPr>
                <w:rFonts w:ascii="宋体" w:hAnsi="宋体" w:cs="宋体" w:eastAsia="宋体" w:hint="default"/>
                <w:w w:val="110"/>
                <w:sz w:val="12"/>
                <w:szCs w:val="12"/>
              </w:rPr>
              <w:t>支付其他与筹资活动有关的现金</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98"/>
              <w:jc w:val="right"/>
              <w:rPr>
                <w:rFonts w:ascii="宋体" w:hAnsi="宋体" w:cs="宋体" w:eastAsia="宋体" w:hint="default"/>
                <w:sz w:val="12"/>
                <w:szCs w:val="12"/>
              </w:rPr>
            </w:pPr>
            <w:r>
              <w:rPr>
                <w:rFonts w:ascii="宋体" w:hAnsi="宋体" w:cs="宋体" w:eastAsia="宋体" w:hint="default"/>
                <w:w w:val="105"/>
                <w:sz w:val="12"/>
                <w:szCs w:val="12"/>
              </w:rPr>
              <w:t>五(三十三)</w:t>
            </w:r>
            <w:r>
              <w:rPr>
                <w:rFonts w:ascii="宋体" w:hAnsi="宋体" w:cs="宋体" w:eastAsia="宋体" w:hint="default"/>
                <w:sz w:val="12"/>
                <w:szCs w:val="12"/>
              </w:rPr>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419" w:right="0"/>
              <w:jc w:val="left"/>
              <w:rPr>
                <w:rFonts w:ascii="宋体" w:hAnsi="宋体" w:cs="宋体" w:eastAsia="宋体" w:hint="default"/>
                <w:sz w:val="12"/>
                <w:szCs w:val="12"/>
              </w:rPr>
            </w:pPr>
            <w:r>
              <w:rPr>
                <w:rFonts w:ascii="宋体"/>
                <w:w w:val="110"/>
                <w:sz w:val="12"/>
              </w:rPr>
              <w:t>12,959,043.66</w:t>
            </w:r>
            <w:r>
              <w:rPr>
                <w:rFonts w:ascii="宋体"/>
                <w:sz w:val="12"/>
              </w:rPr>
            </w:r>
          </w:p>
          <w:p>
            <w:pPr>
              <w:pStyle w:val="TableParagraph"/>
              <w:spacing w:line="338" w:lineRule="auto" w:before="64"/>
              <w:ind w:left="419" w:right="87" w:firstLine="652"/>
              <w:jc w:val="left"/>
              <w:rPr>
                <w:rFonts w:ascii="宋体" w:hAnsi="宋体" w:cs="宋体" w:eastAsia="宋体" w:hint="default"/>
                <w:sz w:val="12"/>
                <w:szCs w:val="12"/>
              </w:rPr>
            </w:pPr>
            <w:r>
              <w:rPr>
                <w:rFonts w:ascii="宋体"/>
                <w:w w:val="110"/>
                <w:sz w:val="12"/>
              </w:rPr>
              <w:t>-</w:t>
            </w:r>
            <w:r>
              <w:rPr>
                <w:rFonts w:ascii="宋体"/>
                <w:w w:val="108"/>
                <w:sz w:val="12"/>
              </w:rPr>
              <w:t> </w:t>
            </w:r>
            <w:r>
              <w:rPr>
                <w:rFonts w:ascii="宋体"/>
                <w:w w:val="105"/>
                <w:sz w:val="12"/>
              </w:rPr>
              <w:t>12,453,349.10</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17"/>
              <w:jc w:val="right"/>
              <w:rPr>
                <w:rFonts w:ascii="宋体" w:hAnsi="宋体" w:cs="宋体" w:eastAsia="宋体" w:hint="default"/>
                <w:sz w:val="12"/>
                <w:szCs w:val="12"/>
              </w:rPr>
            </w:pPr>
            <w:r>
              <w:rPr>
                <w:rFonts w:ascii="宋体"/>
                <w:w w:val="108"/>
                <w:sz w:val="12"/>
              </w:rPr>
              <w:t>-</w:t>
            </w:r>
            <w:r>
              <w:rPr>
                <w:rFonts w:ascii="宋体"/>
                <w:sz w:val="12"/>
              </w:rPr>
            </w:r>
          </w:p>
          <w:p>
            <w:pPr>
              <w:pStyle w:val="TableParagraph"/>
              <w:spacing w:line="338" w:lineRule="auto" w:before="64"/>
              <w:ind w:left="455" w:right="87" w:firstLine="652"/>
              <w:jc w:val="left"/>
              <w:rPr>
                <w:rFonts w:ascii="宋体" w:hAnsi="宋体" w:cs="宋体" w:eastAsia="宋体" w:hint="default"/>
                <w:sz w:val="12"/>
                <w:szCs w:val="12"/>
              </w:rPr>
            </w:pPr>
            <w:r>
              <w:rPr>
                <w:rFonts w:ascii="宋体"/>
                <w:w w:val="110"/>
                <w:sz w:val="12"/>
              </w:rPr>
              <w:t>-</w:t>
            </w:r>
            <w:r>
              <w:rPr>
                <w:rFonts w:ascii="宋体"/>
                <w:w w:val="108"/>
                <w:sz w:val="12"/>
              </w:rPr>
              <w:t> </w:t>
            </w:r>
            <w:r>
              <w:rPr>
                <w:rFonts w:ascii="宋体"/>
                <w:w w:val="105"/>
                <w:sz w:val="12"/>
              </w:rPr>
              <w:t>11,823,339.87</w:t>
            </w:r>
            <w:r>
              <w:rPr>
                <w:rFonts w:ascii="宋体"/>
                <w:sz w:val="12"/>
              </w:rPr>
            </w:r>
          </w:p>
        </w:tc>
      </w:tr>
      <w:tr>
        <w:trPr>
          <w:trHeight w:val="22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6" w:right="0"/>
              <w:jc w:val="left"/>
              <w:rPr>
                <w:rFonts w:ascii="宋体" w:hAnsi="宋体" w:cs="宋体" w:eastAsia="宋体" w:hint="default"/>
                <w:sz w:val="12"/>
                <w:szCs w:val="12"/>
              </w:rPr>
            </w:pPr>
            <w:r>
              <w:rPr>
                <w:rFonts w:ascii="宋体" w:hAnsi="宋体" w:cs="宋体" w:eastAsia="宋体" w:hint="default"/>
                <w:w w:val="110"/>
                <w:sz w:val="12"/>
                <w:szCs w:val="12"/>
              </w:rPr>
              <w:t>筹资活动现金流出小计</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419" w:right="0"/>
              <w:jc w:val="left"/>
              <w:rPr>
                <w:rFonts w:ascii="宋体" w:hAnsi="宋体" w:cs="宋体" w:eastAsia="宋体" w:hint="default"/>
                <w:sz w:val="12"/>
                <w:szCs w:val="12"/>
              </w:rPr>
            </w:pPr>
            <w:r>
              <w:rPr>
                <w:rFonts w:ascii="宋体"/>
                <w:w w:val="110"/>
                <w:sz w:val="12"/>
              </w:rPr>
              <w:t>38,571,415.34</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11,823,339.87</w:t>
            </w:r>
            <w:r>
              <w:rPr>
                <w:rFonts w:ascii="宋体"/>
                <w:sz w:val="12"/>
              </w:rPr>
            </w:r>
          </w:p>
        </w:tc>
      </w:tr>
      <w:tr>
        <w:trPr>
          <w:trHeight w:val="233"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6" w:right="0"/>
              <w:jc w:val="left"/>
              <w:rPr>
                <w:rFonts w:ascii="宋体" w:hAnsi="宋体" w:cs="宋体" w:eastAsia="宋体" w:hint="default"/>
                <w:sz w:val="12"/>
                <w:szCs w:val="12"/>
              </w:rPr>
            </w:pPr>
            <w:r>
              <w:rPr>
                <w:rFonts w:ascii="宋体" w:hAnsi="宋体" w:cs="宋体" w:eastAsia="宋体" w:hint="default"/>
                <w:w w:val="110"/>
                <w:sz w:val="12"/>
                <w:szCs w:val="12"/>
              </w:rPr>
              <w:t>筹资活动产生的现金流量净额</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22"/>
              <w:jc w:val="right"/>
              <w:rPr>
                <w:rFonts w:ascii="宋体" w:hAnsi="宋体" w:cs="宋体" w:eastAsia="宋体" w:hint="default"/>
                <w:sz w:val="12"/>
                <w:szCs w:val="12"/>
              </w:rPr>
            </w:pPr>
            <w:r>
              <w:rPr>
                <w:rFonts w:ascii="宋体"/>
                <w:w w:val="105"/>
                <w:sz w:val="12"/>
              </w:rPr>
              <w:t>(4,243,672.68)</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642,810,110.96</w:t>
            </w:r>
            <w:r>
              <w:rPr>
                <w:rFonts w:ascii="宋体"/>
                <w:sz w:val="12"/>
              </w:rPr>
            </w:r>
          </w:p>
        </w:tc>
      </w:tr>
      <w:tr>
        <w:trPr>
          <w:trHeight w:val="2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2"/>
                <w:szCs w:val="12"/>
              </w:rPr>
            </w:pPr>
            <w:r>
              <w:rPr>
                <w:rFonts w:ascii="宋体" w:hAnsi="宋体" w:cs="宋体" w:eastAsia="宋体" w:hint="default"/>
                <w:b/>
                <w:bCs/>
                <w:w w:val="110"/>
                <w:sz w:val="12"/>
                <w:szCs w:val="12"/>
              </w:rPr>
              <w:t>四、汇率变动对现金的影响</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17"/>
              <w:jc w:val="right"/>
              <w:rPr>
                <w:rFonts w:ascii="宋体" w:hAnsi="宋体" w:cs="宋体" w:eastAsia="宋体" w:hint="default"/>
                <w:sz w:val="12"/>
                <w:szCs w:val="12"/>
              </w:rPr>
            </w:pPr>
            <w:r>
              <w:rPr>
                <w:rFonts w:ascii="宋体"/>
                <w:w w:val="108"/>
                <w:sz w:val="12"/>
              </w:rPr>
              <w:t>-</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17"/>
              <w:jc w:val="right"/>
              <w:rPr>
                <w:rFonts w:ascii="宋体" w:hAnsi="宋体" w:cs="宋体" w:eastAsia="宋体" w:hint="default"/>
                <w:sz w:val="12"/>
                <w:szCs w:val="12"/>
              </w:rPr>
            </w:pPr>
            <w:r>
              <w:rPr>
                <w:rFonts w:ascii="宋体"/>
                <w:w w:val="108"/>
                <w:sz w:val="12"/>
              </w:rPr>
              <w:t>-</w:t>
            </w:r>
            <w:r>
              <w:rPr>
                <w:rFonts w:ascii="宋体"/>
                <w:sz w:val="12"/>
              </w:rPr>
            </w:r>
          </w:p>
        </w:tc>
      </w:tr>
      <w:tr>
        <w:trPr>
          <w:trHeight w:val="22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2"/>
                <w:szCs w:val="12"/>
              </w:rPr>
            </w:pPr>
            <w:r>
              <w:rPr>
                <w:rFonts w:ascii="宋体" w:hAnsi="宋体" w:cs="宋体" w:eastAsia="宋体" w:hint="default"/>
                <w:b/>
                <w:bCs/>
                <w:w w:val="110"/>
                <w:sz w:val="12"/>
                <w:szCs w:val="12"/>
              </w:rPr>
              <w:t>五、现金及现金等价物净增加额</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419" w:right="0"/>
              <w:jc w:val="left"/>
              <w:rPr>
                <w:rFonts w:ascii="宋体" w:hAnsi="宋体" w:cs="宋体" w:eastAsia="宋体" w:hint="default"/>
                <w:sz w:val="12"/>
                <w:szCs w:val="12"/>
              </w:rPr>
            </w:pPr>
            <w:r>
              <w:rPr>
                <w:rFonts w:ascii="宋体"/>
                <w:w w:val="110"/>
                <w:sz w:val="12"/>
              </w:rPr>
              <w:t>13,047,434.50</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638,214,660.42</w:t>
            </w:r>
            <w:r>
              <w:rPr>
                <w:rFonts w:ascii="宋体"/>
                <w:sz w:val="12"/>
              </w:rPr>
            </w:r>
          </w:p>
        </w:tc>
      </w:tr>
      <w:tr>
        <w:trPr>
          <w:trHeight w:val="222"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5" w:right="0"/>
              <w:jc w:val="left"/>
              <w:rPr>
                <w:rFonts w:ascii="宋体" w:hAnsi="宋体" w:cs="宋体" w:eastAsia="宋体" w:hint="default"/>
                <w:sz w:val="12"/>
                <w:szCs w:val="12"/>
              </w:rPr>
            </w:pPr>
            <w:r>
              <w:rPr>
                <w:rFonts w:ascii="宋体" w:hAnsi="宋体" w:cs="宋体" w:eastAsia="宋体" w:hint="default"/>
                <w:w w:val="110"/>
                <w:sz w:val="12"/>
                <w:szCs w:val="12"/>
              </w:rPr>
              <w:t>加：年初现金及现金等价物余额</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54" w:right="0"/>
              <w:jc w:val="left"/>
              <w:rPr>
                <w:rFonts w:ascii="宋体" w:hAnsi="宋体" w:cs="宋体" w:eastAsia="宋体" w:hint="default"/>
                <w:sz w:val="12"/>
                <w:szCs w:val="12"/>
              </w:rPr>
            </w:pPr>
            <w:r>
              <w:rPr>
                <w:rFonts w:ascii="宋体"/>
                <w:w w:val="110"/>
                <w:sz w:val="12"/>
              </w:rPr>
              <w:t>729,414,262.06</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91,199,601.64</w:t>
            </w:r>
            <w:r>
              <w:rPr>
                <w:rFonts w:ascii="宋体"/>
                <w:sz w:val="12"/>
              </w:rPr>
            </w:r>
          </w:p>
        </w:tc>
      </w:tr>
      <w:tr>
        <w:trPr>
          <w:trHeight w:val="233"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2"/>
                <w:szCs w:val="12"/>
              </w:rPr>
            </w:pPr>
            <w:r>
              <w:rPr>
                <w:rFonts w:ascii="宋体" w:hAnsi="宋体" w:cs="宋体" w:eastAsia="宋体" w:hint="default"/>
                <w:b/>
                <w:bCs/>
                <w:w w:val="110"/>
                <w:sz w:val="12"/>
                <w:szCs w:val="12"/>
              </w:rPr>
              <w:t>六、年末现金及现金等价物余额</w:t>
            </w:r>
            <w:r>
              <w:rPr>
                <w:rFonts w:ascii="宋体" w:hAnsi="宋体" w:cs="宋体" w:eastAsia="宋体" w:hint="default"/>
                <w:sz w:val="12"/>
                <w:szCs w:val="12"/>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98"/>
              <w:jc w:val="right"/>
              <w:rPr>
                <w:rFonts w:ascii="宋体" w:hAnsi="宋体" w:cs="宋体" w:eastAsia="宋体" w:hint="default"/>
                <w:sz w:val="12"/>
                <w:szCs w:val="12"/>
              </w:rPr>
            </w:pPr>
            <w:r>
              <w:rPr>
                <w:rFonts w:ascii="宋体" w:hAnsi="宋体" w:cs="宋体" w:eastAsia="宋体" w:hint="default"/>
                <w:w w:val="105"/>
                <w:sz w:val="12"/>
                <w:szCs w:val="12"/>
              </w:rPr>
              <w:t>五(三十三)</w:t>
            </w:r>
            <w:r>
              <w:rPr>
                <w:rFonts w:ascii="宋体" w:hAnsi="宋体" w:cs="宋体" w:eastAsia="宋体" w:hint="default"/>
                <w:sz w:val="12"/>
                <w:szCs w:val="12"/>
              </w:rPr>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54" w:right="0"/>
              <w:jc w:val="left"/>
              <w:rPr>
                <w:rFonts w:ascii="宋体" w:hAnsi="宋体" w:cs="宋体" w:eastAsia="宋体" w:hint="default"/>
                <w:sz w:val="12"/>
                <w:szCs w:val="12"/>
              </w:rPr>
            </w:pPr>
            <w:r>
              <w:rPr>
                <w:rFonts w:ascii="宋体"/>
                <w:w w:val="110"/>
                <w:sz w:val="12"/>
              </w:rPr>
              <w:t>742,461,696.56</w:t>
            </w:r>
            <w:r>
              <w:rPr>
                <w:rFonts w:ascii="宋体"/>
                <w:sz w:val="12"/>
              </w:rPr>
            </w:r>
          </w:p>
        </w:tc>
        <w:tc>
          <w:tcPr>
            <w:tcW w:w="24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87"/>
              <w:jc w:val="right"/>
              <w:rPr>
                <w:rFonts w:ascii="宋体" w:hAnsi="宋体" w:cs="宋体" w:eastAsia="宋体" w:hint="default"/>
                <w:sz w:val="12"/>
                <w:szCs w:val="12"/>
              </w:rPr>
            </w:pPr>
            <w:r>
              <w:rPr>
                <w:rFonts w:ascii="宋体"/>
                <w:w w:val="105"/>
                <w:sz w:val="12"/>
              </w:rPr>
              <w:t>729,414,262.06</w:t>
            </w:r>
            <w:r>
              <w:rPr>
                <w:rFonts w:ascii="宋体"/>
                <w:sz w:val="12"/>
              </w:rPr>
            </w:r>
          </w:p>
        </w:tc>
      </w:tr>
    </w:tbl>
    <w:p>
      <w:pPr>
        <w:spacing w:line="240" w:lineRule="auto" w:before="10"/>
        <w:rPr>
          <w:rFonts w:ascii="宋体" w:hAnsi="宋体" w:cs="宋体" w:eastAsia="宋体" w:hint="default"/>
          <w:sz w:val="10"/>
          <w:szCs w:val="10"/>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18.55pt;height:.6pt;mso-position-horizontal-relative:char;mso-position-vertical-relative:line" coordorigin="0,0" coordsize="8371,12">
            <v:group style="position:absolute;left:6;top:1;width:8358;height:2" coordorigin="6,1" coordsize="8358,2">
              <v:shape style="position:absolute;left:6;top:1;width:8358;height:2" coordorigin="6,1" coordsize="8358,0" path="m6,1l8364,1e" filled="false" stroked="true" strokeweight=".080766pt" strokecolor="#000000">
                <v:path arrowok="t"/>
              </v:shape>
            </v:group>
            <v:group style="position:absolute;left:6;top:6;width:8360;height:2" coordorigin="6,6" coordsize="8360,2">
              <v:shape style="position:absolute;left:6;top:6;width:8360;height:2" coordorigin="6,6" coordsize="8360,0" path="m6,6l8365,6e" filled="false" stroked="true" strokeweight=".553837pt" strokecolor="#000000">
                <v:path arrowok="t"/>
              </v:shape>
            </v:group>
          </v:group>
        </w:pict>
      </w:r>
      <w:r>
        <w:rPr>
          <w:rFonts w:ascii="宋体" w:hAnsi="宋体" w:cs="宋体" w:eastAsia="宋体" w:hint="default"/>
          <w:sz w:val="2"/>
          <w:szCs w:val="2"/>
        </w:rPr>
      </w:r>
    </w:p>
    <w:p>
      <w:pPr>
        <w:tabs>
          <w:tab w:pos="1975" w:val="left" w:leader="none"/>
          <w:tab w:pos="4324" w:val="left" w:leader="none"/>
        </w:tabs>
        <w:spacing w:line="119" w:lineRule="exact" w:before="0"/>
        <w:ind w:left="149" w:right="615" w:firstLine="0"/>
        <w:jc w:val="left"/>
        <w:rPr>
          <w:rFonts w:ascii="宋体" w:hAnsi="宋体" w:cs="宋体" w:eastAsia="宋体" w:hint="default"/>
          <w:sz w:val="12"/>
          <w:szCs w:val="12"/>
        </w:rPr>
      </w:pPr>
      <w:r>
        <w:rPr/>
        <w:pict>
          <v:group style="position:absolute;margin-left:358.455261pt;margin-top:-54.021263pt;width:67.9pt;height:.1pt;mso-position-horizontal-relative:page;mso-position-vertical-relative:paragraph;z-index:-649624" coordorigin="7169,-1080" coordsize="1358,2">
            <v:shape style="position:absolute;left:7169;top:-1080;width:1358;height:2" coordorigin="7169,-1080" coordsize="1358,0" path="m7169,-1080l8526,-1080e" filled="false" stroked="true" strokeweight=".553802pt" strokecolor="#000000">
              <v:path arrowok="t"/>
            </v:shape>
            <w10:wrap type="none"/>
          </v:group>
        </w:pict>
      </w:r>
      <w:r>
        <w:rPr/>
        <w:pict>
          <v:group style="position:absolute;margin-left:358.455261pt;margin-top:-9.716969pt;width:67.9pt;height:.1pt;mso-position-horizontal-relative:page;mso-position-vertical-relative:paragraph;z-index:-649600" coordorigin="7169,-194" coordsize="1358,2">
            <v:shape style="position:absolute;left:7169;top:-194;width:1358;height:2" coordorigin="7169,-194" coordsize="1358,0" path="m7169,-194l8526,-194e" filled="false" stroked="true" strokeweight=".553802pt" strokecolor="#000000">
              <v:path arrowok="t"/>
            </v:shape>
            <w10:wrap type="none"/>
          </v:group>
        </w:pict>
      </w:r>
      <w:r>
        <w:rPr/>
        <w:pict>
          <v:group style="position:absolute;margin-left:438.660095pt;margin-top:-54.021263pt;width:69.650pt;height:.1pt;mso-position-horizontal-relative:page;mso-position-vertical-relative:paragraph;z-index:-649552" coordorigin="8773,-1080" coordsize="1393,2">
            <v:shape style="position:absolute;left:8773;top:-1080;width:1393;height:2" coordorigin="8773,-1080" coordsize="1393,0" path="m8773,-1080l10166,-1080e" filled="false" stroked="true" strokeweight=".553802pt" strokecolor="#000000">
              <v:path arrowok="t"/>
            </v:shape>
            <w10:wrap type="none"/>
          </v:group>
        </w:pict>
      </w:r>
      <w:r>
        <w:rPr/>
        <w:pict>
          <v:group style="position:absolute;margin-left:438.660095pt;margin-top:-9.716969pt;width:69.650pt;height:.1pt;mso-position-horizontal-relative:page;mso-position-vertical-relative:paragraph;z-index:-649528" coordorigin="8773,-194" coordsize="1393,2">
            <v:shape style="position:absolute;left:8773;top:-194;width:1393;height:2" coordorigin="8773,-194" coordsize="1393,0" path="m8773,-194l10166,-194e" filled="false" stroked="true" strokeweight=".553802pt" strokecolor="#000000">
              <v:path arrowok="t"/>
            </v:shape>
            <w10:wrap type="none"/>
          </v:group>
        </w:pict>
      </w:r>
      <w:r>
        <w:rPr>
          <w:rFonts w:ascii="宋体" w:hAnsi="宋体" w:cs="宋体" w:eastAsia="宋体" w:hint="default"/>
          <w:w w:val="105"/>
          <w:sz w:val="12"/>
          <w:szCs w:val="12"/>
        </w:rPr>
        <w:t>公司负责人：刘祥</w:t>
        <w:tab/>
        <w:t>主管会计工作负责人：赵辉</w:t>
        <w:tab/>
      </w:r>
      <w:r>
        <w:rPr>
          <w:rFonts w:ascii="宋体" w:hAnsi="宋体" w:cs="宋体" w:eastAsia="宋体" w:hint="default"/>
          <w:w w:val="110"/>
          <w:sz w:val="12"/>
          <w:szCs w:val="12"/>
        </w:rPr>
        <w:t>会计机构负责人：赵辉</w:t>
      </w:r>
      <w:r>
        <w:rPr>
          <w:rFonts w:ascii="宋体" w:hAnsi="宋体" w:cs="宋体" w:eastAsia="宋体" w:hint="default"/>
          <w:sz w:val="12"/>
          <w:szCs w:val="12"/>
        </w:rPr>
      </w:r>
    </w:p>
    <w:p>
      <w:pPr>
        <w:spacing w:after="0" w:line="119" w:lineRule="exact"/>
        <w:jc w:val="left"/>
        <w:rPr>
          <w:rFonts w:ascii="宋体" w:hAnsi="宋体" w:cs="宋体" w:eastAsia="宋体" w:hint="default"/>
          <w:sz w:val="12"/>
          <w:szCs w:val="12"/>
        </w:rPr>
        <w:sectPr>
          <w:type w:val="continuous"/>
          <w:pgSz w:w="11910" w:h="16840"/>
          <w:pgMar w:top="1580" w:bottom="280" w:left="1680" w:right="162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175" w:top="1580" w:bottom="136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line="256" w:lineRule="auto" w:before="27"/>
        <w:ind w:left="5700" w:right="5078" w:firstLine="0"/>
        <w:jc w:val="center"/>
        <w:rPr>
          <w:rFonts w:ascii="黑体" w:hAnsi="黑体" w:cs="黑体" w:eastAsia="黑体" w:hint="default"/>
          <w:sz w:val="23"/>
          <w:szCs w:val="23"/>
        </w:rPr>
      </w:pPr>
      <w:r>
        <w:rPr>
          <w:rFonts w:ascii="黑体" w:hAnsi="黑体" w:cs="黑体" w:eastAsia="黑体" w:hint="default"/>
          <w:sz w:val="23"/>
          <w:szCs w:val="23"/>
        </w:rPr>
        <w:t>深圳市新国都技术股份有限公司</w:t>
      </w:r>
      <w:r>
        <w:rPr>
          <w:rFonts w:ascii="黑体" w:hAnsi="黑体" w:cs="黑体" w:eastAsia="黑体" w:hint="default"/>
          <w:spacing w:val="-59"/>
          <w:sz w:val="23"/>
          <w:szCs w:val="23"/>
        </w:rPr>
        <w:t> </w:t>
      </w:r>
      <w:r>
        <w:rPr>
          <w:rFonts w:ascii="黑体" w:hAnsi="黑体" w:cs="黑体" w:eastAsia="黑体" w:hint="default"/>
          <w:sz w:val="23"/>
          <w:szCs w:val="23"/>
        </w:rPr>
        <w:t>合并股东权益变动表</w:t>
      </w:r>
    </w:p>
    <w:tbl>
      <w:tblPr>
        <w:tblW w:w="0" w:type="auto"/>
        <w:jc w:val="left"/>
        <w:tblInd w:w="108" w:type="dxa"/>
        <w:tblLayout w:type="fixed"/>
        <w:tblCellMar>
          <w:top w:w="0" w:type="dxa"/>
          <w:left w:w="0" w:type="dxa"/>
          <w:bottom w:w="0" w:type="dxa"/>
          <w:right w:w="0" w:type="dxa"/>
        </w:tblCellMar>
        <w:tblLook w:val="01E0"/>
      </w:tblPr>
      <w:tblGrid>
        <w:gridCol w:w="2844"/>
        <w:gridCol w:w="987"/>
        <w:gridCol w:w="9974"/>
      </w:tblGrid>
      <w:tr>
        <w:trPr>
          <w:trHeight w:val="453" w:hRule="exact"/>
        </w:trPr>
        <w:tc>
          <w:tcPr>
            <w:tcW w:w="2844"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黑体" w:hAnsi="黑体" w:cs="黑体" w:eastAsia="黑体" w:hint="default"/>
                <w:sz w:val="12"/>
                <w:szCs w:val="12"/>
              </w:rPr>
            </w:pPr>
          </w:p>
          <w:p>
            <w:pPr>
              <w:pStyle w:val="TableParagraph"/>
              <w:spacing w:line="240" w:lineRule="auto" w:before="89"/>
              <w:ind w:left="548" w:right="0"/>
              <w:jc w:val="center"/>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5"/>
                <w:sz w:val="13"/>
                <w:szCs w:val="13"/>
              </w:rPr>
              <w:t> </w:t>
            </w:r>
            <w:r>
              <w:rPr>
                <w:rFonts w:ascii="宋体" w:hAnsi="宋体" w:cs="宋体" w:eastAsia="宋体" w:hint="default"/>
                <w:sz w:val="13"/>
                <w:szCs w:val="13"/>
              </w:rPr>
              <w:t>目</w:t>
            </w:r>
          </w:p>
        </w:tc>
        <w:tc>
          <w:tcPr>
            <w:tcW w:w="987"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黑体" w:hAnsi="黑体" w:cs="黑体" w:eastAsia="黑体" w:hint="default"/>
                <w:sz w:val="12"/>
                <w:szCs w:val="12"/>
              </w:rPr>
            </w:pPr>
          </w:p>
          <w:p>
            <w:pPr>
              <w:pStyle w:val="TableParagraph"/>
              <w:spacing w:line="240" w:lineRule="auto" w:before="89"/>
              <w:ind w:left="636" w:right="0"/>
              <w:jc w:val="left"/>
              <w:rPr>
                <w:rFonts w:ascii="宋体" w:hAnsi="宋体" w:cs="宋体" w:eastAsia="宋体" w:hint="default"/>
                <w:sz w:val="13"/>
                <w:szCs w:val="13"/>
              </w:rPr>
            </w:pPr>
            <w:r>
              <w:rPr>
                <w:rFonts w:ascii="宋体" w:hAnsi="宋体" w:cs="宋体" w:eastAsia="宋体" w:hint="default"/>
                <w:sz w:val="13"/>
                <w:szCs w:val="13"/>
              </w:rPr>
              <w:t>附注</w:t>
            </w:r>
          </w:p>
        </w:tc>
        <w:tc>
          <w:tcPr>
            <w:tcW w:w="9974" w:type="dxa"/>
            <w:tcBorders>
              <w:top w:val="nil" w:sz="6" w:space="0" w:color="auto"/>
              <w:left w:val="nil" w:sz="6" w:space="0" w:color="auto"/>
              <w:bottom w:val="single" w:sz="5" w:space="0" w:color="000000"/>
              <w:right w:val="nil" w:sz="6" w:space="0" w:color="auto"/>
            </w:tcBorders>
          </w:tcPr>
          <w:p>
            <w:pPr>
              <w:pStyle w:val="TableParagraph"/>
              <w:tabs>
                <w:tab w:pos="6100" w:val="left" w:leader="none"/>
              </w:tabs>
              <w:spacing w:line="240" w:lineRule="auto" w:before="26"/>
              <w:ind w:right="24"/>
              <w:jc w:val="right"/>
              <w:rPr>
                <w:rFonts w:ascii="宋体" w:hAnsi="宋体" w:cs="宋体" w:eastAsia="宋体" w:hint="default"/>
                <w:sz w:val="13"/>
                <w:szCs w:val="13"/>
              </w:rPr>
            </w:pPr>
            <w:r>
              <w:rPr>
                <w:rFonts w:ascii="宋体" w:hAnsi="宋体" w:cs="宋体" w:eastAsia="宋体" w:hint="default"/>
                <w:sz w:val="13"/>
                <w:szCs w:val="13"/>
              </w:rPr>
              <w:t>2011年度</w:t>
              <w:tab/>
              <w:t>单位：人民币元</w:t>
            </w:r>
          </w:p>
        </w:tc>
      </w:tr>
      <w:tr>
        <w:trPr>
          <w:trHeight w:val="220" w:hRule="exact"/>
        </w:trPr>
        <w:tc>
          <w:tcPr>
            <w:tcW w:w="2844" w:type="dxa"/>
            <w:tcBorders>
              <w:top w:val="single" w:sz="5" w:space="0" w:color="000000"/>
              <w:left w:val="nil" w:sz="6" w:space="0" w:color="auto"/>
              <w:bottom w:val="nil" w:sz="6" w:space="0" w:color="auto"/>
              <w:right w:val="nil" w:sz="6" w:space="0" w:color="auto"/>
            </w:tcBorders>
          </w:tcPr>
          <w:p>
            <w:pPr/>
          </w:p>
        </w:tc>
        <w:tc>
          <w:tcPr>
            <w:tcW w:w="987" w:type="dxa"/>
            <w:tcBorders>
              <w:top w:val="single" w:sz="5" w:space="0" w:color="000000"/>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single" w:sz="5" w:space="0" w:color="000000"/>
              <w:right w:val="nil" w:sz="6" w:space="0" w:color="auto"/>
            </w:tcBorders>
          </w:tcPr>
          <w:p>
            <w:pPr>
              <w:pStyle w:val="TableParagraph"/>
              <w:spacing w:line="170" w:lineRule="exact"/>
              <w:ind w:left="3110" w:right="0"/>
              <w:jc w:val="left"/>
              <w:rPr>
                <w:rFonts w:ascii="宋体" w:hAnsi="宋体" w:cs="宋体" w:eastAsia="宋体" w:hint="default"/>
                <w:sz w:val="13"/>
                <w:szCs w:val="13"/>
              </w:rPr>
            </w:pPr>
            <w:r>
              <w:rPr>
                <w:rFonts w:ascii="宋体" w:hAnsi="宋体" w:cs="宋体" w:eastAsia="宋体" w:hint="default"/>
                <w:sz w:val="13"/>
                <w:szCs w:val="13"/>
              </w:rPr>
              <w:t>归属于母公司股东权益</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single" w:sz="5" w:space="0" w:color="000000"/>
              <w:right w:val="nil" w:sz="6" w:space="0" w:color="auto"/>
            </w:tcBorders>
          </w:tcPr>
          <w:p>
            <w:pPr>
              <w:pStyle w:val="TableParagraph"/>
              <w:tabs>
                <w:tab w:pos="1747" w:val="left" w:leader="none"/>
                <w:tab w:pos="2770" w:val="left" w:leader="none"/>
                <w:tab w:pos="4563" w:val="left" w:leader="none"/>
                <w:tab w:pos="5783" w:val="left" w:leader="none"/>
                <w:tab w:pos="7045" w:val="left" w:leader="none"/>
                <w:tab w:pos="7705" w:val="left" w:leader="none"/>
                <w:tab w:pos="8927" w:val="left" w:leader="none"/>
              </w:tabs>
              <w:spacing w:line="240" w:lineRule="auto" w:before="6"/>
              <w:ind w:left="519" w:right="0"/>
              <w:jc w:val="left"/>
              <w:rPr>
                <w:rFonts w:ascii="宋体" w:hAnsi="宋体" w:cs="宋体" w:eastAsia="宋体" w:hint="default"/>
                <w:sz w:val="13"/>
                <w:szCs w:val="13"/>
              </w:rPr>
            </w:pPr>
            <w:r>
              <w:rPr>
                <w:rFonts w:ascii="宋体" w:hAnsi="宋体" w:cs="宋体" w:eastAsia="宋体" w:hint="default"/>
                <w:sz w:val="13"/>
                <w:szCs w:val="13"/>
              </w:rPr>
              <w:t>股本</w:t>
              <w:tab/>
              <w:t>资本公积</w:t>
              <w:tab/>
              <w:t>减：库存股 </w:t>
            </w:r>
            <w:r>
              <w:rPr>
                <w:rFonts w:ascii="宋体" w:hAnsi="宋体" w:cs="宋体" w:eastAsia="宋体" w:hint="default"/>
                <w:spacing w:val="57"/>
                <w:sz w:val="13"/>
                <w:szCs w:val="13"/>
              </w:rPr>
              <w:t> </w:t>
            </w:r>
            <w:r>
              <w:rPr>
                <w:rFonts w:ascii="宋体" w:hAnsi="宋体" w:cs="宋体" w:eastAsia="宋体" w:hint="default"/>
                <w:sz w:val="13"/>
                <w:szCs w:val="13"/>
              </w:rPr>
              <w:t>专项储备</w:t>
              <w:tab/>
              <w:t>盈余公积</w:t>
              <w:tab/>
              <w:t>未分配利润</w:t>
              <w:tab/>
              <w:t>其他</w:t>
              <w:tab/>
              <w:t>少数股东权益</w:t>
              <w:tab/>
              <w:t>股东权益合计</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single" w:sz="5" w:space="0" w:color="000000"/>
              <w:right w:val="nil" w:sz="6" w:space="0" w:color="auto"/>
            </w:tcBorders>
          </w:tcPr>
          <w:p>
            <w:pPr>
              <w:pStyle w:val="TableParagraph"/>
              <w:tabs>
                <w:tab w:pos="1636" w:val="left" w:leader="none"/>
                <w:tab w:pos="3186" w:val="left" w:leader="none"/>
                <w:tab w:pos="3901" w:val="left" w:leader="none"/>
                <w:tab w:pos="4508" w:val="left" w:leader="none"/>
                <w:tab w:pos="5739" w:val="left" w:leader="none"/>
                <w:tab w:pos="7235" w:val="left" w:leader="none"/>
                <w:tab w:pos="8325" w:val="left" w:leader="none"/>
                <w:tab w:pos="8943" w:val="left" w:leader="none"/>
              </w:tabs>
              <w:spacing w:line="240" w:lineRule="auto" w:before="6"/>
              <w:ind w:left="338" w:right="0"/>
              <w:jc w:val="left"/>
              <w:rPr>
                <w:rFonts w:ascii="宋体" w:hAnsi="宋体" w:cs="宋体" w:eastAsia="宋体" w:hint="default"/>
                <w:sz w:val="13"/>
                <w:szCs w:val="13"/>
              </w:rPr>
            </w:pPr>
            <w:r>
              <w:rPr>
                <w:rFonts w:ascii="宋体"/>
                <w:sz w:val="13"/>
              </w:rPr>
              <w:t>63,500,000.00</w:t>
              <w:tab/>
              <w:t>692,720,393.65</w:t>
              <w:tab/>
              <w:t>-</w:t>
              <w:tab/>
              <w:t>-</w:t>
              <w:tab/>
              <w:t>7,020,701.36</w:t>
              <w:tab/>
              <w:t>108,763,910.61</w:t>
              <w:tab/>
              <w:t>-</w:t>
              <w:tab/>
              <w:t>-</w:t>
              <w:tab/>
              <w:t>872,005,005.62</w:t>
            </w:r>
          </w:p>
        </w:tc>
      </w:tr>
      <w:tr>
        <w:trPr>
          <w:trHeight w:val="229"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5111" w:val="left" w:leader="none"/>
                <w:tab w:pos="6476" w:val="left" w:leader="none"/>
                <w:tab w:pos="7235" w:val="left" w:leader="none"/>
                <w:tab w:pos="8325" w:val="left" w:leader="none"/>
                <w:tab w:pos="9679" w:val="left" w:leader="none"/>
              </w:tabs>
              <w:spacing w:line="240" w:lineRule="auto" w:before="6"/>
              <w:ind w:left="1007" w:right="0"/>
              <w:jc w:val="left"/>
              <w:rPr>
                <w:rFonts w:ascii="宋体" w:hAnsi="宋体" w:cs="宋体" w:eastAsia="宋体" w:hint="default"/>
                <w:sz w:val="13"/>
                <w:szCs w:val="13"/>
              </w:rPr>
            </w:pPr>
            <w:r>
              <w:rPr>
                <w:rFonts w:ascii="宋体"/>
                <w:sz w:val="13"/>
              </w:rPr>
              <w:t>-</w:t>
              <w:tab/>
              <w:t>-</w:t>
              <w:tab/>
              <w:t>-</w:t>
              <w:tab/>
              <w:t>-</w:t>
              <w:tab/>
              <w:t>-</w:t>
              <w:tab/>
              <w:t>-</w:t>
              <w:tab/>
              <w:t>-</w:t>
              <w:tab/>
              <w:t>-</w:t>
              <w:tab/>
              <w:t>-</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5111" w:val="left" w:leader="none"/>
                <w:tab w:pos="6476" w:val="left" w:leader="none"/>
                <w:tab w:pos="7235" w:val="left" w:leader="none"/>
                <w:tab w:pos="8325" w:val="left" w:leader="none"/>
                <w:tab w:pos="9679" w:val="left" w:leader="none"/>
              </w:tabs>
              <w:spacing w:line="240" w:lineRule="auto" w:before="4"/>
              <w:ind w:left="1007" w:right="0"/>
              <w:jc w:val="left"/>
              <w:rPr>
                <w:rFonts w:ascii="宋体" w:hAnsi="宋体" w:cs="宋体" w:eastAsia="宋体" w:hint="default"/>
                <w:sz w:val="13"/>
                <w:szCs w:val="13"/>
              </w:rPr>
            </w:pPr>
            <w:r>
              <w:rPr>
                <w:rFonts w:ascii="宋体"/>
                <w:sz w:val="13"/>
              </w:rPr>
              <w:t>-</w:t>
              <w:tab/>
              <w:t>-</w:t>
              <w:tab/>
              <w:t>-</w:t>
              <w:tab/>
              <w:t>-</w:t>
              <w:tab/>
              <w:t>-</w:t>
              <w:tab/>
              <w:t>-</w:t>
              <w:tab/>
              <w:t>-</w:t>
              <w:tab/>
              <w:t>-</w:t>
              <w:tab/>
              <w:t>-</w:t>
            </w:r>
          </w:p>
        </w:tc>
      </w:tr>
      <w:tr>
        <w:trPr>
          <w:trHeight w:val="211"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single" w:sz="5" w:space="0" w:color="000000"/>
              <w:right w:val="nil" w:sz="6" w:space="0" w:color="auto"/>
            </w:tcBorders>
          </w:tcPr>
          <w:p>
            <w:pPr>
              <w:pStyle w:val="TableParagraph"/>
              <w:tabs>
                <w:tab w:pos="1636" w:val="left" w:leader="none"/>
                <w:tab w:pos="3186" w:val="left" w:leader="none"/>
                <w:tab w:pos="3901" w:val="left" w:leader="none"/>
                <w:tab w:pos="4508" w:val="left" w:leader="none"/>
                <w:tab w:pos="5739" w:val="left" w:leader="none"/>
                <w:tab w:pos="7235" w:val="left" w:leader="none"/>
                <w:tab w:pos="8325" w:val="left" w:leader="none"/>
                <w:tab w:pos="8943" w:val="left" w:leader="none"/>
              </w:tabs>
              <w:spacing w:line="240" w:lineRule="auto" w:before="4"/>
              <w:ind w:left="338" w:right="0"/>
              <w:jc w:val="left"/>
              <w:rPr>
                <w:rFonts w:ascii="宋体" w:hAnsi="宋体" w:cs="宋体" w:eastAsia="宋体" w:hint="default"/>
                <w:sz w:val="13"/>
                <w:szCs w:val="13"/>
              </w:rPr>
            </w:pPr>
            <w:r>
              <w:rPr>
                <w:rFonts w:ascii="宋体"/>
                <w:sz w:val="13"/>
              </w:rPr>
              <w:t>63,500,000.00</w:t>
              <w:tab/>
              <w:t>692,720,393.65</w:t>
              <w:tab/>
              <w:t>-</w:t>
              <w:tab/>
              <w:t>-</w:t>
              <w:tab/>
              <w:t>7,020,701.36</w:t>
              <w:tab/>
              <w:t>108,763,910.61</w:t>
              <w:tab/>
              <w:t>-</w:t>
              <w:tab/>
              <w:t>-</w:t>
              <w:tab/>
              <w:t>872,005,005.62</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left"/>
              <w:rPr>
                <w:rFonts w:ascii="宋体" w:hAnsi="宋体" w:cs="宋体" w:eastAsia="宋体" w:hint="default"/>
                <w:sz w:val="13"/>
                <w:szCs w:val="13"/>
              </w:rPr>
            </w:pPr>
            <w:r>
              <w:rPr>
                <w:rFonts w:ascii="宋体" w:hAnsi="宋体" w:cs="宋体" w:eastAsia="宋体" w:hint="default"/>
                <w:b/>
                <w:bCs/>
                <w:sz w:val="13"/>
                <w:szCs w:val="13"/>
              </w:rPr>
              <w:t>三、本年增减变动金额</w:t>
            </w:r>
            <w:r>
              <w:rPr>
                <w:rFonts w:ascii="宋体" w:hAnsi="宋体" w:cs="宋体" w:eastAsia="宋体" w:hint="default"/>
                <w:sz w:val="13"/>
                <w:szCs w:val="13"/>
              </w:rPr>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single" w:sz="5" w:space="0" w:color="000000"/>
              <w:right w:val="nil" w:sz="6" w:space="0" w:color="auto"/>
            </w:tcBorders>
          </w:tcPr>
          <w:p>
            <w:pPr>
              <w:pStyle w:val="TableParagraph"/>
              <w:tabs>
                <w:tab w:pos="1636" w:val="left" w:leader="none"/>
                <w:tab w:pos="3186" w:val="left" w:leader="none"/>
                <w:tab w:pos="3901" w:val="left" w:leader="none"/>
                <w:tab w:pos="4508" w:val="left" w:leader="none"/>
                <w:tab w:pos="5806" w:val="left" w:leader="none"/>
                <w:tab w:pos="7235" w:val="left" w:leader="none"/>
                <w:tab w:pos="7723" w:val="left" w:leader="none"/>
                <w:tab w:pos="9010" w:val="left" w:leader="none"/>
              </w:tabs>
              <w:spacing w:line="240" w:lineRule="auto" w:before="6"/>
              <w:ind w:left="338" w:right="0"/>
              <w:jc w:val="left"/>
              <w:rPr>
                <w:rFonts w:ascii="宋体" w:hAnsi="宋体" w:cs="宋体" w:eastAsia="宋体" w:hint="default"/>
                <w:sz w:val="13"/>
                <w:szCs w:val="13"/>
              </w:rPr>
            </w:pPr>
            <w:r>
              <w:rPr>
                <w:rFonts w:ascii="宋体"/>
                <w:sz w:val="13"/>
              </w:rPr>
              <w:t>50,800,000.00</w:t>
              <w:tab/>
              <w:t>(50,800,000.00)</w:t>
              <w:tab/>
              <w:t>-</w:t>
              <w:tab/>
              <w:t>-</w:t>
              <w:tab/>
              <w:t>3,775,384.72</w:t>
              <w:tab/>
              <w:t>59,266,498.08</w:t>
              <w:tab/>
              <w:t>-</w:t>
              <w:tab/>
              <w:t>2,984,504.06</w:t>
              <w:tab/>
              <w:t>66,026,386.86</w:t>
            </w:r>
          </w:p>
        </w:tc>
      </w:tr>
      <w:tr>
        <w:trPr>
          <w:trHeight w:val="229"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single" w:sz="5" w:space="0" w:color="000000"/>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4103" w:val="left" w:leader="none"/>
                <w:tab w:pos="4798" w:val="left" w:leader="none"/>
                <w:tab w:pos="6227" w:val="left" w:leader="none"/>
                <w:tab w:pos="6849" w:val="left" w:leader="none"/>
                <w:tab w:pos="8002" w:val="left" w:leader="none"/>
              </w:tabs>
              <w:spacing w:line="240" w:lineRule="auto" w:before="6"/>
              <w:ind w:right="91"/>
              <w:jc w:val="right"/>
              <w:rPr>
                <w:rFonts w:ascii="宋体" w:hAnsi="宋体" w:cs="宋体" w:eastAsia="宋体" w:hint="default"/>
                <w:sz w:val="13"/>
                <w:szCs w:val="13"/>
              </w:rPr>
            </w:pPr>
            <w:r>
              <w:rPr>
                <w:rFonts w:ascii="宋体"/>
                <w:sz w:val="13"/>
              </w:rPr>
              <w:t>-</w:t>
              <w:tab/>
              <w:t>-</w:t>
              <w:tab/>
              <w:t>-</w:t>
              <w:tab/>
              <w:t>-</w:t>
              <w:tab/>
              <w:t>-</w:t>
              <w:tab/>
              <w:t>75,741,882.80</w:t>
              <w:tab/>
              <w:t>-</w:t>
              <w:tab/>
              <w:t>(15,495.94)</w:t>
              <w:tab/>
              <w:t>75,726,386.86</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5111" w:val="left" w:leader="none"/>
                <w:tab w:pos="6476" w:val="left" w:leader="none"/>
                <w:tab w:pos="7235" w:val="left" w:leader="none"/>
                <w:tab w:pos="8325" w:val="left" w:leader="none"/>
                <w:tab w:pos="9679" w:val="left" w:leader="none"/>
              </w:tabs>
              <w:spacing w:line="240" w:lineRule="auto" w:before="4"/>
              <w:ind w:left="1007" w:right="0"/>
              <w:jc w:val="left"/>
              <w:rPr>
                <w:rFonts w:ascii="宋体" w:hAnsi="宋体" w:cs="宋体" w:eastAsia="宋体" w:hint="default"/>
                <w:sz w:val="13"/>
                <w:szCs w:val="13"/>
              </w:rPr>
            </w:pPr>
            <w:r>
              <w:rPr>
                <w:rFonts w:ascii="宋体"/>
                <w:sz w:val="13"/>
              </w:rPr>
              <w:t>-</w:t>
              <w:tab/>
              <w:t>-</w:t>
              <w:tab/>
              <w:t>-</w:t>
              <w:tab/>
              <w:t>-</w:t>
              <w:tab/>
              <w:t>-</w:t>
              <w:tab/>
              <w:t>-</w:t>
              <w:tab/>
              <w:t>-</w:t>
              <w:tab/>
              <w:t>-</w:t>
              <w:tab/>
              <w:t>-</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4103" w:val="left" w:leader="none"/>
                <w:tab w:pos="4798" w:val="left" w:leader="none"/>
                <w:tab w:pos="6227" w:val="left" w:leader="none"/>
                <w:tab w:pos="6849" w:val="left" w:leader="none"/>
                <w:tab w:pos="8002" w:val="left" w:leader="none"/>
              </w:tabs>
              <w:spacing w:line="240" w:lineRule="auto" w:before="4"/>
              <w:ind w:right="91"/>
              <w:jc w:val="right"/>
              <w:rPr>
                <w:rFonts w:ascii="宋体" w:hAnsi="宋体" w:cs="宋体" w:eastAsia="宋体" w:hint="default"/>
                <w:sz w:val="13"/>
                <w:szCs w:val="13"/>
              </w:rPr>
            </w:pPr>
            <w:r>
              <w:rPr>
                <w:rFonts w:ascii="宋体"/>
                <w:sz w:val="13"/>
              </w:rPr>
              <w:t>-</w:t>
              <w:tab/>
              <w:t>-</w:t>
              <w:tab/>
              <w:t>-</w:t>
              <w:tab/>
              <w:t>-</w:t>
              <w:tab/>
              <w:t>-</w:t>
              <w:tab/>
              <w:t>75,741,882.80</w:t>
              <w:tab/>
              <w:t>-</w:t>
              <w:tab/>
              <w:t>(15,495.94)</w:t>
              <w:tab/>
              <w:t>75,726,386.86</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 w:right="0"/>
              <w:jc w:val="left"/>
              <w:rPr>
                <w:rFonts w:ascii="宋体" w:hAnsi="宋体" w:cs="宋体" w:eastAsia="宋体" w:hint="default"/>
                <w:sz w:val="13"/>
                <w:szCs w:val="13"/>
              </w:rPr>
            </w:pPr>
            <w:r>
              <w:rPr>
                <w:rFonts w:ascii="宋体" w:hAnsi="宋体" w:cs="宋体" w:eastAsia="宋体" w:hint="default"/>
                <w:sz w:val="13"/>
                <w:szCs w:val="13"/>
              </w:rPr>
              <w:t>（三）股东投入和减少股本</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4103" w:val="left" w:leader="none"/>
                <w:tab w:pos="5468" w:val="left" w:leader="none"/>
                <w:tab w:pos="6227" w:val="left" w:leader="none"/>
                <w:tab w:pos="6715" w:val="left" w:leader="none"/>
                <w:tab w:pos="8069" w:val="left" w:leader="none"/>
              </w:tabs>
              <w:spacing w:line="240" w:lineRule="auto" w:before="4"/>
              <w:ind w:right="91"/>
              <w:jc w:val="right"/>
              <w:rPr>
                <w:rFonts w:ascii="宋体" w:hAnsi="宋体" w:cs="宋体" w:eastAsia="宋体" w:hint="default"/>
                <w:sz w:val="13"/>
                <w:szCs w:val="13"/>
              </w:rPr>
            </w:pPr>
            <w:r>
              <w:rPr>
                <w:rFonts w:ascii="宋体"/>
                <w:sz w:val="13"/>
              </w:rPr>
              <w:t>-</w:t>
              <w:tab/>
              <w:t>-</w:t>
              <w:tab/>
              <w:t>-</w:t>
              <w:tab/>
              <w:t>-</w:t>
              <w:tab/>
              <w:t>-</w:t>
              <w:tab/>
              <w:t>-</w:t>
              <w:tab/>
              <w:t>-</w:t>
              <w:tab/>
              <w:t>3,000,000.00</w:t>
              <w:tab/>
              <w:t>3,000,000.00</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2"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11"/>
                <w:sz w:val="13"/>
                <w:szCs w:val="13"/>
              </w:rPr>
              <w:t> </w:t>
            </w:r>
            <w:r>
              <w:rPr>
                <w:rFonts w:ascii="宋体" w:hAnsi="宋体" w:cs="宋体" w:eastAsia="宋体" w:hint="default"/>
                <w:sz w:val="13"/>
                <w:szCs w:val="13"/>
              </w:rPr>
              <w:t>股东投入股本</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4103" w:val="left" w:leader="none"/>
                <w:tab w:pos="5468" w:val="left" w:leader="none"/>
                <w:tab w:pos="6227" w:val="left" w:leader="none"/>
                <w:tab w:pos="6715" w:val="left" w:leader="none"/>
                <w:tab w:pos="8069" w:val="left" w:leader="none"/>
              </w:tabs>
              <w:spacing w:line="240" w:lineRule="auto" w:before="4"/>
              <w:ind w:right="91"/>
              <w:jc w:val="right"/>
              <w:rPr>
                <w:rFonts w:ascii="宋体" w:hAnsi="宋体" w:cs="宋体" w:eastAsia="宋体" w:hint="default"/>
                <w:sz w:val="13"/>
                <w:szCs w:val="13"/>
              </w:rPr>
            </w:pPr>
            <w:r>
              <w:rPr>
                <w:rFonts w:ascii="宋体"/>
                <w:sz w:val="13"/>
              </w:rPr>
              <w:t>-</w:t>
              <w:tab/>
              <w:t>-</w:t>
              <w:tab/>
              <w:t>-</w:t>
              <w:tab/>
              <w:t>-</w:t>
              <w:tab/>
              <w:t>-</w:t>
              <w:tab/>
              <w:t>-</w:t>
              <w:tab/>
              <w:t>-</w:t>
              <w:tab/>
              <w:t>3,000,000.00</w:t>
              <w:tab/>
              <w:t>3,000,000.00</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1" w:right="0"/>
              <w:jc w:val="left"/>
              <w:rPr>
                <w:rFonts w:ascii="宋体" w:hAnsi="宋体" w:cs="宋体" w:eastAsia="宋体" w:hint="default"/>
                <w:sz w:val="13"/>
                <w:szCs w:val="13"/>
              </w:rPr>
            </w:pPr>
            <w:r>
              <w:rPr>
                <w:rFonts w:ascii="宋体" w:hAnsi="宋体" w:cs="宋体" w:eastAsia="宋体" w:hint="default"/>
                <w:sz w:val="13"/>
                <w:szCs w:val="13"/>
              </w:rPr>
              <w:t>2．股份支付计入股东权益的金额</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5111" w:val="left" w:leader="none"/>
                <w:tab w:pos="6476" w:val="left" w:leader="none"/>
                <w:tab w:pos="7235" w:val="left" w:leader="none"/>
                <w:tab w:pos="8325" w:val="left" w:leader="none"/>
                <w:tab w:pos="9679" w:val="left" w:leader="none"/>
              </w:tabs>
              <w:spacing w:line="240" w:lineRule="auto" w:before="4"/>
              <w:ind w:left="1007" w:right="0"/>
              <w:jc w:val="left"/>
              <w:rPr>
                <w:rFonts w:ascii="宋体" w:hAnsi="宋体" w:cs="宋体" w:eastAsia="宋体" w:hint="default"/>
                <w:sz w:val="13"/>
                <w:szCs w:val="13"/>
              </w:rPr>
            </w:pPr>
            <w:r>
              <w:rPr>
                <w:rFonts w:ascii="宋体"/>
                <w:sz w:val="13"/>
              </w:rPr>
              <w:t>-</w:t>
              <w:tab/>
              <w:t>-</w:t>
              <w:tab/>
              <w:t>-</w:t>
              <w:tab/>
              <w:t>-</w:t>
              <w:tab/>
              <w:t>-</w:t>
              <w:tab/>
              <w:t>-</w:t>
              <w:tab/>
              <w:t>-</w:t>
              <w:tab/>
              <w:t>-</w:t>
              <w:tab/>
              <w:t>-</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1"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5111" w:val="left" w:leader="none"/>
                <w:tab w:pos="6476" w:val="left" w:leader="none"/>
                <w:tab w:pos="7235" w:val="left" w:leader="none"/>
                <w:tab w:pos="8325" w:val="left" w:leader="none"/>
                <w:tab w:pos="9679" w:val="left" w:leader="none"/>
              </w:tabs>
              <w:spacing w:line="240" w:lineRule="auto" w:before="4"/>
              <w:ind w:left="1007" w:right="0"/>
              <w:jc w:val="left"/>
              <w:rPr>
                <w:rFonts w:ascii="宋体" w:hAnsi="宋体" w:cs="宋体" w:eastAsia="宋体" w:hint="default"/>
                <w:sz w:val="13"/>
                <w:szCs w:val="13"/>
              </w:rPr>
            </w:pPr>
            <w:r>
              <w:rPr>
                <w:rFonts w:ascii="宋体"/>
                <w:sz w:val="13"/>
              </w:rPr>
              <w:t>-</w:t>
              <w:tab/>
              <w:t>-</w:t>
              <w:tab/>
              <w:t>-</w:t>
              <w:tab/>
              <w:t>-</w:t>
              <w:tab/>
              <w:t>-</w:t>
              <w:tab/>
              <w:t>-</w:t>
              <w:tab/>
              <w:t>-</w:t>
              <w:tab/>
              <w:t>-</w:t>
              <w:tab/>
              <w:t>-</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3501" w:val="left" w:leader="none"/>
                <w:tab w:pos="4732" w:val="left" w:leader="none"/>
                <w:tab w:pos="6227" w:val="left" w:leader="none"/>
                <w:tab w:pos="7317" w:val="left" w:leader="none"/>
                <w:tab w:pos="7935" w:val="left" w:leader="none"/>
              </w:tabs>
              <w:spacing w:line="240" w:lineRule="auto" w:before="4"/>
              <w:ind w:right="24"/>
              <w:jc w:val="right"/>
              <w:rPr>
                <w:rFonts w:ascii="宋体" w:hAnsi="宋体" w:cs="宋体" w:eastAsia="宋体" w:hint="default"/>
                <w:sz w:val="13"/>
                <w:szCs w:val="13"/>
              </w:rPr>
            </w:pPr>
            <w:r>
              <w:rPr>
                <w:rFonts w:ascii="宋体"/>
                <w:sz w:val="13"/>
              </w:rPr>
              <w:t>-</w:t>
              <w:tab/>
              <w:t>-</w:t>
              <w:tab/>
              <w:t>-</w:t>
              <w:tab/>
              <w:t>-</w:t>
              <w:tab/>
              <w:t>3,775,384.72</w:t>
              <w:tab/>
              <w:t>(16,475,384.72)</w:t>
              <w:tab/>
              <w:t>-</w:t>
              <w:tab/>
              <w:t>-</w:t>
              <w:tab/>
              <w:t>(12,700,000.00)</w:t>
            </w:r>
          </w:p>
        </w:tc>
      </w:tr>
      <w:tr>
        <w:trPr>
          <w:trHeight w:val="22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1"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2372" w:val="left" w:leader="none"/>
                <w:tab w:pos="3186" w:val="left" w:leader="none"/>
                <w:tab w:pos="3901" w:val="left" w:leader="none"/>
                <w:tab w:pos="4508" w:val="left" w:leader="none"/>
                <w:tab w:pos="5806" w:val="left" w:leader="none"/>
                <w:tab w:pos="7235" w:val="left" w:leader="none"/>
                <w:tab w:pos="8325" w:val="left" w:leader="none"/>
                <w:tab w:pos="9679" w:val="left" w:leader="none"/>
              </w:tabs>
              <w:spacing w:line="240" w:lineRule="auto" w:before="4"/>
              <w:ind w:left="1007" w:right="0"/>
              <w:jc w:val="left"/>
              <w:rPr>
                <w:rFonts w:ascii="宋体" w:hAnsi="宋体" w:cs="宋体" w:eastAsia="宋体" w:hint="default"/>
                <w:sz w:val="13"/>
                <w:szCs w:val="13"/>
              </w:rPr>
            </w:pPr>
            <w:r>
              <w:rPr>
                <w:rFonts w:ascii="宋体"/>
                <w:sz w:val="13"/>
              </w:rPr>
              <w:t>-</w:t>
              <w:tab/>
              <w:t>-</w:t>
              <w:tab/>
              <w:t>-</w:t>
              <w:tab/>
              <w:t>-</w:t>
              <w:tab/>
              <w:t>3,775,384.72</w:t>
              <w:tab/>
              <w:t>(3,775,384.72)</w:t>
              <w:tab/>
              <w:t>-</w:t>
              <w:tab/>
              <w:t>-</w:t>
              <w:tab/>
              <w:t>-</w:t>
            </w:r>
          </w:p>
        </w:tc>
      </w:tr>
      <w:tr>
        <w:trPr>
          <w:trHeight w:val="239"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1"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987" w:type="dxa"/>
            <w:tcBorders>
              <w:top w:val="nil" w:sz="6" w:space="0" w:color="auto"/>
              <w:left w:val="nil" w:sz="6" w:space="0" w:color="auto"/>
              <w:bottom w:val="nil" w:sz="6" w:space="0" w:color="auto"/>
              <w:right w:val="nil" w:sz="6" w:space="0" w:color="auto"/>
            </w:tcBorders>
          </w:tcPr>
          <w:p>
            <w:pPr/>
          </w:p>
        </w:tc>
        <w:tc>
          <w:tcPr>
            <w:tcW w:w="9974" w:type="dxa"/>
            <w:tcBorders>
              <w:top w:val="nil" w:sz="6" w:space="0" w:color="auto"/>
              <w:left w:val="nil" w:sz="6" w:space="0" w:color="auto"/>
              <w:bottom w:val="nil" w:sz="6" w:space="0" w:color="auto"/>
              <w:right w:val="nil" w:sz="6" w:space="0" w:color="auto"/>
            </w:tcBorders>
          </w:tcPr>
          <w:p>
            <w:pPr>
              <w:pStyle w:val="TableParagraph"/>
              <w:tabs>
                <w:tab w:pos="1364" w:val="left" w:leader="none"/>
                <w:tab w:pos="2178" w:val="left" w:leader="none"/>
                <w:tab w:pos="2893" w:val="left" w:leader="none"/>
                <w:tab w:pos="4103" w:val="left" w:leader="none"/>
                <w:tab w:pos="4732" w:val="left" w:leader="none"/>
                <w:tab w:pos="6227" w:val="left" w:leader="none"/>
                <w:tab w:pos="7317" w:val="left" w:leader="none"/>
                <w:tab w:pos="7935" w:val="left" w:leader="none"/>
              </w:tabs>
              <w:spacing w:line="240" w:lineRule="auto" w:before="4"/>
              <w:ind w:right="24"/>
              <w:jc w:val="right"/>
              <w:rPr>
                <w:rFonts w:ascii="宋体" w:hAnsi="宋体" w:cs="宋体" w:eastAsia="宋体" w:hint="default"/>
                <w:sz w:val="13"/>
                <w:szCs w:val="13"/>
              </w:rPr>
            </w:pPr>
            <w:r>
              <w:rPr>
                <w:rFonts w:ascii="宋体"/>
                <w:sz w:val="13"/>
              </w:rPr>
              <w:t>-</w:t>
              <w:tab/>
              <w:t>-</w:t>
              <w:tab/>
              <w:t>-</w:t>
              <w:tab/>
              <w:t>-</w:t>
              <w:tab/>
              <w:t>-</w:t>
              <w:tab/>
              <w:t>(12,700,000.00)</w:t>
              <w:tab/>
              <w:t>-</w:t>
              <w:tab/>
              <w:t>-</w:t>
              <w:tab/>
              <w:t>(12,700,000.00)</w:t>
            </w:r>
          </w:p>
        </w:tc>
      </w:tr>
    </w:tbl>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line="166" w:lineRule="exact" w:before="0"/>
        <w:ind w:left="400" w:right="0" w:firstLine="0"/>
        <w:jc w:val="left"/>
        <w:rPr>
          <w:rFonts w:ascii="宋体" w:hAnsi="宋体" w:cs="宋体" w:eastAsia="宋体" w:hint="default"/>
          <w:sz w:val="13"/>
          <w:szCs w:val="13"/>
        </w:rPr>
      </w:pPr>
      <w:r>
        <w:rPr>
          <w:rFonts w:ascii="宋体" w:hAnsi="宋体" w:cs="宋体" w:eastAsia="宋体" w:hint="default"/>
          <w:sz w:val="13"/>
          <w:szCs w:val="13"/>
        </w:rPr>
        <w:t>3．其他</w:t>
        <w:tab/>
      </w:r>
      <w:r>
        <w:rPr>
          <w:rFonts w:ascii="宋体" w:hAnsi="宋体" w:cs="宋体" w:eastAsia="宋体" w:hint="default"/>
          <w:sz w:val="13"/>
          <w:szCs w:val="13"/>
        </w:rPr>
        <w:t>-</w:t>
        <w:tab/>
        <w:t>-</w:t>
        <w:tab/>
        <w:t>-</w:t>
        <w:tab/>
        <w:t>-</w:t>
        <w:tab/>
        <w:t>-</w:t>
        <w:tab/>
        <w:t>-</w:t>
        <w:tab/>
        <w:t>-</w:t>
        <w:tab/>
        <w:t>-</w:t>
        <w:tab/>
        <w:t>-</w:t>
      </w:r>
    </w:p>
    <w:p>
      <w:pPr>
        <w:tabs>
          <w:tab w:pos="4276" w:val="left" w:leader="none"/>
          <w:tab w:pos="5575"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132" w:right="0" w:firstLine="0"/>
        <w:jc w:val="left"/>
        <w:rPr>
          <w:rFonts w:ascii="宋体" w:hAnsi="宋体" w:cs="宋体" w:eastAsia="宋体" w:hint="default"/>
          <w:sz w:val="13"/>
          <w:szCs w:val="13"/>
        </w:rPr>
      </w:pPr>
      <w:r>
        <w:rPr>
          <w:rFonts w:ascii="宋体" w:hAnsi="宋体" w:cs="宋体" w:eastAsia="宋体" w:hint="default"/>
          <w:sz w:val="13"/>
          <w:szCs w:val="13"/>
        </w:rPr>
        <w:t>（五）股东权益内部结转</w:t>
        <w:tab/>
      </w:r>
      <w:r>
        <w:rPr>
          <w:rFonts w:ascii="宋体" w:hAnsi="宋体" w:cs="宋体" w:eastAsia="宋体" w:hint="default"/>
          <w:sz w:val="13"/>
          <w:szCs w:val="13"/>
        </w:rPr>
        <w:t>50,800,000.00</w:t>
        <w:tab/>
        <w:t>(50,800,000.00)</w:t>
        <w:tab/>
        <w:t>-</w:t>
        <w:tab/>
        <w:t>-</w:t>
        <w:tab/>
        <w:t>-</w:t>
        <w:tab/>
        <w:t>-</w:t>
        <w:tab/>
        <w:t>-</w:t>
        <w:tab/>
        <w:t>-</w:t>
        <w:tab/>
        <w:t>-</w:t>
      </w:r>
    </w:p>
    <w:p>
      <w:pPr>
        <w:tabs>
          <w:tab w:pos="4276" w:val="left" w:leader="none"/>
          <w:tab w:pos="5575"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1．资本公积转增股本</w:t>
        <w:tab/>
      </w:r>
      <w:r>
        <w:rPr>
          <w:rFonts w:ascii="宋体" w:hAnsi="宋体" w:cs="宋体" w:eastAsia="宋体" w:hint="default"/>
          <w:sz w:val="13"/>
          <w:szCs w:val="13"/>
        </w:rPr>
        <w:t>50,800,000.00</w:t>
        <w:tab/>
        <w:t>(50,800,000.00)</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50"/>
        <w:ind w:left="400" w:right="0" w:firstLine="0"/>
        <w:jc w:val="left"/>
        <w:rPr>
          <w:rFonts w:ascii="宋体" w:hAnsi="宋体" w:cs="宋体" w:eastAsia="宋体" w:hint="default"/>
          <w:sz w:val="13"/>
          <w:szCs w:val="13"/>
        </w:rPr>
      </w:pPr>
      <w:r>
        <w:rPr>
          <w:rFonts w:ascii="宋体" w:hAnsi="宋体" w:cs="宋体" w:eastAsia="宋体" w:hint="default"/>
          <w:sz w:val="13"/>
          <w:szCs w:val="13"/>
        </w:rPr>
        <w:t>2．盈余公积转增股本</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3．盈余公积弥补亏损</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4．其他</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132" w:right="0" w:firstLine="0"/>
        <w:jc w:val="left"/>
        <w:rPr>
          <w:rFonts w:ascii="宋体" w:hAnsi="宋体" w:cs="宋体" w:eastAsia="宋体" w:hint="default"/>
          <w:sz w:val="13"/>
          <w:szCs w:val="13"/>
        </w:rPr>
      </w:pPr>
      <w:r>
        <w:rPr>
          <w:rFonts w:ascii="宋体" w:hAnsi="宋体" w:cs="宋体" w:eastAsia="宋体" w:hint="default"/>
          <w:sz w:val="13"/>
          <w:szCs w:val="13"/>
        </w:rPr>
        <w:t>（六）专项储备</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1．提取专项储备</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2．使用专项储备</w:t>
        <w:tab/>
      </w:r>
      <w:r>
        <w:rPr>
          <w:rFonts w:ascii="宋体" w:hAnsi="宋体" w:cs="宋体" w:eastAsia="宋体" w:hint="default"/>
          <w:sz w:val="13"/>
          <w:szCs w:val="13"/>
        </w:rPr>
        <w:t>-</w:t>
        <w:tab/>
        <w:t>-</w:t>
        <w:tab/>
        <w:t>-</w:t>
        <w:tab/>
        <w:t>-</w:t>
        <w:tab/>
        <w:t>-</w:t>
        <w:tab/>
        <w:t>-</w:t>
        <w:tab/>
        <w:t>-</w:t>
        <w:tab/>
        <w:t>-</w:t>
        <w:tab/>
        <w:t>-</w:t>
      </w:r>
    </w:p>
    <w:p>
      <w:pPr>
        <w:tabs>
          <w:tab w:pos="4946" w:val="left" w:leader="none"/>
          <w:tab w:pos="6311" w:val="left" w:leader="none"/>
          <w:tab w:pos="7124" w:val="left" w:leader="none"/>
          <w:tab w:pos="7840" w:val="left" w:leader="none"/>
          <w:tab w:pos="9049" w:val="left" w:leader="none"/>
          <w:tab w:pos="10415" w:val="left" w:leader="none"/>
          <w:tab w:pos="11174" w:val="left" w:leader="none"/>
          <w:tab w:pos="12264" w:val="left" w:leader="none"/>
          <w:tab w:pos="13618" w:val="left" w:leader="none"/>
        </w:tabs>
        <w:spacing w:before="49"/>
        <w:ind w:left="400" w:right="0" w:firstLine="0"/>
        <w:jc w:val="left"/>
        <w:rPr>
          <w:rFonts w:ascii="宋体" w:hAnsi="宋体" w:cs="宋体" w:eastAsia="宋体" w:hint="default"/>
          <w:sz w:val="13"/>
          <w:szCs w:val="13"/>
        </w:rPr>
      </w:pPr>
      <w:r>
        <w:rPr>
          <w:rFonts w:ascii="宋体" w:hAnsi="宋体" w:cs="宋体" w:eastAsia="宋体" w:hint="default"/>
          <w:sz w:val="13"/>
          <w:szCs w:val="13"/>
        </w:rPr>
        <w:t>3．其他</w:t>
        <w:tab/>
      </w:r>
      <w:r>
        <w:rPr>
          <w:rFonts w:ascii="宋体" w:hAnsi="宋体" w:cs="宋体" w:eastAsia="宋体" w:hint="default"/>
          <w:sz w:val="13"/>
          <w:szCs w:val="13"/>
        </w:rPr>
        <w:t>-</w:t>
        <w:tab/>
        <w:t>-</w:t>
        <w:tab/>
        <w:t>-</w:t>
        <w:tab/>
        <w:t>-</w:t>
        <w:tab/>
        <w:t>-</w:t>
        <w:tab/>
        <w:t>-</w:t>
        <w:tab/>
        <w:t>-</w:t>
        <w:tab/>
        <w:t>-</w:t>
        <w:tab/>
        <w:t>-</w:t>
      </w:r>
    </w:p>
    <w:p>
      <w:pPr>
        <w:tabs>
          <w:tab w:pos="4209" w:val="left" w:leader="none"/>
          <w:tab w:pos="4946" w:val="left" w:leader="none"/>
          <w:tab w:pos="5575" w:val="left" w:leader="none"/>
          <w:tab w:pos="6311" w:val="left" w:leader="none"/>
          <w:tab w:pos="7124" w:val="left" w:leader="none"/>
          <w:tab w:pos="7840" w:val="left" w:leader="none"/>
          <w:tab w:pos="8380" w:val="left" w:leader="none"/>
          <w:tab w:pos="9049" w:val="left" w:leader="none"/>
          <w:tab w:pos="9678" w:val="left" w:leader="none"/>
          <w:tab w:pos="10415" w:val="left" w:leader="none"/>
          <w:tab w:pos="11174" w:val="left" w:leader="none"/>
          <w:tab w:pos="11661" w:val="left" w:leader="none"/>
          <w:tab w:pos="12264" w:val="left" w:leader="none"/>
          <w:tab w:pos="12882" w:val="left" w:leader="none"/>
          <w:tab w:pos="13618" w:val="left" w:leader="none"/>
        </w:tabs>
        <w:spacing w:line="309" w:lineRule="auto" w:before="50"/>
        <w:ind w:left="132" w:right="217" w:firstLine="0"/>
        <w:jc w:val="left"/>
        <w:rPr>
          <w:rFonts w:ascii="宋体" w:hAnsi="宋体" w:cs="宋体" w:eastAsia="宋体" w:hint="default"/>
          <w:sz w:val="13"/>
          <w:szCs w:val="13"/>
        </w:rPr>
      </w:pPr>
      <w:r>
        <w:rPr/>
        <w:pict>
          <v:group style="position:absolute;margin-left:263.593719pt;margin-top:12.48991pt;width:499.4pt;height:.7pt;mso-position-horizontal-relative:page;mso-position-vertical-relative:paragraph;z-index:-649480" coordorigin="5272,250" coordsize="9988,14">
            <v:group style="position:absolute;left:5280;top:251;width:1301;height:2" coordorigin="5280,251" coordsize="1301,2">
              <v:shape style="position:absolute;left:5280;top:251;width:1301;height:2" coordorigin="5280,251" coordsize="1301,0" path="m5280,251l6580,251e" filled="false" stroked="true" strokeweight=".10022pt" strokecolor="#000000">
                <v:path arrowok="t"/>
              </v:shape>
            </v:group>
            <v:group style="position:absolute;left:5279;top:257;width:1302;height:2" coordorigin="5279,257" coordsize="1302,2">
              <v:shape style="position:absolute;left:5279;top:257;width:1302;height:2" coordorigin="5279,257" coordsize="1302,0" path="m5279,257l6580,257e" filled="false" stroked="true" strokeweight=".687215pt" strokecolor="#000000">
                <v:path arrowok="t"/>
              </v:shape>
            </v:group>
            <v:group style="position:absolute;left:6634;top:251;width:1311;height:2" coordorigin="6634,251" coordsize="1311,2">
              <v:shape style="position:absolute;left:6634;top:251;width:1311;height:2" coordorigin="6634,251" coordsize="1311,0" path="m6634,251l7944,251e" filled="false" stroked="true" strokeweight=".10022pt" strokecolor="#000000">
                <v:path arrowok="t"/>
              </v:shape>
            </v:group>
            <v:group style="position:absolute;left:6633;top:257;width:1312;height:2" coordorigin="6633,257" coordsize="1312,2">
              <v:shape style="position:absolute;left:6633;top:257;width:1312;height:2" coordorigin="6633,257" coordsize="1312,0" path="m6633,257l7945,257e" filled="false" stroked="true" strokeweight=".687215pt" strokecolor="#000000">
                <v:path arrowok="t"/>
              </v:shape>
            </v:group>
            <v:group style="position:absolute;left:7999;top:251;width:760;height:2" coordorigin="7999,251" coordsize="760,2">
              <v:shape style="position:absolute;left:7999;top:251;width:760;height:2" coordorigin="7999,251" coordsize="760,0" path="m7999,251l8758,251e" filled="false" stroked="true" strokeweight=".10022pt" strokecolor="#000000">
                <v:path arrowok="t"/>
              </v:shape>
            </v:group>
            <v:group style="position:absolute;left:7998;top:257;width:762;height:2" coordorigin="7998,257" coordsize="762,2">
              <v:shape style="position:absolute;left:7998;top:257;width:762;height:2" coordorigin="7998,257" coordsize="762,0" path="m7998,257l8759,257e" filled="false" stroked="true" strokeweight=".687215pt" strokecolor="#000000">
                <v:path arrowok="t"/>
              </v:shape>
            </v:group>
            <v:group style="position:absolute;left:8813;top:251;width:661;height:2" coordorigin="8813,251" coordsize="661,2">
              <v:shape style="position:absolute;left:8813;top:251;width:661;height:2" coordorigin="8813,251" coordsize="661,0" path="m8813,251l9473,251e" filled="false" stroked="true" strokeweight=".10022pt" strokecolor="#000000">
                <v:path arrowok="t"/>
              </v:shape>
            </v:group>
            <v:group style="position:absolute;left:8812;top:257;width:663;height:2" coordorigin="8812,257" coordsize="663,2">
              <v:shape style="position:absolute;left:8812;top:257;width:663;height:2" coordorigin="8812,257" coordsize="663,0" path="m8812,257l9474,257e" filled="false" stroked="true" strokeweight=".687215pt" strokecolor="#000000">
                <v:path arrowok="t"/>
              </v:shape>
            </v:group>
            <v:group style="position:absolute;left:9528;top:251;width:1156;height:2" coordorigin="9528,251" coordsize="1156,2">
              <v:shape style="position:absolute;left:9528;top:251;width:1156;height:2" coordorigin="9528,251" coordsize="1156,0" path="m9528,251l10683,251e" filled="false" stroked="true" strokeweight=".10022pt" strokecolor="#000000">
                <v:path arrowok="t"/>
              </v:shape>
            </v:group>
            <v:group style="position:absolute;left:9527;top:257;width:1157;height:2" coordorigin="9527,257" coordsize="1157,2">
              <v:shape style="position:absolute;left:9527;top:257;width:1157;height:2" coordorigin="9527,257" coordsize="1157,0" path="m9527,257l10684,257e" filled="false" stroked="true" strokeweight=".687215pt" strokecolor="#000000">
                <v:path arrowok="t"/>
              </v:shape>
            </v:group>
            <v:group style="position:absolute;left:10738;top:251;width:1311;height:2" coordorigin="10738,251" coordsize="1311,2">
              <v:shape style="position:absolute;left:10738;top:251;width:1311;height:2" coordorigin="10738,251" coordsize="1311,0" path="m10738,251l12048,251e" filled="false" stroked="true" strokeweight=".10022pt" strokecolor="#000000">
                <v:path arrowok="t"/>
              </v:shape>
            </v:group>
            <v:group style="position:absolute;left:10737;top:257;width:1313;height:2" coordorigin="10737,257" coordsize="1313,2">
              <v:shape style="position:absolute;left:10737;top:257;width:1313;height:2" coordorigin="10737,257" coordsize="1313,0" path="m10737,257l12049,257e" filled="false" stroked="true" strokeweight=".687215pt" strokecolor="#000000">
                <v:path arrowok="t"/>
              </v:shape>
            </v:group>
            <v:group style="position:absolute;left:12103;top:251;width:705;height:2" coordorigin="12103,251" coordsize="705,2">
              <v:shape style="position:absolute;left:12103;top:251;width:705;height:2" coordorigin="12103,251" coordsize="705,0" path="m12103,251l12807,251e" filled="false" stroked="true" strokeweight=".10022pt" strokecolor="#000000">
                <v:path arrowok="t"/>
              </v:shape>
            </v:group>
            <v:group style="position:absolute;left:12102;top:257;width:707;height:2" coordorigin="12102,257" coordsize="707,2">
              <v:shape style="position:absolute;left:12102;top:257;width:707;height:2" coordorigin="12102,257" coordsize="707,0" path="m12102,257l12808,257e" filled="false" stroked="true" strokeweight=".687215pt" strokecolor="#000000">
                <v:path arrowok="t"/>
              </v:shape>
            </v:group>
            <v:group style="position:absolute;left:12862;top:251;width:1036;height:2" coordorigin="12862,251" coordsize="1036,2">
              <v:shape style="position:absolute;left:12862;top:251;width:1036;height:2" coordorigin="12862,251" coordsize="1036,0" path="m12862,251l13897,251e" filled="false" stroked="true" strokeweight=".10022pt" strokecolor="#000000">
                <v:path arrowok="t"/>
              </v:shape>
            </v:group>
            <v:group style="position:absolute;left:12861;top:257;width:1038;height:2" coordorigin="12861,257" coordsize="1038,2">
              <v:shape style="position:absolute;left:12861;top:257;width:1038;height:2" coordorigin="12861,257" coordsize="1038,0" path="m12861,257l13898,257e" filled="false" stroked="true" strokeweight=".687215pt" strokecolor="#000000">
                <v:path arrowok="t"/>
              </v:shape>
            </v:group>
            <v:group style="position:absolute;left:13952;top:251;width:1300;height:2" coordorigin="13952,251" coordsize="1300,2">
              <v:shape style="position:absolute;left:13952;top:251;width:1300;height:2" coordorigin="13952,251" coordsize="1300,0" path="m13952,251l15252,251e" filled="false" stroked="true" strokeweight=".10022pt" strokecolor="#000000">
                <v:path arrowok="t"/>
              </v:shape>
            </v:group>
            <v:group style="position:absolute;left:13951;top:257;width:1302;height:2" coordorigin="13951,257" coordsize="1302,2">
              <v:shape style="position:absolute;left:13951;top:257;width:1302;height:2" coordorigin="13951,257" coordsize="1302,0" path="m13951,257l15253,257e" filled="false" stroked="true" strokeweight=".687215pt" strokecolor="#000000">
                <v:path arrowok="t"/>
              </v:shape>
            </v:group>
            <w10:wrap type="none"/>
          </v:group>
        </w:pict>
      </w:r>
      <w:r>
        <w:rPr/>
        <w:pict>
          <v:group style="position:absolute;margin-left:263.593689pt;margin-top:22.805382pt;width:499.4pt;height:2.1pt;mso-position-horizontal-relative:page;mso-position-vertical-relative:paragraph;z-index:-649456" coordorigin="5272,456" coordsize="9988,42">
            <v:group style="position:absolute;left:5279;top:463;width:1302;height:2" coordorigin="5279,463" coordsize="1302,2">
              <v:shape style="position:absolute;left:5279;top:463;width:1302;height:2" coordorigin="5279,463" coordsize="1302,0" path="m5279,463l6580,463e" filled="false" stroked="true" strokeweight=".687236pt" strokecolor="#000000">
                <v:path arrowok="t"/>
              </v:shape>
            </v:group>
            <v:group style="position:absolute;left:5279;top:490;width:1302;height:2" coordorigin="5279,490" coordsize="1302,2">
              <v:shape style="position:absolute;left:5279;top:490;width:1302;height:2" coordorigin="5279,490" coordsize="1302,0" path="m5279,490l6580,490e" filled="false" stroked="true" strokeweight=".687236pt" strokecolor="#000000">
                <v:path arrowok="t"/>
              </v:shape>
            </v:group>
            <v:group style="position:absolute;left:6633;top:463;width:1312;height:2" coordorigin="6633,463" coordsize="1312,2">
              <v:shape style="position:absolute;left:6633;top:463;width:1312;height:2" coordorigin="6633,463" coordsize="1312,0" path="m6633,463l7945,463e" filled="false" stroked="true" strokeweight=".687236pt" strokecolor="#000000">
                <v:path arrowok="t"/>
              </v:shape>
            </v:group>
            <v:group style="position:absolute;left:6633;top:490;width:1312;height:2" coordorigin="6633,490" coordsize="1312,2">
              <v:shape style="position:absolute;left:6633;top:490;width:1312;height:2" coordorigin="6633,490" coordsize="1312,0" path="m6633,490l7945,490e" filled="false" stroked="true" strokeweight=".687236pt" strokecolor="#000000">
                <v:path arrowok="t"/>
              </v:shape>
            </v:group>
            <v:group style="position:absolute;left:7998;top:463;width:762;height:2" coordorigin="7998,463" coordsize="762,2">
              <v:shape style="position:absolute;left:7998;top:463;width:762;height:2" coordorigin="7998,463" coordsize="762,0" path="m7998,463l8759,463e" filled="false" stroked="true" strokeweight=".687236pt" strokecolor="#000000">
                <v:path arrowok="t"/>
              </v:shape>
            </v:group>
            <v:group style="position:absolute;left:7998;top:490;width:762;height:2" coordorigin="7998,490" coordsize="762,2">
              <v:shape style="position:absolute;left:7998;top:490;width:762;height:2" coordorigin="7998,490" coordsize="762,0" path="m7998,490l8759,490e" filled="false" stroked="true" strokeweight=".687236pt" strokecolor="#000000">
                <v:path arrowok="t"/>
              </v:shape>
            </v:group>
            <v:group style="position:absolute;left:8812;top:463;width:663;height:2" coordorigin="8812,463" coordsize="663,2">
              <v:shape style="position:absolute;left:8812;top:463;width:663;height:2" coordorigin="8812,463" coordsize="663,0" path="m8812,463l9474,463e" filled="false" stroked="true" strokeweight=".687236pt" strokecolor="#000000">
                <v:path arrowok="t"/>
              </v:shape>
            </v:group>
            <v:group style="position:absolute;left:8812;top:490;width:663;height:2" coordorigin="8812,490" coordsize="663,2">
              <v:shape style="position:absolute;left:8812;top:490;width:663;height:2" coordorigin="8812,490" coordsize="663,0" path="m8812,490l9474,490e" filled="false" stroked="true" strokeweight=".687236pt" strokecolor="#000000">
                <v:path arrowok="t"/>
              </v:shape>
            </v:group>
            <v:group style="position:absolute;left:9527;top:463;width:1157;height:2" coordorigin="9527,463" coordsize="1157,2">
              <v:shape style="position:absolute;left:9527;top:463;width:1157;height:2" coordorigin="9527,463" coordsize="1157,0" path="m9527,463l10684,463e" filled="false" stroked="true" strokeweight=".687236pt" strokecolor="#000000">
                <v:path arrowok="t"/>
              </v:shape>
            </v:group>
            <v:group style="position:absolute;left:9527;top:490;width:1157;height:2" coordorigin="9527,490" coordsize="1157,2">
              <v:shape style="position:absolute;left:9527;top:490;width:1157;height:2" coordorigin="9527,490" coordsize="1157,0" path="m9527,490l10684,490e" filled="false" stroked="true" strokeweight=".687236pt" strokecolor="#000000">
                <v:path arrowok="t"/>
              </v:shape>
            </v:group>
            <v:group style="position:absolute;left:10737;top:463;width:1313;height:2" coordorigin="10737,463" coordsize="1313,2">
              <v:shape style="position:absolute;left:10737;top:463;width:1313;height:2" coordorigin="10737,463" coordsize="1313,0" path="m10737,463l12049,463e" filled="false" stroked="true" strokeweight=".687236pt" strokecolor="#000000">
                <v:path arrowok="t"/>
              </v:shape>
            </v:group>
            <v:group style="position:absolute;left:10737;top:490;width:1313;height:2" coordorigin="10737,490" coordsize="1313,2">
              <v:shape style="position:absolute;left:10737;top:490;width:1313;height:2" coordorigin="10737,490" coordsize="1313,0" path="m10737,490l12049,490e" filled="false" stroked="true" strokeweight=".687236pt" strokecolor="#000000">
                <v:path arrowok="t"/>
              </v:shape>
            </v:group>
            <v:group style="position:absolute;left:12102;top:463;width:707;height:2" coordorigin="12102,463" coordsize="707,2">
              <v:shape style="position:absolute;left:12102;top:463;width:707;height:2" coordorigin="12102,463" coordsize="707,0" path="m12102,463l12808,463e" filled="false" stroked="true" strokeweight=".687236pt" strokecolor="#000000">
                <v:path arrowok="t"/>
              </v:shape>
            </v:group>
            <v:group style="position:absolute;left:12102;top:490;width:707;height:2" coordorigin="12102,490" coordsize="707,2">
              <v:shape style="position:absolute;left:12102;top:490;width:707;height:2" coordorigin="12102,490" coordsize="707,0" path="m12102,490l12808,490e" filled="false" stroked="true" strokeweight=".687236pt" strokecolor="#000000">
                <v:path arrowok="t"/>
              </v:shape>
            </v:group>
            <v:group style="position:absolute;left:12861;top:463;width:1038;height:2" coordorigin="12861,463" coordsize="1038,2">
              <v:shape style="position:absolute;left:12861;top:463;width:1038;height:2" coordorigin="12861,463" coordsize="1038,0" path="m12861,463l13898,463e" filled="false" stroked="true" strokeweight=".687236pt" strokecolor="#000000">
                <v:path arrowok="t"/>
              </v:shape>
            </v:group>
            <v:group style="position:absolute;left:12861;top:490;width:1038;height:2" coordorigin="12861,490" coordsize="1038,2">
              <v:shape style="position:absolute;left:12861;top:490;width:1038;height:2" coordorigin="12861,490" coordsize="1038,0" path="m12861,490l13898,490e" filled="false" stroked="true" strokeweight=".687236pt" strokecolor="#000000">
                <v:path arrowok="t"/>
              </v:shape>
            </v:group>
            <v:group style="position:absolute;left:13951;top:463;width:1302;height:2" coordorigin="13951,463" coordsize="1302,2">
              <v:shape style="position:absolute;left:13951;top:463;width:1302;height:2" coordorigin="13951,463" coordsize="1302,0" path="m13951,463l15253,463e" filled="false" stroked="true" strokeweight=".687236pt" strokecolor="#000000">
                <v:path arrowok="t"/>
              </v:shape>
            </v:group>
            <v:group style="position:absolute;left:13951;top:490;width:1302;height:2" coordorigin="13951,490" coordsize="1302,2">
              <v:shape style="position:absolute;left:13951;top:490;width:1302;height:2" coordorigin="13951,490" coordsize="1302,0" path="m13951,490l15253,490e" filled="false" stroked="true" strokeweight=".687236pt" strokecolor="#000000">
                <v:path arrowok="t"/>
              </v:shape>
            </v:group>
            <w10:wrap type="none"/>
          </v:group>
        </w:pict>
      </w:r>
      <w:r>
        <w:rPr>
          <w:rFonts w:ascii="宋体" w:hAnsi="宋体" w:cs="宋体" w:eastAsia="宋体" w:hint="default"/>
          <w:sz w:val="13"/>
          <w:szCs w:val="13"/>
        </w:rPr>
        <w:t>（七）其他</w:t>
        <w:tab/>
        <w:tab/>
      </w:r>
      <w:r>
        <w:rPr>
          <w:rFonts w:ascii="宋体" w:hAnsi="宋体" w:cs="宋体" w:eastAsia="宋体" w:hint="default"/>
          <w:sz w:val="13"/>
          <w:szCs w:val="13"/>
        </w:rPr>
        <w:t>-</w:t>
        <w:tab/>
        <w:tab/>
        <w:t>-</w:t>
        <w:tab/>
        <w:t>-</w:t>
        <w:tab/>
        <w:t>-</w:t>
        <w:tab/>
        <w:tab/>
        <w:t>-</w:t>
        <w:tab/>
        <w:tab/>
        <w:t>-</w:t>
        <w:tab/>
        <w:t>-</w:t>
        <w:tab/>
        <w:tab/>
        <w:t>-</w:t>
        <w:tab/>
        <w:tab/>
        <w:t>-</w:t>
      </w:r>
      <w:r>
        <w:rPr>
          <w:rFonts w:ascii="宋体" w:hAnsi="宋体" w:cs="宋体" w:eastAsia="宋体" w:hint="default"/>
          <w:w w:val="101"/>
          <w:sz w:val="13"/>
          <w:szCs w:val="13"/>
        </w:rPr>
        <w:t> </w:t>
      </w:r>
      <w:r>
        <w:rPr>
          <w:rFonts w:ascii="宋体" w:hAnsi="宋体" w:cs="宋体" w:eastAsia="宋体" w:hint="default"/>
          <w:b/>
          <w:bCs/>
          <w:sz w:val="13"/>
          <w:szCs w:val="13"/>
        </w:rPr>
        <w:t>四、本年年末余额</w:t>
        <w:tab/>
      </w:r>
      <w:r>
        <w:rPr>
          <w:rFonts w:ascii="宋体" w:hAnsi="宋体" w:cs="宋体" w:eastAsia="宋体" w:hint="default"/>
          <w:sz w:val="13"/>
          <w:szCs w:val="13"/>
        </w:rPr>
        <w:t>114,300,000.00</w:t>
        <w:tab/>
        <w:t>641,920,393.65</w:t>
        <w:tab/>
        <w:t>-</w:t>
        <w:tab/>
        <w:t>-</w:t>
        <w:tab/>
        <w:t>10,796,086.08</w:t>
        <w:tab/>
        <w:t>168,030,408.69</w:t>
        <w:tab/>
        <w:t>-</w:t>
        <w:tab/>
        <w:t>2,984,504.06</w:t>
        <w:tab/>
        <w:t>938,031,392.48</w:t>
      </w:r>
    </w:p>
    <w:p>
      <w:pPr>
        <w:spacing w:line="240" w:lineRule="auto" w:before="8"/>
        <w:rPr>
          <w:rFonts w:ascii="宋体" w:hAnsi="宋体" w:cs="宋体" w:eastAsia="宋体" w:hint="default"/>
          <w:sz w:val="15"/>
          <w:szCs w:val="15"/>
        </w:rPr>
      </w:pPr>
    </w:p>
    <w:p>
      <w:pPr>
        <w:tabs>
          <w:tab w:pos="1991" w:val="left" w:leader="none"/>
          <w:tab w:pos="4378" w:val="left" w:leader="none"/>
        </w:tabs>
        <w:spacing w:before="0"/>
        <w:ind w:left="132" w:right="0" w:firstLine="0"/>
        <w:jc w:val="left"/>
        <w:rPr>
          <w:rFonts w:ascii="宋体" w:hAnsi="宋体" w:cs="宋体" w:eastAsia="宋体" w:hint="default"/>
          <w:sz w:val="13"/>
          <w:szCs w:val="13"/>
        </w:rPr>
      </w:pPr>
      <w:r>
        <w:rPr/>
        <w:pict>
          <v:group style="position:absolute;margin-left:72.068604pt;margin-top:.368811pt;width:690.95pt;height:.7pt;mso-position-horizontal-relative:page;mso-position-vertical-relative:paragraph;z-index:-649432" coordorigin="1441,7" coordsize="13819,14">
            <v:group style="position:absolute;left:1449;top:8;width:13803;height:2" coordorigin="1449,8" coordsize="13803,2">
              <v:shape style="position:absolute;left:1449;top:8;width:13803;height:2" coordorigin="1449,8" coordsize="13803,0" path="m1449,8l15252,8e" filled="false" stroked="true" strokeweight=".10022pt" strokecolor="#000000">
                <v:path arrowok="t"/>
              </v:shape>
            </v:group>
            <v:group style="position:absolute;left:1448;top:14;width:13805;height:2" coordorigin="1448,14" coordsize="13805,2">
              <v:shape style="position:absolute;left:1448;top:14;width:13805;height:2" coordorigin="1448,14" coordsize="13805,0" path="m1448,14l15253,14e" filled="false" stroked="true" strokeweight=".687193pt" strokecolor="#000000">
                <v:path arrowok="t"/>
              </v:shape>
            </v:group>
            <w10:wrap type="none"/>
          </v:group>
        </w:pict>
      </w:r>
      <w:r>
        <w:rPr>
          <w:rFonts w:ascii="宋体" w:hAnsi="宋体" w:cs="宋体" w:eastAsia="宋体" w:hint="default"/>
          <w:sz w:val="13"/>
          <w:szCs w:val="13"/>
        </w:rPr>
        <w:t>公司负责人：刘祥</w:t>
        <w:tab/>
        <w:t>主管会计工作负责人：赵辉</w:t>
        <w:tab/>
        <w:t>会计机构负责人：赵辉</w:t>
      </w:r>
    </w:p>
    <w:p>
      <w:pPr>
        <w:spacing w:after="0"/>
        <w:jc w:val="left"/>
        <w:rPr>
          <w:rFonts w:ascii="宋体" w:hAnsi="宋体" w:cs="宋体" w:eastAsia="宋体" w:hint="default"/>
          <w:sz w:val="13"/>
          <w:szCs w:val="13"/>
        </w:rPr>
        <w:sectPr>
          <w:footerReference w:type="default" r:id="rId47"/>
          <w:pgSz w:w="16840" w:h="11910" w:orient="landscape"/>
          <w:pgMar w:footer="1195" w:header="0" w:top="1100" w:bottom="1380" w:left="1340" w:right="146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266" w:lineRule="auto" w:before="35"/>
        <w:ind w:left="2462" w:right="5884" w:hanging="597"/>
        <w:jc w:val="left"/>
        <w:rPr>
          <w:rFonts w:ascii="黑体" w:hAnsi="黑体" w:cs="黑体" w:eastAsia="黑体" w:hint="default"/>
          <w:sz w:val="23"/>
          <w:szCs w:val="23"/>
        </w:rPr>
      </w:pPr>
      <w:r>
        <w:rPr>
          <w:rFonts w:ascii="黑体" w:hAnsi="黑体" w:cs="黑体" w:eastAsia="黑体" w:hint="default"/>
          <w:sz w:val="23"/>
          <w:szCs w:val="23"/>
        </w:rPr>
        <w:t>深圳市新国都技术股份有限公司</w:t>
      </w:r>
      <w:r>
        <w:rPr>
          <w:rFonts w:ascii="黑体" w:hAnsi="黑体" w:cs="黑体" w:eastAsia="黑体" w:hint="default"/>
          <w:spacing w:val="-6"/>
          <w:sz w:val="23"/>
          <w:szCs w:val="23"/>
        </w:rPr>
        <w:t> </w:t>
      </w:r>
      <w:r>
        <w:rPr>
          <w:rFonts w:ascii="黑体" w:hAnsi="黑体" w:cs="黑体" w:eastAsia="黑体" w:hint="default"/>
          <w:w w:val="105"/>
          <w:sz w:val="23"/>
          <w:szCs w:val="23"/>
        </w:rPr>
        <w:t>合并股东权益变动表</w:t>
      </w:r>
      <w:r>
        <w:rPr>
          <w:rFonts w:ascii="黑体" w:hAnsi="黑体" w:cs="黑体" w:eastAsia="黑体" w:hint="default"/>
          <w:sz w:val="23"/>
          <w:szCs w:val="23"/>
        </w:rPr>
      </w:r>
    </w:p>
    <w:p>
      <w:pPr>
        <w:tabs>
          <w:tab w:pos="9163" w:val="left" w:leader="none"/>
        </w:tabs>
        <w:spacing w:before="37"/>
        <w:ind w:left="3062" w:right="0" w:firstLine="0"/>
        <w:jc w:val="left"/>
        <w:rPr>
          <w:rFonts w:ascii="宋体" w:hAnsi="宋体" w:cs="宋体" w:eastAsia="宋体" w:hint="default"/>
          <w:sz w:val="13"/>
          <w:szCs w:val="13"/>
        </w:rPr>
      </w:pPr>
      <w:r>
        <w:rPr>
          <w:rFonts w:ascii="宋体" w:hAnsi="宋体" w:cs="宋体" w:eastAsia="宋体" w:hint="default"/>
          <w:sz w:val="13"/>
          <w:szCs w:val="13"/>
        </w:rPr>
        <w:t>2010年度</w:t>
        <w:tab/>
      </w:r>
      <w:r>
        <w:rPr>
          <w:rFonts w:ascii="宋体" w:hAnsi="宋体" w:cs="宋体" w:eastAsia="宋体" w:hint="default"/>
          <w:w w:val="105"/>
          <w:sz w:val="13"/>
          <w:szCs w:val="13"/>
        </w:rPr>
        <w:t>单位：人民币元</w:t>
      </w:r>
      <w:r>
        <w:rPr>
          <w:rFonts w:ascii="宋体" w:hAnsi="宋体" w:cs="宋体" w:eastAsia="宋体" w:hint="default"/>
          <w:sz w:val="13"/>
          <w:szCs w:val="13"/>
        </w:rPr>
      </w:r>
    </w:p>
    <w:p>
      <w:pPr>
        <w:spacing w:line="240" w:lineRule="auto" w:before="11"/>
        <w:rPr>
          <w:rFonts w:ascii="宋体" w:hAnsi="宋体" w:cs="宋体" w:eastAsia="宋体" w:hint="default"/>
          <w:sz w:val="19"/>
          <w:szCs w:val="1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01.6pt;height:.75pt;mso-position-horizontal-relative:char;mso-position-vertical-relative:line" coordorigin="0,0" coordsize="10032,15">
            <v:group style="position:absolute;left:8;top:1;width:10016;height:2" coordorigin="8,1" coordsize="10016,2">
              <v:shape style="position:absolute;left:8;top:1;width:10016;height:2" coordorigin="8,1" coordsize="10016,0" path="m8,1l10023,1e" filled="false" stroked="true" strokeweight=".104096pt" strokecolor="#000000">
                <v:path arrowok="t"/>
              </v:shape>
            </v:group>
            <v:group style="position:absolute;left:7;top:7;width:10018;height:2" coordorigin="7,7" coordsize="10018,2">
              <v:shape style="position:absolute;left:7;top:7;width:10018;height:2" coordorigin="7,7" coordsize="10018,0" path="m7,7l10024,7e" filled="false" stroked="true" strokeweight=".7138pt" strokecolor="#000000">
                <v:path arrowok="t"/>
              </v:shape>
            </v:group>
          </v:group>
        </w:pict>
      </w:r>
      <w:r>
        <w:rPr>
          <w:rFonts w:ascii="宋体" w:hAnsi="宋体" w:cs="宋体" w:eastAsia="宋体" w:hint="default"/>
          <w:sz w:val="2"/>
          <w:szCs w:val="2"/>
        </w:rPr>
      </w:r>
    </w:p>
    <w:p>
      <w:pPr>
        <w:spacing w:line="170" w:lineRule="exact" w:before="0"/>
        <w:ind w:left="3253" w:right="5884" w:firstLine="0"/>
        <w:jc w:val="left"/>
        <w:rPr>
          <w:rFonts w:ascii="宋体" w:hAnsi="宋体" w:cs="宋体" w:eastAsia="宋体" w:hint="default"/>
          <w:sz w:val="13"/>
          <w:szCs w:val="13"/>
        </w:rPr>
      </w:pPr>
      <w:r>
        <w:rPr>
          <w:rFonts w:ascii="宋体" w:hAnsi="宋体" w:cs="宋体" w:eastAsia="宋体" w:hint="default"/>
          <w:w w:val="105"/>
          <w:sz w:val="13"/>
          <w:szCs w:val="13"/>
        </w:rPr>
        <w:t>归属于母公司股东权益</w:t>
      </w:r>
      <w:r>
        <w:rPr>
          <w:rFonts w:ascii="宋体" w:hAnsi="宋体" w:cs="宋体" w:eastAsia="宋体" w:hint="default"/>
          <w:sz w:val="13"/>
          <w:szCs w:val="13"/>
        </w:rPr>
      </w:r>
    </w:p>
    <w:p>
      <w:pPr>
        <w:spacing w:line="240" w:lineRule="auto" w:before="13"/>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381.4pt;height:.75pt;mso-position-horizontal-relative:char;mso-position-vertical-relative:line" coordorigin="0,0" coordsize="7628,15">
            <v:group style="position:absolute;left:8;top:1;width:7612;height:2" coordorigin="8,1" coordsize="7612,2">
              <v:shape style="position:absolute;left:8;top:1;width:7612;height:2" coordorigin="8,1" coordsize="7612,0" path="m8,1l7619,1e" filled="false" stroked="true" strokeweight=".104096pt" strokecolor="#000000">
                <v:path arrowok="t"/>
              </v:shape>
            </v:group>
            <v:group style="position:absolute;left:7;top:7;width:7614;height:2" coordorigin="7,7" coordsize="7614,2">
              <v:shape style="position:absolute;left:7;top:7;width:7614;height:2" coordorigin="7,7" coordsize="7614,0" path="m7,7l7620,7e" filled="false" stroked="true" strokeweight=".7138pt" strokecolor="#000000">
                <v:path arrowok="t"/>
              </v:shape>
            </v:group>
          </v:group>
        </w:pict>
      </w:r>
      <w:r>
        <w:rPr>
          <w:rFonts w:ascii="宋体" w:hAnsi="宋体" w:cs="宋体" w:eastAsia="宋体" w:hint="default"/>
          <w:sz w:val="2"/>
          <w:szCs w:val="2"/>
        </w:rPr>
      </w:r>
    </w:p>
    <w:p>
      <w:pPr>
        <w:tabs>
          <w:tab w:pos="1830" w:val="left" w:leader="none"/>
          <w:tab w:pos="2909" w:val="left" w:leader="none"/>
          <w:tab w:pos="3329" w:val="left" w:leader="none"/>
          <w:tab w:pos="4052" w:val="left" w:leader="none"/>
          <w:tab w:pos="4667" w:val="left" w:leader="none"/>
          <w:tab w:pos="5956" w:val="left" w:leader="none"/>
          <w:tab w:pos="7231" w:val="left" w:leader="none"/>
          <w:tab w:pos="7424" w:val="left" w:leader="none"/>
          <w:tab w:pos="7865" w:val="left" w:leader="none"/>
          <w:tab w:pos="8458" w:val="left" w:leader="none"/>
          <w:tab w:pos="9067" w:val="left" w:leader="none"/>
        </w:tabs>
        <w:spacing w:line="321" w:lineRule="auto" w:before="6"/>
        <w:ind w:left="450" w:right="3045" w:firstLine="183"/>
        <w:jc w:val="left"/>
        <w:rPr>
          <w:rFonts w:ascii="宋体" w:hAnsi="宋体" w:cs="宋体" w:eastAsia="宋体" w:hint="default"/>
          <w:sz w:val="13"/>
          <w:szCs w:val="13"/>
        </w:rPr>
      </w:pPr>
      <w:r>
        <w:rPr/>
        <w:pict>
          <v:group style="position:absolute;margin-left:72.059196pt;margin-top:10.382682pt;width:501.6pt;height:.75pt;mso-position-horizontal-relative:page;mso-position-vertical-relative:paragraph;z-index:-649312" coordorigin="1441,208" coordsize="10032,15">
            <v:group style="position:absolute;left:1449;top:209;width:1315;height:2" coordorigin="1449,209" coordsize="1315,2">
              <v:shape style="position:absolute;left:1449;top:209;width:1315;height:2" coordorigin="1449,209" coordsize="1315,0" path="m1449,209l2764,209e" filled="false" stroked="true" strokeweight=".104096pt" strokecolor="#000000">
                <v:path arrowok="t"/>
              </v:shape>
            </v:group>
            <v:group style="position:absolute;left:1448;top:215;width:1317;height:2" coordorigin="1448,215" coordsize="1317,2">
              <v:shape style="position:absolute;left:1448;top:215;width:1317;height:2" coordorigin="1448,215" coordsize="1317,0" path="m1448,215l2764,215e" filled="false" stroked="true" strokeweight=".7138pt" strokecolor="#000000">
                <v:path arrowok="t"/>
              </v:shape>
            </v:group>
            <v:group style="position:absolute;left:2819;top:209;width:1325;height:2" coordorigin="2819,209" coordsize="1325,2">
              <v:shape style="position:absolute;left:2819;top:209;width:1325;height:2" coordorigin="2819,209" coordsize="1325,0" path="m2819,209l4143,209e" filled="false" stroked="true" strokeweight=".104096pt" strokecolor="#000000">
                <v:path arrowok="t"/>
              </v:shape>
            </v:group>
            <v:group style="position:absolute;left:2818;top:215;width:1327;height:2" coordorigin="2818,215" coordsize="1327,2">
              <v:shape style="position:absolute;left:2818;top:215;width:1327;height:2" coordorigin="2818,215" coordsize="1327,0" path="m2818,215l4144,215e" filled="false" stroked="true" strokeweight=".7138pt" strokecolor="#000000">
                <v:path arrowok="t"/>
              </v:shape>
            </v:group>
            <v:group style="position:absolute;left:4199;top:209;width:768;height:2" coordorigin="4199,209" coordsize="768,2">
              <v:shape style="position:absolute;left:4199;top:209;width:768;height:2" coordorigin="4199,209" coordsize="768,0" path="m4199,209l4966,209e" filled="false" stroked="true" strokeweight=".104096pt" strokecolor="#000000">
                <v:path arrowok="t"/>
              </v:shape>
            </v:group>
            <v:group style="position:absolute;left:4198;top:215;width:770;height:2" coordorigin="4198,215" coordsize="770,2">
              <v:shape style="position:absolute;left:4198;top:215;width:770;height:2" coordorigin="4198,215" coordsize="770,0" path="m4198,215l4967,215e" filled="false" stroked="true" strokeweight=".7138pt" strokecolor="#000000">
                <v:path arrowok="t"/>
              </v:shape>
            </v:group>
            <v:group style="position:absolute;left:5022;top:209;width:668;height:2" coordorigin="5022,209" coordsize="668,2">
              <v:shape style="position:absolute;left:5022;top:209;width:668;height:2" coordorigin="5022,209" coordsize="668,0" path="m5022,209l5689,209e" filled="false" stroked="true" strokeweight=".104096pt" strokecolor="#000000">
                <v:path arrowok="t"/>
              </v:shape>
            </v:group>
            <v:group style="position:absolute;left:5021;top:215;width:670;height:2" coordorigin="5021,215" coordsize="670,2">
              <v:shape style="position:absolute;left:5021;top:215;width:670;height:2" coordorigin="5021,215" coordsize="670,0" path="m5021,215l5690,215e" filled="false" stroked="true" strokeweight=".7138pt" strokecolor="#000000">
                <v:path arrowok="t"/>
              </v:shape>
            </v:group>
            <v:group style="position:absolute;left:5745;top:209;width:1169;height:2" coordorigin="5745,209" coordsize="1169,2">
              <v:shape style="position:absolute;left:5745;top:209;width:1169;height:2" coordorigin="5745,209" coordsize="1169,0" path="m5745,209l6913,209e" filled="false" stroked="true" strokeweight=".104096pt" strokecolor="#000000">
                <v:path arrowok="t"/>
              </v:shape>
            </v:group>
            <v:group style="position:absolute;left:5744;top:215;width:1171;height:2" coordorigin="5744,215" coordsize="1171,2">
              <v:shape style="position:absolute;left:5744;top:215;width:1171;height:2" coordorigin="5744,215" coordsize="1171,0" path="m5744,215l6914,215e" filled="false" stroked="true" strokeweight=".7138pt" strokecolor="#000000">
                <v:path arrowok="t"/>
              </v:shape>
            </v:group>
            <v:group style="position:absolute;left:6968;top:209;width:1325;height:2" coordorigin="6968,209" coordsize="1325,2">
              <v:shape style="position:absolute;left:6968;top:209;width:1325;height:2" coordorigin="6968,209" coordsize="1325,0" path="m6968,209l8293,209e" filled="false" stroked="true" strokeweight=".104096pt" strokecolor="#000000">
                <v:path arrowok="t"/>
              </v:shape>
            </v:group>
            <v:group style="position:absolute;left:6967;top:215;width:1327;height:2" coordorigin="6967,215" coordsize="1327,2">
              <v:shape style="position:absolute;left:6967;top:215;width:1327;height:2" coordorigin="6967,215" coordsize="1327,0" path="m6967,215l8294,215e" filled="false" stroked="true" strokeweight=".7138pt" strokecolor="#000000">
                <v:path arrowok="t"/>
              </v:shape>
            </v:group>
            <v:group style="position:absolute;left:8348;top:209;width:713;height:2" coordorigin="8348,209" coordsize="713,2">
              <v:shape style="position:absolute;left:8348;top:209;width:713;height:2" coordorigin="8348,209" coordsize="713,0" path="m8348,209l9061,209e" filled="false" stroked="true" strokeweight=".104096pt" strokecolor="#000000">
                <v:path arrowok="t"/>
              </v:shape>
            </v:group>
            <v:group style="position:absolute;left:8347;top:215;width:715;height:2" coordorigin="8347,215" coordsize="715,2">
              <v:shape style="position:absolute;left:8347;top:215;width:715;height:2" coordorigin="8347,215" coordsize="715,0" path="m8347,215l9061,215e" filled="false" stroked="true" strokeweight=".7138pt" strokecolor="#000000">
                <v:path arrowok="t"/>
              </v:shape>
            </v:group>
            <v:group style="position:absolute;left:9116;top:209;width:980;height:2" coordorigin="9116,209" coordsize="980,2">
              <v:shape style="position:absolute;left:9116;top:209;width:980;height:2" coordorigin="9116,209" coordsize="980,0" path="m9116,209l10095,209e" filled="false" stroked="true" strokeweight=".104096pt" strokecolor="#000000">
                <v:path arrowok="t"/>
              </v:shape>
            </v:group>
            <v:group style="position:absolute;left:9115;top:215;width:982;height:2" coordorigin="9115,215" coordsize="982,2">
              <v:shape style="position:absolute;left:9115;top:215;width:982;height:2" coordorigin="9115,215" coordsize="982,0" path="m9115,215l10096,215e" filled="false" stroked="true" strokeweight=".7138pt" strokecolor="#000000">
                <v:path arrowok="t"/>
              </v:shape>
            </v:group>
            <v:group style="position:absolute;left:10150;top:209;width:1315;height:2" coordorigin="10150,209" coordsize="1315,2">
              <v:shape style="position:absolute;left:10150;top:209;width:1315;height:2" coordorigin="10150,209" coordsize="1315,0" path="m10150,209l11465,209e" filled="false" stroked="true" strokeweight=".104096pt" strokecolor="#000000">
                <v:path arrowok="t"/>
              </v:shape>
            </v:group>
            <v:group style="position:absolute;left:10149;top:215;width:1317;height:2" coordorigin="10149,215" coordsize="1317,2">
              <v:shape style="position:absolute;left:10149;top:215;width:1317;height:2" coordorigin="10149,215" coordsize="1317,0" path="m10149,215l11465,215e" filled="false" stroked="true" strokeweight=".7138pt" strokecolor="#000000">
                <v:path arrowok="t"/>
              </v:shape>
            </v:group>
            <w10:wrap type="none"/>
          </v:group>
        </w:pict>
      </w:r>
      <w:r>
        <w:rPr>
          <w:rFonts w:ascii="宋体" w:hAnsi="宋体" w:cs="宋体" w:eastAsia="宋体" w:hint="default"/>
          <w:sz w:val="13"/>
          <w:szCs w:val="13"/>
        </w:rPr>
        <w:t>股本</w:t>
        <w:tab/>
        <w:t>资本公积</w:t>
        <w:tab/>
      </w:r>
      <w:r>
        <w:rPr>
          <w:rFonts w:ascii="宋体" w:hAnsi="宋体" w:cs="宋体" w:eastAsia="宋体" w:hint="default"/>
          <w:w w:val="105"/>
          <w:sz w:val="13"/>
          <w:szCs w:val="13"/>
        </w:rPr>
        <w:t>减：库存股 </w:t>
      </w:r>
      <w:r>
        <w:rPr>
          <w:rFonts w:ascii="宋体" w:hAnsi="宋体" w:cs="宋体" w:eastAsia="宋体" w:hint="default"/>
          <w:spacing w:val="7"/>
          <w:w w:val="105"/>
          <w:sz w:val="13"/>
          <w:szCs w:val="13"/>
        </w:rPr>
        <w:t> </w:t>
      </w:r>
      <w:r>
        <w:rPr>
          <w:rFonts w:ascii="宋体" w:hAnsi="宋体" w:cs="宋体" w:eastAsia="宋体" w:hint="default"/>
          <w:w w:val="105"/>
          <w:sz w:val="13"/>
          <w:szCs w:val="13"/>
        </w:rPr>
        <w:t>专项储备</w:t>
        <w:tab/>
      </w:r>
      <w:r>
        <w:rPr>
          <w:rFonts w:ascii="宋体" w:hAnsi="宋体" w:cs="宋体" w:eastAsia="宋体" w:hint="default"/>
          <w:sz w:val="13"/>
          <w:szCs w:val="13"/>
        </w:rPr>
        <w:t>盈余公积</w:t>
        <w:tab/>
        <w:t>未分配利润</w:t>
        <w:tab/>
        <w:t>其他</w:t>
        <w:tab/>
        <w:t>少数股东权益</w:t>
        <w:tab/>
      </w:r>
      <w:r>
        <w:rPr>
          <w:rFonts w:ascii="宋体" w:hAnsi="宋体" w:cs="宋体" w:eastAsia="宋体" w:hint="default"/>
          <w:w w:val="105"/>
          <w:sz w:val="13"/>
          <w:szCs w:val="13"/>
        </w:rPr>
        <w:t>股东权益合计</w:t>
      </w:r>
      <w:r>
        <w:rPr>
          <w:rFonts w:ascii="宋体" w:hAnsi="宋体" w:cs="宋体" w:eastAsia="宋体" w:hint="default"/>
          <w:w w:val="102"/>
          <w:sz w:val="13"/>
          <w:szCs w:val="13"/>
        </w:rPr>
        <w:t> </w:t>
      </w:r>
      <w:r>
        <w:rPr>
          <w:rFonts w:ascii="宋体" w:hAnsi="宋体" w:cs="宋体" w:eastAsia="宋体" w:hint="default"/>
          <w:sz w:val="13"/>
          <w:szCs w:val="13"/>
        </w:rPr>
        <w:t>47,500,000.00</w:t>
        <w:tab/>
        <w:t>62,385,459.32</w:t>
        <w:tab/>
        <w:tab/>
        <w:t>-</w:t>
        <w:tab/>
        <w:t>-</w:t>
        <w:tab/>
        <w:t>4,376,663.12</w:t>
        <w:tab/>
        <w:t>53,513,503.59</w:t>
        <w:tab/>
        <w:tab/>
        <w:t>-</w:t>
        <w:tab/>
        <w:tab/>
        <w:t>-</w:t>
        <w:tab/>
        <w:t>167,775,626.03</w:t>
      </w: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01.6pt;height:.75pt;mso-position-horizontal-relative:char;mso-position-vertical-relative:line" coordorigin="0,0" coordsize="10032,15">
            <v:group style="position:absolute;left:8;top:1;width:1315;height:2" coordorigin="8,1" coordsize="1315,2">
              <v:shape style="position:absolute;left:8;top:1;width:1315;height:2" coordorigin="8,1" coordsize="1315,0" path="m8,1l1322,1e" filled="false" stroked="true" strokeweight=".104096pt" strokecolor="#000000">
                <v:path arrowok="t"/>
              </v:shape>
            </v:group>
            <v:group style="position:absolute;left:7;top:7;width:1317;height:2" coordorigin="7,7" coordsize="1317,2">
              <v:shape style="position:absolute;left:7;top:7;width:1317;height:2" coordorigin="7,7" coordsize="1317,0" path="m7,7l1323,7e" filled="false" stroked="true" strokeweight=".7138pt" strokecolor="#000000">
                <v:path arrowok="t"/>
              </v:shape>
            </v:group>
            <v:group style="position:absolute;left:1378;top:1;width:1325;height:2" coordorigin="1378,1" coordsize="1325,2">
              <v:shape style="position:absolute;left:1378;top:1;width:1325;height:2" coordorigin="1378,1" coordsize="1325,0" path="m1378,1l2702,1e" filled="false" stroked="true" strokeweight=".104096pt" strokecolor="#000000">
                <v:path arrowok="t"/>
              </v:shape>
            </v:group>
            <v:group style="position:absolute;left:1377;top:7;width:1327;height:2" coordorigin="1377,7" coordsize="1327,2">
              <v:shape style="position:absolute;left:1377;top:7;width:1327;height:2" coordorigin="1377,7" coordsize="1327,0" path="m1377,7l2703,7e" filled="false" stroked="true" strokeweight=".7138pt" strokecolor="#000000">
                <v:path arrowok="t"/>
              </v:shape>
            </v:group>
            <v:group style="position:absolute;left:2757;top:1;width:768;height:2" coordorigin="2757,1" coordsize="768,2">
              <v:shape style="position:absolute;left:2757;top:1;width:768;height:2" coordorigin="2757,1" coordsize="768,0" path="m2757,1l3525,1e" filled="false" stroked="true" strokeweight=".104096pt" strokecolor="#000000">
                <v:path arrowok="t"/>
              </v:shape>
            </v:group>
            <v:group style="position:absolute;left:2757;top:7;width:770;height:2" coordorigin="2757,7" coordsize="770,2">
              <v:shape style="position:absolute;left:2757;top:7;width:770;height:2" coordorigin="2757,7" coordsize="770,0" path="m2757,7l3526,7e" filled="false" stroked="true" strokeweight=".7138pt" strokecolor="#000000">
                <v:path arrowok="t"/>
              </v:shape>
            </v:group>
            <v:group style="position:absolute;left:3580;top:1;width:668;height:2" coordorigin="3580,1" coordsize="668,2">
              <v:shape style="position:absolute;left:3580;top:1;width:668;height:2" coordorigin="3580,1" coordsize="668,0" path="m3580,1l4248,1e" filled="false" stroked="true" strokeweight=".104096pt" strokecolor="#000000">
                <v:path arrowok="t"/>
              </v:shape>
            </v:group>
            <v:group style="position:absolute;left:3580;top:7;width:670;height:2" coordorigin="3580,7" coordsize="670,2">
              <v:shape style="position:absolute;left:3580;top:7;width:670;height:2" coordorigin="3580,7" coordsize="670,0" path="m3580,7l4249,7e" filled="false" stroked="true" strokeweight=".7138pt" strokecolor="#000000">
                <v:path arrowok="t"/>
              </v:shape>
            </v:group>
            <v:group style="position:absolute;left:4303;top:1;width:1169;height:2" coordorigin="4303,1" coordsize="1169,2">
              <v:shape style="position:absolute;left:4303;top:1;width:1169;height:2" coordorigin="4303,1" coordsize="1169,0" path="m4303,1l5472,1e" filled="false" stroked="true" strokeweight=".104096pt" strokecolor="#000000">
                <v:path arrowok="t"/>
              </v:shape>
            </v:group>
            <v:group style="position:absolute;left:4302;top:7;width:1171;height:2" coordorigin="4302,7" coordsize="1171,2">
              <v:shape style="position:absolute;left:4302;top:7;width:1171;height:2" coordorigin="4302,7" coordsize="1171,0" path="m4302,7l5473,7e" filled="false" stroked="true" strokeweight=".7138pt" strokecolor="#000000">
                <v:path arrowok="t"/>
              </v:shape>
            </v:group>
            <v:group style="position:absolute;left:5527;top:1;width:1325;height:2" coordorigin="5527,1" coordsize="1325,2">
              <v:shape style="position:absolute;left:5527;top:1;width:1325;height:2" coordorigin="5527,1" coordsize="1325,0" path="m5527,1l6852,1e" filled="false" stroked="true" strokeweight=".104096pt" strokecolor="#000000">
                <v:path arrowok="t"/>
              </v:shape>
            </v:group>
            <v:group style="position:absolute;left:5526;top:7;width:1327;height:2" coordorigin="5526,7" coordsize="1327,2">
              <v:shape style="position:absolute;left:5526;top:7;width:1327;height:2" coordorigin="5526,7" coordsize="1327,0" path="m5526,7l6852,7e" filled="false" stroked="true" strokeweight=".7138pt" strokecolor="#000000">
                <v:path arrowok="t"/>
              </v:shape>
            </v:group>
            <v:group style="position:absolute;left:6907;top:1;width:713;height:2" coordorigin="6907,1" coordsize="713,2">
              <v:shape style="position:absolute;left:6907;top:1;width:713;height:2" coordorigin="6907,1" coordsize="713,0" path="m6907,1l7619,1e" filled="false" stroked="true" strokeweight=".104096pt" strokecolor="#000000">
                <v:path arrowok="t"/>
              </v:shape>
            </v:group>
            <v:group style="position:absolute;left:6906;top:7;width:715;height:2" coordorigin="6906,7" coordsize="715,2">
              <v:shape style="position:absolute;left:6906;top:7;width:715;height:2" coordorigin="6906,7" coordsize="715,0" path="m6906,7l7620,7e" filled="false" stroked="true" strokeweight=".7138pt" strokecolor="#000000">
                <v:path arrowok="t"/>
              </v:shape>
            </v:group>
            <v:group style="position:absolute;left:7675;top:1;width:980;height:2" coordorigin="7675,1" coordsize="980,2">
              <v:shape style="position:absolute;left:7675;top:1;width:980;height:2" coordorigin="7675,1" coordsize="980,0" path="m7675,1l8654,1e" filled="false" stroked="true" strokeweight=".104096pt" strokecolor="#000000">
                <v:path arrowok="t"/>
              </v:shape>
            </v:group>
            <v:group style="position:absolute;left:7674;top:7;width:982;height:2" coordorigin="7674,7" coordsize="982,2">
              <v:shape style="position:absolute;left:7674;top:7;width:982;height:2" coordorigin="7674,7" coordsize="982,0" path="m7674,7l8655,7e" filled="false" stroked="true" strokeweight=".7138pt" strokecolor="#000000">
                <v:path arrowok="t"/>
              </v:shape>
            </v:group>
            <v:group style="position:absolute;left:8709;top:1;width:1315;height:2" coordorigin="8709,1" coordsize="1315,2">
              <v:shape style="position:absolute;left:8709;top:1;width:1315;height:2" coordorigin="8709,1" coordsize="1315,0" path="m8709,1l10023,1e" filled="false" stroked="true" strokeweight=".104096pt" strokecolor="#000000">
                <v:path arrowok="t"/>
              </v:shape>
            </v:group>
            <v:group style="position:absolute;left:8708;top:7;width:1317;height:2" coordorigin="8708,7" coordsize="1317,2">
              <v:shape style="position:absolute;left:8708;top:7;width:1317;height:2" coordorigin="8708,7" coordsize="1317,0" path="m8708,7l10024,7e" filled="false" stroked="true" strokeweight=".7138pt" strokecolor="#000000">
                <v:path arrowok="t"/>
              </v:shape>
            </v:group>
          </v:group>
        </w:pict>
      </w:r>
      <w:r>
        <w:rPr>
          <w:rFonts w:ascii="宋体" w:hAnsi="宋体" w:cs="宋体" w:eastAsia="宋体" w:hint="default"/>
          <w:sz w:val="2"/>
          <w:szCs w:val="2"/>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6"/>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38"/>
        <w:gridCol w:w="1474"/>
        <w:gridCol w:w="2709"/>
        <w:gridCol w:w="1412"/>
        <w:gridCol w:w="2984"/>
      </w:tblGrid>
      <w:tr>
        <w:trPr>
          <w:trHeight w:val="240" w:hRule="exact"/>
        </w:trPr>
        <w:tc>
          <w:tcPr>
            <w:tcW w:w="1438"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right="214"/>
              <w:jc w:val="right"/>
              <w:rPr>
                <w:rFonts w:ascii="宋体" w:hAnsi="宋体" w:cs="宋体" w:eastAsia="宋体" w:hint="default"/>
                <w:sz w:val="13"/>
                <w:szCs w:val="13"/>
              </w:rPr>
            </w:pPr>
            <w:r>
              <w:rPr>
                <w:rFonts w:ascii="宋体"/>
                <w:sz w:val="13"/>
              </w:rPr>
              <w:t>47,500,000.00</w:t>
            </w:r>
          </w:p>
        </w:tc>
        <w:tc>
          <w:tcPr>
            <w:tcW w:w="1474"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right="23"/>
              <w:jc w:val="center"/>
              <w:rPr>
                <w:rFonts w:ascii="宋体" w:hAnsi="宋体" w:cs="宋体" w:eastAsia="宋体" w:hint="default"/>
                <w:sz w:val="13"/>
                <w:szCs w:val="13"/>
              </w:rPr>
            </w:pPr>
            <w:r>
              <w:rPr>
                <w:rFonts w:ascii="宋体"/>
                <w:w w:val="105"/>
                <w:sz w:val="13"/>
              </w:rPr>
              <w:t>62,385,459.32</w:t>
            </w:r>
            <w:r>
              <w:rPr>
                <w:rFonts w:ascii="宋体"/>
                <w:sz w:val="13"/>
              </w:rPr>
            </w:r>
          </w:p>
        </w:tc>
        <w:tc>
          <w:tcPr>
            <w:tcW w:w="2709" w:type="dxa"/>
            <w:tcBorders>
              <w:top w:val="nil" w:sz="6" w:space="0" w:color="auto"/>
              <w:left w:val="nil" w:sz="6" w:space="0" w:color="auto"/>
              <w:bottom w:val="single" w:sz="6" w:space="0" w:color="000000"/>
              <w:right w:val="nil" w:sz="6" w:space="0" w:color="auto"/>
            </w:tcBorders>
          </w:tcPr>
          <w:p>
            <w:pPr>
              <w:pStyle w:val="TableParagraph"/>
              <w:tabs>
                <w:tab w:pos="722" w:val="left" w:leader="none"/>
                <w:tab w:pos="1337" w:val="left" w:leader="none"/>
              </w:tabs>
              <w:spacing w:line="240" w:lineRule="auto" w:before="30"/>
              <w:ind w:right="248"/>
              <w:jc w:val="right"/>
              <w:rPr>
                <w:rFonts w:ascii="宋体" w:hAnsi="宋体" w:cs="宋体" w:eastAsia="宋体" w:hint="default"/>
                <w:sz w:val="13"/>
                <w:szCs w:val="13"/>
              </w:rPr>
            </w:pPr>
            <w:r>
              <w:rPr>
                <w:rFonts w:ascii="宋体"/>
                <w:sz w:val="13"/>
              </w:rPr>
              <w:t>-</w:t>
              <w:tab/>
              <w:t>-</w:t>
              <w:tab/>
              <w:t>4,376,663.12</w:t>
            </w:r>
          </w:p>
        </w:tc>
        <w:tc>
          <w:tcPr>
            <w:tcW w:w="1412"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250" w:right="0"/>
              <w:jc w:val="left"/>
              <w:rPr>
                <w:rFonts w:ascii="宋体" w:hAnsi="宋体" w:cs="宋体" w:eastAsia="宋体" w:hint="default"/>
                <w:sz w:val="13"/>
                <w:szCs w:val="13"/>
              </w:rPr>
            </w:pPr>
            <w:r>
              <w:rPr>
                <w:rFonts w:ascii="宋体"/>
                <w:w w:val="105"/>
                <w:sz w:val="13"/>
              </w:rPr>
              <w:t>53,513,503.59</w:t>
            </w:r>
            <w:r>
              <w:rPr>
                <w:rFonts w:ascii="宋体"/>
                <w:sz w:val="13"/>
              </w:rPr>
            </w:r>
          </w:p>
        </w:tc>
        <w:tc>
          <w:tcPr>
            <w:tcW w:w="2984" w:type="dxa"/>
            <w:tcBorders>
              <w:top w:val="nil" w:sz="6" w:space="0" w:color="auto"/>
              <w:left w:val="nil" w:sz="6" w:space="0" w:color="auto"/>
              <w:bottom w:val="single" w:sz="6" w:space="0" w:color="000000"/>
              <w:right w:val="nil" w:sz="6" w:space="0" w:color="auto"/>
            </w:tcBorders>
          </w:tcPr>
          <w:p>
            <w:pPr>
              <w:pStyle w:val="TableParagraph"/>
              <w:tabs>
                <w:tab w:pos="1034" w:val="left" w:leader="none"/>
                <w:tab w:pos="1659" w:val="left" w:leader="none"/>
              </w:tabs>
              <w:spacing w:line="240" w:lineRule="auto" w:before="30"/>
              <w:ind w:right="92"/>
              <w:jc w:val="right"/>
              <w:rPr>
                <w:rFonts w:ascii="宋体" w:hAnsi="宋体" w:cs="宋体" w:eastAsia="宋体" w:hint="default"/>
                <w:sz w:val="13"/>
                <w:szCs w:val="13"/>
              </w:rPr>
            </w:pPr>
            <w:r>
              <w:rPr>
                <w:rFonts w:ascii="宋体"/>
                <w:sz w:val="13"/>
              </w:rPr>
              <w:t>-</w:t>
              <w:tab/>
              <w:t>-</w:t>
              <w:tab/>
              <w:t>167,775,626.03</w:t>
            </w:r>
          </w:p>
        </w:tc>
      </w:tr>
      <w:tr>
        <w:trPr>
          <w:trHeight w:val="228" w:hRule="exact"/>
        </w:trPr>
        <w:tc>
          <w:tcPr>
            <w:tcW w:w="1438"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214"/>
              <w:jc w:val="right"/>
              <w:rPr>
                <w:rFonts w:ascii="宋体" w:hAnsi="宋体" w:cs="宋体" w:eastAsia="宋体" w:hint="default"/>
                <w:sz w:val="13"/>
                <w:szCs w:val="13"/>
              </w:rPr>
            </w:pPr>
            <w:r>
              <w:rPr>
                <w:rFonts w:ascii="宋体"/>
                <w:sz w:val="13"/>
              </w:rPr>
              <w:t>16,000,000.00</w:t>
            </w:r>
          </w:p>
        </w:tc>
        <w:tc>
          <w:tcPr>
            <w:tcW w:w="1474"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91"/>
              <w:jc w:val="center"/>
              <w:rPr>
                <w:rFonts w:ascii="宋体" w:hAnsi="宋体" w:cs="宋体" w:eastAsia="宋体" w:hint="default"/>
                <w:sz w:val="13"/>
                <w:szCs w:val="13"/>
              </w:rPr>
            </w:pPr>
            <w:r>
              <w:rPr>
                <w:rFonts w:ascii="宋体"/>
                <w:w w:val="105"/>
                <w:sz w:val="13"/>
              </w:rPr>
              <w:t>630,334,934.33</w:t>
            </w:r>
            <w:r>
              <w:rPr>
                <w:rFonts w:ascii="宋体"/>
                <w:sz w:val="13"/>
              </w:rPr>
            </w:r>
          </w:p>
        </w:tc>
        <w:tc>
          <w:tcPr>
            <w:tcW w:w="2709" w:type="dxa"/>
            <w:tcBorders>
              <w:top w:val="single" w:sz="6" w:space="0" w:color="000000"/>
              <w:left w:val="nil" w:sz="6" w:space="0" w:color="auto"/>
              <w:bottom w:val="single" w:sz="6" w:space="0" w:color="000000"/>
              <w:right w:val="nil" w:sz="6" w:space="0" w:color="auto"/>
            </w:tcBorders>
          </w:tcPr>
          <w:p>
            <w:pPr>
              <w:pStyle w:val="TableParagraph"/>
              <w:tabs>
                <w:tab w:pos="722" w:val="left" w:leader="none"/>
                <w:tab w:pos="1337" w:val="left" w:leader="none"/>
              </w:tabs>
              <w:spacing w:line="240" w:lineRule="auto" w:before="12"/>
              <w:ind w:right="248"/>
              <w:jc w:val="right"/>
              <w:rPr>
                <w:rFonts w:ascii="宋体" w:hAnsi="宋体" w:cs="宋体" w:eastAsia="宋体" w:hint="default"/>
                <w:sz w:val="13"/>
                <w:szCs w:val="13"/>
              </w:rPr>
            </w:pPr>
            <w:r>
              <w:rPr>
                <w:rFonts w:ascii="宋体"/>
                <w:sz w:val="13"/>
              </w:rPr>
              <w:t>-</w:t>
              <w:tab/>
              <w:t>-</w:t>
              <w:tab/>
              <w:t>2,644,038.24</w:t>
            </w:r>
          </w:p>
        </w:tc>
        <w:tc>
          <w:tcPr>
            <w:tcW w:w="1412"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left="250" w:right="0"/>
              <w:jc w:val="left"/>
              <w:rPr>
                <w:rFonts w:ascii="宋体" w:hAnsi="宋体" w:cs="宋体" w:eastAsia="宋体" w:hint="default"/>
                <w:sz w:val="13"/>
                <w:szCs w:val="13"/>
              </w:rPr>
            </w:pPr>
            <w:r>
              <w:rPr>
                <w:rFonts w:ascii="宋体"/>
                <w:w w:val="105"/>
                <w:sz w:val="13"/>
              </w:rPr>
              <w:t>55,250,407.02</w:t>
            </w:r>
            <w:r>
              <w:rPr>
                <w:rFonts w:ascii="宋体"/>
                <w:sz w:val="13"/>
              </w:rPr>
            </w:r>
          </w:p>
        </w:tc>
        <w:tc>
          <w:tcPr>
            <w:tcW w:w="2984" w:type="dxa"/>
            <w:tcBorders>
              <w:top w:val="single" w:sz="6" w:space="0" w:color="000000"/>
              <w:left w:val="nil" w:sz="6" w:space="0" w:color="auto"/>
              <w:bottom w:val="single" w:sz="6" w:space="0" w:color="000000"/>
              <w:right w:val="nil" w:sz="6" w:space="0" w:color="auto"/>
            </w:tcBorders>
          </w:tcPr>
          <w:p>
            <w:pPr>
              <w:pStyle w:val="TableParagraph"/>
              <w:tabs>
                <w:tab w:pos="1034" w:val="left" w:leader="none"/>
                <w:tab w:pos="1659" w:val="left" w:leader="none"/>
              </w:tabs>
              <w:spacing w:line="240" w:lineRule="auto" w:before="12"/>
              <w:ind w:right="92"/>
              <w:jc w:val="right"/>
              <w:rPr>
                <w:rFonts w:ascii="宋体" w:hAnsi="宋体" w:cs="宋体" w:eastAsia="宋体" w:hint="default"/>
                <w:sz w:val="13"/>
                <w:szCs w:val="13"/>
              </w:rPr>
            </w:pPr>
            <w:r>
              <w:rPr>
                <w:rFonts w:ascii="宋体"/>
                <w:sz w:val="13"/>
              </w:rPr>
              <w:t>-</w:t>
              <w:tab/>
              <w:t>-</w:t>
              <w:tab/>
              <w:t>704,229,379.59</w:t>
            </w:r>
          </w:p>
        </w:tc>
      </w:tr>
    </w:tbl>
    <w:p>
      <w:pPr>
        <w:tabs>
          <w:tab w:pos="2506" w:val="left" w:leader="none"/>
          <w:tab w:pos="3329" w:val="left" w:leader="none"/>
          <w:tab w:pos="4052" w:val="left" w:leader="none"/>
          <w:tab w:pos="5276" w:val="left" w:leader="none"/>
          <w:tab w:pos="5979" w:val="left" w:leader="none"/>
          <w:tab w:pos="7424" w:val="left" w:leader="none"/>
          <w:tab w:pos="8458" w:val="left" w:leader="none"/>
          <w:tab w:pos="9151" w:val="left" w:leader="none"/>
        </w:tabs>
        <w:spacing w:before="5"/>
        <w:ind w:left="1127" w:right="0" w:firstLine="0"/>
        <w:jc w:val="left"/>
        <w:rPr>
          <w:rFonts w:ascii="宋体" w:hAnsi="宋体" w:cs="宋体" w:eastAsia="宋体" w:hint="default"/>
          <w:sz w:val="13"/>
          <w:szCs w:val="13"/>
        </w:rPr>
      </w:pPr>
      <w:r>
        <w:rPr>
          <w:rFonts w:ascii="宋体"/>
          <w:sz w:val="13"/>
        </w:rPr>
        <w:t>-</w:t>
        <w:tab/>
        <w:t>-</w:t>
        <w:tab/>
        <w:t>-</w:t>
        <w:tab/>
        <w:t>-</w:t>
        <w:tab/>
        <w:t>-</w:t>
        <w:tab/>
        <w:t>57,894,445.26</w:t>
        <w:tab/>
        <w:t>-</w:t>
        <w:tab/>
        <w:t>-</w:t>
        <w:tab/>
      </w:r>
      <w:r>
        <w:rPr>
          <w:rFonts w:ascii="宋体"/>
          <w:w w:val="105"/>
          <w:sz w:val="13"/>
        </w:rPr>
        <w:t>57,894,445.26</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5979" w:val="left" w:leader="none"/>
          <w:tab w:pos="7424" w:val="left" w:leader="none"/>
          <w:tab w:pos="8458" w:val="left" w:leader="none"/>
          <w:tab w:pos="9151"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57,894,445.26</w:t>
        <w:tab/>
        <w:t>-</w:t>
        <w:tab/>
        <w:t>-</w:t>
        <w:tab/>
      </w:r>
      <w:r>
        <w:rPr>
          <w:rFonts w:ascii="宋体"/>
          <w:w w:val="105"/>
          <w:sz w:val="13"/>
        </w:rPr>
        <w:t>57,894,445.26</w:t>
      </w:r>
      <w:r>
        <w:rPr>
          <w:rFonts w:ascii="宋体"/>
          <w:sz w:val="13"/>
        </w:rPr>
      </w:r>
    </w:p>
    <w:p>
      <w:pPr>
        <w:spacing w:line="240" w:lineRule="auto" w:before="2"/>
        <w:rPr>
          <w:rFonts w:ascii="宋体" w:hAnsi="宋体" w:cs="宋体" w:eastAsia="宋体" w:hint="default"/>
          <w:sz w:val="2"/>
          <w:szCs w:val="2"/>
        </w:rPr>
      </w:pPr>
    </w:p>
    <w:tbl>
      <w:tblPr>
        <w:tblW w:w="0" w:type="auto"/>
        <w:jc w:val="left"/>
        <w:tblInd w:w="415" w:type="dxa"/>
        <w:tblLayout w:type="fixed"/>
        <w:tblCellMar>
          <w:top w:w="0" w:type="dxa"/>
          <w:left w:w="0" w:type="dxa"/>
          <w:bottom w:w="0" w:type="dxa"/>
          <w:right w:w="0" w:type="dxa"/>
        </w:tblCellMar>
        <w:tblLook w:val="01E0"/>
      </w:tblPr>
      <w:tblGrid>
        <w:gridCol w:w="1131"/>
        <w:gridCol w:w="1474"/>
        <w:gridCol w:w="7046"/>
      </w:tblGrid>
      <w:tr>
        <w:trPr>
          <w:trHeight w:val="248"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3"/>
                <w:szCs w:val="13"/>
              </w:rPr>
            </w:pPr>
            <w:r>
              <w:rPr>
                <w:rFonts w:ascii="宋体"/>
                <w:w w:val="105"/>
                <w:sz w:val="13"/>
              </w:rPr>
              <w:t>16,000,000.00</w:t>
            </w:r>
            <w:r>
              <w:rPr>
                <w:rFonts w:ascii="宋体"/>
                <w:sz w:val="13"/>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1"/>
              <w:jc w:val="center"/>
              <w:rPr>
                <w:rFonts w:ascii="宋体" w:hAnsi="宋体" w:cs="宋体" w:eastAsia="宋体" w:hint="default"/>
                <w:sz w:val="13"/>
                <w:szCs w:val="13"/>
              </w:rPr>
            </w:pPr>
            <w:r>
              <w:rPr>
                <w:rFonts w:ascii="宋体"/>
                <w:w w:val="105"/>
                <w:sz w:val="13"/>
              </w:rPr>
              <w:t>630,334,934.33</w:t>
            </w:r>
            <w:r>
              <w:rPr>
                <w:rFonts w:ascii="宋体"/>
                <w:sz w:val="13"/>
              </w:rPr>
            </w:r>
          </w:p>
        </w:tc>
        <w:tc>
          <w:tcPr>
            <w:tcW w:w="7046" w:type="dxa"/>
            <w:tcBorders>
              <w:top w:val="nil" w:sz="6" w:space="0" w:color="auto"/>
              <w:left w:val="nil" w:sz="6" w:space="0" w:color="auto"/>
              <w:bottom w:val="nil" w:sz="6" w:space="0" w:color="auto"/>
              <w:right w:val="nil" w:sz="6" w:space="0" w:color="auto"/>
            </w:tcBorders>
          </w:tcPr>
          <w:p>
            <w:pPr>
              <w:pStyle w:val="TableParagraph"/>
              <w:tabs>
                <w:tab w:pos="722" w:val="left" w:leader="none"/>
                <w:tab w:pos="1946" w:val="left" w:leader="none"/>
                <w:tab w:pos="3326" w:val="left" w:leader="none"/>
                <w:tab w:pos="4094" w:val="left" w:leader="none"/>
                <w:tab w:pos="5128" w:val="left" w:leader="none"/>
                <w:tab w:pos="5753" w:val="left" w:leader="none"/>
              </w:tabs>
              <w:spacing w:line="240" w:lineRule="auto" w:before="30"/>
              <w:ind w:right="33"/>
              <w:jc w:val="right"/>
              <w:rPr>
                <w:rFonts w:ascii="宋体" w:hAnsi="宋体" w:cs="宋体" w:eastAsia="宋体" w:hint="default"/>
                <w:sz w:val="13"/>
                <w:szCs w:val="13"/>
              </w:rPr>
            </w:pPr>
            <w:r>
              <w:rPr>
                <w:rFonts w:ascii="宋体"/>
                <w:sz w:val="13"/>
              </w:rPr>
              <w:t>-</w:t>
              <w:tab/>
              <w:t>-</w:t>
              <w:tab/>
              <w:t>-</w:t>
              <w:tab/>
              <w:t>-</w:t>
              <w:tab/>
              <w:t>-</w:t>
              <w:tab/>
              <w:t>-</w:t>
              <w:tab/>
              <w:t>646,334,934.33</w:t>
            </w:r>
          </w:p>
        </w:tc>
      </w:tr>
      <w:tr>
        <w:trPr>
          <w:trHeight w:val="248"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3"/>
                <w:szCs w:val="13"/>
              </w:rPr>
            </w:pPr>
            <w:r>
              <w:rPr>
                <w:rFonts w:ascii="宋体"/>
                <w:w w:val="105"/>
                <w:sz w:val="13"/>
              </w:rPr>
              <w:t>16,000,000.00</w:t>
            </w:r>
            <w:r>
              <w:rPr>
                <w:rFonts w:ascii="宋体"/>
                <w:sz w:val="13"/>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center"/>
              <w:rPr>
                <w:rFonts w:ascii="宋体" w:hAnsi="宋体" w:cs="宋体" w:eastAsia="宋体" w:hint="default"/>
                <w:sz w:val="13"/>
                <w:szCs w:val="13"/>
              </w:rPr>
            </w:pPr>
            <w:r>
              <w:rPr>
                <w:rFonts w:ascii="宋体"/>
                <w:w w:val="105"/>
                <w:sz w:val="13"/>
              </w:rPr>
              <w:t>630,334,934.33</w:t>
            </w:r>
            <w:r>
              <w:rPr>
                <w:rFonts w:ascii="宋体"/>
                <w:sz w:val="13"/>
              </w:rPr>
            </w:r>
          </w:p>
        </w:tc>
        <w:tc>
          <w:tcPr>
            <w:tcW w:w="7046" w:type="dxa"/>
            <w:tcBorders>
              <w:top w:val="nil" w:sz="6" w:space="0" w:color="auto"/>
              <w:left w:val="nil" w:sz="6" w:space="0" w:color="auto"/>
              <w:bottom w:val="nil" w:sz="6" w:space="0" w:color="auto"/>
              <w:right w:val="nil" w:sz="6" w:space="0" w:color="auto"/>
            </w:tcBorders>
          </w:tcPr>
          <w:p>
            <w:pPr>
              <w:pStyle w:val="TableParagraph"/>
              <w:tabs>
                <w:tab w:pos="722" w:val="left" w:leader="none"/>
                <w:tab w:pos="1946" w:val="left" w:leader="none"/>
                <w:tab w:pos="3326" w:val="left" w:leader="none"/>
                <w:tab w:pos="4094" w:val="left" w:leader="none"/>
                <w:tab w:pos="5128" w:val="left" w:leader="none"/>
                <w:tab w:pos="5753" w:val="left" w:leader="none"/>
              </w:tabs>
              <w:spacing w:line="240" w:lineRule="auto" w:before="10"/>
              <w:ind w:right="33"/>
              <w:jc w:val="right"/>
              <w:rPr>
                <w:rFonts w:ascii="宋体" w:hAnsi="宋体" w:cs="宋体" w:eastAsia="宋体" w:hint="default"/>
                <w:sz w:val="13"/>
                <w:szCs w:val="13"/>
              </w:rPr>
            </w:pPr>
            <w:r>
              <w:rPr>
                <w:rFonts w:ascii="宋体"/>
                <w:sz w:val="13"/>
              </w:rPr>
              <w:t>-</w:t>
              <w:tab/>
              <w:t>-</w:t>
              <w:tab/>
              <w:t>-</w:t>
              <w:tab/>
              <w:t>-</w:t>
              <w:tab/>
              <w:t>-</w:t>
              <w:tab/>
              <w:t>-</w:t>
              <w:tab/>
              <w:t>646,334,934.33</w:t>
            </w:r>
          </w:p>
        </w:tc>
      </w:tr>
    </w:tbl>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line="161" w:lineRule="exact" w:before="0"/>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spacing w:line="240" w:lineRule="auto" w:before="2"/>
        <w:rPr>
          <w:rFonts w:ascii="宋体" w:hAnsi="宋体" w:cs="宋体" w:eastAsia="宋体" w:hint="default"/>
          <w:sz w:val="2"/>
          <w:szCs w:val="2"/>
        </w:rPr>
      </w:pPr>
    </w:p>
    <w:tbl>
      <w:tblPr>
        <w:tblW w:w="0" w:type="auto"/>
        <w:jc w:val="left"/>
        <w:tblInd w:w="1092" w:type="dxa"/>
        <w:tblLayout w:type="fixed"/>
        <w:tblCellMar>
          <w:top w:w="0" w:type="dxa"/>
          <w:left w:w="0" w:type="dxa"/>
          <w:bottom w:w="0" w:type="dxa"/>
          <w:right w:w="0" w:type="dxa"/>
        </w:tblCellMar>
        <w:tblLook w:val="01E0"/>
      </w:tblPr>
      <w:tblGrid>
        <w:gridCol w:w="4637"/>
        <w:gridCol w:w="1446"/>
        <w:gridCol w:w="2754"/>
      </w:tblGrid>
      <w:tr>
        <w:trPr>
          <w:trHeight w:val="248" w:hRule="exact"/>
        </w:trPr>
        <w:tc>
          <w:tcPr>
            <w:tcW w:w="4637" w:type="dxa"/>
            <w:tcBorders>
              <w:top w:val="nil" w:sz="6" w:space="0" w:color="auto"/>
              <w:left w:val="nil" w:sz="6" w:space="0" w:color="auto"/>
              <w:bottom w:val="nil" w:sz="6" w:space="0" w:color="auto"/>
              <w:right w:val="nil" w:sz="6" w:space="0" w:color="auto"/>
            </w:tcBorders>
          </w:tcPr>
          <w:p>
            <w:pPr>
              <w:pStyle w:val="TableParagraph"/>
              <w:tabs>
                <w:tab w:pos="1414" w:val="left" w:leader="none"/>
                <w:tab w:pos="2237" w:val="left" w:leader="none"/>
                <w:tab w:pos="2960" w:val="left" w:leader="none"/>
                <w:tab w:pos="3574" w:val="left" w:leader="none"/>
              </w:tabs>
              <w:spacing w:line="240" w:lineRule="auto" w:before="30"/>
              <w:ind w:left="35" w:right="0"/>
              <w:jc w:val="left"/>
              <w:rPr>
                <w:rFonts w:ascii="宋体" w:hAnsi="宋体" w:cs="宋体" w:eastAsia="宋体" w:hint="default"/>
                <w:sz w:val="13"/>
                <w:szCs w:val="13"/>
              </w:rPr>
            </w:pPr>
            <w:r>
              <w:rPr>
                <w:rFonts w:ascii="宋体"/>
                <w:sz w:val="13"/>
              </w:rPr>
              <w:t>-</w:t>
              <w:tab/>
              <w:t>-</w:t>
              <w:tab/>
              <w:t>-</w:t>
              <w:tab/>
              <w:t>-</w:t>
              <w:tab/>
            </w:r>
            <w:r>
              <w:rPr>
                <w:rFonts w:ascii="宋体"/>
                <w:w w:val="105"/>
                <w:sz w:val="13"/>
              </w:rPr>
              <w:t>2,644,038.24</w:t>
            </w:r>
            <w:r>
              <w:rPr>
                <w:rFonts w:ascii="宋体"/>
                <w:sz w:val="13"/>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 w:right="0"/>
              <w:jc w:val="center"/>
              <w:rPr>
                <w:rFonts w:ascii="宋体" w:hAnsi="宋体" w:cs="宋体" w:eastAsia="宋体" w:hint="default"/>
                <w:sz w:val="13"/>
                <w:szCs w:val="13"/>
              </w:rPr>
            </w:pPr>
            <w:r>
              <w:rPr>
                <w:rFonts w:ascii="宋体"/>
                <w:w w:val="105"/>
                <w:sz w:val="13"/>
              </w:rPr>
              <w:t>(2,644,038.24)</w:t>
            </w:r>
            <w:r>
              <w:rPr>
                <w:rFonts w:ascii="宋体"/>
                <w:sz w:val="13"/>
              </w:rPr>
            </w:r>
          </w:p>
        </w:tc>
        <w:tc>
          <w:tcPr>
            <w:tcW w:w="2754" w:type="dxa"/>
            <w:tcBorders>
              <w:top w:val="nil" w:sz="6" w:space="0" w:color="auto"/>
              <w:left w:val="nil" w:sz="6" w:space="0" w:color="auto"/>
              <w:bottom w:val="nil" w:sz="6" w:space="0" w:color="auto"/>
              <w:right w:val="nil" w:sz="6" w:space="0" w:color="auto"/>
            </w:tcBorders>
          </w:tcPr>
          <w:p>
            <w:pPr>
              <w:pStyle w:val="TableParagraph"/>
              <w:tabs>
                <w:tab w:pos="1034" w:val="left" w:leader="none"/>
                <w:tab w:pos="2403" w:val="left" w:leader="none"/>
              </w:tabs>
              <w:spacing w:line="240" w:lineRule="auto" w:before="30"/>
              <w:ind w:right="33"/>
              <w:jc w:val="right"/>
              <w:rPr>
                <w:rFonts w:ascii="宋体" w:hAnsi="宋体" w:cs="宋体" w:eastAsia="宋体" w:hint="default"/>
                <w:sz w:val="13"/>
                <w:szCs w:val="13"/>
              </w:rPr>
            </w:pPr>
            <w:r>
              <w:rPr>
                <w:rFonts w:ascii="宋体"/>
                <w:sz w:val="13"/>
              </w:rPr>
              <w:t>-</w:t>
              <w:tab/>
              <w:t>-</w:t>
              <w:tab/>
              <w:t>-</w:t>
            </w:r>
          </w:p>
        </w:tc>
      </w:tr>
      <w:tr>
        <w:trPr>
          <w:trHeight w:val="248" w:hRule="exact"/>
        </w:trPr>
        <w:tc>
          <w:tcPr>
            <w:tcW w:w="4637" w:type="dxa"/>
            <w:tcBorders>
              <w:top w:val="nil" w:sz="6" w:space="0" w:color="auto"/>
              <w:left w:val="nil" w:sz="6" w:space="0" w:color="auto"/>
              <w:bottom w:val="nil" w:sz="6" w:space="0" w:color="auto"/>
              <w:right w:val="nil" w:sz="6" w:space="0" w:color="auto"/>
            </w:tcBorders>
          </w:tcPr>
          <w:p>
            <w:pPr>
              <w:pStyle w:val="TableParagraph"/>
              <w:tabs>
                <w:tab w:pos="1414" w:val="left" w:leader="none"/>
                <w:tab w:pos="2237" w:val="left" w:leader="none"/>
                <w:tab w:pos="2960" w:val="left" w:leader="none"/>
                <w:tab w:pos="3574" w:val="left" w:leader="none"/>
              </w:tabs>
              <w:spacing w:line="240" w:lineRule="auto" w:before="10"/>
              <w:ind w:left="35" w:right="0"/>
              <w:jc w:val="left"/>
              <w:rPr>
                <w:rFonts w:ascii="宋体" w:hAnsi="宋体" w:cs="宋体" w:eastAsia="宋体" w:hint="default"/>
                <w:sz w:val="13"/>
                <w:szCs w:val="13"/>
              </w:rPr>
            </w:pPr>
            <w:r>
              <w:rPr>
                <w:rFonts w:ascii="宋体"/>
                <w:sz w:val="13"/>
              </w:rPr>
              <w:t>-</w:t>
              <w:tab/>
              <w:t>-</w:t>
              <w:tab/>
              <w:t>-</w:t>
              <w:tab/>
              <w:t>-</w:t>
              <w:tab/>
            </w:r>
            <w:r>
              <w:rPr>
                <w:rFonts w:ascii="宋体"/>
                <w:w w:val="105"/>
                <w:sz w:val="13"/>
              </w:rPr>
              <w:t>2,644,038.24</w:t>
            </w:r>
            <w:r>
              <w:rPr>
                <w:rFonts w:ascii="宋体"/>
                <w:sz w:val="13"/>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3"/>
                <w:szCs w:val="13"/>
              </w:rPr>
            </w:pPr>
            <w:r>
              <w:rPr>
                <w:rFonts w:ascii="宋体"/>
                <w:w w:val="105"/>
                <w:sz w:val="13"/>
              </w:rPr>
              <w:t>(2,644,038.24)</w:t>
            </w:r>
            <w:r>
              <w:rPr>
                <w:rFonts w:ascii="宋体"/>
                <w:sz w:val="13"/>
              </w:rPr>
            </w:r>
          </w:p>
        </w:tc>
        <w:tc>
          <w:tcPr>
            <w:tcW w:w="2754" w:type="dxa"/>
            <w:tcBorders>
              <w:top w:val="nil" w:sz="6" w:space="0" w:color="auto"/>
              <w:left w:val="nil" w:sz="6" w:space="0" w:color="auto"/>
              <w:bottom w:val="nil" w:sz="6" w:space="0" w:color="auto"/>
              <w:right w:val="nil" w:sz="6" w:space="0" w:color="auto"/>
            </w:tcBorders>
          </w:tcPr>
          <w:p>
            <w:pPr>
              <w:pStyle w:val="TableParagraph"/>
              <w:tabs>
                <w:tab w:pos="1034" w:val="left" w:leader="none"/>
                <w:tab w:pos="2403" w:val="left" w:leader="none"/>
              </w:tabs>
              <w:spacing w:line="240" w:lineRule="auto" w:before="10"/>
              <w:ind w:right="33"/>
              <w:jc w:val="right"/>
              <w:rPr>
                <w:rFonts w:ascii="宋体" w:hAnsi="宋体" w:cs="宋体" w:eastAsia="宋体" w:hint="default"/>
                <w:sz w:val="13"/>
                <w:szCs w:val="13"/>
              </w:rPr>
            </w:pPr>
            <w:r>
              <w:rPr>
                <w:rFonts w:ascii="宋体"/>
                <w:sz w:val="13"/>
              </w:rPr>
              <w:t>-</w:t>
              <w:tab/>
              <w:t>-</w:t>
              <w:tab/>
              <w:t>-</w:t>
            </w:r>
          </w:p>
        </w:tc>
      </w:tr>
    </w:tbl>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line="161" w:lineRule="exact" w:before="0"/>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2506" w:val="left" w:leader="none"/>
          <w:tab w:pos="3329" w:val="left" w:leader="none"/>
          <w:tab w:pos="4052" w:val="left" w:leader="none"/>
          <w:tab w:pos="5276" w:val="left" w:leader="none"/>
          <w:tab w:pos="6656" w:val="left" w:leader="none"/>
          <w:tab w:pos="7424" w:val="left" w:leader="none"/>
          <w:tab w:pos="8458" w:val="left" w:leader="none"/>
          <w:tab w:pos="9827" w:val="left" w:leader="none"/>
        </w:tabs>
        <w:spacing w:before="58"/>
        <w:ind w:left="1127" w:right="0" w:firstLine="0"/>
        <w:jc w:val="left"/>
        <w:rPr>
          <w:rFonts w:ascii="宋体" w:hAnsi="宋体" w:cs="宋体" w:eastAsia="宋体" w:hint="default"/>
          <w:sz w:val="13"/>
          <w:szCs w:val="13"/>
        </w:rPr>
      </w:pPr>
      <w:r>
        <w:rPr>
          <w:rFonts w:ascii="宋体"/>
          <w:sz w:val="13"/>
        </w:rPr>
        <w:t>-</w:t>
        <w:tab/>
        <w:t>-</w:t>
        <w:tab/>
        <w:t>-</w:t>
        <w:tab/>
        <w:t>-</w:t>
        <w:tab/>
        <w:t>-</w:t>
        <w:tab/>
        <w:t>-</w:t>
        <w:tab/>
        <w:t>-</w:t>
        <w:tab/>
        <w:t>-</w:t>
        <w:tab/>
      </w:r>
      <w:r>
        <w:rPr>
          <w:rFonts w:ascii="宋体"/>
          <w:w w:val="105"/>
          <w:sz w:val="13"/>
        </w:rPr>
        <w:t>-</w:t>
      </w:r>
      <w:r>
        <w:rPr>
          <w:rFonts w:ascii="宋体"/>
          <w:sz w:val="13"/>
        </w:rPr>
      </w:r>
    </w:p>
    <w:p>
      <w:pPr>
        <w:tabs>
          <w:tab w:pos="1762" w:val="left" w:leader="none"/>
          <w:tab w:pos="2506" w:val="left" w:leader="none"/>
          <w:tab w:pos="3329" w:val="left" w:leader="none"/>
          <w:tab w:pos="4052" w:val="left" w:leader="none"/>
          <w:tab w:pos="4667" w:val="left" w:leader="none"/>
          <w:tab w:pos="5276" w:val="left" w:leader="none"/>
          <w:tab w:pos="5911" w:val="left" w:leader="none"/>
          <w:tab w:pos="6656" w:val="left" w:leader="none"/>
          <w:tab w:pos="7424" w:val="left" w:leader="none"/>
          <w:tab w:pos="8458" w:val="left" w:leader="none"/>
          <w:tab w:pos="9083" w:val="left" w:leader="none"/>
          <w:tab w:pos="9827" w:val="left" w:leader="none"/>
        </w:tabs>
        <w:spacing w:line="321" w:lineRule="auto" w:before="58"/>
        <w:ind w:left="450" w:right="3045" w:firstLine="676"/>
        <w:jc w:val="left"/>
        <w:rPr>
          <w:rFonts w:ascii="宋体" w:hAnsi="宋体" w:cs="宋体" w:eastAsia="宋体" w:hint="default"/>
          <w:sz w:val="13"/>
          <w:szCs w:val="13"/>
        </w:rPr>
      </w:pPr>
      <w:r>
        <w:rPr/>
        <w:pict>
          <v:group style="position:absolute;margin-left:72.059204pt;margin-top:12.982664pt;width:501.6pt;height:.75pt;mso-position-horizontal-relative:page;mso-position-vertical-relative:paragraph;z-index:-649288" coordorigin="1441,260" coordsize="10032,15">
            <v:group style="position:absolute;left:1449;top:261;width:1315;height:2" coordorigin="1449,261" coordsize="1315,2">
              <v:shape style="position:absolute;left:1449;top:261;width:1315;height:2" coordorigin="1449,261" coordsize="1315,0" path="m1449,261l2764,261e" filled="false" stroked="true" strokeweight=".104096pt" strokecolor="#000000">
                <v:path arrowok="t"/>
              </v:shape>
            </v:group>
            <v:group style="position:absolute;left:1448;top:267;width:1317;height:2" coordorigin="1448,267" coordsize="1317,2">
              <v:shape style="position:absolute;left:1448;top:267;width:1317;height:2" coordorigin="1448,267" coordsize="1317,0" path="m1448,267l2764,267e" filled="false" stroked="true" strokeweight=".713793pt" strokecolor="#000000">
                <v:path arrowok="t"/>
              </v:shape>
            </v:group>
            <v:group style="position:absolute;left:2819;top:261;width:1325;height:2" coordorigin="2819,261" coordsize="1325,2">
              <v:shape style="position:absolute;left:2819;top:261;width:1325;height:2" coordorigin="2819,261" coordsize="1325,0" path="m2819,261l4143,261e" filled="false" stroked="true" strokeweight=".104096pt" strokecolor="#000000">
                <v:path arrowok="t"/>
              </v:shape>
            </v:group>
            <v:group style="position:absolute;left:2818;top:267;width:1327;height:2" coordorigin="2818,267" coordsize="1327,2">
              <v:shape style="position:absolute;left:2818;top:267;width:1327;height:2" coordorigin="2818,267" coordsize="1327,0" path="m2818,267l4144,267e" filled="false" stroked="true" strokeweight=".713793pt" strokecolor="#000000">
                <v:path arrowok="t"/>
              </v:shape>
            </v:group>
            <v:group style="position:absolute;left:4199;top:261;width:768;height:2" coordorigin="4199,261" coordsize="768,2">
              <v:shape style="position:absolute;left:4199;top:261;width:768;height:2" coordorigin="4199,261" coordsize="768,0" path="m4199,261l4966,261e" filled="false" stroked="true" strokeweight=".104096pt" strokecolor="#000000">
                <v:path arrowok="t"/>
              </v:shape>
            </v:group>
            <v:group style="position:absolute;left:4198;top:267;width:770;height:2" coordorigin="4198,267" coordsize="770,2">
              <v:shape style="position:absolute;left:4198;top:267;width:770;height:2" coordorigin="4198,267" coordsize="770,0" path="m4198,267l4967,267e" filled="false" stroked="true" strokeweight=".713793pt" strokecolor="#000000">
                <v:path arrowok="t"/>
              </v:shape>
            </v:group>
            <v:group style="position:absolute;left:5022;top:261;width:668;height:2" coordorigin="5022,261" coordsize="668,2">
              <v:shape style="position:absolute;left:5022;top:261;width:668;height:2" coordorigin="5022,261" coordsize="668,0" path="m5022,261l5689,261e" filled="false" stroked="true" strokeweight=".104096pt" strokecolor="#000000">
                <v:path arrowok="t"/>
              </v:shape>
            </v:group>
            <v:group style="position:absolute;left:5021;top:267;width:670;height:2" coordorigin="5021,267" coordsize="670,2">
              <v:shape style="position:absolute;left:5021;top:267;width:670;height:2" coordorigin="5021,267" coordsize="670,0" path="m5021,267l5690,267e" filled="false" stroked="true" strokeweight=".713793pt" strokecolor="#000000">
                <v:path arrowok="t"/>
              </v:shape>
            </v:group>
            <v:group style="position:absolute;left:5745;top:261;width:1169;height:2" coordorigin="5745,261" coordsize="1169,2">
              <v:shape style="position:absolute;left:5745;top:261;width:1169;height:2" coordorigin="5745,261" coordsize="1169,0" path="m5745,261l6913,261e" filled="false" stroked="true" strokeweight=".104096pt" strokecolor="#000000">
                <v:path arrowok="t"/>
              </v:shape>
            </v:group>
            <v:group style="position:absolute;left:5744;top:267;width:1171;height:2" coordorigin="5744,267" coordsize="1171,2">
              <v:shape style="position:absolute;left:5744;top:267;width:1171;height:2" coordorigin="5744,267" coordsize="1171,0" path="m5744,267l6914,267e" filled="false" stroked="true" strokeweight=".713793pt" strokecolor="#000000">
                <v:path arrowok="t"/>
              </v:shape>
            </v:group>
            <v:group style="position:absolute;left:6968;top:261;width:1325;height:2" coordorigin="6968,261" coordsize="1325,2">
              <v:shape style="position:absolute;left:6968;top:261;width:1325;height:2" coordorigin="6968,261" coordsize="1325,0" path="m6968,261l8293,261e" filled="false" stroked="true" strokeweight=".104096pt" strokecolor="#000000">
                <v:path arrowok="t"/>
              </v:shape>
            </v:group>
            <v:group style="position:absolute;left:6967;top:267;width:1327;height:2" coordorigin="6967,267" coordsize="1327,2">
              <v:shape style="position:absolute;left:6967;top:267;width:1327;height:2" coordorigin="6967,267" coordsize="1327,0" path="m6967,267l8294,267e" filled="false" stroked="true" strokeweight=".713793pt" strokecolor="#000000">
                <v:path arrowok="t"/>
              </v:shape>
            </v:group>
            <v:group style="position:absolute;left:8348;top:261;width:713;height:2" coordorigin="8348,261" coordsize="713,2">
              <v:shape style="position:absolute;left:8348;top:261;width:713;height:2" coordorigin="8348,261" coordsize="713,0" path="m8348,261l9061,261e" filled="false" stroked="true" strokeweight=".104096pt" strokecolor="#000000">
                <v:path arrowok="t"/>
              </v:shape>
            </v:group>
            <v:group style="position:absolute;left:8347;top:267;width:715;height:2" coordorigin="8347,267" coordsize="715,2">
              <v:shape style="position:absolute;left:8347;top:267;width:715;height:2" coordorigin="8347,267" coordsize="715,0" path="m8347,267l9061,267e" filled="false" stroked="true" strokeweight=".713793pt" strokecolor="#000000">
                <v:path arrowok="t"/>
              </v:shape>
            </v:group>
            <v:group style="position:absolute;left:9116;top:261;width:980;height:2" coordorigin="9116,261" coordsize="980,2">
              <v:shape style="position:absolute;left:9116;top:261;width:980;height:2" coordorigin="9116,261" coordsize="980,0" path="m9116,261l10095,261e" filled="false" stroked="true" strokeweight=".104096pt" strokecolor="#000000">
                <v:path arrowok="t"/>
              </v:shape>
            </v:group>
            <v:group style="position:absolute;left:9115;top:267;width:982;height:2" coordorigin="9115,267" coordsize="982,2">
              <v:shape style="position:absolute;left:9115;top:267;width:982;height:2" coordorigin="9115,267" coordsize="982,0" path="m9115,267l10096,267e" filled="false" stroked="true" strokeweight=".713793pt" strokecolor="#000000">
                <v:path arrowok="t"/>
              </v:shape>
            </v:group>
            <v:group style="position:absolute;left:10150;top:261;width:1315;height:2" coordorigin="10150,261" coordsize="1315,2">
              <v:shape style="position:absolute;left:10150;top:261;width:1315;height:2" coordorigin="10150,261" coordsize="1315,0" path="m10150,261l11465,261e" filled="false" stroked="true" strokeweight=".104096pt" strokecolor="#000000">
                <v:path arrowok="t"/>
              </v:shape>
            </v:group>
            <v:group style="position:absolute;left:10149;top:267;width:1317;height:2" coordorigin="10149,267" coordsize="1317,2">
              <v:shape style="position:absolute;left:10149;top:267;width:1317;height:2" coordorigin="10149,267" coordsize="1317,0" path="m10149,267l11465,267e" filled="false" stroked="true" strokeweight=".713793pt" strokecolor="#000000">
                <v:path arrowok="t"/>
              </v:shape>
            </v:group>
            <w10:wrap type="none"/>
          </v:group>
        </w:pict>
      </w:r>
      <w:r>
        <w:rPr/>
        <w:pict>
          <v:group style="position:absolute;margin-left:72.059189pt;margin-top:23.697086pt;width:501.6pt;height:2.15pt;mso-position-horizontal-relative:page;mso-position-vertical-relative:paragraph;z-index:-649264" coordorigin="1441,474" coordsize="10032,43">
            <v:group style="position:absolute;left:1448;top:481;width:1317;height:2" coordorigin="1448,481" coordsize="1317,2">
              <v:shape style="position:absolute;left:1448;top:481;width:1317;height:2" coordorigin="1448,481" coordsize="1317,0" path="m1448,481l2764,481e" filled="false" stroked="true" strokeweight=".713815pt" strokecolor="#000000">
                <v:path arrowok="t"/>
              </v:shape>
            </v:group>
            <v:group style="position:absolute;left:1448;top:510;width:1317;height:2" coordorigin="1448,510" coordsize="1317,2">
              <v:shape style="position:absolute;left:1448;top:510;width:1317;height:2" coordorigin="1448,510" coordsize="1317,0" path="m1448,510l2764,510e" filled="false" stroked="true" strokeweight=".713815pt" strokecolor="#000000">
                <v:path arrowok="t"/>
              </v:shape>
            </v:group>
            <v:group style="position:absolute;left:2818;top:481;width:1327;height:2" coordorigin="2818,481" coordsize="1327,2">
              <v:shape style="position:absolute;left:2818;top:481;width:1327;height:2" coordorigin="2818,481" coordsize="1327,0" path="m2818,481l4144,481e" filled="false" stroked="true" strokeweight=".713815pt" strokecolor="#000000">
                <v:path arrowok="t"/>
              </v:shape>
            </v:group>
            <v:group style="position:absolute;left:2818;top:510;width:1327;height:2" coordorigin="2818,510" coordsize="1327,2">
              <v:shape style="position:absolute;left:2818;top:510;width:1327;height:2" coordorigin="2818,510" coordsize="1327,0" path="m2818,510l4144,510e" filled="false" stroked="true" strokeweight=".713815pt" strokecolor="#000000">
                <v:path arrowok="t"/>
              </v:shape>
            </v:group>
            <v:group style="position:absolute;left:4198;top:481;width:770;height:2" coordorigin="4198,481" coordsize="770,2">
              <v:shape style="position:absolute;left:4198;top:481;width:770;height:2" coordorigin="4198,481" coordsize="770,0" path="m4198,481l4967,481e" filled="false" stroked="true" strokeweight=".713815pt" strokecolor="#000000">
                <v:path arrowok="t"/>
              </v:shape>
            </v:group>
            <v:group style="position:absolute;left:4198;top:510;width:770;height:2" coordorigin="4198,510" coordsize="770,2">
              <v:shape style="position:absolute;left:4198;top:510;width:770;height:2" coordorigin="4198,510" coordsize="770,0" path="m4198,510l4967,510e" filled="false" stroked="true" strokeweight=".713815pt" strokecolor="#000000">
                <v:path arrowok="t"/>
              </v:shape>
            </v:group>
            <v:group style="position:absolute;left:5021;top:481;width:670;height:2" coordorigin="5021,481" coordsize="670,2">
              <v:shape style="position:absolute;left:5021;top:481;width:670;height:2" coordorigin="5021,481" coordsize="670,0" path="m5021,481l5690,481e" filled="false" stroked="true" strokeweight=".713815pt" strokecolor="#000000">
                <v:path arrowok="t"/>
              </v:shape>
            </v:group>
            <v:group style="position:absolute;left:5021;top:510;width:670;height:2" coordorigin="5021,510" coordsize="670,2">
              <v:shape style="position:absolute;left:5021;top:510;width:670;height:2" coordorigin="5021,510" coordsize="670,0" path="m5021,510l5690,510e" filled="false" stroked="true" strokeweight=".713815pt" strokecolor="#000000">
                <v:path arrowok="t"/>
              </v:shape>
            </v:group>
            <v:group style="position:absolute;left:5744;top:481;width:1171;height:2" coordorigin="5744,481" coordsize="1171,2">
              <v:shape style="position:absolute;left:5744;top:481;width:1171;height:2" coordorigin="5744,481" coordsize="1171,0" path="m5744,481l6914,481e" filled="false" stroked="true" strokeweight=".713815pt" strokecolor="#000000">
                <v:path arrowok="t"/>
              </v:shape>
            </v:group>
            <v:group style="position:absolute;left:5744;top:510;width:1171;height:2" coordorigin="5744,510" coordsize="1171,2">
              <v:shape style="position:absolute;left:5744;top:510;width:1171;height:2" coordorigin="5744,510" coordsize="1171,0" path="m5744,510l6914,510e" filled="false" stroked="true" strokeweight=".713815pt" strokecolor="#000000">
                <v:path arrowok="t"/>
              </v:shape>
            </v:group>
            <v:group style="position:absolute;left:6967;top:481;width:1327;height:2" coordorigin="6967,481" coordsize="1327,2">
              <v:shape style="position:absolute;left:6967;top:481;width:1327;height:2" coordorigin="6967,481" coordsize="1327,0" path="m6967,481l8294,481e" filled="false" stroked="true" strokeweight=".713815pt" strokecolor="#000000">
                <v:path arrowok="t"/>
              </v:shape>
            </v:group>
            <v:group style="position:absolute;left:6967;top:510;width:1327;height:2" coordorigin="6967,510" coordsize="1327,2">
              <v:shape style="position:absolute;left:6967;top:510;width:1327;height:2" coordorigin="6967,510" coordsize="1327,0" path="m6967,510l8294,510e" filled="false" stroked="true" strokeweight=".713815pt" strokecolor="#000000">
                <v:path arrowok="t"/>
              </v:shape>
            </v:group>
            <v:group style="position:absolute;left:8347;top:481;width:715;height:2" coordorigin="8347,481" coordsize="715,2">
              <v:shape style="position:absolute;left:8347;top:481;width:715;height:2" coordorigin="8347,481" coordsize="715,0" path="m8347,481l9061,481e" filled="false" stroked="true" strokeweight=".713815pt" strokecolor="#000000">
                <v:path arrowok="t"/>
              </v:shape>
            </v:group>
            <v:group style="position:absolute;left:8347;top:510;width:715;height:2" coordorigin="8347,510" coordsize="715,2">
              <v:shape style="position:absolute;left:8347;top:510;width:715;height:2" coordorigin="8347,510" coordsize="715,0" path="m8347,510l9061,510e" filled="false" stroked="true" strokeweight=".713815pt" strokecolor="#000000">
                <v:path arrowok="t"/>
              </v:shape>
            </v:group>
            <v:group style="position:absolute;left:9115;top:481;width:982;height:2" coordorigin="9115,481" coordsize="982,2">
              <v:shape style="position:absolute;left:9115;top:481;width:982;height:2" coordorigin="9115,481" coordsize="982,0" path="m9115,481l10096,481e" filled="false" stroked="true" strokeweight=".713815pt" strokecolor="#000000">
                <v:path arrowok="t"/>
              </v:shape>
            </v:group>
            <v:group style="position:absolute;left:9115;top:510;width:982;height:2" coordorigin="9115,510" coordsize="982,2">
              <v:shape style="position:absolute;left:9115;top:510;width:982;height:2" coordorigin="9115,510" coordsize="982,0" path="m9115,510l10096,510e" filled="false" stroked="true" strokeweight=".713815pt" strokecolor="#000000">
                <v:path arrowok="t"/>
              </v:shape>
            </v:group>
            <v:group style="position:absolute;left:10149;top:481;width:1317;height:2" coordorigin="10149,481" coordsize="1317,2">
              <v:shape style="position:absolute;left:10149;top:481;width:1317;height:2" coordorigin="10149,481" coordsize="1317,0" path="m10149,481l11465,481e" filled="false" stroked="true" strokeweight=".713815pt" strokecolor="#000000">
                <v:path arrowok="t"/>
              </v:shape>
            </v:group>
            <v:group style="position:absolute;left:10149;top:510;width:1317;height:2" coordorigin="10149,510" coordsize="1317,2">
              <v:shape style="position:absolute;left:10149;top:510;width:1317;height:2" coordorigin="10149,510" coordsize="1317,0" path="m10149,510l11465,510e" filled="false" stroked="true" strokeweight=".713815pt" strokecolor="#000000">
                <v:path arrowok="t"/>
              </v:shape>
            </v:group>
            <w10:wrap type="none"/>
          </v:group>
        </w:pict>
      </w:r>
      <w:r>
        <w:rPr>
          <w:rFonts w:ascii="宋体"/>
          <w:sz w:val="13"/>
        </w:rPr>
        <w:t>-</w:t>
        <w:tab/>
        <w:tab/>
        <w:t>-</w:t>
        <w:tab/>
        <w:t>-</w:t>
        <w:tab/>
        <w:t>-</w:t>
        <w:tab/>
        <w:tab/>
        <w:t>-</w:t>
        <w:tab/>
        <w:tab/>
        <w:t>-</w:t>
        <w:tab/>
        <w:t>-</w:t>
        <w:tab/>
        <w:t>-</w:t>
        <w:tab/>
        <w:tab/>
      </w:r>
      <w:r>
        <w:rPr>
          <w:rFonts w:ascii="宋体"/>
          <w:w w:val="105"/>
          <w:sz w:val="13"/>
        </w:rPr>
        <w:t>-</w:t>
      </w:r>
      <w:r>
        <w:rPr>
          <w:rFonts w:ascii="宋体"/>
          <w:w w:val="102"/>
          <w:sz w:val="13"/>
        </w:rPr>
        <w:t> </w:t>
      </w:r>
      <w:r>
        <w:rPr>
          <w:rFonts w:ascii="宋体"/>
          <w:sz w:val="13"/>
        </w:rPr>
        <w:t>63,500,000.00</w:t>
        <w:tab/>
        <w:t>692,720,393.65</w:t>
        <w:tab/>
        <w:t>-</w:t>
        <w:tab/>
        <w:t>-</w:t>
        <w:tab/>
        <w:t>7,020,701.36</w:t>
        <w:tab/>
        <w:t>108,763,910.61</w:t>
        <w:tab/>
        <w:t>-</w:t>
        <w:tab/>
        <w:t>-</w:t>
        <w:tab/>
        <w:t>872,005,005.62</w:t>
      </w:r>
    </w:p>
    <w:p>
      <w:pPr>
        <w:spacing w:line="240" w:lineRule="auto" w:before="6"/>
        <w:rPr>
          <w:rFonts w:ascii="宋体" w:hAnsi="宋体" w:cs="宋体" w:eastAsia="宋体" w:hint="default"/>
          <w:sz w:val="16"/>
          <w:szCs w:val="16"/>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01.6pt;height:.75pt;mso-position-horizontal-relative:char;mso-position-vertical-relative:line" coordorigin="0,0" coordsize="10032,15">
            <v:group style="position:absolute;left:8;top:1;width:10016;height:2" coordorigin="8,1" coordsize="10016,2">
              <v:shape style="position:absolute;left:8;top:1;width:10016;height:2" coordorigin="8,1" coordsize="10016,0" path="m8,1l10023,1e" filled="false" stroked="true" strokeweight=".104096pt" strokecolor="#000000">
                <v:path arrowok="t"/>
              </v:shape>
            </v:group>
            <v:group style="position:absolute;left:7;top:7;width:10018;height:2" coordorigin="7,7" coordsize="10018,2">
              <v:shape style="position:absolute;left:7;top:7;width:10018;height:2" coordorigin="7,7" coordsize="10018,0" path="m7,7l10024,7e" filled="false" stroked="true" strokeweight=".7137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0" w:footer="1195" w:top="1100" w:bottom="1380" w:left="1340" w:right="2420"/>
        </w:sectPr>
      </w:pPr>
    </w:p>
    <w:p>
      <w:pPr>
        <w:spacing w:line="252" w:lineRule="auto" w:before="19"/>
        <w:ind w:left="3342" w:right="0" w:hanging="739"/>
        <w:jc w:val="left"/>
        <w:rPr>
          <w:rFonts w:ascii="黑体" w:hAnsi="黑体" w:cs="黑体" w:eastAsia="黑体" w:hint="default"/>
          <w:sz w:val="23"/>
          <w:szCs w:val="23"/>
        </w:rPr>
      </w:pPr>
      <w:r>
        <w:rPr>
          <w:rFonts w:ascii="黑体" w:hAnsi="黑体" w:cs="黑体" w:eastAsia="黑体" w:hint="default"/>
          <w:w w:val="105"/>
          <w:sz w:val="23"/>
          <w:szCs w:val="23"/>
        </w:rPr>
        <w:t>深圳市新国都技术股份有限公司</w:t>
      </w:r>
      <w:r>
        <w:rPr>
          <w:rFonts w:ascii="黑体" w:hAnsi="黑体" w:cs="黑体" w:eastAsia="黑体" w:hint="default"/>
          <w:spacing w:val="-59"/>
          <w:w w:val="105"/>
          <w:sz w:val="23"/>
          <w:szCs w:val="23"/>
        </w:rPr>
        <w:t> </w:t>
      </w:r>
      <w:r>
        <w:rPr>
          <w:rFonts w:ascii="黑体" w:hAnsi="黑体" w:cs="黑体" w:eastAsia="黑体" w:hint="default"/>
          <w:w w:val="105"/>
          <w:sz w:val="23"/>
          <w:szCs w:val="23"/>
        </w:rPr>
        <w:t>母公司资产负债表</w:t>
      </w:r>
      <w:r>
        <w:rPr>
          <w:rFonts w:ascii="黑体" w:hAnsi="黑体" w:cs="黑体" w:eastAsia="黑体" w:hint="default"/>
          <w:sz w:val="23"/>
          <w:szCs w:val="23"/>
        </w:rPr>
      </w:r>
    </w:p>
    <w:p>
      <w:pPr>
        <w:spacing w:before="34"/>
        <w:ind w:left="3741" w:right="0" w:firstLine="0"/>
        <w:jc w:val="left"/>
        <w:rPr>
          <w:rFonts w:ascii="宋体" w:hAnsi="宋体" w:cs="宋体" w:eastAsia="宋体" w:hint="default"/>
          <w:sz w:val="13"/>
          <w:szCs w:val="13"/>
        </w:rPr>
      </w:pPr>
      <w:r>
        <w:rPr>
          <w:rFonts w:ascii="宋体" w:hAnsi="宋体" w:cs="宋体" w:eastAsia="宋体" w:hint="default"/>
          <w:w w:val="105"/>
          <w:sz w:val="13"/>
          <w:szCs w:val="13"/>
        </w:rPr>
        <w:t>2011年12月31日</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0"/>
          <w:szCs w:val="10"/>
        </w:rPr>
      </w:pPr>
    </w:p>
    <w:p>
      <w:pPr>
        <w:spacing w:before="0"/>
        <w:ind w:left="1387" w:right="0" w:firstLine="0"/>
        <w:jc w:val="left"/>
        <w:rPr>
          <w:rFonts w:ascii="宋体" w:hAnsi="宋体" w:cs="宋体" w:eastAsia="宋体" w:hint="default"/>
          <w:sz w:val="13"/>
          <w:szCs w:val="13"/>
        </w:rPr>
      </w:pPr>
      <w:r>
        <w:rPr>
          <w:rFonts w:ascii="宋体" w:hAnsi="宋体" w:cs="宋体" w:eastAsia="宋体" w:hint="default"/>
          <w:w w:val="105"/>
          <w:sz w:val="13"/>
          <w:szCs w:val="13"/>
        </w:rPr>
        <w:t>单位：人民币元</w:t>
      </w:r>
      <w:r>
        <w:rPr>
          <w:rFonts w:ascii="宋体" w:hAnsi="宋体" w:cs="宋体" w:eastAsia="宋体" w:hint="default"/>
          <w:sz w:val="13"/>
          <w:szCs w:val="13"/>
        </w:rPr>
      </w:r>
    </w:p>
    <w:p>
      <w:pPr>
        <w:spacing w:after="0"/>
        <w:jc w:val="left"/>
        <w:rPr>
          <w:rFonts w:ascii="宋体" w:hAnsi="宋体" w:cs="宋体" w:eastAsia="宋体" w:hint="default"/>
          <w:sz w:val="13"/>
          <w:szCs w:val="13"/>
        </w:rPr>
        <w:sectPr>
          <w:footerReference w:type="default" r:id="rId48"/>
          <w:pgSz w:w="11910" w:h="16840"/>
          <w:pgMar w:footer="1195" w:header="0" w:top="1500" w:bottom="1380" w:left="1680" w:right="1600"/>
          <w:pgNumType w:start="88"/>
          <w:cols w:num="2" w:equalWidth="0">
            <w:col w:w="6048" w:space="40"/>
            <w:col w:w="2542"/>
          </w:cols>
        </w:sectPr>
      </w:pPr>
    </w:p>
    <w:p>
      <w:pPr>
        <w:spacing w:line="240" w:lineRule="auto" w:before="8"/>
        <w:rPr>
          <w:rFonts w:ascii="宋体" w:hAnsi="宋体" w:cs="宋体" w:eastAsia="宋体" w:hint="default"/>
          <w:sz w:val="17"/>
          <w:szCs w:val="17"/>
        </w:rPr>
      </w:pPr>
    </w:p>
    <w:p>
      <w:pPr>
        <w:tabs>
          <w:tab w:pos="3785" w:val="left" w:leader="none"/>
          <w:tab w:pos="5424" w:val="left" w:leader="none"/>
          <w:tab w:pos="7553" w:val="left" w:leader="none"/>
        </w:tabs>
        <w:spacing w:before="59"/>
        <w:ind w:left="1420" w:right="185" w:firstLine="0"/>
        <w:jc w:val="left"/>
        <w:rPr>
          <w:rFonts w:ascii="宋体" w:hAnsi="宋体" w:cs="宋体" w:eastAsia="宋体" w:hint="default"/>
          <w:sz w:val="13"/>
          <w:szCs w:val="13"/>
        </w:rPr>
      </w:pPr>
      <w:r>
        <w:rPr>
          <w:rFonts w:ascii="宋体" w:hAnsi="宋体" w:cs="宋体" w:eastAsia="宋体" w:hint="default"/>
          <w:w w:val="105"/>
          <w:sz w:val="13"/>
          <w:szCs w:val="13"/>
        </w:rPr>
        <w:t>资</w:t>
      </w:r>
      <w:r>
        <w:rPr>
          <w:rFonts w:ascii="宋体" w:hAnsi="宋体" w:cs="宋体" w:eastAsia="宋体" w:hint="default"/>
          <w:spacing w:val="-3"/>
          <w:w w:val="105"/>
          <w:sz w:val="13"/>
          <w:szCs w:val="13"/>
        </w:rPr>
        <w:t> </w:t>
      </w:r>
      <w:r>
        <w:rPr>
          <w:rFonts w:ascii="宋体" w:hAnsi="宋体" w:cs="宋体" w:eastAsia="宋体" w:hint="default"/>
          <w:w w:val="105"/>
          <w:sz w:val="13"/>
          <w:szCs w:val="13"/>
        </w:rPr>
        <w:t>产</w:t>
        <w:tab/>
      </w:r>
      <w:r>
        <w:rPr>
          <w:rFonts w:ascii="宋体" w:hAnsi="宋体" w:cs="宋体" w:eastAsia="宋体" w:hint="default"/>
          <w:sz w:val="13"/>
          <w:szCs w:val="13"/>
        </w:rPr>
        <w:t>附注</w:t>
        <w:tab/>
        <w:t>期末数</w:t>
        <w:tab/>
      </w:r>
      <w:r>
        <w:rPr>
          <w:rFonts w:ascii="宋体" w:hAnsi="宋体" w:cs="宋体" w:eastAsia="宋体" w:hint="default"/>
          <w:w w:val="105"/>
          <w:sz w:val="13"/>
          <w:szCs w:val="13"/>
        </w:rPr>
        <w:t>期初数</w:t>
      </w:r>
      <w:r>
        <w:rPr>
          <w:rFonts w:ascii="宋体" w:hAnsi="宋体" w:cs="宋体" w:eastAsia="宋体" w:hint="default"/>
          <w:sz w:val="13"/>
          <w:szCs w:val="13"/>
        </w:rPr>
      </w:r>
    </w:p>
    <w:p>
      <w:pPr>
        <w:spacing w:line="240" w:lineRule="auto" w:before="9"/>
        <w:rPr>
          <w:rFonts w:ascii="宋体" w:hAnsi="宋体" w:cs="宋体" w:eastAsia="宋体" w:hint="default"/>
          <w:sz w:val="2"/>
          <w:szCs w:val="2"/>
        </w:rPr>
      </w:pPr>
    </w:p>
    <w:p>
      <w:pPr>
        <w:tabs>
          <w:tab w:pos="3610" w:val="left" w:leader="none"/>
          <w:tab w:pos="4797" w:val="left" w:leader="none"/>
          <w:tab w:pos="6980" w:val="left" w:leader="none"/>
        </w:tabs>
        <w:spacing w:line="20" w:lineRule="exact"/>
        <w:ind w:left="121" w:right="0" w:firstLine="0"/>
        <w:rPr>
          <w:rFonts w:ascii="宋体" w:hAnsi="宋体" w:cs="宋体" w:eastAsia="宋体" w:hint="default"/>
          <w:sz w:val="2"/>
          <w:szCs w:val="2"/>
        </w:rPr>
      </w:pPr>
      <w:r>
        <w:rPr>
          <w:rFonts w:ascii="宋体"/>
          <w:sz w:val="2"/>
        </w:rPr>
        <w:pict>
          <v:group style="width:149.8pt;height:.6pt;mso-position-horizontal-relative:char;mso-position-vertical-relative:line" coordorigin="0,0" coordsize="2996,12">
            <v:group style="position:absolute;left:6;top:1;width:2983;height:2" coordorigin="6,1" coordsize="2983,2">
              <v:shape style="position:absolute;left:6;top:1;width:2983;height:2" coordorigin="6,1" coordsize="2983,0" path="m6,1l2989,1e" filled="false" stroked="true" strokeweight=".082343pt" strokecolor="#000000">
                <v:path arrowok="t"/>
              </v:shape>
            </v:group>
            <v:group style="position:absolute;left:6;top:6;width:2985;height:2" coordorigin="6,6" coordsize="2985,2">
              <v:shape style="position:absolute;left:6;top:6;width:2985;height:2" coordorigin="6,6" coordsize="2985,0" path="m6,6l2990,6e" filled="false" stroked="true" strokeweight=".564643pt" strokecolor="#000000">
                <v:path arrowok="t"/>
              </v:shape>
            </v:group>
          </v:group>
        </w:pict>
      </w:r>
      <w:r>
        <w:rPr>
          <w:rFonts w:ascii="宋体"/>
          <w:sz w:val="2"/>
        </w:rPr>
      </w:r>
      <w:r>
        <w:rPr>
          <w:rFonts w:ascii="宋体"/>
          <w:sz w:val="2"/>
        </w:rPr>
        <w:tab/>
      </w:r>
      <w:r>
        <w:rPr>
          <w:rFonts w:ascii="宋体"/>
          <w:sz w:val="2"/>
        </w:rPr>
        <w:pict>
          <v:group style="width:30.55pt;height:.6pt;mso-position-horizontal-relative:char;mso-position-vertical-relative:line" coordorigin="0,0" coordsize="611,12">
            <v:group style="position:absolute;left:6;top:1;width:598;height:2" coordorigin="6,1" coordsize="598,2">
              <v:shape style="position:absolute;left:6;top:1;width:598;height:2" coordorigin="6,1" coordsize="598,0" path="m6,1l604,1e" filled="false" stroked="true" strokeweight=".082343pt" strokecolor="#000000">
                <v:path arrowok="t"/>
              </v:shape>
            </v:group>
            <v:group style="position:absolute;left:6;top:6;width:600;height:2" coordorigin="6,6" coordsize="600,2">
              <v:shape style="position:absolute;left:6;top:6;width:600;height:2" coordorigin="6,6" coordsize="600,0" path="m6,6l605,6e" filled="false" stroked="true" strokeweight=".564643pt" strokecolor="#000000">
                <v:path arrowok="t"/>
              </v:shape>
            </v:group>
          </v:group>
        </w:pict>
      </w:r>
      <w:r>
        <w:rPr>
          <w:rFonts w:ascii="宋体"/>
          <w:sz w:val="2"/>
        </w:rPr>
      </w:r>
      <w:r>
        <w:rPr>
          <w:rFonts w:ascii="宋体"/>
          <w:sz w:val="2"/>
        </w:rPr>
        <w:tab/>
      </w:r>
      <w:r>
        <w:rPr>
          <w:rFonts w:ascii="宋体"/>
          <w:sz w:val="2"/>
        </w:rPr>
        <w:pict>
          <v:group style="width:82.6pt;height:.6pt;mso-position-horizontal-relative:char;mso-position-vertical-relative:line" coordorigin="0,0" coordsize="1652,12">
            <v:group style="position:absolute;left:6;top:1;width:1640;height:2" coordorigin="6,1" coordsize="1640,2">
              <v:shape style="position:absolute;left:6;top:1;width:1640;height:2" coordorigin="6,1" coordsize="1640,0" path="m6,1l1645,1e" filled="false" stroked="true" strokeweight=".082343pt" strokecolor="#000000">
                <v:path arrowok="t"/>
              </v:shape>
            </v:group>
            <v:group style="position:absolute;left:6;top:6;width:1641;height:2" coordorigin="6,6" coordsize="1641,2">
              <v:shape style="position:absolute;left:6;top:6;width:1641;height:2" coordorigin="6,6" coordsize="1641,0" path="m6,6l1646,6e" filled="false" stroked="true" strokeweight=".564643pt" strokecolor="#000000">
                <v:path arrowok="t"/>
              </v:shape>
            </v:group>
          </v:group>
        </w:pict>
      </w:r>
      <w:r>
        <w:rPr>
          <w:rFonts w:ascii="宋体"/>
          <w:sz w:val="2"/>
        </w:rPr>
      </w:r>
      <w:r>
        <w:rPr>
          <w:rFonts w:ascii="宋体"/>
          <w:sz w:val="2"/>
        </w:rPr>
        <w:tab/>
      </w:r>
      <w:r>
        <w:rPr>
          <w:rFonts w:ascii="宋体"/>
          <w:sz w:val="2"/>
        </w:rPr>
        <w:pict>
          <v:group style="width:77.1pt;height:.6pt;mso-position-horizontal-relative:char;mso-position-vertical-relative:line" coordorigin="0,0" coordsize="1542,12">
            <v:group style="position:absolute;left:6;top:1;width:1529;height:2" coordorigin="6,1" coordsize="1529,2">
              <v:shape style="position:absolute;left:6;top:1;width:1529;height:2" coordorigin="6,1" coordsize="1529,0" path="m6,1l1535,1e" filled="false" stroked="true" strokeweight=".082343pt" strokecolor="#000000">
                <v:path arrowok="t"/>
              </v:shape>
            </v:group>
            <v:group style="position:absolute;left:6;top:6;width:1531;height:2" coordorigin="6,6" coordsize="1531,2">
              <v:shape style="position:absolute;left:6;top:6;width:1531;height:2" coordorigin="6,6" coordsize="1531,0" path="m6,6l1536,6e" filled="false" stroked="true" strokeweight=".564643pt" strokecolor="#000000">
                <v:path arrowok="t"/>
              </v:shape>
            </v:group>
          </v:group>
        </w:pict>
      </w:r>
      <w:r>
        <w:rPr>
          <w:rFonts w:ascii="宋体"/>
          <w:sz w:val="2"/>
        </w:rPr>
      </w:r>
    </w:p>
    <w:p>
      <w:pPr>
        <w:spacing w:line="240" w:lineRule="auto" w:before="12"/>
        <w:rPr>
          <w:rFonts w:ascii="宋体" w:hAnsi="宋体" w:cs="宋体" w:eastAsia="宋体" w:hint="default"/>
          <w:sz w:val="17"/>
          <w:szCs w:val="17"/>
        </w:rPr>
      </w:pPr>
    </w:p>
    <w:p>
      <w:pPr>
        <w:spacing w:before="0"/>
        <w:ind w:left="150" w:right="185" w:firstLine="0"/>
        <w:jc w:val="left"/>
        <w:rPr>
          <w:rFonts w:ascii="宋体" w:hAnsi="宋体" w:cs="宋体" w:eastAsia="宋体" w:hint="default"/>
          <w:sz w:val="13"/>
          <w:szCs w:val="13"/>
        </w:rPr>
      </w:pPr>
      <w:r>
        <w:rPr>
          <w:rFonts w:ascii="宋体" w:hAnsi="宋体" w:cs="宋体" w:eastAsia="宋体" w:hint="default"/>
          <w:b/>
          <w:bCs/>
          <w:w w:val="105"/>
          <w:sz w:val="13"/>
          <w:szCs w:val="13"/>
        </w:rPr>
        <w:t>流动资产：</w:t>
      </w:r>
      <w:r>
        <w:rPr>
          <w:rFonts w:ascii="宋体" w:hAnsi="宋体" w:cs="宋体" w:eastAsia="宋体" w:hint="default"/>
          <w:sz w:val="13"/>
          <w:szCs w:val="13"/>
        </w:rPr>
      </w:r>
    </w:p>
    <w:p>
      <w:pPr>
        <w:tabs>
          <w:tab w:pos="5200" w:val="left" w:leader="none"/>
          <w:tab w:pos="7272"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货币资金</w:t>
        <w:tab/>
      </w:r>
      <w:r>
        <w:rPr>
          <w:rFonts w:ascii="宋体" w:hAnsi="宋体" w:cs="宋体" w:eastAsia="宋体" w:hint="default"/>
          <w:sz w:val="13"/>
          <w:szCs w:val="13"/>
        </w:rPr>
        <w:t>636,014,337.00</w:t>
        <w:tab/>
      </w:r>
      <w:r>
        <w:rPr>
          <w:rFonts w:ascii="宋体" w:hAnsi="宋体" w:cs="宋体" w:eastAsia="宋体" w:hint="default"/>
          <w:w w:val="105"/>
          <w:sz w:val="13"/>
          <w:szCs w:val="13"/>
        </w:rPr>
        <w:t>720,469,024.17</w:t>
      </w:r>
      <w:r>
        <w:rPr>
          <w:rFonts w:ascii="宋体" w:hAnsi="宋体" w:cs="宋体" w:eastAsia="宋体" w:hint="default"/>
          <w:sz w:val="13"/>
          <w:szCs w:val="13"/>
        </w:rPr>
      </w:r>
    </w:p>
    <w:p>
      <w:pPr>
        <w:tabs>
          <w:tab w:pos="6148" w:val="left" w:leader="none"/>
          <w:tab w:pos="8220" w:val="left" w:leader="none"/>
        </w:tabs>
        <w:spacing w:before="60"/>
        <w:ind w:left="286" w:right="185" w:firstLine="0"/>
        <w:jc w:val="left"/>
        <w:rPr>
          <w:rFonts w:ascii="宋体" w:hAnsi="宋体" w:cs="宋体" w:eastAsia="宋体" w:hint="default"/>
          <w:sz w:val="13"/>
          <w:szCs w:val="13"/>
        </w:rPr>
      </w:pPr>
      <w:r>
        <w:rPr>
          <w:rFonts w:ascii="宋体" w:hAnsi="宋体" w:cs="宋体" w:eastAsia="宋体" w:hint="default"/>
          <w:sz w:val="13"/>
          <w:szCs w:val="13"/>
        </w:rPr>
        <w:t>交易性金融资产</w:t>
        <w:tab/>
      </w:r>
      <w:r>
        <w:rPr>
          <w:rFonts w:ascii="宋体" w:hAnsi="宋体" w:cs="宋体" w:eastAsia="宋体" w:hint="default"/>
          <w:sz w:val="13"/>
          <w:szCs w:val="13"/>
        </w:rPr>
        <w:t>-</w:t>
        <w:tab/>
      </w:r>
      <w:r>
        <w:rPr>
          <w:rFonts w:ascii="宋体" w:hAnsi="宋体" w:cs="宋体" w:eastAsia="宋体" w:hint="default"/>
          <w:w w:val="105"/>
          <w:sz w:val="13"/>
          <w:szCs w:val="13"/>
        </w:rPr>
        <w:t>-</w:t>
      </w:r>
      <w:r>
        <w:rPr>
          <w:rFonts w:ascii="宋体" w:hAnsi="宋体" w:cs="宋体" w:eastAsia="宋体" w:hint="default"/>
          <w:sz w:val="13"/>
          <w:szCs w:val="13"/>
        </w:rPr>
      </w:r>
    </w:p>
    <w:p>
      <w:pPr>
        <w:tabs>
          <w:tab w:pos="5268" w:val="left" w:leader="none"/>
          <w:tab w:pos="7340"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应收票据</w:t>
        <w:tab/>
      </w:r>
      <w:r>
        <w:rPr>
          <w:rFonts w:ascii="宋体" w:hAnsi="宋体" w:cs="宋体" w:eastAsia="宋体" w:hint="default"/>
          <w:sz w:val="13"/>
          <w:szCs w:val="13"/>
        </w:rPr>
        <w:t>43,390,886.80</w:t>
        <w:tab/>
      </w:r>
      <w:r>
        <w:rPr>
          <w:rFonts w:ascii="宋体" w:hAnsi="宋体" w:cs="宋体" w:eastAsia="宋体" w:hint="default"/>
          <w:w w:val="105"/>
          <w:sz w:val="13"/>
          <w:szCs w:val="13"/>
        </w:rPr>
        <w:t>29,405,693.80</w:t>
      </w:r>
      <w:r>
        <w:rPr>
          <w:rFonts w:ascii="宋体" w:hAnsi="宋体" w:cs="宋体" w:eastAsia="宋体" w:hint="default"/>
          <w:sz w:val="13"/>
          <w:szCs w:val="13"/>
        </w:rPr>
      </w:r>
    </w:p>
    <w:p>
      <w:pPr>
        <w:tabs>
          <w:tab w:pos="3447" w:val="left" w:leader="none"/>
          <w:tab w:pos="5200" w:val="left" w:leader="none"/>
          <w:tab w:pos="7340"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应收账款</w:t>
        <w:tab/>
        <w:t>十一(一)</w:t>
        <w:tab/>
      </w:r>
      <w:r>
        <w:rPr>
          <w:rFonts w:ascii="宋体" w:hAnsi="宋体" w:cs="宋体" w:eastAsia="宋体" w:hint="default"/>
          <w:sz w:val="13"/>
          <w:szCs w:val="13"/>
        </w:rPr>
        <w:t>140,900,976.15</w:t>
        <w:tab/>
      </w:r>
      <w:r>
        <w:rPr>
          <w:rFonts w:ascii="宋体" w:hAnsi="宋体" w:cs="宋体" w:eastAsia="宋体" w:hint="default"/>
          <w:w w:val="105"/>
          <w:sz w:val="13"/>
          <w:szCs w:val="13"/>
        </w:rPr>
        <w:t>69,934,502.00</w:t>
      </w:r>
      <w:r>
        <w:rPr>
          <w:rFonts w:ascii="宋体" w:hAnsi="宋体" w:cs="宋体" w:eastAsia="宋体" w:hint="default"/>
          <w:sz w:val="13"/>
          <w:szCs w:val="13"/>
        </w:rPr>
      </w:r>
    </w:p>
    <w:p>
      <w:pPr>
        <w:tabs>
          <w:tab w:pos="5335" w:val="left" w:leader="none"/>
          <w:tab w:pos="7408"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预付款项</w:t>
        <w:tab/>
      </w:r>
      <w:r>
        <w:rPr>
          <w:rFonts w:ascii="宋体" w:hAnsi="宋体" w:cs="宋体" w:eastAsia="宋体" w:hint="default"/>
          <w:sz w:val="13"/>
          <w:szCs w:val="13"/>
        </w:rPr>
        <w:t>2,254,891.19</w:t>
        <w:tab/>
      </w:r>
      <w:r>
        <w:rPr>
          <w:rFonts w:ascii="宋体" w:hAnsi="宋体" w:cs="宋体" w:eastAsia="宋体" w:hint="default"/>
          <w:w w:val="105"/>
          <w:sz w:val="13"/>
          <w:szCs w:val="13"/>
        </w:rPr>
        <w:t>3,335,666.92</w:t>
      </w:r>
      <w:r>
        <w:rPr>
          <w:rFonts w:ascii="宋体" w:hAnsi="宋体" w:cs="宋体" w:eastAsia="宋体" w:hint="default"/>
          <w:sz w:val="13"/>
          <w:szCs w:val="13"/>
        </w:rPr>
      </w:r>
    </w:p>
    <w:p>
      <w:pPr>
        <w:tabs>
          <w:tab w:pos="5335" w:val="left" w:leader="none"/>
          <w:tab w:pos="7408"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应收利息</w:t>
        <w:tab/>
      </w:r>
      <w:r>
        <w:rPr>
          <w:rFonts w:ascii="宋体" w:hAnsi="宋体" w:cs="宋体" w:eastAsia="宋体" w:hint="default"/>
          <w:sz w:val="13"/>
          <w:szCs w:val="13"/>
        </w:rPr>
        <w:t>1,978,055.64</w:t>
        <w:tab/>
      </w:r>
      <w:r>
        <w:rPr>
          <w:rFonts w:ascii="宋体" w:hAnsi="宋体" w:cs="宋体" w:eastAsia="宋体" w:hint="default"/>
          <w:w w:val="105"/>
          <w:sz w:val="13"/>
          <w:szCs w:val="13"/>
        </w:rPr>
        <w:t>2,601,026.47</w:t>
      </w:r>
      <w:r>
        <w:rPr>
          <w:rFonts w:ascii="宋体" w:hAnsi="宋体" w:cs="宋体" w:eastAsia="宋体" w:hint="default"/>
          <w:sz w:val="13"/>
          <w:szCs w:val="13"/>
        </w:rPr>
      </w:r>
    </w:p>
    <w:p>
      <w:pPr>
        <w:tabs>
          <w:tab w:pos="6148" w:val="left" w:leader="none"/>
          <w:tab w:pos="8220" w:val="left" w:leader="none"/>
        </w:tabs>
        <w:spacing w:before="60"/>
        <w:ind w:left="286" w:right="185" w:firstLine="0"/>
        <w:jc w:val="left"/>
        <w:rPr>
          <w:rFonts w:ascii="宋体" w:hAnsi="宋体" w:cs="宋体" w:eastAsia="宋体" w:hint="default"/>
          <w:sz w:val="13"/>
          <w:szCs w:val="13"/>
        </w:rPr>
      </w:pPr>
      <w:r>
        <w:rPr>
          <w:rFonts w:ascii="宋体" w:hAnsi="宋体" w:cs="宋体" w:eastAsia="宋体" w:hint="default"/>
          <w:sz w:val="13"/>
          <w:szCs w:val="13"/>
        </w:rPr>
        <w:t>应收股利</w:t>
        <w:tab/>
      </w:r>
      <w:r>
        <w:rPr>
          <w:rFonts w:ascii="宋体" w:hAnsi="宋体" w:cs="宋体" w:eastAsia="宋体" w:hint="default"/>
          <w:sz w:val="13"/>
          <w:szCs w:val="13"/>
        </w:rPr>
        <w:t>-</w:t>
        <w:tab/>
      </w:r>
      <w:r>
        <w:rPr>
          <w:rFonts w:ascii="宋体" w:hAnsi="宋体" w:cs="宋体" w:eastAsia="宋体" w:hint="default"/>
          <w:w w:val="105"/>
          <w:sz w:val="13"/>
          <w:szCs w:val="13"/>
        </w:rPr>
        <w:t>-</w:t>
      </w:r>
      <w:r>
        <w:rPr>
          <w:rFonts w:ascii="宋体" w:hAnsi="宋体" w:cs="宋体" w:eastAsia="宋体" w:hint="default"/>
          <w:sz w:val="13"/>
          <w:szCs w:val="13"/>
        </w:rPr>
      </w:r>
    </w:p>
    <w:p>
      <w:pPr>
        <w:tabs>
          <w:tab w:pos="3447" w:val="left" w:leader="none"/>
          <w:tab w:pos="5335" w:val="left" w:leader="none"/>
          <w:tab w:pos="7408"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其他应收款</w:t>
        <w:tab/>
        <w:t>十一(二)</w:t>
        <w:tab/>
      </w:r>
      <w:r>
        <w:rPr>
          <w:rFonts w:ascii="宋体" w:hAnsi="宋体" w:cs="宋体" w:eastAsia="宋体" w:hint="default"/>
          <w:sz w:val="13"/>
          <w:szCs w:val="13"/>
        </w:rPr>
        <w:t>9,610,764.56</w:t>
        <w:tab/>
      </w:r>
      <w:r>
        <w:rPr>
          <w:rFonts w:ascii="宋体" w:hAnsi="宋体" w:cs="宋体" w:eastAsia="宋体" w:hint="default"/>
          <w:w w:val="105"/>
          <w:sz w:val="13"/>
          <w:szCs w:val="13"/>
        </w:rPr>
        <w:t>3,248,609.84</w:t>
      </w:r>
      <w:r>
        <w:rPr>
          <w:rFonts w:ascii="宋体" w:hAnsi="宋体" w:cs="宋体" w:eastAsia="宋体" w:hint="default"/>
          <w:sz w:val="13"/>
          <w:szCs w:val="13"/>
        </w:rPr>
      </w:r>
    </w:p>
    <w:p>
      <w:pPr>
        <w:tabs>
          <w:tab w:pos="5200" w:val="left" w:leader="none"/>
          <w:tab w:pos="7340" w:val="left" w:leader="none"/>
        </w:tabs>
        <w:spacing w:before="60"/>
        <w:ind w:left="83" w:right="0" w:firstLine="0"/>
        <w:jc w:val="center"/>
        <w:rPr>
          <w:rFonts w:ascii="宋体" w:hAnsi="宋体" w:cs="宋体" w:eastAsia="宋体" w:hint="default"/>
          <w:sz w:val="13"/>
          <w:szCs w:val="13"/>
        </w:rPr>
      </w:pPr>
      <w:r>
        <w:rPr>
          <w:rFonts w:ascii="宋体" w:hAnsi="宋体" w:cs="宋体" w:eastAsia="宋体" w:hint="default"/>
          <w:sz w:val="13"/>
          <w:szCs w:val="13"/>
        </w:rPr>
        <w:t>存货</w:t>
        <w:tab/>
      </w:r>
      <w:r>
        <w:rPr>
          <w:rFonts w:ascii="宋体" w:hAnsi="宋体" w:cs="宋体" w:eastAsia="宋体" w:hint="default"/>
          <w:sz w:val="13"/>
          <w:szCs w:val="13"/>
        </w:rPr>
        <w:t>120,511,950.85</w:t>
        <w:tab/>
      </w:r>
      <w:r>
        <w:rPr>
          <w:rFonts w:ascii="宋体" w:hAnsi="宋体" w:cs="宋体" w:eastAsia="宋体" w:hint="default"/>
          <w:w w:val="105"/>
          <w:sz w:val="13"/>
          <w:szCs w:val="13"/>
        </w:rPr>
        <w:t>62,291,485.25</w:t>
      </w:r>
      <w:r>
        <w:rPr>
          <w:rFonts w:ascii="宋体" w:hAnsi="宋体" w:cs="宋体" w:eastAsia="宋体" w:hint="default"/>
          <w:sz w:val="13"/>
          <w:szCs w:val="13"/>
        </w:rPr>
      </w:r>
    </w:p>
    <w:p>
      <w:pPr>
        <w:tabs>
          <w:tab w:pos="6148" w:val="left" w:leader="none"/>
          <w:tab w:pos="8220" w:val="left" w:leader="none"/>
        </w:tabs>
        <w:spacing w:before="60"/>
        <w:ind w:left="286" w:right="185" w:firstLine="0"/>
        <w:jc w:val="left"/>
        <w:rPr>
          <w:rFonts w:ascii="宋体" w:hAnsi="宋体" w:cs="宋体" w:eastAsia="宋体" w:hint="default"/>
          <w:sz w:val="13"/>
          <w:szCs w:val="13"/>
        </w:rPr>
      </w:pPr>
      <w:r>
        <w:rPr>
          <w:rFonts w:ascii="宋体" w:hAnsi="宋体" w:cs="宋体" w:eastAsia="宋体" w:hint="default"/>
          <w:sz w:val="13"/>
          <w:szCs w:val="13"/>
        </w:rPr>
        <w:t>一年内到期的非流动资产</w:t>
        <w:tab/>
      </w:r>
      <w:r>
        <w:rPr>
          <w:rFonts w:ascii="宋体" w:hAnsi="宋体" w:cs="宋体" w:eastAsia="宋体" w:hint="default"/>
          <w:sz w:val="13"/>
          <w:szCs w:val="13"/>
        </w:rPr>
        <w:t>-</w:t>
        <w:tab/>
      </w:r>
      <w:r>
        <w:rPr>
          <w:rFonts w:ascii="宋体" w:hAnsi="宋体" w:cs="宋体" w:eastAsia="宋体" w:hint="default"/>
          <w:w w:val="105"/>
          <w:sz w:val="13"/>
          <w:szCs w:val="13"/>
        </w:rPr>
        <w:t>-</w:t>
      </w:r>
      <w:r>
        <w:rPr>
          <w:rFonts w:ascii="宋体" w:hAnsi="宋体" w:cs="宋体" w:eastAsia="宋体" w:hint="default"/>
          <w:sz w:val="13"/>
          <w:szCs w:val="13"/>
        </w:rPr>
      </w:r>
    </w:p>
    <w:p>
      <w:pPr>
        <w:tabs>
          <w:tab w:pos="6148" w:val="left" w:leader="none"/>
          <w:tab w:pos="8220" w:val="left" w:leader="none"/>
        </w:tabs>
        <w:spacing w:before="60"/>
        <w:ind w:left="286" w:right="185" w:firstLine="0"/>
        <w:jc w:val="left"/>
        <w:rPr>
          <w:rFonts w:ascii="宋体" w:hAnsi="宋体" w:cs="宋体" w:eastAsia="宋体" w:hint="default"/>
          <w:sz w:val="13"/>
          <w:szCs w:val="13"/>
        </w:rPr>
      </w:pPr>
      <w:r>
        <w:rPr>
          <w:rFonts w:ascii="宋体" w:hAnsi="宋体" w:cs="宋体" w:eastAsia="宋体" w:hint="default"/>
          <w:sz w:val="13"/>
          <w:szCs w:val="13"/>
        </w:rPr>
        <w:t>其他流动资产</w:t>
        <w:tab/>
      </w:r>
      <w:r>
        <w:rPr>
          <w:rFonts w:ascii="宋体" w:hAnsi="宋体" w:cs="宋体" w:eastAsia="宋体" w:hint="default"/>
          <w:sz w:val="13"/>
          <w:szCs w:val="13"/>
        </w:rPr>
        <w:t>-</w:t>
        <w:tab/>
      </w:r>
      <w:r>
        <w:rPr>
          <w:rFonts w:ascii="宋体" w:hAnsi="宋体" w:cs="宋体" w:eastAsia="宋体" w:hint="default"/>
          <w:w w:val="105"/>
          <w:sz w:val="13"/>
          <w:szCs w:val="13"/>
        </w:rPr>
        <w:t>-</w:t>
      </w:r>
      <w:r>
        <w:rPr>
          <w:rFonts w:ascii="宋体" w:hAnsi="宋体" w:cs="宋体" w:eastAsia="宋体" w:hint="default"/>
          <w:sz w:val="13"/>
          <w:szCs w:val="13"/>
        </w:rPr>
      </w:r>
    </w:p>
    <w:p>
      <w:pPr>
        <w:spacing w:line="240" w:lineRule="auto" w:before="9"/>
        <w:rPr>
          <w:rFonts w:ascii="宋体" w:hAnsi="宋体" w:cs="宋体" w:eastAsia="宋体" w:hint="default"/>
          <w:sz w:val="2"/>
          <w:szCs w:val="2"/>
        </w:rPr>
      </w:pPr>
    </w:p>
    <w:p>
      <w:pPr>
        <w:tabs>
          <w:tab w:pos="6986" w:val="left" w:leader="none"/>
        </w:tabs>
        <w:spacing w:line="20" w:lineRule="exact"/>
        <w:ind w:left="4803" w:right="0" w:firstLine="0"/>
        <w:rPr>
          <w:rFonts w:ascii="宋体" w:hAnsi="宋体" w:cs="宋体" w:eastAsia="宋体" w:hint="default"/>
          <w:sz w:val="2"/>
          <w:szCs w:val="2"/>
        </w:rPr>
      </w:pPr>
      <w:r>
        <w:rPr>
          <w:rFonts w:ascii="宋体"/>
          <w:sz w:val="2"/>
        </w:rPr>
        <w:pict>
          <v:group style="width:82.05pt;height:.6pt;mso-position-horizontal-relative:char;mso-position-vertical-relative:line" coordorigin="0,0" coordsize="1641,12">
            <v:shape style="position:absolute;left:0;top:0;width:1641;height:11" type="#_x0000_t75" stroked="false">
              <v:imagedata r:id="rId49" o:title=""/>
            </v:shape>
          </v:group>
        </w:pict>
      </w:r>
      <w:r>
        <w:rPr>
          <w:rFonts w:ascii="宋体"/>
          <w:sz w:val="2"/>
        </w:rPr>
      </w:r>
      <w:r>
        <w:rPr>
          <w:rFonts w:ascii="宋体"/>
          <w:sz w:val="2"/>
        </w:rPr>
        <w:tab/>
      </w:r>
      <w:r>
        <w:rPr>
          <w:rFonts w:ascii="宋体"/>
          <w:sz w:val="2"/>
        </w:rPr>
        <w:pict>
          <v:group style="width:76.55pt;height:.6pt;mso-position-horizontal-relative:char;mso-position-vertical-relative:line" coordorigin="0,0" coordsize="1531,12">
            <v:shape style="position:absolute;left:0;top:0;width:1530;height:11" type="#_x0000_t75" stroked="false">
              <v:imagedata r:id="rId50" o:title=""/>
            </v:shape>
          </v:group>
        </w:pict>
      </w:r>
      <w:r>
        <w:rPr>
          <w:rFonts w:ascii="宋体"/>
          <w:sz w:val="2"/>
        </w:rPr>
      </w:r>
    </w:p>
    <w:p>
      <w:pPr>
        <w:tabs>
          <w:tab w:pos="5200" w:val="left" w:leader="none"/>
          <w:tab w:pos="7272" w:val="left" w:leader="none"/>
        </w:tabs>
        <w:spacing w:before="4"/>
        <w:ind w:left="218" w:right="0" w:firstLine="0"/>
        <w:jc w:val="center"/>
        <w:rPr>
          <w:rFonts w:ascii="宋体" w:hAnsi="宋体" w:cs="宋体" w:eastAsia="宋体" w:hint="default"/>
          <w:sz w:val="13"/>
          <w:szCs w:val="13"/>
        </w:rPr>
      </w:pPr>
      <w:r>
        <w:rPr>
          <w:rFonts w:ascii="宋体" w:hAnsi="宋体" w:cs="宋体" w:eastAsia="宋体" w:hint="default"/>
          <w:sz w:val="13"/>
          <w:szCs w:val="13"/>
        </w:rPr>
        <w:t>流动资产合计</w:t>
        <w:tab/>
      </w:r>
      <w:r>
        <w:rPr>
          <w:rFonts w:ascii="宋体" w:hAnsi="宋体" w:cs="宋体" w:eastAsia="宋体" w:hint="default"/>
          <w:sz w:val="13"/>
          <w:szCs w:val="13"/>
        </w:rPr>
        <w:t>954,661,862.19</w:t>
        <w:tab/>
      </w:r>
      <w:r>
        <w:rPr>
          <w:rFonts w:ascii="宋体" w:hAnsi="宋体" w:cs="宋体" w:eastAsia="宋体" w:hint="default"/>
          <w:w w:val="105"/>
          <w:sz w:val="13"/>
          <w:szCs w:val="13"/>
        </w:rPr>
        <w:t>891,286,008.45</w:t>
      </w:r>
      <w:r>
        <w:rPr>
          <w:rFonts w:ascii="宋体" w:hAnsi="宋体" w:cs="宋体" w:eastAsia="宋体" w:hint="default"/>
          <w:sz w:val="13"/>
          <w:szCs w:val="13"/>
        </w:rPr>
      </w:r>
    </w:p>
    <w:p>
      <w:pPr>
        <w:spacing w:line="240" w:lineRule="auto" w:before="9"/>
        <w:rPr>
          <w:rFonts w:ascii="宋体" w:hAnsi="宋体" w:cs="宋体" w:eastAsia="宋体" w:hint="default"/>
          <w:sz w:val="2"/>
          <w:szCs w:val="2"/>
        </w:rPr>
      </w:pPr>
    </w:p>
    <w:p>
      <w:pPr>
        <w:tabs>
          <w:tab w:pos="6980" w:val="left" w:leader="none"/>
        </w:tabs>
        <w:spacing w:line="20" w:lineRule="exact"/>
        <w:ind w:left="4797" w:right="0" w:firstLine="0"/>
        <w:rPr>
          <w:rFonts w:ascii="宋体" w:hAnsi="宋体" w:cs="宋体" w:eastAsia="宋体" w:hint="default"/>
          <w:sz w:val="2"/>
          <w:szCs w:val="2"/>
        </w:rPr>
      </w:pPr>
      <w:r>
        <w:rPr>
          <w:rFonts w:ascii="宋体"/>
          <w:sz w:val="2"/>
        </w:rPr>
        <w:pict>
          <v:group style="width:82.6pt;height:.6pt;mso-position-horizontal-relative:char;mso-position-vertical-relative:line" coordorigin="0,0" coordsize="1652,12">
            <v:group style="position:absolute;left:6;top:1;width:1640;height:2" coordorigin="6,1" coordsize="1640,2">
              <v:shape style="position:absolute;left:6;top:1;width:1640;height:2" coordorigin="6,1" coordsize="1640,0" path="m6,1l1645,1e" filled="false" stroked="true" strokeweight=".082343pt" strokecolor="#000000">
                <v:path arrowok="t"/>
              </v:shape>
            </v:group>
            <v:group style="position:absolute;left:6;top:6;width:1641;height:2" coordorigin="6,6" coordsize="1641,2">
              <v:shape style="position:absolute;left:6;top:6;width:1641;height:2" coordorigin="6,6" coordsize="1641,0" path="m6,6l1646,6e" filled="false" stroked="true" strokeweight=".564631pt" strokecolor="#000000">
                <v:path arrowok="t"/>
              </v:shape>
            </v:group>
          </v:group>
        </w:pict>
      </w:r>
      <w:r>
        <w:rPr>
          <w:rFonts w:ascii="宋体"/>
          <w:sz w:val="2"/>
        </w:rPr>
      </w:r>
      <w:r>
        <w:rPr>
          <w:rFonts w:ascii="宋体"/>
          <w:sz w:val="2"/>
        </w:rPr>
        <w:tab/>
      </w:r>
      <w:r>
        <w:rPr>
          <w:rFonts w:ascii="宋体"/>
          <w:sz w:val="2"/>
        </w:rPr>
        <w:pict>
          <v:group style="width:77.1pt;height:.6pt;mso-position-horizontal-relative:char;mso-position-vertical-relative:line" coordorigin="0,0" coordsize="1542,12">
            <v:group style="position:absolute;left:6;top:1;width:1529;height:2" coordorigin="6,1" coordsize="1529,2">
              <v:shape style="position:absolute;left:6;top:1;width:1529;height:2" coordorigin="6,1" coordsize="1529,0" path="m6,1l1535,1e" filled="false" stroked="true" strokeweight=".082343pt" strokecolor="#000000">
                <v:path arrowok="t"/>
              </v:shape>
            </v:group>
            <v:group style="position:absolute;left:6;top:6;width:1531;height:2" coordorigin="6,6" coordsize="1531,2">
              <v:shape style="position:absolute;left:6;top:6;width:1531;height:2" coordorigin="6,6" coordsize="1531,0" path="m6,6l1536,6e" filled="false" stroked="true" strokeweight=".564631pt" strokecolor="#000000">
                <v:path arrowok="t"/>
              </v:shape>
            </v:group>
          </v:group>
        </w:pict>
      </w:r>
      <w:r>
        <w:rPr>
          <w:rFonts w:ascii="宋体"/>
          <w:sz w:val="2"/>
        </w:rPr>
      </w:r>
    </w:p>
    <w:p>
      <w:pPr>
        <w:spacing w:line="240" w:lineRule="auto" w:before="12"/>
        <w:rPr>
          <w:rFonts w:ascii="宋体" w:hAnsi="宋体" w:cs="宋体" w:eastAsia="宋体" w:hint="default"/>
          <w:sz w:val="17"/>
          <w:szCs w:val="17"/>
        </w:rPr>
      </w:pPr>
    </w:p>
    <w:p>
      <w:pPr>
        <w:spacing w:before="0"/>
        <w:ind w:left="150" w:right="185" w:firstLine="0"/>
        <w:jc w:val="left"/>
        <w:rPr>
          <w:rFonts w:ascii="宋体" w:hAnsi="宋体" w:cs="宋体" w:eastAsia="宋体" w:hint="default"/>
          <w:sz w:val="13"/>
          <w:szCs w:val="13"/>
        </w:rPr>
      </w:pPr>
      <w:r>
        <w:rPr>
          <w:rFonts w:ascii="宋体" w:hAnsi="宋体" w:cs="宋体" w:eastAsia="宋体" w:hint="default"/>
          <w:b/>
          <w:bCs/>
          <w:w w:val="105"/>
          <w:sz w:val="13"/>
          <w:szCs w:val="13"/>
        </w:rPr>
        <w:t>非流动资产：</w:t>
      </w:r>
      <w:r>
        <w:rPr>
          <w:rFonts w:ascii="宋体" w:hAnsi="宋体" w:cs="宋体" w:eastAsia="宋体" w:hint="default"/>
          <w:sz w:val="13"/>
          <w:szCs w:val="13"/>
        </w:rPr>
      </w:r>
    </w:p>
    <w:p>
      <w:pPr>
        <w:spacing w:line="240" w:lineRule="auto" w:before="2"/>
        <w:rPr>
          <w:rFonts w:ascii="宋体" w:hAnsi="宋体" w:cs="宋体" w:eastAsia="宋体" w:hint="default"/>
          <w:b/>
          <w:bCs/>
          <w:sz w:val="2"/>
          <w:szCs w:val="2"/>
        </w:rPr>
      </w:pPr>
    </w:p>
    <w:tbl>
      <w:tblPr>
        <w:tblW w:w="0" w:type="auto"/>
        <w:jc w:val="left"/>
        <w:tblInd w:w="127" w:type="dxa"/>
        <w:tblLayout w:type="fixed"/>
        <w:tblCellMar>
          <w:top w:w="0" w:type="dxa"/>
          <w:left w:w="0" w:type="dxa"/>
          <w:bottom w:w="0" w:type="dxa"/>
          <w:right w:w="0" w:type="dxa"/>
        </w:tblCellMar>
        <w:tblLook w:val="01E0"/>
      </w:tblPr>
      <w:tblGrid>
        <w:gridCol w:w="1582"/>
        <w:gridCol w:w="2630"/>
        <w:gridCol w:w="4178"/>
      </w:tblGrid>
      <w:tr>
        <w:trPr>
          <w:trHeight w:val="25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6"/>
              <w:jc w:val="righ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32"/>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持有至到期投资</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长期应收款</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长期股权投资</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宋体" w:hAnsi="宋体" w:cs="宋体" w:eastAsia="宋体" w:hint="default"/>
                <w:sz w:val="13"/>
                <w:szCs w:val="13"/>
              </w:rPr>
            </w:pPr>
            <w:r>
              <w:rPr>
                <w:rFonts w:ascii="宋体" w:hAnsi="宋体" w:cs="宋体" w:eastAsia="宋体" w:hint="default"/>
                <w:sz w:val="13"/>
                <w:szCs w:val="13"/>
              </w:rPr>
              <w:t>十一(三)</w:t>
            </w:r>
          </w:p>
        </w:tc>
        <w:tc>
          <w:tcPr>
            <w:tcW w:w="4178" w:type="dxa"/>
            <w:tcBorders>
              <w:top w:val="nil" w:sz="6" w:space="0" w:color="auto"/>
              <w:left w:val="nil" w:sz="6" w:space="0" w:color="auto"/>
              <w:bottom w:val="nil" w:sz="6" w:space="0" w:color="auto"/>
              <w:right w:val="nil" w:sz="6" w:space="0" w:color="auto"/>
            </w:tcBorders>
          </w:tcPr>
          <w:p>
            <w:pPr>
              <w:pStyle w:val="TableParagraph"/>
              <w:tabs>
                <w:tab w:pos="2140" w:val="left" w:leader="none"/>
              </w:tabs>
              <w:spacing w:line="240" w:lineRule="auto" w:before="10"/>
              <w:ind w:right="91"/>
              <w:jc w:val="right"/>
              <w:rPr>
                <w:rFonts w:ascii="宋体" w:hAnsi="宋体" w:cs="宋体" w:eastAsia="宋体" w:hint="default"/>
                <w:sz w:val="13"/>
                <w:szCs w:val="13"/>
              </w:rPr>
            </w:pPr>
            <w:r>
              <w:rPr>
                <w:rFonts w:ascii="宋体"/>
                <w:sz w:val="13"/>
              </w:rPr>
              <w:t>156,254,181.45</w:t>
              <w:tab/>
              <w:t>28,658,215.20</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投资性房地产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固定资产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91"/>
              <w:jc w:val="right"/>
              <w:rPr>
                <w:rFonts w:ascii="宋体" w:hAnsi="宋体" w:cs="宋体" w:eastAsia="宋体" w:hint="default"/>
                <w:sz w:val="13"/>
                <w:szCs w:val="13"/>
              </w:rPr>
            </w:pPr>
            <w:r>
              <w:rPr>
                <w:rFonts w:ascii="宋体"/>
                <w:sz w:val="13"/>
              </w:rPr>
              <w:t>9,959,422.30</w:t>
              <w:tab/>
              <w:t>8,707,309.12</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在建工程</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工程物资</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固定资产清理</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生产性生物资产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无形资产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91"/>
              <w:jc w:val="right"/>
              <w:rPr>
                <w:rFonts w:ascii="宋体" w:hAnsi="宋体" w:cs="宋体" w:eastAsia="宋体" w:hint="default"/>
                <w:sz w:val="13"/>
                <w:szCs w:val="13"/>
              </w:rPr>
            </w:pPr>
            <w:r>
              <w:rPr>
                <w:rFonts w:ascii="宋体"/>
                <w:sz w:val="13"/>
              </w:rPr>
              <w:t>462,524.51</w:t>
              <w:tab/>
              <w:t>344,159.18</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开发支出</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商誉</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长期待摊费用</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91"/>
              <w:jc w:val="right"/>
              <w:rPr>
                <w:rFonts w:ascii="宋体" w:hAnsi="宋体" w:cs="宋体" w:eastAsia="宋体" w:hint="default"/>
                <w:sz w:val="13"/>
                <w:szCs w:val="13"/>
              </w:rPr>
            </w:pPr>
            <w:r>
              <w:rPr>
                <w:rFonts w:ascii="宋体"/>
                <w:sz w:val="13"/>
              </w:rPr>
              <w:t>2,640,774.10</w:t>
              <w:tab/>
              <w:t>1,309,139.02</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递延所得税资产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10"/>
              <w:ind w:right="91"/>
              <w:jc w:val="right"/>
              <w:rPr>
                <w:rFonts w:ascii="宋体" w:hAnsi="宋体" w:cs="宋体" w:eastAsia="宋体" w:hint="default"/>
                <w:sz w:val="13"/>
                <w:szCs w:val="13"/>
              </w:rPr>
            </w:pPr>
            <w:r>
              <w:rPr>
                <w:rFonts w:ascii="宋体"/>
                <w:sz w:val="13"/>
              </w:rPr>
              <w:t>2,029,868.67</w:t>
              <w:tab/>
              <w:t>1,146,653.64</w:t>
            </w:r>
          </w:p>
        </w:tc>
      </w:tr>
      <w:tr>
        <w:trPr>
          <w:trHeight w:val="221"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宋体" w:hAnsi="宋体" w:cs="宋体" w:eastAsia="宋体" w:hint="default"/>
                <w:sz w:val="13"/>
                <w:szCs w:val="13"/>
              </w:rPr>
            </w:pPr>
            <w:r>
              <w:rPr>
                <w:rFonts w:ascii="宋体" w:hAnsi="宋体" w:cs="宋体" w:eastAsia="宋体" w:hint="default"/>
                <w:w w:val="105"/>
                <w:sz w:val="13"/>
                <w:szCs w:val="13"/>
              </w:rPr>
              <w:t>其他非流动资产</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nil" w:sz="6" w:space="0" w:color="auto"/>
              <w:left w:val="nil" w:sz="6" w:space="0" w:color="auto"/>
              <w:bottom w:val="single" w:sz="5" w:space="0" w:color="000000"/>
              <w:right w:val="nil" w:sz="6" w:space="0" w:color="auto"/>
            </w:tcBorders>
          </w:tcPr>
          <w:p>
            <w:pPr>
              <w:pStyle w:val="TableParagraph"/>
              <w:tabs>
                <w:tab w:pos="2072" w:val="left" w:leader="none"/>
              </w:tabs>
              <w:spacing w:line="240" w:lineRule="auto" w:before="10"/>
              <w:ind w:right="226"/>
              <w:jc w:val="right"/>
              <w:rPr>
                <w:rFonts w:ascii="宋体" w:hAnsi="宋体" w:cs="宋体" w:eastAsia="宋体" w:hint="default"/>
                <w:sz w:val="13"/>
                <w:szCs w:val="13"/>
              </w:rPr>
            </w:pPr>
            <w:r>
              <w:rPr>
                <w:rFonts w:ascii="宋体"/>
                <w:sz w:val="13"/>
              </w:rPr>
              <w:t>-</w:t>
              <w:tab/>
              <w:t>-</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6"/>
              <w:jc w:val="right"/>
              <w:rPr>
                <w:rFonts w:ascii="宋体" w:hAnsi="宋体" w:cs="宋体" w:eastAsia="宋体" w:hint="default"/>
                <w:sz w:val="13"/>
                <w:szCs w:val="13"/>
              </w:rPr>
            </w:pPr>
            <w:r>
              <w:rPr>
                <w:rFonts w:ascii="宋体" w:hAnsi="宋体" w:cs="宋体" w:eastAsia="宋体" w:hint="default"/>
                <w:sz w:val="13"/>
                <w:szCs w:val="13"/>
              </w:rPr>
              <w:t>非流动资产合计</w:t>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single" w:sz="5" w:space="0" w:color="000000"/>
              <w:left w:val="nil" w:sz="6" w:space="0" w:color="auto"/>
              <w:bottom w:val="single" w:sz="5" w:space="0" w:color="000000"/>
              <w:right w:val="nil" w:sz="6" w:space="0" w:color="auto"/>
            </w:tcBorders>
          </w:tcPr>
          <w:p>
            <w:pPr>
              <w:pStyle w:val="TableParagraph"/>
              <w:spacing w:line="20" w:lineRule="exact"/>
              <w:ind w:left="464" w:right="0"/>
              <w:jc w:val="left"/>
              <w:rPr>
                <w:rFonts w:ascii="宋体" w:hAnsi="宋体" w:cs="宋体" w:eastAsia="宋体" w:hint="default"/>
                <w:sz w:val="2"/>
                <w:szCs w:val="2"/>
              </w:rPr>
            </w:pPr>
            <w:r>
              <w:rPr>
                <w:rFonts w:ascii="宋体" w:hAnsi="宋体" w:cs="宋体" w:eastAsia="宋体" w:hint="default"/>
                <w:sz w:val="2"/>
                <w:szCs w:val="2"/>
              </w:rPr>
              <w:pict>
                <v:group style="width:82.05pt;height:.6pt;mso-position-horizontal-relative:char;mso-position-vertical-relative:line" coordorigin="0,0" coordsize="1641,12">
                  <v:shape style="position:absolute;left:0;top:0;width:1641;height:11" type="#_x0000_t75" stroked="false">
                    <v:imagedata r:id="rId51" o:title=""/>
                  </v:shape>
                </v:group>
              </w:pict>
            </w:r>
            <w:r>
              <w:rPr>
                <w:rFonts w:ascii="宋体" w:hAnsi="宋体" w:cs="宋体" w:eastAsia="宋体" w:hint="default"/>
                <w:sz w:val="2"/>
                <w:szCs w:val="2"/>
              </w:rPr>
            </w:r>
          </w:p>
          <w:p>
            <w:pPr>
              <w:pStyle w:val="TableParagraph"/>
              <w:tabs>
                <w:tab w:pos="2140" w:val="left" w:leader="none"/>
              </w:tabs>
              <w:spacing w:line="240" w:lineRule="auto" w:before="4"/>
              <w:ind w:right="91"/>
              <w:jc w:val="right"/>
              <w:rPr>
                <w:rFonts w:ascii="宋体" w:hAnsi="宋体" w:cs="宋体" w:eastAsia="宋体" w:hint="default"/>
                <w:sz w:val="13"/>
                <w:szCs w:val="13"/>
              </w:rPr>
            </w:pPr>
            <w:r>
              <w:rPr>
                <w:rFonts w:ascii="宋体"/>
                <w:sz w:val="13"/>
              </w:rPr>
              <w:t>171,346,771.03</w:t>
              <w:tab/>
              <w:t>40,165,476.16</w:t>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single" w:sz="5" w:space="0" w:color="000000"/>
              <w:left w:val="nil" w:sz="6" w:space="0" w:color="auto"/>
              <w:bottom w:val="single" w:sz="5" w:space="0" w:color="000000"/>
              <w:right w:val="nil" w:sz="6" w:space="0" w:color="auto"/>
            </w:tcBorders>
          </w:tcPr>
          <w:p>
            <w:pPr>
              <w:pStyle w:val="TableParagraph"/>
              <w:spacing w:line="20" w:lineRule="exact"/>
              <w:ind w:left="458" w:right="0"/>
              <w:jc w:val="left"/>
              <w:rPr>
                <w:rFonts w:ascii="宋体" w:hAnsi="宋体" w:cs="宋体" w:eastAsia="宋体" w:hint="default"/>
                <w:sz w:val="2"/>
                <w:szCs w:val="2"/>
              </w:rPr>
            </w:pPr>
            <w:r>
              <w:rPr>
                <w:rFonts w:ascii="宋体" w:hAnsi="宋体" w:cs="宋体" w:eastAsia="宋体" w:hint="default"/>
                <w:sz w:val="2"/>
                <w:szCs w:val="2"/>
              </w:rPr>
              <w:pict>
                <v:group style="width:82.6pt;height:.6pt;mso-position-horizontal-relative:char;mso-position-vertical-relative:line" coordorigin="0,0" coordsize="1652,12">
                  <v:group style="position:absolute;left:6;top:1;width:1640;height:2" coordorigin="6,1" coordsize="1640,2">
                    <v:shape style="position:absolute;left:6;top:1;width:1640;height:2" coordorigin="6,1" coordsize="1640,0" path="m6,1l1645,1e" filled="false" stroked="true" strokeweight=".082343pt" strokecolor="#000000">
                      <v:path arrowok="t"/>
                    </v:shape>
                  </v:group>
                  <v:group style="position:absolute;left:6;top:6;width:1641;height:2" coordorigin="6,6" coordsize="1641,2">
                    <v:shape style="position:absolute;left:6;top:6;width:1641;height:2" coordorigin="6,6" coordsize="1641,0" path="m6,6l1646,6e" filled="false" stroked="true" strokeweight=".564649pt" strokecolor="#000000">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0" w:lineRule="exact"/>
              <w:ind w:left="458" w:right="0"/>
              <w:jc w:val="left"/>
              <w:rPr>
                <w:rFonts w:ascii="宋体" w:hAnsi="宋体" w:cs="宋体" w:eastAsia="宋体" w:hint="default"/>
                <w:sz w:val="2"/>
                <w:szCs w:val="2"/>
              </w:rPr>
            </w:pPr>
            <w:r>
              <w:rPr>
                <w:rFonts w:ascii="宋体" w:hAnsi="宋体" w:cs="宋体" w:eastAsia="宋体" w:hint="default"/>
                <w:sz w:val="2"/>
                <w:szCs w:val="2"/>
              </w:rPr>
              <w:pict>
                <v:group style="width:82.65pt;height:.6pt;mso-position-horizontal-relative:char;mso-position-vertical-relative:line" coordorigin="0,0" coordsize="1653,12">
                  <v:group style="position:absolute;left:7;top:1;width:1640;height:2" coordorigin="7,1" coordsize="1640,2">
                    <v:shape style="position:absolute;left:7;top:1;width:1640;height:2" coordorigin="7,1" coordsize="1640,0" path="m7,1l1646,1e" filled="false" stroked="true" strokeweight=".082343pt" strokecolor="#000000">
                      <v:path arrowok="t"/>
                    </v:shape>
                  </v:group>
                  <v:group style="position:absolute;left:6;top:6;width:1641;height:2" coordorigin="6,6" coordsize="1641,2">
                    <v:shape style="position:absolute;left:6;top:6;width:1641;height:2" coordorigin="6,6" coordsize="1641,0" path="m6,6l1646,6e" filled="false" stroked="true" strokeweight=".578759pt" strokecolor="#000000">
                      <v:path arrowok="t"/>
                    </v:shape>
                  </v:group>
                </v:group>
              </w:pict>
            </w:r>
            <w:r>
              <w:rPr>
                <w:rFonts w:ascii="宋体" w:hAnsi="宋体" w:cs="宋体" w:eastAsia="宋体" w:hint="default"/>
                <w:sz w:val="2"/>
                <w:szCs w:val="2"/>
              </w:rPr>
            </w:r>
          </w:p>
        </w:tc>
      </w:tr>
      <w:tr>
        <w:trPr>
          <w:trHeight w:val="23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0" w:right="0"/>
              <w:jc w:val="left"/>
              <w:rPr>
                <w:rFonts w:ascii="宋体" w:hAnsi="宋体" w:cs="宋体" w:eastAsia="宋体" w:hint="default"/>
                <w:sz w:val="13"/>
                <w:szCs w:val="13"/>
              </w:rPr>
            </w:pPr>
            <w:r>
              <w:rPr>
                <w:rFonts w:ascii="宋体" w:hAnsi="宋体" w:cs="宋体" w:eastAsia="宋体" w:hint="default"/>
                <w:b/>
                <w:bCs/>
                <w:w w:val="105"/>
                <w:sz w:val="13"/>
                <w:szCs w:val="13"/>
              </w:rPr>
              <w:t>资产总计</w:t>
            </w:r>
            <w:r>
              <w:rPr>
                <w:rFonts w:ascii="宋体" w:hAnsi="宋体" w:cs="宋体" w:eastAsia="宋体" w:hint="default"/>
                <w:sz w:val="13"/>
                <w:szCs w:val="13"/>
              </w:rPr>
            </w:r>
          </w:p>
        </w:tc>
        <w:tc>
          <w:tcPr>
            <w:tcW w:w="2630" w:type="dxa"/>
            <w:tcBorders>
              <w:top w:val="nil" w:sz="6" w:space="0" w:color="auto"/>
              <w:left w:val="nil" w:sz="6" w:space="0" w:color="auto"/>
              <w:bottom w:val="nil" w:sz="6" w:space="0" w:color="auto"/>
              <w:right w:val="nil" w:sz="6" w:space="0" w:color="auto"/>
            </w:tcBorders>
          </w:tcPr>
          <w:p>
            <w:pPr/>
          </w:p>
        </w:tc>
        <w:tc>
          <w:tcPr>
            <w:tcW w:w="4178" w:type="dxa"/>
            <w:tcBorders>
              <w:top w:val="single" w:sz="5" w:space="0" w:color="000000"/>
              <w:left w:val="nil" w:sz="6" w:space="0" w:color="auto"/>
              <w:bottom w:val="nil" w:sz="6" w:space="0" w:color="auto"/>
              <w:right w:val="nil" w:sz="6" w:space="0" w:color="auto"/>
            </w:tcBorders>
          </w:tcPr>
          <w:p>
            <w:pPr>
              <w:pStyle w:val="TableParagraph"/>
              <w:tabs>
                <w:tab w:pos="2207" w:val="left" w:leader="none"/>
              </w:tabs>
              <w:spacing w:line="240" w:lineRule="auto" w:before="13"/>
              <w:ind w:right="91"/>
              <w:jc w:val="right"/>
              <w:rPr>
                <w:rFonts w:ascii="宋体" w:hAnsi="宋体" w:cs="宋体" w:eastAsia="宋体" w:hint="default"/>
                <w:sz w:val="13"/>
                <w:szCs w:val="13"/>
              </w:rPr>
            </w:pPr>
            <w:r>
              <w:rPr>
                <w:rFonts w:ascii="宋体"/>
                <w:sz w:val="13"/>
              </w:rPr>
              <w:t>1,126,008,633.22</w:t>
              <w:tab/>
              <w:t>931,451,484.61</w:t>
            </w:r>
          </w:p>
        </w:tc>
      </w:tr>
      <w:tr>
        <w:trPr>
          <w:trHeight w:val="230" w:hRule="exact"/>
        </w:trPr>
        <w:tc>
          <w:tcPr>
            <w:tcW w:w="1582" w:type="dxa"/>
            <w:tcBorders>
              <w:top w:val="nil" w:sz="6" w:space="0" w:color="auto"/>
              <w:left w:val="nil" w:sz="6" w:space="0" w:color="auto"/>
              <w:bottom w:val="single" w:sz="5" w:space="0" w:color="000000"/>
              <w:right w:val="nil" w:sz="6" w:space="0" w:color="auto"/>
            </w:tcBorders>
          </w:tcPr>
          <w:p>
            <w:pPr/>
          </w:p>
        </w:tc>
        <w:tc>
          <w:tcPr>
            <w:tcW w:w="2630" w:type="dxa"/>
            <w:tcBorders>
              <w:top w:val="nil" w:sz="6" w:space="0" w:color="auto"/>
              <w:left w:val="nil" w:sz="6" w:space="0" w:color="auto"/>
              <w:bottom w:val="single" w:sz="5" w:space="0" w:color="000000"/>
              <w:right w:val="nil" w:sz="6" w:space="0" w:color="auto"/>
            </w:tcBorders>
          </w:tcPr>
          <w:p>
            <w:pPr/>
          </w:p>
        </w:tc>
        <w:tc>
          <w:tcPr>
            <w:tcW w:w="4178" w:type="dxa"/>
            <w:tcBorders>
              <w:top w:val="nil" w:sz="6" w:space="0" w:color="auto"/>
              <w:left w:val="nil" w:sz="6" w:space="0" w:color="auto"/>
              <w:bottom w:val="single" w:sz="5" w:space="0" w:color="000000"/>
              <w:right w:val="nil" w:sz="6" w:space="0" w:color="auto"/>
            </w:tcBorders>
          </w:tcPr>
          <w:p>
            <w:pPr>
              <w:pStyle w:val="TableParagraph"/>
              <w:tabs>
                <w:tab w:pos="2641" w:val="left" w:leader="none"/>
              </w:tabs>
              <w:spacing w:line="33" w:lineRule="exact"/>
              <w:ind w:left="458" w:right="-55"/>
              <w:jc w:val="left"/>
              <w:rPr>
                <w:rFonts w:ascii="宋体" w:hAnsi="宋体" w:cs="宋体" w:eastAsia="宋体" w:hint="default"/>
                <w:sz w:val="3"/>
                <w:szCs w:val="3"/>
              </w:rPr>
            </w:pPr>
            <w:r>
              <w:rPr>
                <w:rFonts w:ascii="宋体"/>
                <w:position w:val="0"/>
                <w:sz w:val="3"/>
              </w:rPr>
              <w:pict>
                <v:group style="width:82.6pt;height:1.7pt;mso-position-horizontal-relative:char;mso-position-vertical-relative:line" coordorigin="0,0" coordsize="1652,34">
                  <v:group style="position:absolute;left:6;top:6;width:1641;height:2" coordorigin="6,6" coordsize="1641,2">
                    <v:shape style="position:absolute;left:6;top:6;width:1641;height:2" coordorigin="6,6" coordsize="1641,0" path="m6,6l1646,6e" filled="false" stroked="true" strokeweight=".564614pt" strokecolor="#000000">
                      <v:path arrowok="t"/>
                    </v:shape>
                  </v:group>
                  <v:group style="position:absolute;left:6;top:28;width:1641;height:2" coordorigin="6,28" coordsize="1641,2">
                    <v:shape style="position:absolute;left:6;top:28;width:1641;height:2" coordorigin="6,28" coordsize="1641,0" path="m6,28l1646,28e" filled="false" stroked="true" strokeweight=".564649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7.1pt;height:1.7pt;mso-position-horizontal-relative:char;mso-position-vertical-relative:line" coordorigin="0,0" coordsize="1542,34">
                  <v:group style="position:absolute;left:6;top:6;width:1531;height:2" coordorigin="6,6" coordsize="1531,2">
                    <v:shape style="position:absolute;left:6;top:6;width:1531;height:2" coordorigin="6,6" coordsize="1531,0" path="m6,6l1536,6e" filled="false" stroked="true" strokeweight=".564614pt" strokecolor="#000000">
                      <v:path arrowok="t"/>
                    </v:shape>
                  </v:group>
                  <v:group style="position:absolute;left:6;top:28;width:1531;height:2" coordorigin="6,28" coordsize="1531,2">
                    <v:shape style="position:absolute;left:6;top:28;width:1531;height:2" coordorigin="6,28" coordsize="1531,0" path="m6,28l1536,28e" filled="false" stroked="true" strokeweight=".564649pt" strokecolor="#000000">
                      <v:path arrowok="t"/>
                    </v:shape>
                  </v:group>
                </v:group>
              </w:pict>
            </w:r>
            <w:r>
              <w:rPr>
                <w:rFonts w:ascii="宋体"/>
                <w:position w:val="0"/>
                <w:sz w:val="3"/>
              </w:rPr>
            </w:r>
          </w:p>
          <w:p>
            <w:pPr>
              <w:pStyle w:val="TableParagraph"/>
              <w:spacing w:line="240" w:lineRule="auto" w:before="12"/>
              <w:ind w:right="0"/>
              <w:jc w:val="left"/>
              <w:rPr>
                <w:rFonts w:ascii="宋体" w:hAnsi="宋体" w:cs="宋体" w:eastAsia="宋体" w:hint="default"/>
                <w:b/>
                <w:bCs/>
                <w:sz w:val="15"/>
                <w:szCs w:val="15"/>
              </w:rPr>
            </w:pPr>
          </w:p>
        </w:tc>
      </w:tr>
      <w:tr>
        <w:trPr>
          <w:trHeight w:val="289" w:hRule="exact"/>
        </w:trPr>
        <w:tc>
          <w:tcPr>
            <w:tcW w:w="1582"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left="23" w:right="0"/>
              <w:jc w:val="left"/>
              <w:rPr>
                <w:rFonts w:ascii="宋体" w:hAnsi="宋体" w:cs="宋体" w:eastAsia="宋体" w:hint="default"/>
                <w:sz w:val="13"/>
                <w:szCs w:val="13"/>
              </w:rPr>
            </w:pPr>
            <w:r>
              <w:rPr>
                <w:rFonts w:ascii="宋体" w:hAnsi="宋体" w:cs="宋体" w:eastAsia="宋体" w:hint="default"/>
                <w:w w:val="105"/>
                <w:sz w:val="13"/>
                <w:szCs w:val="13"/>
              </w:rPr>
              <w:t>公司负责人：刘祥</w:t>
            </w:r>
            <w:r>
              <w:rPr>
                <w:rFonts w:ascii="宋体" w:hAnsi="宋体" w:cs="宋体" w:eastAsia="宋体" w:hint="default"/>
                <w:sz w:val="13"/>
                <w:szCs w:val="13"/>
              </w:rPr>
            </w:r>
          </w:p>
        </w:tc>
        <w:tc>
          <w:tcPr>
            <w:tcW w:w="2630"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left="338" w:right="0"/>
              <w:jc w:val="left"/>
              <w:rPr>
                <w:rFonts w:ascii="宋体" w:hAnsi="宋体" w:cs="宋体" w:eastAsia="宋体" w:hint="default"/>
                <w:sz w:val="13"/>
                <w:szCs w:val="13"/>
              </w:rPr>
            </w:pPr>
            <w:r>
              <w:rPr>
                <w:rFonts w:ascii="宋体" w:hAnsi="宋体" w:cs="宋体" w:eastAsia="宋体" w:hint="default"/>
                <w:w w:val="105"/>
                <w:sz w:val="13"/>
                <w:szCs w:val="13"/>
              </w:rPr>
              <w:t>主管会计工作负责人：赵辉</w:t>
            </w:r>
            <w:r>
              <w:rPr>
                <w:rFonts w:ascii="宋体" w:hAnsi="宋体" w:cs="宋体" w:eastAsia="宋体" w:hint="default"/>
                <w:sz w:val="13"/>
                <w:szCs w:val="13"/>
              </w:rPr>
            </w:r>
          </w:p>
        </w:tc>
        <w:tc>
          <w:tcPr>
            <w:tcW w:w="4178"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left="146" w:right="0"/>
              <w:jc w:val="left"/>
              <w:rPr>
                <w:rFonts w:ascii="宋体" w:hAnsi="宋体" w:cs="宋体" w:eastAsia="宋体" w:hint="default"/>
                <w:sz w:val="13"/>
                <w:szCs w:val="13"/>
              </w:rPr>
            </w:pPr>
            <w:r>
              <w:rPr>
                <w:rFonts w:ascii="宋体" w:hAnsi="宋体" w:cs="宋体" w:eastAsia="宋体" w:hint="default"/>
                <w:w w:val="105"/>
                <w:sz w:val="13"/>
                <w:szCs w:val="13"/>
              </w:rPr>
              <w:t>会计机构负责人：赵辉</w:t>
            </w:r>
            <w:r>
              <w:rPr>
                <w:rFonts w:ascii="宋体" w:hAnsi="宋体" w:cs="宋体" w:eastAsia="宋体" w:hint="default"/>
                <w:sz w:val="13"/>
                <w:szCs w:val="13"/>
              </w:rPr>
            </w:r>
          </w:p>
        </w:tc>
      </w:tr>
    </w:tbl>
    <w:p>
      <w:pPr>
        <w:spacing w:after="0" w:line="240" w:lineRule="auto"/>
        <w:jc w:val="left"/>
        <w:rPr>
          <w:rFonts w:ascii="宋体" w:hAnsi="宋体" w:cs="宋体" w:eastAsia="宋体" w:hint="default"/>
          <w:sz w:val="13"/>
          <w:szCs w:val="13"/>
        </w:rPr>
        <w:sectPr>
          <w:type w:val="continuous"/>
          <w:pgSz w:w="11910" w:h="16840"/>
          <w:pgMar w:top="1580" w:bottom="280" w:left="1680" w:right="1600"/>
        </w:sectPr>
      </w:pPr>
    </w:p>
    <w:p>
      <w:pPr>
        <w:pStyle w:val="Heading6"/>
        <w:spacing w:line="306" w:lineRule="exact" w:before="53"/>
        <w:ind w:left="2974" w:right="185" w:hanging="370"/>
        <w:jc w:val="left"/>
      </w:pPr>
      <w:r>
        <w:rPr/>
        <w:pict>
          <v:group style="position:absolute;margin-left:324.180939pt;margin-top:455.478394pt;width:82.05pt;height:.1pt;mso-position-horizontal-relative:page;mso-position-vertical-relative:page;z-index:-648856" coordorigin="6484,9110" coordsize="1641,2">
            <v:shape style="position:absolute;left:6484;top:9110;width:1641;height:2" coordorigin="6484,9110" coordsize="1641,0" path="m6484,9110l8124,9110e" filled="false" stroked="true" strokeweight=".598872pt" strokecolor="#000000">
              <v:path arrowok="t"/>
            </v:shape>
            <w10:wrap type="none"/>
          </v:group>
        </w:pict>
      </w:r>
      <w:r>
        <w:rPr/>
        <w:pict>
          <v:group style="position:absolute;margin-left:433.322815pt;margin-top:455.478394pt;width:76.55pt;height:.1pt;mso-position-horizontal-relative:page;mso-position-vertical-relative:page;z-index:-648832" coordorigin="8666,9110" coordsize="1531,2">
            <v:shape style="position:absolute;left:8666;top:9110;width:1531;height:2" coordorigin="8666,9110" coordsize="1531,0" path="m8666,9110l10197,9110e" filled="false" stroked="true" strokeweight=".598872pt" strokecolor="#000000">
              <v:path arrowok="t"/>
            </v:shape>
            <w10:wrap type="none"/>
          </v:group>
        </w:pict>
      </w:r>
      <w:r>
        <w:rPr>
          <w:w w:val="95"/>
        </w:rPr>
        <w:t>深圳市新国都技术股份有限公司</w:t>
      </w:r>
      <w:r>
        <w:rPr>
          <w:spacing w:val="-2"/>
          <w:w w:val="95"/>
        </w:rPr>
        <w:t> </w:t>
      </w:r>
      <w:r>
        <w:rPr/>
        <w:t>母公司资产负债表（续）</w:t>
      </w:r>
    </w:p>
    <w:tbl>
      <w:tblPr>
        <w:tblW w:w="0" w:type="auto"/>
        <w:jc w:val="left"/>
        <w:tblInd w:w="127" w:type="dxa"/>
        <w:tblLayout w:type="fixed"/>
        <w:tblCellMar>
          <w:top w:w="0" w:type="dxa"/>
          <w:left w:w="0" w:type="dxa"/>
          <w:bottom w:w="0" w:type="dxa"/>
          <w:right w:w="0" w:type="dxa"/>
        </w:tblCellMar>
        <w:tblLook w:val="01E0"/>
      </w:tblPr>
      <w:tblGrid>
        <w:gridCol w:w="1588"/>
        <w:gridCol w:w="1396"/>
        <w:gridCol w:w="505"/>
        <w:gridCol w:w="1187"/>
        <w:gridCol w:w="1641"/>
        <w:gridCol w:w="542"/>
        <w:gridCol w:w="1530"/>
      </w:tblGrid>
      <w:tr>
        <w:trPr>
          <w:trHeight w:val="596" w:hRule="exact"/>
        </w:trPr>
        <w:tc>
          <w:tcPr>
            <w:tcW w:w="3489" w:type="dxa"/>
            <w:gridSpan w:val="3"/>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5" w:right="0"/>
              <w:jc w:val="left"/>
              <w:rPr>
                <w:rFonts w:ascii="宋体" w:hAnsi="宋体" w:cs="宋体" w:eastAsia="宋体" w:hint="default"/>
                <w:sz w:val="13"/>
                <w:szCs w:val="13"/>
              </w:rPr>
            </w:pPr>
            <w:r>
              <w:rPr>
                <w:rFonts w:ascii="宋体" w:hAnsi="宋体" w:cs="宋体" w:eastAsia="宋体" w:hint="default"/>
                <w:w w:val="105"/>
                <w:sz w:val="13"/>
                <w:szCs w:val="13"/>
              </w:rPr>
              <w:t>2011年12月31日</w:t>
            </w:r>
            <w:r>
              <w:rPr>
                <w:rFonts w:ascii="宋体" w:hAnsi="宋体" w:cs="宋体" w:eastAsia="宋体" w:hint="default"/>
                <w:sz w:val="13"/>
                <w:szCs w:val="13"/>
              </w:rPr>
            </w:r>
          </w:p>
        </w:tc>
        <w:tc>
          <w:tcPr>
            <w:tcW w:w="1641" w:type="dxa"/>
            <w:tcBorders>
              <w:top w:val="nil" w:sz="6" w:space="0" w:color="auto"/>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91"/>
              <w:jc w:val="right"/>
              <w:rPr>
                <w:rFonts w:ascii="宋体" w:hAnsi="宋体" w:cs="宋体" w:eastAsia="宋体" w:hint="default"/>
                <w:sz w:val="13"/>
                <w:szCs w:val="13"/>
              </w:rPr>
            </w:pPr>
            <w:r>
              <w:rPr>
                <w:rFonts w:ascii="宋体" w:hAnsi="宋体" w:cs="宋体" w:eastAsia="宋体" w:hint="default"/>
                <w:sz w:val="13"/>
                <w:szCs w:val="13"/>
              </w:rPr>
              <w:t>单位：人民币元</w:t>
            </w:r>
          </w:p>
        </w:tc>
      </w:tr>
      <w:tr>
        <w:trPr>
          <w:trHeight w:val="355" w:hRule="exact"/>
        </w:trPr>
        <w:tc>
          <w:tcPr>
            <w:tcW w:w="2984" w:type="dxa"/>
            <w:gridSpan w:val="2"/>
            <w:tcBorders>
              <w:top w:val="nil" w:sz="6" w:space="0" w:color="auto"/>
              <w:left w:val="nil" w:sz="6" w:space="0" w:color="auto"/>
              <w:bottom w:val="single" w:sz="5" w:space="0" w:color="000000"/>
              <w:right w:val="nil" w:sz="6" w:space="0" w:color="auto"/>
            </w:tcBorders>
          </w:tcPr>
          <w:p>
            <w:pPr>
              <w:pStyle w:val="TableParagraph"/>
              <w:spacing w:line="240" w:lineRule="auto" w:before="9"/>
              <w:ind w:right="0"/>
              <w:jc w:val="left"/>
              <w:rPr>
                <w:rFonts w:ascii="黑体" w:hAnsi="黑体" w:cs="黑体" w:eastAsia="黑体" w:hint="default"/>
                <w:sz w:val="10"/>
                <w:szCs w:val="10"/>
              </w:rPr>
            </w:pPr>
          </w:p>
          <w:p>
            <w:pPr>
              <w:pStyle w:val="TableParagraph"/>
              <w:spacing w:line="240" w:lineRule="auto"/>
              <w:ind w:left="8" w:right="0"/>
              <w:jc w:val="center"/>
              <w:rPr>
                <w:rFonts w:ascii="宋体" w:hAnsi="宋体" w:cs="宋体" w:eastAsia="宋体" w:hint="default"/>
                <w:sz w:val="13"/>
                <w:szCs w:val="13"/>
              </w:rPr>
            </w:pPr>
            <w:r>
              <w:rPr>
                <w:rFonts w:ascii="宋体" w:hAnsi="宋体" w:cs="宋体" w:eastAsia="宋体" w:hint="default"/>
                <w:w w:val="105"/>
                <w:sz w:val="13"/>
                <w:szCs w:val="13"/>
              </w:rPr>
              <w:t>负债和股东权益</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5" w:space="0" w:color="000000"/>
              <w:right w:val="nil" w:sz="6" w:space="0" w:color="auto"/>
            </w:tcBorders>
          </w:tcPr>
          <w:p>
            <w:pPr>
              <w:pStyle w:val="TableParagraph"/>
              <w:spacing w:line="240" w:lineRule="auto" w:before="9"/>
              <w:ind w:right="0"/>
              <w:jc w:val="left"/>
              <w:rPr>
                <w:rFonts w:ascii="黑体" w:hAnsi="黑体" w:cs="黑体" w:eastAsia="黑体" w:hint="default"/>
                <w:sz w:val="10"/>
                <w:szCs w:val="10"/>
              </w:rPr>
            </w:pPr>
          </w:p>
          <w:p>
            <w:pPr>
              <w:pStyle w:val="TableParagraph"/>
              <w:spacing w:line="240" w:lineRule="auto"/>
              <w:ind w:left="169" w:right="0"/>
              <w:jc w:val="left"/>
              <w:rPr>
                <w:rFonts w:ascii="宋体" w:hAnsi="宋体" w:cs="宋体" w:eastAsia="宋体" w:hint="default"/>
                <w:sz w:val="13"/>
                <w:szCs w:val="13"/>
              </w:rPr>
            </w:pPr>
            <w:r>
              <w:rPr>
                <w:rFonts w:ascii="宋体" w:hAnsi="宋体" w:cs="宋体" w:eastAsia="宋体" w:hint="default"/>
                <w:w w:val="105"/>
                <w:sz w:val="13"/>
                <w:szCs w:val="13"/>
              </w:rPr>
              <w:t>附注</w:t>
            </w:r>
            <w:r>
              <w:rPr>
                <w:rFonts w:ascii="宋体" w:hAnsi="宋体" w:cs="宋体" w:eastAsia="宋体" w:hint="default"/>
                <w:sz w:val="13"/>
                <w:szCs w:val="13"/>
              </w:rPr>
            </w: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9"/>
              <w:ind w:right="0"/>
              <w:jc w:val="left"/>
              <w:rPr>
                <w:rFonts w:ascii="黑体" w:hAnsi="黑体" w:cs="黑体" w:eastAsia="黑体" w:hint="default"/>
                <w:sz w:val="10"/>
                <w:szCs w:val="10"/>
              </w:rPr>
            </w:pPr>
          </w:p>
          <w:p>
            <w:pPr>
              <w:pStyle w:val="TableParagraph"/>
              <w:spacing w:line="240" w:lineRule="auto"/>
              <w:ind w:left="8" w:right="0"/>
              <w:jc w:val="center"/>
              <w:rPr>
                <w:rFonts w:ascii="宋体" w:hAnsi="宋体" w:cs="宋体" w:eastAsia="宋体" w:hint="default"/>
                <w:sz w:val="13"/>
                <w:szCs w:val="13"/>
              </w:rPr>
            </w:pPr>
            <w:r>
              <w:rPr>
                <w:rFonts w:ascii="宋体" w:hAnsi="宋体" w:cs="宋体" w:eastAsia="宋体" w:hint="default"/>
                <w:w w:val="105"/>
                <w:sz w:val="13"/>
                <w:szCs w:val="13"/>
              </w:rPr>
              <w:t>期末数</w:t>
            </w:r>
            <w:r>
              <w:rPr>
                <w:rFonts w:ascii="宋体" w:hAnsi="宋体" w:cs="宋体" w:eastAsia="宋体" w:hint="default"/>
                <w:sz w:val="13"/>
                <w:szCs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9"/>
              <w:ind w:right="0"/>
              <w:jc w:val="left"/>
              <w:rPr>
                <w:rFonts w:ascii="黑体" w:hAnsi="黑体" w:cs="黑体" w:eastAsia="黑体" w:hint="default"/>
                <w:sz w:val="10"/>
                <w:szCs w:val="10"/>
              </w:rPr>
            </w:pPr>
          </w:p>
          <w:p>
            <w:pPr>
              <w:pStyle w:val="TableParagraph"/>
              <w:spacing w:line="240" w:lineRule="auto"/>
              <w:ind w:left="10" w:right="0"/>
              <w:jc w:val="center"/>
              <w:rPr>
                <w:rFonts w:ascii="宋体" w:hAnsi="宋体" w:cs="宋体" w:eastAsia="宋体" w:hint="default"/>
                <w:sz w:val="13"/>
                <w:szCs w:val="13"/>
              </w:rPr>
            </w:pPr>
            <w:r>
              <w:rPr>
                <w:rFonts w:ascii="宋体" w:hAnsi="宋体" w:cs="宋体" w:eastAsia="宋体" w:hint="default"/>
                <w:w w:val="105"/>
                <w:sz w:val="13"/>
                <w:szCs w:val="13"/>
              </w:rPr>
              <w:t>期初数</w:t>
            </w:r>
            <w:r>
              <w:rPr>
                <w:rFonts w:ascii="宋体" w:hAnsi="宋体" w:cs="宋体" w:eastAsia="宋体" w:hint="default"/>
                <w:sz w:val="13"/>
                <w:szCs w:val="13"/>
              </w:rPr>
            </w:r>
          </w:p>
        </w:tc>
      </w:tr>
      <w:tr>
        <w:trPr>
          <w:trHeight w:val="737" w:hRule="exact"/>
        </w:trPr>
        <w:tc>
          <w:tcPr>
            <w:tcW w:w="2984" w:type="dxa"/>
            <w:gridSpan w:val="2"/>
            <w:tcBorders>
              <w:top w:val="single" w:sz="5"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343" w:lineRule="auto"/>
              <w:ind w:left="159" w:right="2273" w:hanging="136"/>
              <w:jc w:val="left"/>
              <w:rPr>
                <w:rFonts w:ascii="宋体" w:hAnsi="宋体" w:cs="宋体" w:eastAsia="宋体" w:hint="default"/>
                <w:sz w:val="13"/>
                <w:szCs w:val="13"/>
              </w:rPr>
            </w:pPr>
            <w:r>
              <w:rPr>
                <w:rFonts w:ascii="宋体" w:hAnsi="宋体" w:cs="宋体" w:eastAsia="宋体" w:hint="default"/>
                <w:b/>
                <w:bCs/>
                <w:w w:val="105"/>
                <w:sz w:val="13"/>
                <w:szCs w:val="13"/>
              </w:rPr>
              <w:t>流动负债：</w:t>
            </w:r>
            <w:r>
              <w:rPr>
                <w:rFonts w:ascii="宋体" w:hAnsi="宋体" w:cs="宋体" w:eastAsia="宋体" w:hint="default"/>
                <w:b/>
                <w:bCs/>
                <w:spacing w:val="1"/>
                <w:w w:val="103"/>
                <w:sz w:val="13"/>
                <w:szCs w:val="13"/>
              </w:rPr>
              <w:t> </w:t>
            </w:r>
            <w:r>
              <w:rPr>
                <w:rFonts w:ascii="宋体" w:hAnsi="宋体" w:cs="宋体" w:eastAsia="宋体" w:hint="default"/>
                <w:w w:val="105"/>
                <w:sz w:val="13"/>
                <w:szCs w:val="13"/>
              </w:rPr>
              <w:t>短期借款</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single" w:sz="5" w:space="0" w:color="000000"/>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485"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343" w:lineRule="auto" w:before="19"/>
              <w:ind w:left="159" w:right="1874"/>
              <w:jc w:val="left"/>
              <w:rPr>
                <w:rFonts w:ascii="宋体" w:hAnsi="宋体" w:cs="宋体" w:eastAsia="宋体" w:hint="default"/>
                <w:sz w:val="13"/>
                <w:szCs w:val="13"/>
              </w:rPr>
            </w:pPr>
            <w:r>
              <w:rPr>
                <w:rFonts w:ascii="宋体" w:hAnsi="宋体" w:cs="宋体" w:eastAsia="宋体" w:hint="default"/>
                <w:sz w:val="13"/>
                <w:szCs w:val="13"/>
              </w:rPr>
              <w:t>交易性金融负债</w:t>
            </w:r>
            <w:r>
              <w:rPr>
                <w:rFonts w:ascii="宋体" w:hAnsi="宋体" w:cs="宋体" w:eastAsia="宋体" w:hint="default"/>
                <w:spacing w:val="-27"/>
                <w:sz w:val="13"/>
                <w:szCs w:val="13"/>
              </w:rPr>
              <w:t> </w:t>
            </w:r>
            <w:r>
              <w:rPr>
                <w:rFonts w:ascii="宋体" w:hAnsi="宋体" w:cs="宋体" w:eastAsia="宋体" w:hint="default"/>
                <w:w w:val="105"/>
                <w:sz w:val="13"/>
                <w:szCs w:val="13"/>
              </w:rPr>
              <w:t>应付票据</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343" w:lineRule="auto" w:before="19"/>
              <w:ind w:left="667" w:right="90" w:firstLine="677"/>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41,511,155.04</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343" w:lineRule="auto" w:before="19"/>
              <w:ind w:left="556" w:right="91" w:firstLine="677"/>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12,893,051.02</w:t>
            </w:r>
          </w:p>
        </w:tc>
      </w:tr>
      <w:tr>
        <w:trPr>
          <w:trHeight w:val="243"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59" w:right="0"/>
              <w:jc w:val="left"/>
              <w:rPr>
                <w:rFonts w:ascii="宋体" w:hAnsi="宋体" w:cs="宋体" w:eastAsia="宋体" w:hint="default"/>
                <w:sz w:val="13"/>
                <w:szCs w:val="13"/>
              </w:rPr>
            </w:pPr>
            <w:r>
              <w:rPr>
                <w:rFonts w:ascii="宋体" w:hAnsi="宋体" w:cs="宋体" w:eastAsia="宋体" w:hint="default"/>
                <w:w w:val="105"/>
                <w:sz w:val="13"/>
                <w:szCs w:val="13"/>
              </w:rPr>
              <w:t>应付账款</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宋体" w:hAnsi="宋体" w:cs="宋体" w:eastAsia="宋体" w:hint="default"/>
                <w:sz w:val="13"/>
                <w:szCs w:val="13"/>
              </w:rPr>
            </w:pPr>
            <w:r>
              <w:rPr>
                <w:rFonts w:ascii="宋体"/>
                <w:sz w:val="13"/>
              </w:rPr>
              <w:t>159,548,516.00</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宋体" w:hAnsi="宋体" w:cs="宋体" w:eastAsia="宋体" w:hint="default"/>
                <w:sz w:val="13"/>
                <w:szCs w:val="13"/>
              </w:rPr>
            </w:pPr>
            <w:r>
              <w:rPr>
                <w:rFonts w:ascii="宋体"/>
                <w:sz w:val="13"/>
              </w:rPr>
              <w:t>84,813,729.17</w:t>
            </w:r>
          </w:p>
        </w:tc>
      </w:tr>
      <w:tr>
        <w:trPr>
          <w:trHeight w:val="243"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59" w:right="0"/>
              <w:jc w:val="left"/>
              <w:rPr>
                <w:rFonts w:ascii="宋体" w:hAnsi="宋体" w:cs="宋体" w:eastAsia="宋体" w:hint="default"/>
                <w:sz w:val="13"/>
                <w:szCs w:val="13"/>
              </w:rPr>
            </w:pPr>
            <w:r>
              <w:rPr>
                <w:rFonts w:ascii="宋体" w:hAnsi="宋体" w:cs="宋体" w:eastAsia="宋体" w:hint="default"/>
                <w:w w:val="105"/>
                <w:sz w:val="13"/>
                <w:szCs w:val="13"/>
              </w:rPr>
              <w:t>预收款项</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宋体" w:hAnsi="宋体" w:cs="宋体" w:eastAsia="宋体" w:hint="default"/>
                <w:sz w:val="13"/>
                <w:szCs w:val="13"/>
              </w:rPr>
            </w:pPr>
            <w:r>
              <w:rPr>
                <w:rFonts w:ascii="宋体"/>
                <w:sz w:val="13"/>
              </w:rPr>
              <w:t>63,682,289.74</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宋体" w:hAnsi="宋体" w:cs="宋体" w:eastAsia="宋体" w:hint="default"/>
                <w:sz w:val="13"/>
                <w:szCs w:val="13"/>
              </w:rPr>
            </w:pPr>
            <w:r>
              <w:rPr>
                <w:rFonts w:ascii="宋体"/>
                <w:sz w:val="13"/>
              </w:rPr>
              <w:t>7,796,472.55</w:t>
            </w:r>
          </w:p>
        </w:tc>
      </w:tr>
      <w:tr>
        <w:trPr>
          <w:trHeight w:val="243"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59" w:right="0"/>
              <w:jc w:val="left"/>
              <w:rPr>
                <w:rFonts w:ascii="宋体" w:hAnsi="宋体" w:cs="宋体" w:eastAsia="宋体" w:hint="default"/>
                <w:sz w:val="13"/>
                <w:szCs w:val="13"/>
              </w:rPr>
            </w:pPr>
            <w:r>
              <w:rPr>
                <w:rFonts w:ascii="宋体" w:hAnsi="宋体" w:cs="宋体" w:eastAsia="宋体" w:hint="default"/>
                <w:w w:val="105"/>
                <w:sz w:val="13"/>
                <w:szCs w:val="13"/>
              </w:rPr>
              <w:t>应付职工薪酬</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宋体" w:hAnsi="宋体" w:cs="宋体" w:eastAsia="宋体" w:hint="default"/>
                <w:sz w:val="13"/>
                <w:szCs w:val="13"/>
              </w:rPr>
            </w:pPr>
            <w:r>
              <w:rPr>
                <w:rFonts w:ascii="宋体"/>
                <w:sz w:val="13"/>
              </w:rPr>
              <w:t>9,518,393.85</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宋体" w:hAnsi="宋体" w:cs="宋体" w:eastAsia="宋体" w:hint="default"/>
                <w:sz w:val="13"/>
                <w:szCs w:val="13"/>
              </w:rPr>
            </w:pPr>
            <w:r>
              <w:rPr>
                <w:rFonts w:ascii="宋体"/>
                <w:sz w:val="13"/>
              </w:rPr>
              <w:t>3,858,394.00</w:t>
            </w:r>
          </w:p>
        </w:tc>
      </w:tr>
      <w:tr>
        <w:trPr>
          <w:trHeight w:val="1204"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343" w:lineRule="auto" w:before="19"/>
              <w:ind w:left="159" w:right="2145"/>
              <w:jc w:val="left"/>
              <w:rPr>
                <w:rFonts w:ascii="宋体" w:hAnsi="宋体" w:cs="宋体" w:eastAsia="宋体" w:hint="default"/>
                <w:sz w:val="13"/>
                <w:szCs w:val="13"/>
              </w:rPr>
            </w:pPr>
            <w:r>
              <w:rPr>
                <w:rFonts w:ascii="宋体" w:hAnsi="宋体" w:cs="宋体" w:eastAsia="宋体" w:hint="default"/>
                <w:w w:val="105"/>
                <w:sz w:val="13"/>
                <w:szCs w:val="13"/>
              </w:rPr>
              <w:t>应交税费</w:t>
            </w:r>
            <w:r>
              <w:rPr>
                <w:rFonts w:ascii="宋体" w:hAnsi="宋体" w:cs="宋体" w:eastAsia="宋体" w:hint="default"/>
                <w:w w:val="104"/>
                <w:sz w:val="13"/>
                <w:szCs w:val="13"/>
              </w:rPr>
              <w:t> </w:t>
            </w:r>
            <w:r>
              <w:rPr>
                <w:rFonts w:ascii="宋体" w:hAnsi="宋体" w:cs="宋体" w:eastAsia="宋体" w:hint="default"/>
                <w:w w:val="105"/>
                <w:sz w:val="13"/>
                <w:szCs w:val="13"/>
              </w:rPr>
              <w:t>应付股利</w:t>
            </w:r>
            <w:r>
              <w:rPr>
                <w:rFonts w:ascii="宋体" w:hAnsi="宋体" w:cs="宋体" w:eastAsia="宋体" w:hint="default"/>
                <w:w w:val="104"/>
                <w:sz w:val="13"/>
                <w:szCs w:val="13"/>
              </w:rPr>
              <w:t> </w:t>
            </w:r>
            <w:r>
              <w:rPr>
                <w:rFonts w:ascii="宋体" w:hAnsi="宋体" w:cs="宋体" w:eastAsia="宋体" w:hint="default"/>
                <w:sz w:val="13"/>
                <w:szCs w:val="13"/>
              </w:rPr>
              <w:t>其他应付款</w:t>
            </w:r>
          </w:p>
          <w:p>
            <w:pPr>
              <w:pStyle w:val="TableParagraph"/>
              <w:spacing w:line="343" w:lineRule="auto" w:before="16"/>
              <w:ind w:left="159" w:right="1332"/>
              <w:jc w:val="left"/>
              <w:rPr>
                <w:rFonts w:ascii="宋体" w:hAnsi="宋体" w:cs="宋体" w:eastAsia="宋体" w:hint="default"/>
                <w:sz w:val="13"/>
                <w:szCs w:val="13"/>
              </w:rPr>
            </w:pPr>
            <w:r>
              <w:rPr>
                <w:rFonts w:ascii="宋体" w:hAnsi="宋体" w:cs="宋体" w:eastAsia="宋体" w:hint="default"/>
                <w:sz w:val="13"/>
                <w:szCs w:val="13"/>
              </w:rPr>
              <w:t>一年内到期的非流动负债</w:t>
            </w:r>
            <w:r>
              <w:rPr>
                <w:rFonts w:ascii="宋体" w:hAnsi="宋体" w:cs="宋体" w:eastAsia="宋体" w:hint="default"/>
                <w:spacing w:val="-5"/>
                <w:sz w:val="13"/>
                <w:szCs w:val="13"/>
              </w:rPr>
              <w:t> </w:t>
            </w:r>
            <w:r>
              <w:rPr>
                <w:rFonts w:ascii="宋体" w:hAnsi="宋体" w:cs="宋体" w:eastAsia="宋体" w:hint="default"/>
                <w:w w:val="105"/>
                <w:sz w:val="13"/>
                <w:szCs w:val="13"/>
              </w:rPr>
              <w:t>其他流动负债</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19"/>
              <w:ind w:left="870" w:right="0"/>
              <w:jc w:val="left"/>
              <w:rPr>
                <w:rFonts w:ascii="宋体" w:hAnsi="宋体" w:cs="宋体" w:eastAsia="宋体" w:hint="default"/>
                <w:sz w:val="13"/>
                <w:szCs w:val="13"/>
              </w:rPr>
            </w:pPr>
            <w:r>
              <w:rPr>
                <w:rFonts w:ascii="宋体"/>
                <w:w w:val="105"/>
                <w:sz w:val="13"/>
              </w:rPr>
              <w:t>942,874.89</w:t>
            </w:r>
            <w:r>
              <w:rPr>
                <w:rFonts w:ascii="宋体"/>
                <w:sz w:val="13"/>
              </w:rPr>
            </w:r>
          </w:p>
          <w:p>
            <w:pPr>
              <w:pStyle w:val="TableParagraph"/>
              <w:spacing w:line="343" w:lineRule="auto" w:before="72"/>
              <w:ind w:left="734" w:right="90" w:firstLine="609"/>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4,709,069.51</w:t>
            </w:r>
          </w:p>
          <w:p>
            <w:pPr>
              <w:pStyle w:val="TableParagraph"/>
              <w:spacing w:line="240" w:lineRule="auto" w:before="16"/>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19"/>
              <w:ind w:left="759" w:right="0"/>
              <w:jc w:val="left"/>
              <w:rPr>
                <w:rFonts w:ascii="宋体" w:hAnsi="宋体" w:cs="宋体" w:eastAsia="宋体" w:hint="default"/>
                <w:sz w:val="13"/>
                <w:szCs w:val="13"/>
              </w:rPr>
            </w:pPr>
            <w:r>
              <w:rPr>
                <w:rFonts w:ascii="宋体"/>
                <w:w w:val="105"/>
                <w:sz w:val="13"/>
              </w:rPr>
              <w:t>418,519.62</w:t>
            </w:r>
            <w:r>
              <w:rPr>
                <w:rFonts w:ascii="宋体"/>
                <w:sz w:val="13"/>
              </w:rPr>
            </w:r>
          </w:p>
          <w:p>
            <w:pPr>
              <w:pStyle w:val="TableParagraph"/>
              <w:spacing w:line="343" w:lineRule="auto" w:before="72"/>
              <w:ind w:left="624" w:right="91" w:firstLine="609"/>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1,528,831.29</w:t>
            </w:r>
          </w:p>
          <w:p>
            <w:pPr>
              <w:pStyle w:val="TableParagraph"/>
              <w:spacing w:line="240" w:lineRule="auto" w:before="16"/>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42"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94" w:right="0"/>
              <w:jc w:val="left"/>
              <w:rPr>
                <w:rFonts w:ascii="宋体" w:hAnsi="宋体" w:cs="宋体" w:eastAsia="宋体" w:hint="default"/>
                <w:sz w:val="13"/>
                <w:szCs w:val="13"/>
              </w:rPr>
            </w:pPr>
            <w:r>
              <w:rPr>
                <w:rFonts w:ascii="宋体" w:hAnsi="宋体" w:cs="宋体" w:eastAsia="宋体" w:hint="default"/>
                <w:w w:val="105"/>
                <w:sz w:val="13"/>
                <w:szCs w:val="13"/>
              </w:rPr>
              <w:t>流动负债合计</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279,912,299.03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1"/>
              <w:jc w:val="right"/>
              <w:rPr>
                <w:rFonts w:ascii="宋体" w:hAnsi="宋体" w:cs="宋体" w:eastAsia="宋体" w:hint="default"/>
                <w:sz w:val="13"/>
                <w:szCs w:val="13"/>
              </w:rPr>
            </w:pPr>
            <w:r>
              <w:rPr>
                <w:rFonts w:ascii="宋体"/>
                <w:sz w:val="13"/>
              </w:rPr>
              <w:t>111,308,997.65</w:t>
            </w:r>
          </w:p>
        </w:tc>
      </w:tr>
      <w:tr>
        <w:trPr>
          <w:trHeight w:val="737"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0"/>
                <w:szCs w:val="20"/>
              </w:rPr>
            </w:pPr>
          </w:p>
          <w:p>
            <w:pPr>
              <w:pStyle w:val="TableParagraph"/>
              <w:spacing w:line="343" w:lineRule="auto"/>
              <w:ind w:left="159" w:right="2136" w:hanging="136"/>
              <w:jc w:val="left"/>
              <w:rPr>
                <w:rFonts w:ascii="宋体" w:hAnsi="宋体" w:cs="宋体" w:eastAsia="宋体" w:hint="default"/>
                <w:sz w:val="13"/>
                <w:szCs w:val="13"/>
              </w:rPr>
            </w:pPr>
            <w:r>
              <w:rPr>
                <w:rFonts w:ascii="宋体" w:hAnsi="宋体" w:cs="宋体" w:eastAsia="宋体" w:hint="default"/>
                <w:b/>
                <w:bCs/>
                <w:w w:val="105"/>
                <w:sz w:val="13"/>
                <w:szCs w:val="13"/>
              </w:rPr>
              <w:t>非流动负债：</w:t>
            </w:r>
            <w:r>
              <w:rPr>
                <w:rFonts w:ascii="宋体" w:hAnsi="宋体" w:cs="宋体" w:eastAsia="宋体" w:hint="default"/>
                <w:b/>
                <w:bCs/>
                <w:spacing w:val="1"/>
                <w:w w:val="103"/>
                <w:sz w:val="13"/>
                <w:szCs w:val="13"/>
              </w:rPr>
              <w:t> </w:t>
            </w:r>
            <w:r>
              <w:rPr>
                <w:rFonts w:ascii="宋体" w:hAnsi="宋体" w:cs="宋体" w:eastAsia="宋体" w:hint="default"/>
                <w:w w:val="105"/>
                <w:sz w:val="13"/>
                <w:szCs w:val="13"/>
              </w:rPr>
              <w:t>长期借款</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43"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59" w:right="0"/>
              <w:jc w:val="left"/>
              <w:rPr>
                <w:rFonts w:ascii="宋体" w:hAnsi="宋体" w:cs="宋体" w:eastAsia="宋体" w:hint="default"/>
                <w:sz w:val="13"/>
                <w:szCs w:val="13"/>
              </w:rPr>
            </w:pPr>
            <w:r>
              <w:rPr>
                <w:rFonts w:ascii="宋体" w:hAnsi="宋体" w:cs="宋体" w:eastAsia="宋体" w:hint="default"/>
                <w:w w:val="105"/>
                <w:sz w:val="13"/>
                <w:szCs w:val="13"/>
              </w:rPr>
              <w:t>应付债券</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1204"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343" w:lineRule="auto" w:before="19"/>
              <w:ind w:left="159" w:right="1874"/>
              <w:jc w:val="left"/>
              <w:rPr>
                <w:rFonts w:ascii="宋体" w:hAnsi="宋体" w:cs="宋体" w:eastAsia="宋体" w:hint="default"/>
                <w:sz w:val="13"/>
                <w:szCs w:val="13"/>
              </w:rPr>
            </w:pPr>
            <w:r>
              <w:rPr>
                <w:rFonts w:ascii="宋体" w:hAnsi="宋体" w:cs="宋体" w:eastAsia="宋体" w:hint="default"/>
                <w:w w:val="105"/>
                <w:sz w:val="13"/>
                <w:szCs w:val="13"/>
              </w:rPr>
              <w:t>长期应付款</w:t>
            </w:r>
            <w:r>
              <w:rPr>
                <w:rFonts w:ascii="宋体" w:hAnsi="宋体" w:cs="宋体" w:eastAsia="宋体" w:hint="default"/>
                <w:w w:val="104"/>
                <w:sz w:val="13"/>
                <w:szCs w:val="13"/>
              </w:rPr>
              <w:t> </w:t>
            </w:r>
            <w:r>
              <w:rPr>
                <w:rFonts w:ascii="宋体" w:hAnsi="宋体" w:cs="宋体" w:eastAsia="宋体" w:hint="default"/>
                <w:w w:val="105"/>
                <w:sz w:val="13"/>
                <w:szCs w:val="13"/>
              </w:rPr>
              <w:t>专项应付款</w:t>
            </w:r>
            <w:r>
              <w:rPr>
                <w:rFonts w:ascii="宋体" w:hAnsi="宋体" w:cs="宋体" w:eastAsia="宋体" w:hint="default"/>
                <w:w w:val="104"/>
                <w:sz w:val="13"/>
                <w:szCs w:val="13"/>
              </w:rPr>
              <w:t> </w:t>
            </w:r>
            <w:r>
              <w:rPr>
                <w:rFonts w:ascii="宋体" w:hAnsi="宋体" w:cs="宋体" w:eastAsia="宋体" w:hint="default"/>
                <w:w w:val="105"/>
                <w:sz w:val="13"/>
                <w:szCs w:val="13"/>
              </w:rPr>
              <w:t>预计负债</w:t>
            </w:r>
            <w:r>
              <w:rPr>
                <w:rFonts w:ascii="宋体" w:hAnsi="宋体" w:cs="宋体" w:eastAsia="宋体" w:hint="default"/>
                <w:w w:val="104"/>
                <w:sz w:val="13"/>
                <w:szCs w:val="13"/>
              </w:rPr>
              <w:t> </w:t>
            </w:r>
            <w:r>
              <w:rPr>
                <w:rFonts w:ascii="宋体" w:hAnsi="宋体" w:cs="宋体" w:eastAsia="宋体" w:hint="default"/>
                <w:sz w:val="13"/>
                <w:szCs w:val="13"/>
              </w:rPr>
              <w:t>递延所得税负债</w:t>
            </w:r>
            <w:r>
              <w:rPr>
                <w:rFonts w:ascii="宋体" w:hAnsi="宋体" w:cs="宋体" w:eastAsia="宋体" w:hint="default"/>
                <w:spacing w:val="-27"/>
                <w:sz w:val="13"/>
                <w:szCs w:val="13"/>
              </w:rPr>
              <w:t> </w:t>
            </w:r>
            <w:r>
              <w:rPr>
                <w:rFonts w:ascii="宋体" w:hAnsi="宋体" w:cs="宋体" w:eastAsia="宋体" w:hint="default"/>
                <w:sz w:val="13"/>
                <w:szCs w:val="13"/>
              </w:rPr>
              <w:t>其他非流动负债</w:t>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343" w:lineRule="auto" w:before="72"/>
              <w:ind w:left="734" w:right="90" w:firstLine="609"/>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4,400,000.00</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343" w:lineRule="auto" w:before="72"/>
              <w:ind w:left="624" w:right="91" w:firstLine="609"/>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3,500,000.00</w:t>
            </w:r>
          </w:p>
        </w:tc>
      </w:tr>
      <w:tr>
        <w:trPr>
          <w:trHeight w:val="242"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94" w:right="0"/>
              <w:jc w:val="left"/>
              <w:rPr>
                <w:rFonts w:ascii="宋体" w:hAnsi="宋体" w:cs="宋体" w:eastAsia="宋体" w:hint="default"/>
                <w:sz w:val="13"/>
                <w:szCs w:val="13"/>
              </w:rPr>
            </w:pPr>
            <w:r>
              <w:rPr>
                <w:rFonts w:ascii="宋体" w:hAnsi="宋体" w:cs="宋体" w:eastAsia="宋体" w:hint="default"/>
                <w:w w:val="105"/>
                <w:sz w:val="13"/>
                <w:szCs w:val="13"/>
              </w:rPr>
              <w:t>非流动负债合计</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4,400,000.00</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1"/>
              <w:jc w:val="right"/>
              <w:rPr>
                <w:rFonts w:ascii="宋体" w:hAnsi="宋体" w:cs="宋体" w:eastAsia="宋体" w:hint="default"/>
                <w:sz w:val="13"/>
                <w:szCs w:val="13"/>
              </w:rPr>
            </w:pPr>
            <w:r>
              <w:rPr>
                <w:rFonts w:ascii="宋体"/>
                <w:sz w:val="13"/>
              </w:rPr>
              <w:t>3,500,000.00</w:t>
            </w:r>
          </w:p>
        </w:tc>
      </w:tr>
      <w:tr>
        <w:trPr>
          <w:trHeight w:val="255" w:hRule="exact"/>
        </w:trPr>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94" w:right="0"/>
              <w:jc w:val="left"/>
              <w:rPr>
                <w:rFonts w:ascii="宋体" w:hAnsi="宋体" w:cs="宋体" w:eastAsia="宋体" w:hint="default"/>
                <w:sz w:val="13"/>
                <w:szCs w:val="13"/>
              </w:rPr>
            </w:pPr>
            <w:r>
              <w:rPr>
                <w:rFonts w:ascii="宋体" w:hAnsi="宋体" w:cs="宋体" w:eastAsia="宋体" w:hint="default"/>
                <w:w w:val="105"/>
                <w:sz w:val="13"/>
                <w:szCs w:val="13"/>
              </w:rPr>
              <w:t>负债合计</w:t>
            </w:r>
            <w:r>
              <w:rPr>
                <w:rFonts w:ascii="宋体" w:hAnsi="宋体" w:cs="宋体" w:eastAsia="宋体" w:hint="default"/>
                <w:sz w:val="13"/>
                <w:szCs w:val="13"/>
              </w:rPr>
            </w:r>
          </w:p>
        </w:tc>
        <w:tc>
          <w:tcPr>
            <w:tcW w:w="505"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284,312,299.03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1"/>
              <w:jc w:val="right"/>
              <w:rPr>
                <w:rFonts w:ascii="宋体" w:hAnsi="宋体" w:cs="宋体" w:eastAsia="宋体" w:hint="default"/>
                <w:sz w:val="13"/>
                <w:szCs w:val="13"/>
              </w:rPr>
            </w:pPr>
            <w:r>
              <w:rPr>
                <w:rFonts w:ascii="宋体"/>
                <w:sz w:val="13"/>
              </w:rPr>
              <w:t>114,808,997.65</w:t>
            </w:r>
          </w:p>
        </w:tc>
      </w:tr>
      <w:tr>
        <w:trPr>
          <w:trHeight w:val="725"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343" w:lineRule="auto"/>
              <w:ind w:left="159" w:right="877" w:hanging="136"/>
              <w:jc w:val="left"/>
              <w:rPr>
                <w:rFonts w:ascii="宋体" w:hAnsi="宋体" w:cs="宋体" w:eastAsia="宋体" w:hint="default"/>
                <w:sz w:val="13"/>
                <w:szCs w:val="13"/>
              </w:rPr>
            </w:pPr>
            <w:r>
              <w:rPr>
                <w:rFonts w:ascii="宋体" w:hAnsi="宋体" w:cs="宋体" w:eastAsia="宋体" w:hint="default"/>
                <w:b/>
                <w:bCs/>
                <w:w w:val="105"/>
                <w:sz w:val="13"/>
                <w:szCs w:val="13"/>
              </w:rPr>
              <w:t>股东权益：</w:t>
            </w:r>
            <w:r>
              <w:rPr>
                <w:rFonts w:ascii="宋体" w:hAnsi="宋体" w:cs="宋体" w:eastAsia="宋体" w:hint="default"/>
                <w:b/>
                <w:bCs/>
                <w:spacing w:val="1"/>
                <w:w w:val="103"/>
                <w:sz w:val="13"/>
                <w:szCs w:val="13"/>
              </w:rPr>
              <w:t> </w:t>
            </w:r>
            <w:r>
              <w:rPr>
                <w:rFonts w:ascii="宋体" w:hAnsi="宋体" w:cs="宋体" w:eastAsia="宋体" w:hint="default"/>
                <w:w w:val="105"/>
                <w:sz w:val="13"/>
                <w:szCs w:val="13"/>
              </w:rPr>
              <w:t>股本</w:t>
            </w:r>
            <w:r>
              <w:rPr>
                <w:rFonts w:ascii="宋体" w:hAnsi="宋体" w:cs="宋体" w:eastAsia="宋体" w:hint="default"/>
                <w:sz w:val="13"/>
                <w:szCs w:val="13"/>
              </w:rPr>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4"/>
              <w:ind w:right="0"/>
              <w:jc w:val="left"/>
              <w:rPr>
                <w:rFonts w:ascii="黑体" w:hAnsi="黑体" w:cs="黑体" w:eastAsia="黑体" w:hint="default"/>
                <w:sz w:val="10"/>
                <w:szCs w:val="10"/>
              </w:rPr>
            </w:pPr>
          </w:p>
          <w:p>
            <w:pPr>
              <w:pStyle w:val="TableParagraph"/>
              <w:spacing w:line="240" w:lineRule="auto"/>
              <w:ind w:left="1786" w:right="0"/>
              <w:jc w:val="left"/>
              <w:rPr>
                <w:rFonts w:ascii="宋体" w:hAnsi="宋体" w:cs="宋体" w:eastAsia="宋体" w:hint="default"/>
                <w:sz w:val="13"/>
                <w:szCs w:val="13"/>
              </w:rPr>
            </w:pPr>
            <w:r>
              <w:rPr>
                <w:rFonts w:ascii="宋体"/>
                <w:w w:val="105"/>
                <w:sz w:val="13"/>
              </w:rPr>
              <w:t>114,300,000.00</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4"/>
              <w:ind w:right="0"/>
              <w:jc w:val="left"/>
              <w:rPr>
                <w:rFonts w:ascii="黑体" w:hAnsi="黑体" w:cs="黑体" w:eastAsia="黑体" w:hint="default"/>
                <w:sz w:val="10"/>
                <w:szCs w:val="10"/>
              </w:rPr>
            </w:pPr>
          </w:p>
          <w:p>
            <w:pPr>
              <w:pStyle w:val="TableParagraph"/>
              <w:spacing w:line="240" w:lineRule="auto"/>
              <w:ind w:right="91"/>
              <w:jc w:val="right"/>
              <w:rPr>
                <w:rFonts w:ascii="宋体" w:hAnsi="宋体" w:cs="宋体" w:eastAsia="宋体" w:hint="default"/>
                <w:sz w:val="13"/>
                <w:szCs w:val="13"/>
              </w:rPr>
            </w:pPr>
            <w:r>
              <w:rPr>
                <w:rFonts w:ascii="宋体"/>
                <w:sz w:val="13"/>
              </w:rPr>
              <w:t>63,500,000.00</w:t>
            </w:r>
          </w:p>
        </w:tc>
      </w:tr>
      <w:tr>
        <w:trPr>
          <w:trHeight w:val="243"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9" w:right="0"/>
              <w:jc w:val="left"/>
              <w:rPr>
                <w:rFonts w:ascii="宋体" w:hAnsi="宋体" w:cs="宋体" w:eastAsia="宋体" w:hint="default"/>
                <w:sz w:val="13"/>
                <w:szCs w:val="13"/>
              </w:rPr>
            </w:pPr>
            <w:r>
              <w:rPr>
                <w:rFonts w:ascii="宋体" w:hAnsi="宋体" w:cs="宋体" w:eastAsia="宋体" w:hint="default"/>
                <w:w w:val="105"/>
                <w:sz w:val="13"/>
                <w:szCs w:val="13"/>
              </w:rPr>
              <w:t>资本公积</w:t>
            </w:r>
            <w:r>
              <w:rPr>
                <w:rFonts w:ascii="宋体" w:hAnsi="宋体" w:cs="宋体" w:eastAsia="宋体" w:hint="default"/>
                <w:sz w:val="13"/>
                <w:szCs w:val="13"/>
              </w:rPr>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786" w:right="0"/>
              <w:jc w:val="left"/>
              <w:rPr>
                <w:rFonts w:ascii="宋体" w:hAnsi="宋体" w:cs="宋体" w:eastAsia="宋体" w:hint="default"/>
                <w:sz w:val="13"/>
                <w:szCs w:val="13"/>
              </w:rPr>
            </w:pPr>
            <w:r>
              <w:rPr>
                <w:rFonts w:ascii="宋体"/>
                <w:w w:val="105"/>
                <w:sz w:val="13"/>
              </w:rPr>
              <w:t>641,920,393.65</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宋体" w:hAnsi="宋体" w:cs="宋体" w:eastAsia="宋体" w:hint="default"/>
                <w:sz w:val="13"/>
                <w:szCs w:val="13"/>
              </w:rPr>
            </w:pPr>
            <w:r>
              <w:rPr>
                <w:rFonts w:ascii="宋体"/>
                <w:sz w:val="13"/>
              </w:rPr>
              <w:t>692,720,393.65</w:t>
            </w:r>
          </w:p>
        </w:tc>
      </w:tr>
      <w:tr>
        <w:trPr>
          <w:trHeight w:val="728"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343" w:lineRule="auto" w:before="19"/>
              <w:ind w:left="159" w:right="749"/>
              <w:jc w:val="left"/>
              <w:rPr>
                <w:rFonts w:ascii="宋体" w:hAnsi="宋体" w:cs="宋体" w:eastAsia="宋体" w:hint="default"/>
                <w:sz w:val="13"/>
                <w:szCs w:val="13"/>
              </w:rPr>
            </w:pPr>
            <w:r>
              <w:rPr>
                <w:rFonts w:ascii="宋体" w:hAnsi="宋体" w:cs="宋体" w:eastAsia="宋体" w:hint="default"/>
                <w:sz w:val="13"/>
                <w:szCs w:val="13"/>
              </w:rPr>
              <w:t>减：库存股</w:t>
            </w:r>
            <w:r>
              <w:rPr>
                <w:rFonts w:ascii="宋体" w:hAnsi="宋体" w:cs="宋体" w:eastAsia="宋体" w:hint="default"/>
                <w:spacing w:val="-38"/>
                <w:sz w:val="13"/>
                <w:szCs w:val="13"/>
              </w:rPr>
              <w:t> </w:t>
            </w:r>
            <w:r>
              <w:rPr>
                <w:rFonts w:ascii="宋体" w:hAnsi="宋体" w:cs="宋体" w:eastAsia="宋体" w:hint="default"/>
                <w:w w:val="105"/>
                <w:sz w:val="13"/>
                <w:szCs w:val="13"/>
              </w:rPr>
              <w:t>专项储备</w:t>
            </w:r>
            <w:r>
              <w:rPr>
                <w:rFonts w:ascii="宋体" w:hAnsi="宋体" w:cs="宋体" w:eastAsia="宋体" w:hint="default"/>
                <w:w w:val="104"/>
                <w:sz w:val="13"/>
                <w:szCs w:val="13"/>
              </w:rPr>
              <w:t> </w:t>
            </w:r>
            <w:r>
              <w:rPr>
                <w:rFonts w:ascii="宋体" w:hAnsi="宋体" w:cs="宋体" w:eastAsia="宋体" w:hint="default"/>
                <w:w w:val="105"/>
                <w:sz w:val="13"/>
                <w:szCs w:val="13"/>
              </w:rPr>
              <w:t>盈余公积</w:t>
            </w:r>
            <w:r>
              <w:rPr>
                <w:rFonts w:ascii="宋体" w:hAnsi="宋体" w:cs="宋体" w:eastAsia="宋体" w:hint="default"/>
                <w:sz w:val="13"/>
                <w:szCs w:val="13"/>
              </w:rPr>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343" w:lineRule="auto" w:before="72"/>
              <w:ind w:left="1854" w:right="90" w:firstLine="677"/>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10,796,086.08</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宋体" w:hAnsi="宋体" w:cs="宋体" w:eastAsia="宋体" w:hint="default"/>
                <w:sz w:val="13"/>
                <w:szCs w:val="13"/>
              </w:rPr>
            </w:pPr>
            <w:r>
              <w:rPr>
                <w:rFonts w:ascii="宋体"/>
                <w:w w:val="104"/>
                <w:sz w:val="13"/>
              </w:rPr>
              <w:t>-</w:t>
            </w:r>
            <w:r>
              <w:rPr>
                <w:rFonts w:ascii="宋体"/>
                <w:sz w:val="13"/>
              </w:rPr>
            </w:r>
          </w:p>
          <w:p>
            <w:pPr>
              <w:pStyle w:val="TableParagraph"/>
              <w:spacing w:line="343" w:lineRule="auto" w:before="72"/>
              <w:ind w:left="624" w:right="91" w:firstLine="609"/>
              <w:jc w:val="left"/>
              <w:rPr>
                <w:rFonts w:ascii="宋体" w:hAnsi="宋体" w:cs="宋体" w:eastAsia="宋体" w:hint="default"/>
                <w:sz w:val="13"/>
                <w:szCs w:val="13"/>
              </w:rPr>
            </w:pPr>
            <w:r>
              <w:rPr>
                <w:rFonts w:ascii="宋体"/>
                <w:w w:val="105"/>
                <w:sz w:val="13"/>
              </w:rPr>
              <w:t>-</w:t>
            </w:r>
            <w:r>
              <w:rPr>
                <w:rFonts w:ascii="宋体"/>
                <w:w w:val="104"/>
                <w:sz w:val="13"/>
              </w:rPr>
              <w:t> </w:t>
            </w:r>
            <w:r>
              <w:rPr>
                <w:rFonts w:ascii="宋体"/>
                <w:sz w:val="13"/>
              </w:rPr>
              <w:t>7,020,701.36</w:t>
            </w:r>
          </w:p>
        </w:tc>
      </w:tr>
      <w:tr>
        <w:trPr>
          <w:trHeight w:val="476"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343" w:lineRule="auto" w:before="19"/>
              <w:ind w:left="159" w:right="343"/>
              <w:jc w:val="left"/>
              <w:rPr>
                <w:rFonts w:ascii="宋体" w:hAnsi="宋体" w:cs="宋体" w:eastAsia="宋体" w:hint="default"/>
                <w:sz w:val="13"/>
                <w:szCs w:val="13"/>
              </w:rPr>
            </w:pPr>
            <w:r>
              <w:rPr>
                <w:rFonts w:ascii="宋体" w:hAnsi="宋体" w:cs="宋体" w:eastAsia="宋体" w:hint="default"/>
                <w:w w:val="105"/>
                <w:sz w:val="13"/>
                <w:szCs w:val="13"/>
              </w:rPr>
              <w:t>未分配利润</w:t>
            </w:r>
            <w:r>
              <w:rPr>
                <w:rFonts w:ascii="宋体" w:hAnsi="宋体" w:cs="宋体" w:eastAsia="宋体" w:hint="default"/>
                <w:w w:val="104"/>
                <w:sz w:val="13"/>
                <w:szCs w:val="13"/>
              </w:rPr>
              <w:t> </w:t>
            </w:r>
            <w:r>
              <w:rPr>
                <w:rFonts w:ascii="宋体" w:hAnsi="宋体" w:cs="宋体" w:eastAsia="宋体" w:hint="default"/>
                <w:sz w:val="13"/>
                <w:szCs w:val="13"/>
              </w:rPr>
              <w:t>外币报表折算差额</w:t>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854" w:right="0"/>
              <w:jc w:val="left"/>
              <w:rPr>
                <w:rFonts w:ascii="宋体" w:hAnsi="宋体" w:cs="宋体" w:eastAsia="宋体" w:hint="default"/>
                <w:sz w:val="13"/>
                <w:szCs w:val="13"/>
              </w:rPr>
            </w:pPr>
            <w:r>
              <w:rPr>
                <w:rFonts w:ascii="宋体"/>
                <w:w w:val="105"/>
                <w:sz w:val="13"/>
              </w:rPr>
              <w:t>74,679,854.46</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19"/>
              <w:ind w:left="556" w:right="0"/>
              <w:jc w:val="left"/>
              <w:rPr>
                <w:rFonts w:ascii="宋体" w:hAnsi="宋体" w:cs="宋体" w:eastAsia="宋体" w:hint="default"/>
                <w:sz w:val="13"/>
                <w:szCs w:val="13"/>
              </w:rPr>
            </w:pPr>
            <w:r>
              <w:rPr>
                <w:rFonts w:ascii="宋体"/>
                <w:w w:val="105"/>
                <w:sz w:val="13"/>
              </w:rPr>
              <w:t>53,401,391.95</w:t>
            </w:r>
            <w:r>
              <w:rPr>
                <w:rFonts w:ascii="宋体"/>
                <w:sz w:val="13"/>
              </w:rPr>
            </w:r>
          </w:p>
          <w:p>
            <w:pPr>
              <w:pStyle w:val="TableParagraph"/>
              <w:spacing w:line="240" w:lineRule="auto" w:before="72"/>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42"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4" w:right="0"/>
              <w:jc w:val="left"/>
              <w:rPr>
                <w:rFonts w:ascii="宋体" w:hAnsi="宋体" w:cs="宋体" w:eastAsia="宋体" w:hint="default"/>
                <w:sz w:val="13"/>
                <w:szCs w:val="13"/>
              </w:rPr>
            </w:pPr>
            <w:r>
              <w:rPr>
                <w:rFonts w:ascii="宋体" w:hAnsi="宋体" w:cs="宋体" w:eastAsia="宋体" w:hint="default"/>
                <w:w w:val="105"/>
                <w:sz w:val="13"/>
                <w:szCs w:val="13"/>
              </w:rPr>
              <w:t>股东权益合计</w:t>
            </w:r>
            <w:r>
              <w:rPr>
                <w:rFonts w:ascii="宋体" w:hAnsi="宋体" w:cs="宋体" w:eastAsia="宋体" w:hint="default"/>
                <w:sz w:val="13"/>
                <w:szCs w:val="13"/>
              </w:rPr>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786" w:right="0"/>
              <w:jc w:val="left"/>
              <w:rPr>
                <w:rFonts w:ascii="宋体" w:hAnsi="宋体" w:cs="宋体" w:eastAsia="宋体" w:hint="default"/>
                <w:sz w:val="13"/>
                <w:szCs w:val="13"/>
              </w:rPr>
            </w:pPr>
            <w:r>
              <w:rPr>
                <w:rFonts w:ascii="宋体"/>
                <w:w w:val="105"/>
                <w:sz w:val="13"/>
              </w:rPr>
              <w:t>841,696,334.19</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22"/>
              <w:ind w:right="91"/>
              <w:jc w:val="right"/>
              <w:rPr>
                <w:rFonts w:ascii="宋体" w:hAnsi="宋体" w:cs="宋体" w:eastAsia="宋体" w:hint="default"/>
                <w:sz w:val="13"/>
                <w:szCs w:val="13"/>
              </w:rPr>
            </w:pPr>
            <w:r>
              <w:rPr>
                <w:rFonts w:ascii="宋体"/>
                <w:sz w:val="13"/>
              </w:rPr>
              <w:t>816,642,486.96</w:t>
            </w:r>
          </w:p>
        </w:tc>
      </w:tr>
      <w:tr>
        <w:trPr>
          <w:trHeight w:val="172" w:hRule="exact"/>
        </w:trPr>
        <w:tc>
          <w:tcPr>
            <w:tcW w:w="1588" w:type="dxa"/>
            <w:tcBorders>
              <w:top w:val="nil" w:sz="6" w:space="0" w:color="auto"/>
              <w:left w:val="nil" w:sz="6" w:space="0" w:color="auto"/>
              <w:bottom w:val="nil" w:sz="6" w:space="0" w:color="auto"/>
              <w:right w:val="nil" w:sz="6" w:space="0" w:color="auto"/>
            </w:tcBorders>
          </w:tcPr>
          <w:p>
            <w:pP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181" w:right="-55"/>
              <w:jc w:val="left"/>
              <w:rPr>
                <w:rFonts w:ascii="黑体" w:hAnsi="黑体" w:cs="黑体" w:eastAsia="黑体" w:hint="default"/>
                <w:sz w:val="2"/>
                <w:szCs w:val="2"/>
              </w:rPr>
            </w:pPr>
            <w:r>
              <w:rPr>
                <w:rFonts w:ascii="黑体" w:hAnsi="黑体" w:cs="黑体" w:eastAsia="黑体" w:hint="default"/>
                <w:sz w:val="2"/>
                <w:szCs w:val="2"/>
              </w:rPr>
              <w:pict>
                <v:group style="width:82.65pt;height:.65pt;mso-position-horizontal-relative:char;mso-position-vertical-relative:line" coordorigin="0,0" coordsize="1653,13">
                  <v:group style="position:absolute;left:7;top:1;width:1640;height:2" coordorigin="7,1" coordsize="1640,2">
                    <v:shape style="position:absolute;left:7;top:1;width:1640;height:2" coordorigin="7,1" coordsize="1640,0" path="m7,1l1646,1e" filled="false" stroked="true" strokeweight=".087334pt" strokecolor="#000000">
                      <v:path arrowok="t"/>
                    </v:shape>
                  </v:group>
                  <v:group style="position:absolute;left:6;top:6;width:1641;height:2" coordorigin="6,6" coordsize="1641,2">
                    <v:shape style="position:absolute;left:6;top:6;width:1641;height:2" coordorigin="6,6" coordsize="1641,0" path="m6,6l1647,6e" filled="false" stroked="true" strokeweight=".598835pt" strokecolor="#000000">
                      <v:path arrowok="t"/>
                    </v:shape>
                  </v:group>
                </v:group>
              </w:pict>
            </w:r>
            <w:r>
              <w:rPr>
                <w:rFonts w:ascii="黑体" w:hAnsi="黑体" w:cs="黑体" w:eastAsia="黑体" w:hint="default"/>
                <w:sz w:val="2"/>
                <w:szCs w:val="2"/>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
        </w:tc>
      </w:tr>
      <w:tr>
        <w:trPr>
          <w:trHeight w:val="243"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3" w:right="0"/>
              <w:jc w:val="left"/>
              <w:rPr>
                <w:rFonts w:ascii="宋体" w:hAnsi="宋体" w:cs="宋体" w:eastAsia="宋体" w:hint="default"/>
                <w:sz w:val="13"/>
                <w:szCs w:val="13"/>
              </w:rPr>
            </w:pPr>
            <w:r>
              <w:rPr>
                <w:rFonts w:ascii="宋体" w:hAnsi="宋体" w:cs="宋体" w:eastAsia="宋体" w:hint="default"/>
                <w:b/>
                <w:bCs/>
                <w:w w:val="105"/>
                <w:sz w:val="13"/>
                <w:szCs w:val="13"/>
              </w:rPr>
              <w:t>负债和股东权益总计</w:t>
            </w:r>
            <w:r>
              <w:rPr>
                <w:rFonts w:ascii="宋体" w:hAnsi="宋体" w:cs="宋体" w:eastAsia="宋体" w:hint="default"/>
                <w:sz w:val="13"/>
                <w:szCs w:val="13"/>
              </w:rPr>
            </w:r>
          </w:p>
        </w:tc>
        <w:tc>
          <w:tcPr>
            <w:tcW w:w="1901" w:type="dxa"/>
            <w:gridSpan w:val="2"/>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651" w:right="0"/>
              <w:jc w:val="left"/>
              <w:rPr>
                <w:rFonts w:ascii="宋体" w:hAnsi="宋体" w:cs="宋体" w:eastAsia="宋体" w:hint="default"/>
                <w:sz w:val="13"/>
                <w:szCs w:val="13"/>
              </w:rPr>
            </w:pPr>
            <w:r>
              <w:rPr>
                <w:rFonts w:ascii="宋体"/>
                <w:w w:val="105"/>
                <w:sz w:val="13"/>
              </w:rPr>
              <w:t>1,126,008,633.22</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Style w:val="TableParagraph"/>
              <w:spacing w:line="240" w:lineRule="auto" w:before="22"/>
              <w:ind w:right="91"/>
              <w:jc w:val="right"/>
              <w:rPr>
                <w:rFonts w:ascii="宋体" w:hAnsi="宋体" w:cs="宋体" w:eastAsia="宋体" w:hint="default"/>
                <w:sz w:val="13"/>
                <w:szCs w:val="13"/>
              </w:rPr>
            </w:pPr>
            <w:r>
              <w:rPr>
                <w:rFonts w:ascii="宋体"/>
                <w:sz w:val="13"/>
              </w:rPr>
              <w:t>931,451,484.61</w:t>
            </w:r>
          </w:p>
        </w:tc>
      </w:tr>
      <w:tr>
        <w:trPr>
          <w:trHeight w:val="183" w:hRule="exact"/>
        </w:trPr>
        <w:tc>
          <w:tcPr>
            <w:tcW w:w="1588" w:type="dxa"/>
            <w:tcBorders>
              <w:top w:val="nil" w:sz="6" w:space="0" w:color="auto"/>
              <w:left w:val="nil" w:sz="6" w:space="0" w:color="auto"/>
              <w:bottom w:val="single" w:sz="5" w:space="0" w:color="000000"/>
              <w:right w:val="nil" w:sz="6" w:space="0" w:color="auto"/>
            </w:tcBorders>
          </w:tcPr>
          <w:p>
            <w:pPr/>
          </w:p>
        </w:tc>
        <w:tc>
          <w:tcPr>
            <w:tcW w:w="1901" w:type="dxa"/>
            <w:gridSpan w:val="2"/>
            <w:tcBorders>
              <w:top w:val="nil" w:sz="6" w:space="0" w:color="auto"/>
              <w:left w:val="nil" w:sz="6" w:space="0" w:color="auto"/>
              <w:bottom w:val="single" w:sz="5" w:space="0" w:color="000000"/>
              <w:right w:val="nil" w:sz="6" w:space="0" w:color="auto"/>
            </w:tcBorders>
          </w:tcPr>
          <w:p>
            <w:pPr/>
          </w:p>
        </w:tc>
        <w:tc>
          <w:tcPr>
            <w:tcW w:w="2828" w:type="dxa"/>
            <w:gridSpan w:val="2"/>
            <w:tcBorders>
              <w:top w:val="nil" w:sz="6" w:space="0" w:color="auto"/>
              <w:left w:val="nil" w:sz="6" w:space="0" w:color="auto"/>
              <w:bottom w:val="single" w:sz="5" w:space="0" w:color="000000"/>
              <w:right w:val="nil" w:sz="6" w:space="0" w:color="auto"/>
            </w:tcBorders>
          </w:tcPr>
          <w:p>
            <w:pPr>
              <w:pStyle w:val="TableParagraph"/>
              <w:spacing w:line="35" w:lineRule="exact"/>
              <w:ind w:left="1181" w:right="-55"/>
              <w:jc w:val="left"/>
              <w:rPr>
                <w:rFonts w:ascii="黑体" w:hAnsi="黑体" w:cs="黑体" w:eastAsia="黑体" w:hint="default"/>
                <w:sz w:val="3"/>
                <w:szCs w:val="3"/>
              </w:rPr>
            </w:pPr>
            <w:r>
              <w:rPr>
                <w:rFonts w:ascii="黑体" w:hAnsi="黑体" w:cs="黑体" w:eastAsia="黑体" w:hint="default"/>
                <w:position w:val="0"/>
                <w:sz w:val="3"/>
                <w:szCs w:val="3"/>
              </w:rPr>
              <w:pict>
                <v:group style="width:82.65pt;height:1.8pt;mso-position-horizontal-relative:char;mso-position-vertical-relative:line" coordorigin="0,0" coordsize="1653,36">
                  <v:group style="position:absolute;left:6;top:6;width:1641;height:2" coordorigin="6,6" coordsize="1641,2">
                    <v:shape style="position:absolute;left:6;top:6;width:1641;height:2" coordorigin="6,6" coordsize="1641,0" path="m6,6l1647,6e" filled="false" stroked="true" strokeweight=".598872pt" strokecolor="#000000">
                      <v:path arrowok="t"/>
                    </v:shape>
                  </v:group>
                  <v:group style="position:absolute;left:6;top:30;width:1641;height:2" coordorigin="6,30" coordsize="1641,2">
                    <v:shape style="position:absolute;left:6;top:30;width:1641;height:2" coordorigin="6,30" coordsize="1641,0" path="m6,30l1647,30e" filled="false" stroked="true" strokeweight=".598872pt" strokecolor="#000000">
                      <v:path arrowok="t"/>
                    </v:shape>
                  </v:group>
                </v:group>
              </w:pict>
            </w:r>
            <w:r>
              <w:rPr>
                <w:rFonts w:ascii="黑体" w:hAnsi="黑体" w:cs="黑体" w:eastAsia="黑体" w:hint="default"/>
                <w:position w:val="0"/>
                <w:sz w:val="3"/>
                <w:szCs w:val="3"/>
              </w:rPr>
            </w:r>
          </w:p>
        </w:tc>
        <w:tc>
          <w:tcPr>
            <w:tcW w:w="542" w:type="dxa"/>
            <w:tcBorders>
              <w:top w:val="nil" w:sz="6" w:space="0" w:color="auto"/>
              <w:left w:val="nil" w:sz="6" w:space="0" w:color="auto"/>
              <w:bottom w:val="single" w:sz="5" w:space="0" w:color="000000"/>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35" w:lineRule="exact"/>
              <w:ind w:left="-6" w:right="-55"/>
              <w:jc w:val="left"/>
              <w:rPr>
                <w:rFonts w:ascii="黑体" w:hAnsi="黑体" w:cs="黑体" w:eastAsia="黑体" w:hint="default"/>
                <w:sz w:val="3"/>
                <w:szCs w:val="3"/>
              </w:rPr>
            </w:pPr>
            <w:r>
              <w:rPr>
                <w:rFonts w:ascii="黑体" w:hAnsi="黑体" w:cs="黑体" w:eastAsia="黑体" w:hint="default"/>
                <w:position w:val="0"/>
                <w:sz w:val="3"/>
                <w:szCs w:val="3"/>
              </w:rPr>
              <w:pict>
                <v:group style="width:77.150pt;height:1.8pt;mso-position-horizontal-relative:char;mso-position-vertical-relative:line" coordorigin="0,0" coordsize="1543,36">
                  <v:group style="position:absolute;left:6;top:6;width:1531;height:2" coordorigin="6,6" coordsize="1531,2">
                    <v:shape style="position:absolute;left:6;top:6;width:1531;height:2" coordorigin="6,6" coordsize="1531,0" path="m6,6l1536,6e" filled="false" stroked="true" strokeweight=".598872pt" strokecolor="#000000">
                      <v:path arrowok="t"/>
                    </v:shape>
                  </v:group>
                  <v:group style="position:absolute;left:6;top:30;width:1531;height:2" coordorigin="6,30" coordsize="1531,2">
                    <v:shape style="position:absolute;left:6;top:30;width:1531;height:2" coordorigin="6,30" coordsize="1531,0" path="m6,30l1536,30e" filled="false" stroked="true" strokeweight=".598872pt" strokecolor="#000000">
                      <v:path arrowok="t"/>
                    </v:shape>
                  </v:group>
                </v:group>
              </w:pict>
            </w:r>
            <w:r>
              <w:rPr>
                <w:rFonts w:ascii="黑体" w:hAnsi="黑体" w:cs="黑体" w:eastAsia="黑体" w:hint="default"/>
                <w:position w:val="0"/>
                <w:sz w:val="3"/>
                <w:szCs w:val="3"/>
              </w:rPr>
            </w:r>
          </w:p>
        </w:tc>
      </w:tr>
      <w:tr>
        <w:trPr>
          <w:trHeight w:val="265" w:hRule="exact"/>
        </w:trPr>
        <w:tc>
          <w:tcPr>
            <w:tcW w:w="1588" w:type="dxa"/>
            <w:tcBorders>
              <w:top w:val="single" w:sz="5" w:space="0" w:color="000000"/>
              <w:left w:val="nil" w:sz="6" w:space="0" w:color="auto"/>
              <w:bottom w:val="nil" w:sz="6" w:space="0" w:color="auto"/>
              <w:right w:val="nil" w:sz="6" w:space="0" w:color="auto"/>
            </w:tcBorders>
          </w:tcPr>
          <w:p>
            <w:pPr>
              <w:pStyle w:val="TableParagraph"/>
              <w:spacing w:line="158" w:lineRule="exact"/>
              <w:ind w:left="23" w:right="0"/>
              <w:jc w:val="left"/>
              <w:rPr>
                <w:rFonts w:ascii="宋体" w:hAnsi="宋体" w:cs="宋体" w:eastAsia="宋体" w:hint="default"/>
                <w:sz w:val="13"/>
                <w:szCs w:val="13"/>
              </w:rPr>
            </w:pPr>
            <w:r>
              <w:rPr>
                <w:rFonts w:ascii="宋体" w:hAnsi="宋体" w:cs="宋体" w:eastAsia="宋体" w:hint="default"/>
                <w:w w:val="105"/>
                <w:sz w:val="13"/>
                <w:szCs w:val="13"/>
              </w:rPr>
              <w:t>公司负责人：刘祥</w:t>
            </w:r>
            <w:r>
              <w:rPr>
                <w:rFonts w:ascii="宋体" w:hAnsi="宋体" w:cs="宋体" w:eastAsia="宋体" w:hint="default"/>
                <w:sz w:val="13"/>
                <w:szCs w:val="13"/>
              </w:rPr>
            </w:r>
          </w:p>
        </w:tc>
        <w:tc>
          <w:tcPr>
            <w:tcW w:w="4729" w:type="dxa"/>
            <w:gridSpan w:val="4"/>
            <w:tcBorders>
              <w:top w:val="single" w:sz="5" w:space="0" w:color="000000"/>
              <w:left w:val="nil" w:sz="6" w:space="0" w:color="auto"/>
              <w:bottom w:val="nil" w:sz="6" w:space="0" w:color="auto"/>
              <w:right w:val="nil" w:sz="6" w:space="0" w:color="auto"/>
            </w:tcBorders>
          </w:tcPr>
          <w:p>
            <w:pPr>
              <w:pStyle w:val="TableParagraph"/>
              <w:tabs>
                <w:tab w:pos="2770" w:val="left" w:leader="none"/>
              </w:tabs>
              <w:spacing w:line="158" w:lineRule="exact"/>
              <w:ind w:left="332" w:right="0"/>
              <w:jc w:val="left"/>
              <w:rPr>
                <w:rFonts w:ascii="宋体" w:hAnsi="宋体" w:cs="宋体" w:eastAsia="宋体" w:hint="default"/>
                <w:sz w:val="13"/>
                <w:szCs w:val="13"/>
              </w:rPr>
            </w:pPr>
            <w:r>
              <w:rPr>
                <w:rFonts w:ascii="宋体" w:hAnsi="宋体" w:cs="宋体" w:eastAsia="宋体" w:hint="default"/>
                <w:sz w:val="13"/>
                <w:szCs w:val="13"/>
              </w:rPr>
              <w:t>主管会计工作负责人：赵辉</w:t>
              <w:tab/>
            </w:r>
            <w:r>
              <w:rPr>
                <w:rFonts w:ascii="宋体" w:hAnsi="宋体" w:cs="宋体" w:eastAsia="宋体" w:hint="default"/>
                <w:w w:val="105"/>
                <w:sz w:val="13"/>
                <w:szCs w:val="13"/>
              </w:rPr>
              <w:t>会计机构负责人：赵辉</w:t>
            </w:r>
            <w:r>
              <w:rPr>
                <w:rFonts w:ascii="宋体" w:hAnsi="宋体" w:cs="宋体" w:eastAsia="宋体" w:hint="default"/>
                <w:sz w:val="13"/>
                <w:szCs w:val="13"/>
              </w:rPr>
            </w:r>
          </w:p>
        </w:tc>
        <w:tc>
          <w:tcPr>
            <w:tcW w:w="542" w:type="dxa"/>
            <w:tcBorders>
              <w:top w:val="single" w:sz="5" w:space="0" w:color="000000"/>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
        </w:tc>
      </w:tr>
    </w:tbl>
    <w:p>
      <w:pPr>
        <w:spacing w:after="0"/>
        <w:sectPr>
          <w:pgSz w:w="11910" w:h="16840"/>
          <w:pgMar w:header="0" w:footer="1195" w:top="1420" w:bottom="1380" w:left="1680" w:right="1600"/>
        </w:sectPr>
      </w:pPr>
    </w:p>
    <w:p>
      <w:pPr>
        <w:spacing w:line="240" w:lineRule="auto" w:before="3"/>
        <w:rPr>
          <w:rFonts w:ascii="黑体" w:hAnsi="黑体" w:cs="黑体" w:eastAsia="黑体" w:hint="default"/>
          <w:sz w:val="18"/>
          <w:szCs w:val="18"/>
        </w:rPr>
      </w:pPr>
    </w:p>
    <w:p>
      <w:pPr>
        <w:spacing w:after="0" w:line="240" w:lineRule="auto"/>
        <w:rPr>
          <w:rFonts w:ascii="黑体" w:hAnsi="黑体" w:cs="黑体" w:eastAsia="黑体" w:hint="default"/>
          <w:sz w:val="18"/>
          <w:szCs w:val="18"/>
        </w:rPr>
        <w:sectPr>
          <w:footerReference w:type="default" r:id="rId52"/>
          <w:pgSz w:w="11910" w:h="16840"/>
          <w:pgMar w:footer="1195" w:header="0" w:top="1580" w:bottom="1380" w:left="1680" w:right="1600"/>
        </w:sectPr>
      </w:pPr>
    </w:p>
    <w:p>
      <w:pPr>
        <w:pStyle w:val="BodyText"/>
        <w:spacing w:line="244" w:lineRule="auto" w:before="25"/>
        <w:ind w:left="2625" w:right="21"/>
        <w:jc w:val="center"/>
        <w:rPr>
          <w:rFonts w:ascii="黑体" w:hAnsi="黑体" w:cs="黑体" w:eastAsia="黑体" w:hint="default"/>
        </w:rPr>
      </w:pPr>
      <w:r>
        <w:rPr>
          <w:rFonts w:ascii="黑体" w:hAnsi="黑体" w:cs="黑体" w:eastAsia="黑体" w:hint="default"/>
        </w:rPr>
        <w:t>深圳市新国都技术股份有限公司</w:t>
      </w:r>
      <w:r>
        <w:rPr>
          <w:rFonts w:ascii="黑体" w:hAnsi="黑体" w:cs="黑体" w:eastAsia="黑体" w:hint="default"/>
          <w:spacing w:val="-38"/>
        </w:rPr>
        <w:t> </w:t>
      </w:r>
      <w:r>
        <w:rPr>
          <w:rFonts w:ascii="黑体" w:hAnsi="黑体" w:cs="黑体" w:eastAsia="黑体" w:hint="default"/>
        </w:rPr>
        <w:t>母公司利润表</w:t>
      </w:r>
    </w:p>
    <w:p>
      <w:pPr>
        <w:spacing w:before="32"/>
        <w:ind w:left="2540" w:right="21" w:firstLine="0"/>
        <w:jc w:val="center"/>
        <w:rPr>
          <w:rFonts w:ascii="宋体" w:hAnsi="宋体" w:cs="宋体" w:eastAsia="宋体" w:hint="default"/>
          <w:sz w:val="13"/>
          <w:szCs w:val="13"/>
        </w:rPr>
      </w:pPr>
      <w:r>
        <w:rPr>
          <w:rFonts w:ascii="宋体" w:hAnsi="宋体" w:cs="宋体" w:eastAsia="宋体" w:hint="default"/>
          <w:w w:val="105"/>
          <w:sz w:val="13"/>
          <w:szCs w:val="13"/>
        </w:rPr>
        <w:t>2011年度</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3"/>
        <w:rPr>
          <w:rFonts w:ascii="宋体" w:hAnsi="宋体" w:cs="宋体" w:eastAsia="宋体" w:hint="default"/>
          <w:sz w:val="12"/>
          <w:szCs w:val="12"/>
        </w:rPr>
      </w:pPr>
    </w:p>
    <w:p>
      <w:pPr>
        <w:spacing w:before="0"/>
        <w:ind w:left="1387" w:right="0" w:firstLine="0"/>
        <w:jc w:val="left"/>
        <w:rPr>
          <w:rFonts w:ascii="宋体" w:hAnsi="宋体" w:cs="宋体" w:eastAsia="宋体" w:hint="default"/>
          <w:sz w:val="13"/>
          <w:szCs w:val="13"/>
        </w:rPr>
      </w:pPr>
      <w:r>
        <w:rPr>
          <w:rFonts w:ascii="宋体" w:hAnsi="宋体" w:cs="宋体" w:eastAsia="宋体" w:hint="default"/>
          <w:w w:val="105"/>
          <w:sz w:val="13"/>
          <w:szCs w:val="13"/>
        </w:rPr>
        <w:t>单位：人民币元</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580" w:bottom="280" w:left="1680" w:right="1600"/>
          <w:cols w:num="2" w:equalWidth="0">
            <w:col w:w="6048" w:space="40"/>
            <w:col w:w="2542"/>
          </w:cols>
        </w:sectPr>
      </w:pPr>
    </w:p>
    <w:p>
      <w:pPr>
        <w:spacing w:line="240" w:lineRule="auto" w:before="3"/>
        <w:rPr>
          <w:rFonts w:ascii="宋体" w:hAnsi="宋体" w:cs="宋体" w:eastAsia="宋体" w:hint="default"/>
          <w:sz w:val="27"/>
          <w:szCs w:val="27"/>
        </w:rPr>
      </w:pPr>
    </w:p>
    <w:p>
      <w:pPr>
        <w:tabs>
          <w:tab w:pos="3785" w:val="left" w:leader="none"/>
          <w:tab w:pos="5424" w:val="left" w:leader="none"/>
          <w:tab w:pos="7553" w:val="left" w:leader="none"/>
        </w:tabs>
        <w:spacing w:before="61"/>
        <w:ind w:left="1488" w:right="185" w:firstLine="0"/>
        <w:jc w:val="left"/>
        <w:rPr>
          <w:rFonts w:ascii="宋体" w:hAnsi="宋体" w:cs="宋体" w:eastAsia="宋体" w:hint="default"/>
          <w:sz w:val="13"/>
          <w:szCs w:val="13"/>
        </w:rPr>
      </w:pPr>
      <w:r>
        <w:rPr>
          <w:rFonts w:ascii="宋体" w:hAnsi="宋体" w:cs="宋体" w:eastAsia="宋体" w:hint="default"/>
          <w:sz w:val="13"/>
          <w:szCs w:val="13"/>
        </w:rPr>
        <w:t>项目</w:t>
        <w:tab/>
        <w:t>附注</w:t>
        <w:tab/>
        <w:t>本期数</w:t>
        <w:tab/>
      </w:r>
      <w:r>
        <w:rPr>
          <w:rFonts w:ascii="宋体" w:hAnsi="宋体" w:cs="宋体" w:eastAsia="宋体" w:hint="default"/>
          <w:w w:val="105"/>
          <w:sz w:val="13"/>
          <w:szCs w:val="13"/>
        </w:rPr>
        <w:t>上期数</w:t>
      </w:r>
      <w:r>
        <w:rPr>
          <w:rFonts w:ascii="宋体" w:hAnsi="宋体" w:cs="宋体" w:eastAsia="宋体" w:hint="default"/>
          <w:sz w:val="13"/>
          <w:szCs w:val="13"/>
        </w:rPr>
      </w:r>
    </w:p>
    <w:p>
      <w:pPr>
        <w:spacing w:line="240" w:lineRule="auto" w:before="1"/>
        <w:rPr>
          <w:rFonts w:ascii="宋体" w:hAnsi="宋体" w:cs="宋体" w:eastAsia="宋体" w:hint="default"/>
          <w:sz w:val="5"/>
          <w:szCs w:val="5"/>
        </w:rPr>
      </w:pPr>
    </w:p>
    <w:p>
      <w:pPr>
        <w:tabs>
          <w:tab w:pos="3610" w:val="left" w:leader="none"/>
          <w:tab w:pos="4797" w:val="left" w:leader="none"/>
          <w:tab w:pos="6980" w:val="left" w:leader="none"/>
        </w:tabs>
        <w:spacing w:line="20" w:lineRule="exact"/>
        <w:ind w:left="121" w:right="0" w:firstLine="0"/>
        <w:rPr>
          <w:rFonts w:ascii="宋体" w:hAnsi="宋体" w:cs="宋体" w:eastAsia="宋体" w:hint="default"/>
          <w:sz w:val="2"/>
          <w:szCs w:val="2"/>
        </w:rPr>
      </w:pPr>
      <w:r>
        <w:rPr>
          <w:rFonts w:ascii="宋体"/>
          <w:sz w:val="2"/>
        </w:rPr>
        <w:pict>
          <v:group style="width:149.8pt;height:.6pt;mso-position-horizontal-relative:char;mso-position-vertical-relative:line" coordorigin="0,0" coordsize="2996,12">
            <v:group style="position:absolute;left:6;top:1;width:2983;height:2" coordorigin="6,1" coordsize="2983,2">
              <v:shape style="position:absolute;left:6;top:1;width:2983;height:2" coordorigin="6,1" coordsize="2983,0" path="m6,1l2989,1e" filled="false" stroked="true" strokeweight=".083683pt" strokecolor="#000000">
                <v:path arrowok="t"/>
              </v:shape>
            </v:group>
            <v:group style="position:absolute;left:6;top:6;width:2985;height:2" coordorigin="6,6" coordsize="2985,2">
              <v:shape style="position:absolute;left:6;top:6;width:2985;height:2" coordorigin="6,6" coordsize="2985,0" path="m6,6l2990,6e" filled="false" stroked="true" strokeweight=".573821pt" strokecolor="#000000">
                <v:path arrowok="t"/>
              </v:shape>
            </v:group>
          </v:group>
        </w:pict>
      </w:r>
      <w:r>
        <w:rPr>
          <w:rFonts w:ascii="宋体"/>
          <w:sz w:val="2"/>
        </w:rPr>
      </w:r>
      <w:r>
        <w:rPr>
          <w:rFonts w:ascii="宋体"/>
          <w:sz w:val="2"/>
        </w:rPr>
        <w:tab/>
      </w:r>
      <w:r>
        <w:rPr>
          <w:rFonts w:ascii="宋体"/>
          <w:sz w:val="2"/>
        </w:rPr>
        <w:pict>
          <v:group style="width:30.55pt;height:.6pt;mso-position-horizontal-relative:char;mso-position-vertical-relative:line" coordorigin="0,0" coordsize="611,12">
            <v:group style="position:absolute;left:6;top:1;width:598;height:2" coordorigin="6,1" coordsize="598,2">
              <v:shape style="position:absolute;left:6;top:1;width:598;height:2" coordorigin="6,1" coordsize="598,0" path="m6,1l604,1e" filled="false" stroked="true" strokeweight=".083683pt" strokecolor="#000000">
                <v:path arrowok="t"/>
              </v:shape>
            </v:group>
            <v:group style="position:absolute;left:6;top:6;width:600;height:2" coordorigin="6,6" coordsize="600,2">
              <v:shape style="position:absolute;left:6;top:6;width:600;height:2" coordorigin="6,6" coordsize="600,0" path="m6,6l605,6e" filled="false" stroked="true" strokeweight=".573821pt" strokecolor="#000000">
                <v:path arrowok="t"/>
              </v:shape>
            </v:group>
          </v:group>
        </w:pict>
      </w:r>
      <w:r>
        <w:rPr>
          <w:rFonts w:ascii="宋体"/>
          <w:sz w:val="2"/>
        </w:rPr>
      </w:r>
      <w:r>
        <w:rPr>
          <w:rFonts w:ascii="宋体"/>
          <w:sz w:val="2"/>
        </w:rPr>
        <w:tab/>
      </w:r>
      <w:r>
        <w:rPr>
          <w:rFonts w:ascii="宋体"/>
          <w:sz w:val="2"/>
        </w:rPr>
        <w:pict>
          <v:group style="width:82.6pt;height:.6pt;mso-position-horizontal-relative:char;mso-position-vertical-relative:line" coordorigin="0,0" coordsize="1652,12">
            <v:group style="position:absolute;left:6;top:1;width:1640;height:2" coordorigin="6,1" coordsize="1640,2">
              <v:shape style="position:absolute;left:6;top:1;width:1640;height:2" coordorigin="6,1" coordsize="1640,0" path="m6,1l1646,1e" filled="false" stroked="true" strokeweight=".083683pt" strokecolor="#000000">
                <v:path arrowok="t"/>
              </v:shape>
            </v:group>
            <v:group style="position:absolute;left:6;top:6;width:1641;height:2" coordorigin="6,6" coordsize="1641,2">
              <v:shape style="position:absolute;left:6;top:6;width:1641;height:2" coordorigin="6,6" coordsize="1641,0" path="m6,6l1646,6e" filled="false" stroked="true" strokeweight=".573821pt" strokecolor="#000000">
                <v:path arrowok="t"/>
              </v:shape>
            </v:group>
          </v:group>
        </w:pict>
      </w:r>
      <w:r>
        <w:rPr>
          <w:rFonts w:ascii="宋体"/>
          <w:sz w:val="2"/>
        </w:rPr>
      </w:r>
      <w:r>
        <w:rPr>
          <w:rFonts w:ascii="宋体"/>
          <w:sz w:val="2"/>
        </w:rPr>
        <w:tab/>
      </w:r>
      <w:r>
        <w:rPr>
          <w:rFonts w:ascii="宋体"/>
          <w:sz w:val="2"/>
        </w:rPr>
        <w:pict>
          <v:group style="width:77.1pt;height:.6pt;mso-position-horizontal-relative:char;mso-position-vertical-relative:line" coordorigin="0,0" coordsize="1542,12">
            <v:group style="position:absolute;left:6;top:1;width:1529;height:2" coordorigin="6,1" coordsize="1529,2">
              <v:shape style="position:absolute;left:6;top:1;width:1529;height:2" coordorigin="6,1" coordsize="1529,0" path="m6,1l1535,1e" filled="false" stroked="true" strokeweight=".083683pt" strokecolor="#000000">
                <v:path arrowok="t"/>
              </v:shape>
            </v:group>
            <v:group style="position:absolute;left:6;top:6;width:1531;height:2" coordorigin="6,6" coordsize="1531,2">
              <v:shape style="position:absolute;left:6;top:6;width:1531;height:2" coordorigin="6,6" coordsize="1531,0" path="m6,6l1536,6e" filled="false" stroked="true" strokeweight=".573821pt" strokecolor="#000000">
                <v:path arrowok="t"/>
              </v:shape>
            </v:group>
          </v:group>
        </w:pict>
      </w:r>
      <w:r>
        <w:rPr>
          <w:rFonts w:ascii="宋体"/>
          <w:sz w:val="2"/>
        </w:rPr>
      </w:r>
    </w:p>
    <w:p>
      <w:pPr>
        <w:spacing w:line="240" w:lineRule="auto" w:before="9"/>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3207"/>
        <w:gridCol w:w="1481"/>
        <w:gridCol w:w="1641"/>
        <w:gridCol w:w="542"/>
        <w:gridCol w:w="1530"/>
      </w:tblGrid>
      <w:tr>
        <w:trPr>
          <w:trHeight w:val="313"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3"/>
                <w:szCs w:val="13"/>
              </w:rPr>
            </w:pPr>
            <w:r>
              <w:rPr>
                <w:rFonts w:ascii="宋体" w:hAnsi="宋体" w:cs="宋体" w:eastAsia="宋体" w:hint="default"/>
                <w:b/>
                <w:bCs/>
                <w:w w:val="105"/>
                <w:sz w:val="13"/>
                <w:szCs w:val="13"/>
              </w:rPr>
              <w:t>一、营业收入</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7" w:right="0"/>
              <w:jc w:val="left"/>
              <w:rPr>
                <w:rFonts w:ascii="宋体" w:hAnsi="宋体" w:cs="宋体" w:eastAsia="宋体" w:hint="default"/>
                <w:sz w:val="13"/>
                <w:szCs w:val="13"/>
              </w:rPr>
            </w:pPr>
            <w:r>
              <w:rPr>
                <w:rFonts w:ascii="宋体" w:hAnsi="宋体" w:cs="宋体" w:eastAsia="宋体" w:hint="default"/>
                <w:w w:val="105"/>
                <w:sz w:val="13"/>
                <w:szCs w:val="13"/>
              </w:rPr>
              <w:t>十一(四)</w:t>
            </w:r>
            <w:r>
              <w:rPr>
                <w:rFonts w:ascii="宋体" w:hAnsi="宋体" w:cs="宋体" w:eastAsia="宋体" w:hint="default"/>
                <w:sz w:val="13"/>
                <w:szCs w:val="13"/>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宋体" w:hAnsi="宋体" w:cs="宋体" w:eastAsia="宋体" w:hint="default"/>
                <w:sz w:val="13"/>
                <w:szCs w:val="13"/>
              </w:rPr>
            </w:pPr>
            <w:r>
              <w:rPr>
                <w:rFonts w:ascii="宋体"/>
                <w:sz w:val="13"/>
              </w:rPr>
              <w:t>339,231,718.62</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1"/>
              <w:jc w:val="right"/>
              <w:rPr>
                <w:rFonts w:ascii="宋体" w:hAnsi="宋体" w:cs="宋体" w:eastAsia="宋体" w:hint="default"/>
                <w:sz w:val="13"/>
                <w:szCs w:val="13"/>
              </w:rPr>
            </w:pPr>
            <w:r>
              <w:rPr>
                <w:rFonts w:ascii="宋体"/>
                <w:sz w:val="13"/>
              </w:rPr>
              <w:t>205,299,993.01</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70" w:right="0"/>
              <w:jc w:val="left"/>
              <w:rPr>
                <w:rFonts w:ascii="宋体" w:hAnsi="宋体" w:cs="宋体" w:eastAsia="宋体" w:hint="default"/>
                <w:sz w:val="13"/>
                <w:szCs w:val="13"/>
              </w:rPr>
            </w:pPr>
            <w:r>
              <w:rPr>
                <w:rFonts w:ascii="宋体" w:hAnsi="宋体" w:cs="宋体" w:eastAsia="宋体" w:hint="default"/>
                <w:w w:val="105"/>
                <w:sz w:val="13"/>
                <w:szCs w:val="13"/>
              </w:rPr>
              <w:t>减：营业成本</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7" w:right="0"/>
              <w:jc w:val="left"/>
              <w:rPr>
                <w:rFonts w:ascii="宋体" w:hAnsi="宋体" w:cs="宋体" w:eastAsia="宋体" w:hint="default"/>
                <w:sz w:val="13"/>
                <w:szCs w:val="13"/>
              </w:rPr>
            </w:pPr>
            <w:r>
              <w:rPr>
                <w:rFonts w:ascii="宋体" w:hAnsi="宋体" w:cs="宋体" w:eastAsia="宋体" w:hint="default"/>
                <w:w w:val="105"/>
                <w:sz w:val="13"/>
                <w:szCs w:val="13"/>
              </w:rPr>
              <w:t>十一(四)</w:t>
            </w:r>
            <w:r>
              <w:rPr>
                <w:rFonts w:ascii="宋体" w:hAnsi="宋体" w:cs="宋体" w:eastAsia="宋体" w:hint="default"/>
                <w:sz w:val="13"/>
                <w:szCs w:val="13"/>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223,696,714.28</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138,681,008.53</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41" w:right="0"/>
              <w:jc w:val="left"/>
              <w:rPr>
                <w:rFonts w:ascii="宋体" w:hAnsi="宋体" w:cs="宋体" w:eastAsia="宋体" w:hint="default"/>
                <w:sz w:val="13"/>
                <w:szCs w:val="13"/>
              </w:rPr>
            </w:pPr>
            <w:r>
              <w:rPr>
                <w:rFonts w:ascii="宋体" w:hAnsi="宋体" w:cs="宋体" w:eastAsia="宋体" w:hint="default"/>
                <w:w w:val="105"/>
                <w:sz w:val="13"/>
                <w:szCs w:val="13"/>
              </w:rPr>
              <w:t>营业税金及附加</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0"/>
              <w:jc w:val="right"/>
              <w:rPr>
                <w:rFonts w:ascii="宋体" w:hAnsi="宋体" w:cs="宋体" w:eastAsia="宋体" w:hint="default"/>
                <w:sz w:val="13"/>
                <w:szCs w:val="13"/>
              </w:rPr>
            </w:pPr>
            <w:r>
              <w:rPr>
                <w:rFonts w:ascii="宋体"/>
                <w:sz w:val="13"/>
              </w:rPr>
              <w:t>3,837,143.83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1"/>
              <w:jc w:val="right"/>
              <w:rPr>
                <w:rFonts w:ascii="宋体" w:hAnsi="宋体" w:cs="宋体" w:eastAsia="宋体" w:hint="default"/>
                <w:sz w:val="13"/>
                <w:szCs w:val="13"/>
              </w:rPr>
            </w:pPr>
            <w:r>
              <w:rPr>
                <w:rFonts w:ascii="宋体"/>
                <w:sz w:val="13"/>
              </w:rPr>
              <w:t>1,252,629.35</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销售费用</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49,184,049.79</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23,394,263.36</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管理费用</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44,277,797.73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24,241,637.39</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财务费用</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宋体" w:hAnsi="宋体" w:cs="宋体" w:eastAsia="宋体" w:hint="default"/>
                <w:sz w:val="13"/>
                <w:szCs w:val="13"/>
              </w:rPr>
            </w:pPr>
            <w:r>
              <w:rPr>
                <w:rFonts w:ascii="宋体"/>
                <w:sz w:val="13"/>
              </w:rPr>
              <w:t>(13,082,801.31)</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宋体" w:hAnsi="宋体" w:cs="宋体" w:eastAsia="宋体" w:hint="default"/>
                <w:sz w:val="13"/>
                <w:szCs w:val="13"/>
              </w:rPr>
            </w:pPr>
            <w:r>
              <w:rPr>
                <w:rFonts w:ascii="宋体"/>
                <w:sz w:val="13"/>
              </w:rPr>
              <w:t>(3,029,476.54)</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资产减值损失</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4,931,466.08</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2,201,953.83</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70" w:right="0"/>
              <w:jc w:val="left"/>
              <w:rPr>
                <w:rFonts w:ascii="宋体" w:hAnsi="宋体" w:cs="宋体" w:eastAsia="宋体" w:hint="default"/>
                <w:sz w:val="13"/>
                <w:szCs w:val="13"/>
              </w:rPr>
            </w:pPr>
            <w:r>
              <w:rPr>
                <w:rFonts w:ascii="宋体" w:hAnsi="宋体" w:cs="宋体" w:eastAsia="宋体" w:hint="default"/>
                <w:w w:val="105"/>
                <w:sz w:val="13"/>
                <w:szCs w:val="13"/>
              </w:rPr>
              <w:t>加：公允价值变动收益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投资收益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7" w:right="0"/>
              <w:jc w:val="left"/>
              <w:rPr>
                <w:rFonts w:ascii="宋体" w:hAnsi="宋体" w:cs="宋体" w:eastAsia="宋体" w:hint="default"/>
                <w:sz w:val="13"/>
                <w:szCs w:val="13"/>
              </w:rPr>
            </w:pPr>
            <w:r>
              <w:rPr>
                <w:rFonts w:ascii="宋体" w:hAnsi="宋体" w:cs="宋体" w:eastAsia="宋体" w:hint="default"/>
                <w:w w:val="105"/>
                <w:sz w:val="13"/>
                <w:szCs w:val="13"/>
              </w:rPr>
              <w:t>十一(五)</w:t>
            </w:r>
            <w:r>
              <w:rPr>
                <w:rFonts w:ascii="宋体" w:hAnsi="宋体" w:cs="宋体" w:eastAsia="宋体" w:hint="default"/>
                <w:sz w:val="13"/>
                <w:szCs w:val="13"/>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595,966.25</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590,335.95</w:t>
            </w:r>
          </w:p>
        </w:tc>
      </w:tr>
      <w:tr>
        <w:trPr>
          <w:trHeight w:val="285"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13"/>
                <w:szCs w:val="13"/>
              </w:rPr>
            </w:pPr>
            <w:r>
              <w:rPr>
                <w:rFonts w:ascii="宋体" w:hAnsi="宋体" w:cs="宋体" w:eastAsia="宋体" w:hint="default"/>
                <w:w w:val="105"/>
                <w:sz w:val="13"/>
                <w:szCs w:val="13"/>
              </w:rPr>
              <w:t>其中：对联营企业和合营企业的投资收益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595,966.25</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590,335.95</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二、营业利润</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26,983,314.47</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19,148,313.04</w:t>
            </w:r>
          </w:p>
        </w:tc>
      </w:tr>
      <w:tr>
        <w:trPr>
          <w:trHeight w:val="303"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5" w:right="0"/>
              <w:jc w:val="left"/>
              <w:rPr>
                <w:rFonts w:ascii="宋体" w:hAnsi="宋体" w:cs="宋体" w:eastAsia="宋体" w:hint="default"/>
                <w:sz w:val="13"/>
                <w:szCs w:val="13"/>
              </w:rPr>
            </w:pPr>
            <w:r>
              <w:rPr>
                <w:rFonts w:ascii="宋体" w:hAnsi="宋体" w:cs="宋体" w:eastAsia="宋体" w:hint="default"/>
                <w:w w:val="105"/>
                <w:sz w:val="13"/>
                <w:szCs w:val="13"/>
              </w:rPr>
              <w:t>加：营业外收入</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nil" w:sz="6" w:space="0" w:color="auto"/>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15,035,106.15</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9,084,720.66</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05" w:right="0"/>
              <w:jc w:val="left"/>
              <w:rPr>
                <w:rFonts w:ascii="宋体" w:hAnsi="宋体" w:cs="宋体" w:eastAsia="宋体" w:hint="default"/>
                <w:sz w:val="13"/>
                <w:szCs w:val="13"/>
              </w:rPr>
            </w:pPr>
            <w:r>
              <w:rPr>
                <w:rFonts w:ascii="宋体" w:hAnsi="宋体" w:cs="宋体" w:eastAsia="宋体" w:hint="default"/>
                <w:w w:val="105"/>
                <w:sz w:val="13"/>
                <w:szCs w:val="13"/>
              </w:rPr>
              <w:t>减：营业外支出</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0"/>
              <w:jc w:val="right"/>
              <w:rPr>
                <w:rFonts w:ascii="宋体" w:hAnsi="宋体" w:cs="宋体" w:eastAsia="宋体" w:hint="default"/>
                <w:sz w:val="13"/>
                <w:szCs w:val="13"/>
              </w:rPr>
            </w:pPr>
            <w:r>
              <w:rPr>
                <w:rFonts w:ascii="宋体"/>
                <w:sz w:val="13"/>
              </w:rPr>
              <w:t>93,831.67</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34,694.67</w:t>
            </w:r>
          </w:p>
        </w:tc>
      </w:tr>
      <w:tr>
        <w:trPr>
          <w:trHeight w:val="285"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6" w:right="0"/>
              <w:jc w:val="left"/>
              <w:rPr>
                <w:rFonts w:ascii="宋体" w:hAnsi="宋体" w:cs="宋体" w:eastAsia="宋体" w:hint="default"/>
                <w:sz w:val="13"/>
                <w:szCs w:val="13"/>
              </w:rPr>
            </w:pPr>
            <w:r>
              <w:rPr>
                <w:rFonts w:ascii="宋体" w:hAnsi="宋体" w:cs="宋体" w:eastAsia="宋体" w:hint="default"/>
                <w:w w:val="105"/>
                <w:sz w:val="13"/>
                <w:szCs w:val="13"/>
              </w:rPr>
              <w:t>其中：非流动资产处置损失</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91"/>
              <w:jc w:val="right"/>
              <w:rPr>
                <w:rFonts w:ascii="宋体" w:hAnsi="宋体" w:cs="宋体" w:eastAsia="宋体" w:hint="default"/>
                <w:sz w:val="13"/>
                <w:szCs w:val="13"/>
              </w:rPr>
            </w:pPr>
            <w:r>
              <w:rPr>
                <w:rFonts w:ascii="宋体"/>
                <w:sz w:val="13"/>
              </w:rPr>
              <w:t>14,514.67</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三、利润总额</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41,924,588.95</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28,198,339.03</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5" w:right="0"/>
              <w:jc w:val="left"/>
              <w:rPr>
                <w:rFonts w:ascii="宋体" w:hAnsi="宋体" w:cs="宋体" w:eastAsia="宋体" w:hint="default"/>
                <w:sz w:val="13"/>
                <w:szCs w:val="13"/>
              </w:rPr>
            </w:pPr>
            <w:r>
              <w:rPr>
                <w:rFonts w:ascii="宋体" w:hAnsi="宋体" w:cs="宋体" w:eastAsia="宋体" w:hint="default"/>
                <w:w w:val="105"/>
                <w:sz w:val="13"/>
                <w:szCs w:val="13"/>
              </w:rPr>
              <w:t>减：所得税费用</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4,170,741.72</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1,757,956.65</w:t>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四、净利润</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37,753,847.23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26,440,382.38</w:t>
            </w:r>
          </w:p>
        </w:tc>
      </w:tr>
      <w:tr>
        <w:trPr>
          <w:trHeight w:val="303"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五、每股收益：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nil" w:sz="6" w:space="0" w:color="auto"/>
              <w:right w:val="nil" w:sz="6" w:space="0" w:color="auto"/>
            </w:tcBorders>
          </w:tcPr>
          <w:p>
            <w:pPr/>
          </w:p>
        </w:tc>
      </w:tr>
      <w:tr>
        <w:trPr>
          <w:trHeight w:val="285"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8" w:right="0"/>
              <w:jc w:val="left"/>
              <w:rPr>
                <w:rFonts w:ascii="宋体" w:hAnsi="宋体" w:cs="宋体" w:eastAsia="宋体" w:hint="default"/>
                <w:sz w:val="13"/>
                <w:szCs w:val="13"/>
              </w:rPr>
            </w:pPr>
            <w:r>
              <w:rPr>
                <w:rFonts w:ascii="宋体" w:hAnsi="宋体" w:cs="宋体" w:eastAsia="宋体" w:hint="default"/>
                <w:w w:val="105"/>
                <w:sz w:val="13"/>
                <w:szCs w:val="13"/>
              </w:rPr>
              <w:t>（一）基本每股收益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5" w:space="0" w:color="000000"/>
              <w:right w:val="nil" w:sz="6" w:space="0" w:color="auto"/>
            </w:tcBorders>
          </w:tcPr>
          <w:p>
            <w:pPr>
              <w:pStyle w:val="TableParagraph"/>
              <w:spacing w:line="240" w:lineRule="auto" w:before="42"/>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8" w:right="0"/>
              <w:jc w:val="left"/>
              <w:rPr>
                <w:rFonts w:ascii="宋体" w:hAnsi="宋体" w:cs="宋体" w:eastAsia="宋体" w:hint="default"/>
                <w:sz w:val="13"/>
                <w:szCs w:val="13"/>
              </w:rPr>
            </w:pPr>
            <w:r>
              <w:rPr>
                <w:rFonts w:ascii="宋体" w:hAnsi="宋体" w:cs="宋体" w:eastAsia="宋体" w:hint="default"/>
                <w:w w:val="105"/>
                <w:sz w:val="13"/>
                <w:szCs w:val="13"/>
              </w:rPr>
              <w:t>（二）稀释每股收益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9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六、其他综合收益</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226"/>
              <w:jc w:val="right"/>
              <w:rPr>
                <w:rFonts w:ascii="宋体" w:hAnsi="宋体" w:cs="宋体" w:eastAsia="宋体" w:hint="default"/>
                <w:sz w:val="13"/>
                <w:szCs w:val="13"/>
              </w:rPr>
            </w:pPr>
            <w:r>
              <w:rPr>
                <w:rFonts w:ascii="宋体"/>
                <w:w w:val="104"/>
                <w:sz w:val="13"/>
              </w:rPr>
              <w:t>-</w:t>
            </w:r>
            <w:r>
              <w:rPr>
                <w:rFonts w:ascii="宋体"/>
                <w:sz w:val="13"/>
              </w:rPr>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226"/>
              <w:jc w:val="right"/>
              <w:rPr>
                <w:rFonts w:ascii="宋体" w:hAnsi="宋体" w:cs="宋体" w:eastAsia="宋体" w:hint="default"/>
                <w:sz w:val="13"/>
                <w:szCs w:val="13"/>
              </w:rPr>
            </w:pPr>
            <w:r>
              <w:rPr>
                <w:rFonts w:ascii="宋体"/>
                <w:w w:val="104"/>
                <w:sz w:val="13"/>
              </w:rPr>
              <w:t>-</w:t>
            </w:r>
            <w:r>
              <w:rPr>
                <w:rFonts w:ascii="宋体"/>
                <w:sz w:val="13"/>
              </w:rPr>
            </w:r>
          </w:p>
        </w:tc>
      </w:tr>
      <w:tr>
        <w:trPr>
          <w:trHeight w:val="283"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b/>
                <w:bCs/>
                <w:w w:val="105"/>
                <w:sz w:val="13"/>
                <w:szCs w:val="13"/>
              </w:rPr>
              <w:t>七、综合收益总额</w:t>
            </w:r>
            <w:r>
              <w:rPr>
                <w:rFonts w:ascii="宋体" w:hAnsi="宋体" w:cs="宋体" w:eastAsia="宋体" w:hint="default"/>
                <w:sz w:val="13"/>
                <w:szCs w:val="13"/>
              </w:rPr>
            </w:r>
          </w:p>
        </w:tc>
        <w:tc>
          <w:tcPr>
            <w:tcW w:w="1481" w:type="dxa"/>
            <w:tcBorders>
              <w:top w:val="nil" w:sz="6" w:space="0" w:color="auto"/>
              <w:left w:val="nil" w:sz="6" w:space="0" w:color="auto"/>
              <w:bottom w:val="nil" w:sz="6" w:space="0" w:color="auto"/>
              <w:right w:val="nil" w:sz="6" w:space="0" w:color="auto"/>
            </w:tcBorders>
          </w:tcPr>
          <w:p>
            <w:pPr/>
          </w:p>
        </w:tc>
        <w:tc>
          <w:tcPr>
            <w:tcW w:w="1641"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0"/>
              <w:jc w:val="right"/>
              <w:rPr>
                <w:rFonts w:ascii="宋体" w:hAnsi="宋体" w:cs="宋体" w:eastAsia="宋体" w:hint="default"/>
                <w:sz w:val="13"/>
                <w:szCs w:val="13"/>
              </w:rPr>
            </w:pPr>
            <w:r>
              <w:rPr>
                <w:rFonts w:ascii="宋体"/>
                <w:sz w:val="13"/>
              </w:rPr>
              <w:t>37,753,847.23</w:t>
            </w:r>
          </w:p>
        </w:tc>
        <w:tc>
          <w:tcPr>
            <w:tcW w:w="542" w:type="dxa"/>
            <w:tcBorders>
              <w:top w:val="nil" w:sz="6" w:space="0" w:color="auto"/>
              <w:left w:val="nil" w:sz="6" w:space="0" w:color="auto"/>
              <w:bottom w:val="nil" w:sz="6" w:space="0" w:color="auto"/>
              <w:right w:val="nil" w:sz="6" w:space="0" w:color="auto"/>
            </w:tcBorders>
          </w:tcPr>
          <w:p>
            <w:pPr/>
          </w:p>
        </w:tc>
        <w:tc>
          <w:tcPr>
            <w:tcW w:w="1530" w:type="dxa"/>
            <w:tcBorders>
              <w:top w:val="single" w:sz="5" w:space="0" w:color="000000"/>
              <w:left w:val="nil" w:sz="6" w:space="0" w:color="auto"/>
              <w:bottom w:val="single" w:sz="5" w:space="0" w:color="000000"/>
              <w:right w:val="nil" w:sz="6" w:space="0" w:color="auto"/>
            </w:tcBorders>
          </w:tcPr>
          <w:p>
            <w:pPr>
              <w:pStyle w:val="TableParagraph"/>
              <w:spacing w:line="240" w:lineRule="auto" w:before="46"/>
              <w:ind w:right="91"/>
              <w:jc w:val="right"/>
              <w:rPr>
                <w:rFonts w:ascii="宋体" w:hAnsi="宋体" w:cs="宋体" w:eastAsia="宋体" w:hint="default"/>
                <w:sz w:val="13"/>
                <w:szCs w:val="13"/>
              </w:rPr>
            </w:pPr>
            <w:r>
              <w:rPr>
                <w:rFonts w:ascii="宋体"/>
                <w:sz w:val="13"/>
              </w:rPr>
              <w:t>26,440,382.38</w:t>
            </w:r>
          </w:p>
        </w:tc>
      </w:tr>
    </w:tbl>
    <w:p>
      <w:pPr>
        <w:tabs>
          <w:tab w:pos="6980" w:val="left" w:leader="none"/>
        </w:tabs>
        <w:spacing w:line="20" w:lineRule="exact"/>
        <w:ind w:left="4797" w:right="0" w:firstLine="0"/>
        <w:rPr>
          <w:rFonts w:ascii="宋体" w:hAnsi="宋体" w:cs="宋体" w:eastAsia="宋体" w:hint="default"/>
          <w:sz w:val="2"/>
          <w:szCs w:val="2"/>
        </w:rPr>
      </w:pPr>
      <w:r>
        <w:rPr>
          <w:rFonts w:ascii="宋体"/>
          <w:sz w:val="2"/>
        </w:rPr>
        <w:pict>
          <v:group style="width:82.6pt;height:.6pt;mso-position-horizontal-relative:char;mso-position-vertical-relative:line" coordorigin="0,0" coordsize="1652,12">
            <v:group style="position:absolute;left:6;top:6;width:1641;height:2" coordorigin="6,6" coordsize="1641,2">
              <v:shape style="position:absolute;left:6;top:6;width:1641;height:2" coordorigin="6,6" coordsize="1641,0" path="m6,6l1646,6e" filled="false" stroked="true" strokeweight=".573803pt" strokecolor="#000000">
                <v:path arrowok="t"/>
              </v:shape>
            </v:group>
          </v:group>
        </w:pict>
      </w:r>
      <w:r>
        <w:rPr>
          <w:rFonts w:ascii="宋体"/>
          <w:sz w:val="2"/>
        </w:rPr>
      </w:r>
      <w:r>
        <w:rPr>
          <w:rFonts w:ascii="宋体"/>
          <w:sz w:val="2"/>
        </w:rPr>
        <w:tab/>
      </w:r>
      <w:r>
        <w:rPr>
          <w:rFonts w:ascii="宋体"/>
          <w:sz w:val="2"/>
        </w:rPr>
        <w:pict>
          <v:group style="width:77.1pt;height:.6pt;mso-position-horizontal-relative:char;mso-position-vertical-relative:line" coordorigin="0,0" coordsize="1542,12">
            <v:group style="position:absolute;left:6;top:6;width:1531;height:2" coordorigin="6,6" coordsize="1531,2">
              <v:shape style="position:absolute;left:6;top:6;width:1531;height:2" coordorigin="6,6" coordsize="1531,0" path="m6,6l1536,6e" filled="false" stroked="true" strokeweight=".573803pt" strokecolor="#000000">
                <v:path arrowok="t"/>
              </v:shape>
            </v:group>
          </v:group>
        </w:pict>
      </w:r>
      <w:r>
        <w:rPr>
          <w:rFonts w:ascii="宋体"/>
          <w:sz w:val="2"/>
        </w:rPr>
      </w:r>
    </w:p>
    <w:p>
      <w:pPr>
        <w:spacing w:line="240" w:lineRule="auto" w:before="7"/>
        <w:rPr>
          <w:rFonts w:ascii="宋体" w:hAnsi="宋体" w:cs="宋体" w:eastAsia="宋体" w:hint="default"/>
          <w:sz w:val="20"/>
          <w:szCs w:val="20"/>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20.1pt;height:.6pt;mso-position-horizontal-relative:char;mso-position-vertical-relative:line" coordorigin="0,0" coordsize="8402,12">
            <v:group style="position:absolute;left:6;top:1;width:8389;height:2" coordorigin="6,1" coordsize="8389,2">
              <v:shape style="position:absolute;left:6;top:1;width:8389;height:2" coordorigin="6,1" coordsize="8389,0" path="m6,1l8395,1e" filled="false" stroked="true" strokeweight=".083683pt" strokecolor="#000000">
                <v:path arrowok="t"/>
              </v:shape>
            </v:group>
            <v:group style="position:absolute;left:6;top:6;width:8390;height:2" coordorigin="6,6" coordsize="8390,2">
              <v:shape style="position:absolute;left:6;top:6;width:8390;height:2" coordorigin="6,6" coordsize="8390,0" path="m6,6l8395,6e" filled="false" stroked="true" strokeweight=".573839pt" strokecolor="#000000">
                <v:path arrowok="t"/>
              </v:shape>
            </v:group>
          </v:group>
        </w:pict>
      </w:r>
      <w:r>
        <w:rPr>
          <w:rFonts w:ascii="宋体" w:hAnsi="宋体" w:cs="宋体" w:eastAsia="宋体" w:hint="default"/>
          <w:sz w:val="2"/>
          <w:szCs w:val="2"/>
        </w:rPr>
      </w:r>
    </w:p>
    <w:p>
      <w:pPr>
        <w:tabs>
          <w:tab w:pos="2047" w:val="left" w:leader="none"/>
          <w:tab w:pos="4486" w:val="left" w:leader="none"/>
        </w:tabs>
        <w:spacing w:before="37"/>
        <w:ind w:left="150" w:right="185" w:firstLine="0"/>
        <w:jc w:val="left"/>
        <w:rPr>
          <w:rFonts w:ascii="宋体" w:hAnsi="宋体" w:cs="宋体" w:eastAsia="宋体" w:hint="default"/>
          <w:sz w:val="13"/>
          <w:szCs w:val="13"/>
        </w:rPr>
      </w:pPr>
      <w:r>
        <w:rPr>
          <w:rFonts w:ascii="宋体" w:hAnsi="宋体" w:cs="宋体" w:eastAsia="宋体" w:hint="default"/>
          <w:sz w:val="13"/>
          <w:szCs w:val="13"/>
        </w:rPr>
        <w:t>公司负责人：刘祥</w:t>
        <w:tab/>
        <w:t>主管会计工作负责人：赵辉</w:t>
        <w:tab/>
      </w:r>
      <w:r>
        <w:rPr>
          <w:rFonts w:ascii="宋体" w:hAnsi="宋体" w:cs="宋体" w:eastAsia="宋体" w:hint="default"/>
          <w:w w:val="105"/>
          <w:sz w:val="13"/>
          <w:szCs w:val="13"/>
        </w:rPr>
        <w:t>会计机构负责人：赵辉</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580" w:bottom="280" w:left="1680" w:right="1600"/>
        </w:sectPr>
      </w:pPr>
    </w:p>
    <w:p>
      <w:pPr>
        <w:pStyle w:val="Heading6"/>
        <w:spacing w:line="261" w:lineRule="auto" w:before="2"/>
        <w:ind w:left="3407" w:right="2624"/>
        <w:jc w:val="left"/>
      </w:pPr>
      <w:r>
        <w:rPr/>
        <w:t>深圳市新国都技术股份有限公司</w:t>
      </w:r>
      <w:r>
        <w:rPr>
          <w:spacing w:val="-15"/>
        </w:rPr>
        <w:t> </w:t>
      </w:r>
      <w:r>
        <w:rPr>
          <w:w w:val="105"/>
        </w:rPr>
        <w:t>母公司现金流量表</w:t>
      </w:r>
      <w:r>
        <w:rPr/>
      </w:r>
    </w:p>
    <w:p>
      <w:pPr>
        <w:spacing w:line="240" w:lineRule="auto" w:before="10"/>
        <w:rPr>
          <w:rFonts w:ascii="黑体" w:hAnsi="黑体" w:cs="黑体" w:eastAsia="黑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859"/>
        <w:gridCol w:w="894"/>
        <w:gridCol w:w="394"/>
        <w:gridCol w:w="1537"/>
        <w:gridCol w:w="405"/>
        <w:gridCol w:w="1537"/>
      </w:tblGrid>
      <w:tr>
        <w:trPr>
          <w:trHeight w:val="718" w:hRule="exact"/>
        </w:trPr>
        <w:tc>
          <w:tcPr>
            <w:tcW w:w="3859"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黑体" w:hAnsi="黑体" w:cs="黑体" w:eastAsia="黑体" w:hint="default"/>
                <w:sz w:val="15"/>
                <w:szCs w:val="15"/>
              </w:rPr>
            </w:pPr>
            <w:r>
              <w:rPr>
                <w:rFonts w:ascii="黑体" w:hAnsi="黑体" w:cs="黑体" w:eastAsia="黑体" w:hint="default"/>
                <w:w w:val="105"/>
                <w:sz w:val="15"/>
                <w:szCs w:val="15"/>
              </w:rPr>
              <w:t>2011年度</w:t>
            </w:r>
            <w:r>
              <w:rPr>
                <w:rFonts w:ascii="黑体" w:hAnsi="黑体" w:cs="黑体" w:eastAsia="黑体" w:hint="default"/>
                <w:sz w:val="15"/>
                <w:szCs w:val="15"/>
              </w:rPr>
            </w: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24"/>
              <w:jc w:val="right"/>
              <w:rPr>
                <w:rFonts w:ascii="宋体" w:hAnsi="宋体" w:cs="宋体" w:eastAsia="宋体" w:hint="default"/>
                <w:sz w:val="13"/>
                <w:szCs w:val="13"/>
              </w:rPr>
            </w:pPr>
            <w:r>
              <w:rPr>
                <w:rFonts w:ascii="宋体" w:hAnsi="宋体" w:cs="宋体" w:eastAsia="宋体" w:hint="default"/>
                <w:w w:val="105"/>
                <w:sz w:val="13"/>
                <w:szCs w:val="13"/>
              </w:rPr>
              <w:t>单位：人民币元</w:t>
            </w:r>
            <w:r>
              <w:rPr>
                <w:rFonts w:ascii="宋体" w:hAnsi="宋体" w:cs="宋体" w:eastAsia="宋体" w:hint="default"/>
                <w:sz w:val="13"/>
                <w:szCs w:val="13"/>
              </w:rPr>
            </w:r>
          </w:p>
        </w:tc>
      </w:tr>
      <w:tr>
        <w:trPr>
          <w:trHeight w:val="366" w:hRule="exact"/>
        </w:trPr>
        <w:tc>
          <w:tcPr>
            <w:tcW w:w="3859"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120"/>
              <w:jc w:val="center"/>
              <w:rPr>
                <w:rFonts w:ascii="宋体" w:hAnsi="宋体" w:cs="宋体" w:eastAsia="宋体" w:hint="default"/>
                <w:sz w:val="13"/>
                <w:szCs w:val="13"/>
              </w:rPr>
            </w:pPr>
            <w:r>
              <w:rPr>
                <w:rFonts w:ascii="宋体" w:hAnsi="宋体" w:cs="宋体" w:eastAsia="宋体" w:hint="default"/>
                <w:w w:val="110"/>
                <w:sz w:val="13"/>
                <w:szCs w:val="13"/>
              </w:rPr>
              <w:t>项</w:t>
            </w:r>
            <w:r>
              <w:rPr>
                <w:rFonts w:ascii="宋体" w:hAnsi="宋体" w:cs="宋体" w:eastAsia="宋体" w:hint="default"/>
                <w:spacing w:val="-3"/>
                <w:w w:val="110"/>
                <w:sz w:val="13"/>
                <w:szCs w:val="13"/>
              </w:rPr>
              <w:t> </w:t>
            </w:r>
            <w:r>
              <w:rPr>
                <w:rFonts w:ascii="宋体" w:hAnsi="宋体" w:cs="宋体" w:eastAsia="宋体" w:hint="default"/>
                <w:w w:val="110"/>
                <w:sz w:val="13"/>
                <w:szCs w:val="13"/>
              </w:rPr>
              <w:t>目</w:t>
            </w:r>
            <w:r>
              <w:rPr>
                <w:rFonts w:ascii="宋体" w:hAnsi="宋体" w:cs="宋体" w:eastAsia="宋体" w:hint="default"/>
                <w:sz w:val="13"/>
                <w:szCs w:val="13"/>
              </w:rPr>
            </w:r>
          </w:p>
        </w:tc>
        <w:tc>
          <w:tcPr>
            <w:tcW w:w="894"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left="418" w:right="0"/>
              <w:jc w:val="left"/>
              <w:rPr>
                <w:rFonts w:ascii="宋体" w:hAnsi="宋体" w:cs="宋体" w:eastAsia="宋体" w:hint="default"/>
                <w:sz w:val="13"/>
                <w:szCs w:val="13"/>
              </w:rPr>
            </w:pPr>
            <w:r>
              <w:rPr>
                <w:rFonts w:ascii="宋体" w:hAnsi="宋体" w:cs="宋体" w:eastAsia="宋体" w:hint="default"/>
                <w:w w:val="110"/>
                <w:sz w:val="13"/>
                <w:szCs w:val="13"/>
              </w:rPr>
              <w:t>附注</w:t>
            </w:r>
            <w:r>
              <w:rPr>
                <w:rFonts w:ascii="宋体" w:hAnsi="宋体" w:cs="宋体" w:eastAsia="宋体" w:hint="default"/>
                <w:sz w:val="13"/>
                <w:szCs w:val="13"/>
              </w:rPr>
            </w: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left="10" w:right="0"/>
              <w:jc w:val="center"/>
              <w:rPr>
                <w:rFonts w:ascii="宋体" w:hAnsi="宋体" w:cs="宋体" w:eastAsia="宋体" w:hint="default"/>
                <w:sz w:val="13"/>
                <w:szCs w:val="13"/>
              </w:rPr>
            </w:pPr>
            <w:r>
              <w:rPr>
                <w:rFonts w:ascii="宋体" w:hAnsi="宋体" w:cs="宋体" w:eastAsia="宋体" w:hint="default"/>
                <w:w w:val="110"/>
                <w:sz w:val="13"/>
                <w:szCs w:val="13"/>
              </w:rPr>
              <w:t>本期数</w:t>
            </w:r>
            <w:r>
              <w:rPr>
                <w:rFonts w:ascii="宋体" w:hAnsi="宋体" w:cs="宋体" w:eastAsia="宋体" w:hint="default"/>
                <w:sz w:val="13"/>
                <w:szCs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left="10" w:right="0"/>
              <w:jc w:val="center"/>
              <w:rPr>
                <w:rFonts w:ascii="宋体" w:hAnsi="宋体" w:cs="宋体" w:eastAsia="宋体" w:hint="default"/>
                <w:sz w:val="13"/>
                <w:szCs w:val="13"/>
              </w:rPr>
            </w:pPr>
            <w:r>
              <w:rPr>
                <w:rFonts w:ascii="宋体" w:hAnsi="宋体" w:cs="宋体" w:eastAsia="宋体" w:hint="default"/>
                <w:w w:val="110"/>
                <w:sz w:val="13"/>
                <w:szCs w:val="13"/>
              </w:rPr>
              <w:t>上期数</w:t>
            </w:r>
            <w:r>
              <w:rPr>
                <w:rFonts w:ascii="宋体" w:hAnsi="宋体" w:cs="宋体" w:eastAsia="宋体" w:hint="default"/>
                <w:sz w:val="13"/>
                <w:szCs w:val="13"/>
              </w:rPr>
            </w:r>
          </w:p>
        </w:tc>
      </w:tr>
      <w:tr>
        <w:trPr>
          <w:trHeight w:val="714" w:hRule="exact"/>
        </w:trPr>
        <w:tc>
          <w:tcPr>
            <w:tcW w:w="3859" w:type="dxa"/>
            <w:tcBorders>
              <w:top w:val="single" w:sz="5"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340" w:lineRule="auto"/>
              <w:ind w:left="319" w:right="1549" w:hanging="285"/>
              <w:jc w:val="left"/>
              <w:rPr>
                <w:rFonts w:ascii="宋体" w:hAnsi="宋体" w:cs="宋体" w:eastAsia="宋体" w:hint="default"/>
                <w:sz w:val="13"/>
                <w:szCs w:val="13"/>
              </w:rPr>
            </w:pPr>
            <w:r>
              <w:rPr>
                <w:rFonts w:ascii="宋体" w:hAnsi="宋体" w:cs="宋体" w:eastAsia="宋体" w:hint="default"/>
                <w:b/>
                <w:bCs/>
                <w:w w:val="110"/>
                <w:sz w:val="13"/>
                <w:szCs w:val="13"/>
              </w:rPr>
              <w:t>一、经营活动产生的现金流量：</w:t>
            </w:r>
            <w:r>
              <w:rPr>
                <w:rFonts w:ascii="宋体" w:hAnsi="宋体" w:cs="宋体" w:eastAsia="宋体" w:hint="default"/>
                <w:b/>
                <w:bCs/>
                <w:spacing w:val="1"/>
                <w:w w:val="108"/>
                <w:sz w:val="13"/>
                <w:szCs w:val="13"/>
              </w:rPr>
              <w:t> </w:t>
            </w:r>
            <w:r>
              <w:rPr>
                <w:rFonts w:ascii="宋体" w:hAnsi="宋体" w:cs="宋体" w:eastAsia="宋体" w:hint="default"/>
                <w:w w:val="105"/>
                <w:sz w:val="13"/>
                <w:szCs w:val="13"/>
              </w:rPr>
              <w:t>销售商品、提供劳务收到的现金</w:t>
            </w:r>
            <w:r>
              <w:rPr>
                <w:rFonts w:ascii="宋体" w:hAnsi="宋体" w:cs="宋体" w:eastAsia="宋体" w:hint="default"/>
                <w:sz w:val="13"/>
                <w:szCs w:val="13"/>
              </w:rPr>
            </w:r>
          </w:p>
        </w:tc>
        <w:tc>
          <w:tcPr>
            <w:tcW w:w="894" w:type="dxa"/>
            <w:tcBorders>
              <w:top w:val="single" w:sz="5" w:space="0" w:color="000000"/>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8"/>
              <w:ind w:right="95"/>
              <w:jc w:val="right"/>
              <w:rPr>
                <w:rFonts w:ascii="宋体" w:hAnsi="宋体" w:cs="宋体" w:eastAsia="宋体" w:hint="default"/>
                <w:sz w:val="13"/>
                <w:szCs w:val="13"/>
              </w:rPr>
            </w:pPr>
            <w:r>
              <w:rPr>
                <w:rFonts w:ascii="宋体"/>
                <w:w w:val="105"/>
                <w:sz w:val="13"/>
              </w:rPr>
              <w:t>371,699,111.21</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8"/>
              <w:ind w:right="95"/>
              <w:jc w:val="right"/>
              <w:rPr>
                <w:rFonts w:ascii="宋体" w:hAnsi="宋体" w:cs="宋体" w:eastAsia="宋体" w:hint="default"/>
                <w:sz w:val="13"/>
                <w:szCs w:val="13"/>
              </w:rPr>
            </w:pPr>
            <w:r>
              <w:rPr>
                <w:rFonts w:ascii="宋体"/>
                <w:w w:val="105"/>
                <w:sz w:val="13"/>
              </w:rPr>
              <w:t>175,881,088.62</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收到的税费返还</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13,074,042.52</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6,207,094.20</w:t>
            </w:r>
            <w:r>
              <w:rPr>
                <w:rFonts w:ascii="宋体"/>
                <w:sz w:val="13"/>
              </w:rPr>
            </w:r>
          </w:p>
        </w:tc>
      </w:tr>
      <w:tr>
        <w:trPr>
          <w:trHeight w:val="233"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收到其他与经营活动有关的现金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6,832,796.91</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7,378,452.11</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经营活动现金流入小计</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391,605,950.64</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189,466,634.93</w:t>
            </w:r>
            <w:r>
              <w:rPr>
                <w:rFonts w:ascii="宋体"/>
                <w:sz w:val="13"/>
              </w:rPr>
            </w:r>
          </w:p>
        </w:tc>
      </w:tr>
      <w:tr>
        <w:trPr>
          <w:trHeight w:val="251"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9" w:right="0"/>
              <w:jc w:val="left"/>
              <w:rPr>
                <w:rFonts w:ascii="宋体" w:hAnsi="宋体" w:cs="宋体" w:eastAsia="宋体" w:hint="default"/>
                <w:sz w:val="13"/>
                <w:szCs w:val="13"/>
              </w:rPr>
            </w:pPr>
            <w:r>
              <w:rPr>
                <w:rFonts w:ascii="宋体" w:hAnsi="宋体" w:cs="宋体" w:eastAsia="宋体" w:hint="default"/>
                <w:w w:val="110"/>
                <w:sz w:val="13"/>
                <w:szCs w:val="13"/>
              </w:rPr>
              <w:t>购买商品、接受劳务支付的现金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202,948,626.72</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118,195,225.52</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支付给职工以及为职工支付的现金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35,850,065.31</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22,466,061.58</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支付的各项税费</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32,134,625.71</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15,913,395.89</w:t>
            </w:r>
            <w:r>
              <w:rPr>
                <w:rFonts w:ascii="宋体"/>
                <w:sz w:val="13"/>
              </w:rPr>
            </w:r>
          </w:p>
        </w:tc>
      </w:tr>
      <w:tr>
        <w:trPr>
          <w:trHeight w:val="233"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支付其他与经营活动有关的现金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77,135,838.29</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95"/>
              <w:jc w:val="right"/>
              <w:rPr>
                <w:rFonts w:ascii="宋体" w:hAnsi="宋体" w:cs="宋体" w:eastAsia="宋体" w:hint="default"/>
                <w:sz w:val="13"/>
                <w:szCs w:val="13"/>
              </w:rPr>
            </w:pPr>
            <w:r>
              <w:rPr>
                <w:rFonts w:ascii="宋体"/>
                <w:w w:val="105"/>
                <w:sz w:val="13"/>
              </w:rPr>
              <w:t>29,930,372.54</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经营活动现金流出小计</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348,069,156.03</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186,505,055.53</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经营活动产生的现金流量净额</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14"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43,536,794.61</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14"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2,961,579.40</w:t>
            </w:r>
            <w:r>
              <w:rPr>
                <w:rFonts w:ascii="宋体"/>
                <w:sz w:val="13"/>
              </w:rPr>
            </w:r>
          </w:p>
        </w:tc>
      </w:tr>
      <w:tr>
        <w:trPr>
          <w:trHeight w:val="49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340" w:lineRule="auto" w:before="27"/>
              <w:ind w:left="319" w:right="1811" w:hanging="285"/>
              <w:jc w:val="left"/>
              <w:rPr>
                <w:rFonts w:ascii="宋体" w:hAnsi="宋体" w:cs="宋体" w:eastAsia="宋体" w:hint="default"/>
                <w:sz w:val="13"/>
                <w:szCs w:val="13"/>
              </w:rPr>
            </w:pPr>
            <w:r>
              <w:rPr>
                <w:rFonts w:ascii="宋体" w:hAnsi="宋体" w:cs="宋体" w:eastAsia="宋体" w:hint="default"/>
                <w:b/>
                <w:bCs/>
                <w:w w:val="110"/>
                <w:sz w:val="13"/>
                <w:szCs w:val="13"/>
              </w:rPr>
              <w:t>二、投资活动产生的现金流量：</w:t>
            </w:r>
            <w:r>
              <w:rPr>
                <w:rFonts w:ascii="宋体" w:hAnsi="宋体" w:cs="宋体" w:eastAsia="宋体" w:hint="default"/>
                <w:b/>
                <w:bCs/>
                <w:spacing w:val="1"/>
                <w:w w:val="108"/>
                <w:sz w:val="13"/>
                <w:szCs w:val="13"/>
              </w:rPr>
              <w:t> </w:t>
            </w:r>
            <w:r>
              <w:rPr>
                <w:rFonts w:ascii="宋体" w:hAnsi="宋体" w:cs="宋体" w:eastAsia="宋体" w:hint="default"/>
                <w:w w:val="110"/>
                <w:sz w:val="13"/>
                <w:szCs w:val="13"/>
              </w:rPr>
              <w:t>收回投资所收到的现金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1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237"/>
              <w:jc w:val="right"/>
              <w:rPr>
                <w:rFonts w:ascii="宋体" w:hAnsi="宋体" w:cs="宋体" w:eastAsia="宋体" w:hint="default"/>
                <w:sz w:val="13"/>
                <w:szCs w:val="13"/>
              </w:rPr>
            </w:pPr>
            <w:r>
              <w:rPr>
                <w:rFonts w:ascii="宋体"/>
                <w:w w:val="109"/>
                <w:sz w:val="13"/>
              </w:rPr>
              <w:t>-</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1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237"/>
              <w:jc w:val="right"/>
              <w:rPr>
                <w:rFonts w:ascii="宋体" w:hAnsi="宋体" w:cs="宋体" w:eastAsia="宋体" w:hint="default"/>
                <w:sz w:val="13"/>
                <w:szCs w:val="13"/>
              </w:rPr>
            </w:pPr>
            <w:r>
              <w:rPr>
                <w:rFonts w:ascii="宋体"/>
                <w:w w:val="109"/>
                <w:sz w:val="13"/>
              </w:rPr>
              <w:t>-</w:t>
            </w:r>
            <w:r>
              <w:rPr>
                <w:rFonts w:ascii="宋体"/>
                <w:sz w:val="13"/>
              </w:rPr>
            </w:r>
          </w:p>
        </w:tc>
      </w:tr>
      <w:tr>
        <w:trPr>
          <w:trHeight w:val="958"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340" w:lineRule="auto" w:before="18"/>
              <w:ind w:left="319" w:right="-12"/>
              <w:jc w:val="left"/>
              <w:rPr>
                <w:rFonts w:ascii="宋体" w:hAnsi="宋体" w:cs="宋体" w:eastAsia="宋体" w:hint="default"/>
                <w:sz w:val="13"/>
                <w:szCs w:val="13"/>
              </w:rPr>
            </w:pPr>
            <w:r>
              <w:rPr>
                <w:rFonts w:ascii="宋体" w:hAnsi="宋体" w:cs="宋体" w:eastAsia="宋体" w:hint="default"/>
                <w:w w:val="110"/>
                <w:sz w:val="13"/>
                <w:szCs w:val="13"/>
              </w:rPr>
              <w:t>取得投资收益收到的现金</w:t>
            </w:r>
            <w:r>
              <w:rPr>
                <w:rFonts w:ascii="宋体" w:hAnsi="宋体" w:cs="宋体" w:eastAsia="宋体" w:hint="default"/>
                <w:w w:val="109"/>
                <w:sz w:val="13"/>
                <w:szCs w:val="13"/>
              </w:rPr>
              <w:t> </w:t>
            </w:r>
            <w:r>
              <w:rPr>
                <w:rFonts w:ascii="宋体" w:hAnsi="宋体" w:cs="宋体" w:eastAsia="宋体" w:hint="default"/>
                <w:w w:val="105"/>
                <w:sz w:val="13"/>
                <w:szCs w:val="13"/>
              </w:rPr>
              <w:t>处置固定资产、无形资产和其他长期资产收回的现金净额</w:t>
            </w:r>
            <w:r>
              <w:rPr>
                <w:rFonts w:ascii="宋体" w:hAnsi="宋体" w:cs="宋体" w:eastAsia="宋体" w:hint="default"/>
                <w:spacing w:val="2"/>
                <w:w w:val="105"/>
                <w:sz w:val="13"/>
                <w:szCs w:val="13"/>
              </w:rPr>
              <w:t> </w:t>
            </w:r>
            <w:r>
              <w:rPr>
                <w:rFonts w:ascii="宋体" w:hAnsi="宋体" w:cs="宋体" w:eastAsia="宋体" w:hint="default"/>
                <w:w w:val="110"/>
                <w:sz w:val="13"/>
                <w:szCs w:val="13"/>
              </w:rPr>
              <w:t>处置子公司及其他营业单位收到的现金净额</w:t>
            </w:r>
            <w:r>
              <w:rPr>
                <w:rFonts w:ascii="宋体" w:hAnsi="宋体" w:cs="宋体" w:eastAsia="宋体" w:hint="default"/>
                <w:w w:val="109"/>
                <w:sz w:val="13"/>
                <w:szCs w:val="13"/>
              </w:rPr>
              <w:t> </w:t>
            </w:r>
            <w:r>
              <w:rPr>
                <w:rFonts w:ascii="宋体" w:hAnsi="宋体" w:cs="宋体" w:eastAsia="宋体" w:hint="default"/>
                <w:w w:val="110"/>
                <w:sz w:val="13"/>
                <w:szCs w:val="13"/>
              </w:rPr>
              <w:t>收到其他与投资活动有关的现金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340" w:lineRule="auto" w:before="72"/>
              <w:ind w:left="728" w:right="95" w:firstLine="497"/>
              <w:jc w:val="left"/>
              <w:rPr>
                <w:rFonts w:ascii="宋体" w:hAnsi="宋体" w:cs="宋体" w:eastAsia="宋体" w:hint="default"/>
                <w:sz w:val="13"/>
                <w:szCs w:val="13"/>
              </w:rPr>
            </w:pPr>
            <w:r>
              <w:rPr>
                <w:rFonts w:ascii="宋体"/>
                <w:w w:val="110"/>
                <w:sz w:val="13"/>
              </w:rPr>
              <w:t>-</w:t>
            </w:r>
            <w:r>
              <w:rPr>
                <w:rFonts w:ascii="宋体"/>
                <w:w w:val="109"/>
                <w:sz w:val="13"/>
              </w:rPr>
              <w:t> </w:t>
            </w:r>
            <w:r>
              <w:rPr>
                <w:rFonts w:ascii="宋体"/>
                <w:w w:val="105"/>
                <w:sz w:val="13"/>
              </w:rPr>
              <w:t>900,000.00</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2"/>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投资活动现金流入小计</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900,000.00</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237"/>
              <w:jc w:val="right"/>
              <w:rPr>
                <w:rFonts w:ascii="宋体" w:hAnsi="宋体" w:cs="宋体" w:eastAsia="宋体" w:hint="default"/>
                <w:sz w:val="13"/>
                <w:szCs w:val="13"/>
              </w:rPr>
            </w:pPr>
            <w:r>
              <w:rPr>
                <w:rFonts w:ascii="宋体"/>
                <w:w w:val="109"/>
                <w:sz w:val="13"/>
              </w:rPr>
              <w:t>-</w:t>
            </w:r>
            <w:r>
              <w:rPr>
                <w:rFonts w:ascii="宋体"/>
                <w:sz w:val="13"/>
              </w:rPr>
            </w:r>
          </w:p>
        </w:tc>
      </w:tr>
      <w:tr>
        <w:trPr>
          <w:trHeight w:val="251"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9" w:right="0"/>
              <w:jc w:val="left"/>
              <w:rPr>
                <w:rFonts w:ascii="宋体" w:hAnsi="宋体" w:cs="宋体" w:eastAsia="宋体" w:hint="default"/>
                <w:sz w:val="13"/>
                <w:szCs w:val="13"/>
              </w:rPr>
            </w:pPr>
            <w:r>
              <w:rPr>
                <w:rFonts w:ascii="宋体" w:hAnsi="宋体" w:cs="宋体" w:eastAsia="宋体" w:hint="default"/>
                <w:w w:val="110"/>
                <w:sz w:val="13"/>
                <w:szCs w:val="13"/>
              </w:rPr>
              <w:t>购建固定资产、无形资产和其他长期资产支付的现金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2,222,884.00</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1,505,802.00</w:t>
            </w:r>
            <w:r>
              <w:rPr>
                <w:rFonts w:ascii="宋体"/>
                <w:sz w:val="13"/>
              </w:rPr>
            </w:r>
          </w:p>
        </w:tc>
      </w:tr>
      <w:tr>
        <w:trPr>
          <w:trHeight w:val="958"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340" w:lineRule="auto" w:before="18"/>
              <w:ind w:left="319" w:right="2401"/>
              <w:jc w:val="left"/>
              <w:rPr>
                <w:rFonts w:ascii="宋体" w:hAnsi="宋体" w:cs="宋体" w:eastAsia="宋体" w:hint="default"/>
                <w:sz w:val="13"/>
                <w:szCs w:val="13"/>
              </w:rPr>
            </w:pPr>
            <w:r>
              <w:rPr>
                <w:rFonts w:ascii="宋体" w:hAnsi="宋体" w:cs="宋体" w:eastAsia="宋体" w:hint="default"/>
                <w:w w:val="110"/>
                <w:sz w:val="13"/>
                <w:szCs w:val="13"/>
              </w:rPr>
              <w:t>投资支付的现金</w:t>
            </w:r>
            <w:r>
              <w:rPr>
                <w:rFonts w:ascii="宋体" w:hAnsi="宋体" w:cs="宋体" w:eastAsia="宋体" w:hint="default"/>
                <w:w w:val="109"/>
                <w:sz w:val="13"/>
                <w:szCs w:val="13"/>
              </w:rPr>
              <w:t> </w:t>
            </w:r>
            <w:r>
              <w:rPr>
                <w:rFonts w:ascii="宋体" w:hAnsi="宋体" w:cs="宋体" w:eastAsia="宋体" w:hint="default"/>
                <w:w w:val="105"/>
                <w:sz w:val="13"/>
                <w:szCs w:val="13"/>
              </w:rPr>
              <w:t>质押贷款净增加额</w:t>
            </w:r>
            <w:r>
              <w:rPr>
                <w:rFonts w:ascii="宋体" w:hAnsi="宋体" w:cs="宋体" w:eastAsia="宋体" w:hint="default"/>
                <w:sz w:val="13"/>
                <w:szCs w:val="13"/>
              </w:rPr>
            </w:r>
          </w:p>
          <w:p>
            <w:pPr>
              <w:pStyle w:val="TableParagraph"/>
              <w:spacing w:line="340" w:lineRule="auto" w:before="17"/>
              <w:ind w:left="319" w:right="838"/>
              <w:jc w:val="left"/>
              <w:rPr>
                <w:rFonts w:ascii="宋体" w:hAnsi="宋体" w:cs="宋体" w:eastAsia="宋体" w:hint="default"/>
                <w:sz w:val="13"/>
                <w:szCs w:val="13"/>
              </w:rPr>
            </w:pPr>
            <w:r>
              <w:rPr>
                <w:rFonts w:ascii="宋体" w:hAnsi="宋体" w:cs="宋体" w:eastAsia="宋体" w:hint="default"/>
                <w:w w:val="105"/>
                <w:sz w:val="13"/>
                <w:szCs w:val="13"/>
              </w:rPr>
              <w:t>取得子公司及其他营业单位支付的现金净额</w:t>
            </w:r>
            <w:r>
              <w:rPr>
                <w:rFonts w:ascii="宋体" w:hAnsi="宋体" w:cs="宋体" w:eastAsia="宋体" w:hint="default"/>
                <w:spacing w:val="37"/>
                <w:w w:val="105"/>
                <w:sz w:val="13"/>
                <w:szCs w:val="13"/>
              </w:rPr>
              <w:t> </w:t>
            </w:r>
            <w:r>
              <w:rPr>
                <w:rFonts w:ascii="宋体" w:hAnsi="宋体" w:cs="宋体" w:eastAsia="宋体" w:hint="default"/>
                <w:w w:val="110"/>
                <w:sz w:val="13"/>
                <w:szCs w:val="13"/>
              </w:rPr>
              <w:t>支付其他与投资活动有关的现金</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left="444" w:right="0"/>
              <w:jc w:val="left"/>
              <w:rPr>
                <w:rFonts w:ascii="宋体" w:hAnsi="宋体" w:cs="宋体" w:eastAsia="宋体" w:hint="default"/>
                <w:sz w:val="13"/>
                <w:szCs w:val="13"/>
              </w:rPr>
            </w:pPr>
            <w:r>
              <w:rPr>
                <w:rFonts w:ascii="宋体"/>
                <w:w w:val="110"/>
                <w:sz w:val="13"/>
              </w:rPr>
              <w:t>127,000,000.00</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5" w:space="0" w:color="000000"/>
              <w:right w:val="nil" w:sz="6" w:space="0" w:color="auto"/>
            </w:tcBorders>
          </w:tcPr>
          <w:p>
            <w:pPr>
              <w:pStyle w:val="TableParagraph"/>
              <w:spacing w:line="240" w:lineRule="auto" w:before="18"/>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p>
            <w:pPr>
              <w:pStyle w:val="TableParagraph"/>
              <w:spacing w:line="240" w:lineRule="auto" w:before="71"/>
              <w:ind w:right="237"/>
              <w:jc w:val="right"/>
              <w:rPr>
                <w:rFonts w:ascii="宋体" w:hAnsi="宋体" w:cs="宋体" w:eastAsia="宋体" w:hint="default"/>
                <w:sz w:val="13"/>
                <w:szCs w:val="13"/>
              </w:rPr>
            </w:pPr>
            <w:r>
              <w:rPr>
                <w:rFonts w:ascii="宋体"/>
                <w:w w:val="109"/>
                <w:sz w:val="13"/>
              </w:rPr>
              <w:t>-</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投资活动现金流出小计</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129,222,884.00</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5" w:space="0" w:color="000000"/>
              <w:right w:val="nil" w:sz="6" w:space="0" w:color="auto"/>
            </w:tcBorders>
          </w:tcPr>
          <w:p>
            <w:pPr>
              <w:pStyle w:val="TableParagraph"/>
              <w:spacing w:line="240" w:lineRule="auto" w:before="21"/>
              <w:ind w:right="95"/>
              <w:jc w:val="right"/>
              <w:rPr>
                <w:rFonts w:ascii="宋体" w:hAnsi="宋体" w:cs="宋体" w:eastAsia="宋体" w:hint="default"/>
                <w:sz w:val="13"/>
                <w:szCs w:val="13"/>
              </w:rPr>
            </w:pPr>
            <w:r>
              <w:rPr>
                <w:rFonts w:ascii="宋体"/>
                <w:w w:val="105"/>
                <w:sz w:val="13"/>
              </w:rPr>
              <w:t>1,505,802.00</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投资活动产生的现金流量净额</w:t>
            </w:r>
            <w:r>
              <w:rPr>
                <w:rFonts w:ascii="宋体" w:hAnsi="宋体" w:cs="宋体" w:eastAsia="宋体" w:hint="default"/>
                <w:sz w:val="13"/>
                <w:szCs w:val="13"/>
              </w:rPr>
            </w:r>
          </w:p>
        </w:tc>
        <w:tc>
          <w:tcPr>
            <w:tcW w:w="894"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14" w:space="0" w:color="000000"/>
              <w:right w:val="nil" w:sz="6" w:space="0" w:color="auto"/>
            </w:tcBorders>
          </w:tcPr>
          <w:p>
            <w:pPr>
              <w:pStyle w:val="TableParagraph"/>
              <w:spacing w:line="240" w:lineRule="auto" w:before="21"/>
              <w:ind w:right="24"/>
              <w:jc w:val="right"/>
              <w:rPr>
                <w:rFonts w:ascii="宋体" w:hAnsi="宋体" w:cs="宋体" w:eastAsia="宋体" w:hint="default"/>
                <w:sz w:val="13"/>
                <w:szCs w:val="13"/>
              </w:rPr>
            </w:pPr>
            <w:r>
              <w:rPr>
                <w:rFonts w:ascii="宋体"/>
                <w:w w:val="105"/>
                <w:sz w:val="13"/>
              </w:rPr>
              <w:t>(128,322,884.00)</w:t>
            </w:r>
            <w:r>
              <w:rPr>
                <w:rFonts w:ascii="宋体"/>
                <w:sz w:val="13"/>
              </w:rPr>
            </w:r>
          </w:p>
        </w:tc>
        <w:tc>
          <w:tcPr>
            <w:tcW w:w="405" w:type="dxa"/>
            <w:tcBorders>
              <w:top w:val="nil" w:sz="6" w:space="0" w:color="auto"/>
              <w:left w:val="nil" w:sz="6" w:space="0" w:color="auto"/>
              <w:bottom w:val="nil" w:sz="6" w:space="0" w:color="auto"/>
              <w:right w:val="nil" w:sz="6" w:space="0" w:color="auto"/>
            </w:tcBorders>
          </w:tcPr>
          <w:p>
            <w:pPr/>
          </w:p>
        </w:tc>
        <w:tc>
          <w:tcPr>
            <w:tcW w:w="1537" w:type="dxa"/>
            <w:tcBorders>
              <w:top w:val="single" w:sz="5" w:space="0" w:color="000000"/>
              <w:left w:val="nil" w:sz="6" w:space="0" w:color="auto"/>
              <w:bottom w:val="single" w:sz="14" w:space="0" w:color="000000"/>
              <w:right w:val="nil" w:sz="6" w:space="0" w:color="auto"/>
            </w:tcBorders>
          </w:tcPr>
          <w:p>
            <w:pPr>
              <w:pStyle w:val="TableParagraph"/>
              <w:spacing w:line="240" w:lineRule="auto" w:before="21"/>
              <w:ind w:right="24"/>
              <w:jc w:val="right"/>
              <w:rPr>
                <w:rFonts w:ascii="宋体" w:hAnsi="宋体" w:cs="宋体" w:eastAsia="宋体" w:hint="default"/>
                <w:sz w:val="13"/>
                <w:szCs w:val="13"/>
              </w:rPr>
            </w:pPr>
            <w:r>
              <w:rPr>
                <w:rFonts w:ascii="宋体"/>
                <w:w w:val="105"/>
                <w:sz w:val="13"/>
              </w:rPr>
              <w:t>(1,505,802.00)</w:t>
            </w:r>
            <w:r>
              <w:rPr>
                <w:rFonts w:ascii="宋体"/>
                <w:sz w:val="13"/>
              </w:rPr>
            </w:r>
          </w:p>
        </w:tc>
      </w:tr>
      <w:tr>
        <w:trPr>
          <w:trHeight w:val="49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340" w:lineRule="auto" w:before="27"/>
              <w:ind w:left="319" w:right="1811" w:hanging="285"/>
              <w:jc w:val="left"/>
              <w:rPr>
                <w:rFonts w:ascii="宋体" w:hAnsi="宋体" w:cs="宋体" w:eastAsia="宋体" w:hint="default"/>
                <w:sz w:val="13"/>
                <w:szCs w:val="13"/>
              </w:rPr>
            </w:pPr>
            <w:r>
              <w:rPr>
                <w:rFonts w:ascii="宋体" w:hAnsi="宋体" w:cs="宋体" w:eastAsia="宋体" w:hint="default"/>
                <w:b/>
                <w:bCs/>
                <w:w w:val="110"/>
                <w:sz w:val="13"/>
                <w:szCs w:val="13"/>
              </w:rPr>
              <w:t>三、筹资活动产生的现金流量：</w:t>
            </w:r>
            <w:r>
              <w:rPr>
                <w:rFonts w:ascii="宋体" w:hAnsi="宋体" w:cs="宋体" w:eastAsia="宋体" w:hint="default"/>
                <w:b/>
                <w:bCs/>
                <w:spacing w:val="1"/>
                <w:w w:val="108"/>
                <w:sz w:val="13"/>
                <w:szCs w:val="13"/>
              </w:rPr>
              <w:t> </w:t>
            </w:r>
            <w:r>
              <w:rPr>
                <w:rFonts w:ascii="宋体" w:hAnsi="宋体" w:cs="宋体" w:eastAsia="宋体" w:hint="default"/>
                <w:w w:val="110"/>
                <w:sz w:val="13"/>
                <w:szCs w:val="13"/>
              </w:rPr>
              <w:t>吸收投资收到的现金</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tabs>
                <w:tab w:pos="2386" w:val="left" w:leader="none"/>
              </w:tabs>
              <w:spacing w:line="240" w:lineRule="auto"/>
              <w:ind w:left="1226" w:right="0"/>
              <w:jc w:val="left"/>
              <w:rPr>
                <w:rFonts w:ascii="宋体" w:hAnsi="宋体" w:cs="宋体" w:eastAsia="宋体" w:hint="default"/>
                <w:sz w:val="13"/>
                <w:szCs w:val="13"/>
              </w:rPr>
            </w:pPr>
            <w:r>
              <w:rPr>
                <w:rFonts w:ascii="宋体"/>
                <w:w w:val="105"/>
                <w:sz w:val="13"/>
              </w:rPr>
              <w:t>-</w:t>
              <w:tab/>
            </w:r>
            <w:r>
              <w:rPr>
                <w:rFonts w:ascii="宋体"/>
                <w:w w:val="110"/>
                <w:sz w:val="13"/>
              </w:rPr>
              <w:t>653,280,000.00</w:t>
            </w:r>
            <w:r>
              <w:rPr>
                <w:rFonts w:ascii="宋体"/>
                <w:sz w:val="13"/>
              </w:rPr>
            </w:r>
          </w:p>
        </w:tc>
      </w:tr>
      <w:tr>
        <w:trPr>
          <w:trHeight w:val="716"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340" w:lineRule="auto" w:before="18"/>
              <w:ind w:left="319" w:right="1549"/>
              <w:jc w:val="left"/>
              <w:rPr>
                <w:rFonts w:ascii="宋体" w:hAnsi="宋体" w:cs="宋体" w:eastAsia="宋体" w:hint="default"/>
                <w:sz w:val="13"/>
                <w:szCs w:val="13"/>
              </w:rPr>
            </w:pPr>
            <w:r>
              <w:rPr>
                <w:rFonts w:ascii="宋体" w:hAnsi="宋体" w:cs="宋体" w:eastAsia="宋体" w:hint="default"/>
                <w:w w:val="110"/>
                <w:sz w:val="13"/>
                <w:szCs w:val="13"/>
              </w:rPr>
              <w:t>取得借款收到的现金</w:t>
            </w:r>
            <w:r>
              <w:rPr>
                <w:rFonts w:ascii="宋体" w:hAnsi="宋体" w:cs="宋体" w:eastAsia="宋体" w:hint="default"/>
                <w:w w:val="109"/>
                <w:sz w:val="13"/>
                <w:szCs w:val="13"/>
              </w:rPr>
              <w:t> </w:t>
            </w:r>
            <w:r>
              <w:rPr>
                <w:rFonts w:ascii="宋体" w:hAnsi="宋体" w:cs="宋体" w:eastAsia="宋体" w:hint="default"/>
                <w:w w:val="110"/>
                <w:sz w:val="13"/>
                <w:szCs w:val="13"/>
              </w:rPr>
              <w:t>发行债券收到的现金</w:t>
            </w:r>
            <w:r>
              <w:rPr>
                <w:rFonts w:ascii="宋体" w:hAnsi="宋体" w:cs="宋体" w:eastAsia="宋体" w:hint="default"/>
                <w:w w:val="109"/>
                <w:sz w:val="13"/>
                <w:szCs w:val="13"/>
              </w:rPr>
              <w:t> </w:t>
            </w:r>
            <w:r>
              <w:rPr>
                <w:rFonts w:ascii="宋体" w:hAnsi="宋体" w:cs="宋体" w:eastAsia="宋体" w:hint="default"/>
                <w:w w:val="105"/>
                <w:sz w:val="13"/>
                <w:szCs w:val="13"/>
              </w:rPr>
              <w:t>收到其他与筹资活动有关的现金</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tabs>
                <w:tab w:pos="3167" w:val="left" w:leader="none"/>
              </w:tabs>
              <w:spacing w:line="240" w:lineRule="auto" w:before="18"/>
              <w:ind w:left="515" w:right="0"/>
              <w:jc w:val="left"/>
              <w:rPr>
                <w:rFonts w:ascii="宋体" w:hAnsi="宋体" w:cs="宋体" w:eastAsia="宋体" w:hint="default"/>
                <w:sz w:val="13"/>
                <w:szCs w:val="13"/>
              </w:rPr>
            </w:pPr>
            <w:r>
              <w:rPr>
                <w:rFonts w:ascii="宋体"/>
                <w:w w:val="105"/>
                <w:sz w:val="13"/>
              </w:rPr>
              <w:t>13,159,022.58</w:t>
              <w:tab/>
            </w:r>
            <w:r>
              <w:rPr>
                <w:rFonts w:ascii="宋体"/>
                <w:w w:val="110"/>
                <w:sz w:val="13"/>
              </w:rPr>
              <w:t>-</w:t>
            </w:r>
            <w:r>
              <w:rPr>
                <w:rFonts w:ascii="宋体"/>
                <w:sz w:val="13"/>
              </w:rPr>
            </w:r>
          </w:p>
          <w:p>
            <w:pPr>
              <w:pStyle w:val="TableParagraph"/>
              <w:tabs>
                <w:tab w:pos="3167" w:val="left" w:leader="none"/>
              </w:tabs>
              <w:spacing w:line="240" w:lineRule="auto" w:before="71"/>
              <w:ind w:left="1226" w:right="0"/>
              <w:jc w:val="left"/>
              <w:rPr>
                <w:rFonts w:ascii="宋体" w:hAnsi="宋体" w:cs="宋体" w:eastAsia="宋体" w:hint="default"/>
                <w:sz w:val="13"/>
                <w:szCs w:val="13"/>
              </w:rPr>
            </w:pPr>
            <w:r>
              <w:rPr>
                <w:rFonts w:ascii="宋体"/>
                <w:w w:val="105"/>
                <w:sz w:val="13"/>
              </w:rPr>
              <w:t>-</w:t>
              <w:tab/>
            </w:r>
            <w:r>
              <w:rPr>
                <w:rFonts w:ascii="宋体"/>
                <w:w w:val="110"/>
                <w:sz w:val="13"/>
              </w:rPr>
              <w:t>-</w:t>
            </w:r>
            <w:r>
              <w:rPr>
                <w:rFonts w:ascii="宋体"/>
                <w:sz w:val="13"/>
              </w:rPr>
            </w:r>
          </w:p>
          <w:p>
            <w:pPr>
              <w:pStyle w:val="TableParagraph"/>
              <w:tabs>
                <w:tab w:pos="2528" w:val="left" w:leader="none"/>
              </w:tabs>
              <w:spacing w:line="240" w:lineRule="auto" w:before="71"/>
              <w:ind w:left="515" w:right="0"/>
              <w:jc w:val="left"/>
              <w:rPr>
                <w:rFonts w:ascii="宋体" w:hAnsi="宋体" w:cs="宋体" w:eastAsia="宋体" w:hint="default"/>
                <w:sz w:val="13"/>
                <w:szCs w:val="13"/>
              </w:rPr>
            </w:pPr>
            <w:r>
              <w:rPr>
                <w:rFonts w:ascii="宋体"/>
                <w:w w:val="105"/>
                <w:sz w:val="13"/>
              </w:rPr>
              <w:t>18,168,720.08</w:t>
              <w:tab/>
            </w:r>
            <w:r>
              <w:rPr>
                <w:rFonts w:ascii="宋体"/>
                <w:w w:val="110"/>
                <w:sz w:val="13"/>
              </w:rPr>
              <w:t>1,353,450.83</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筹资活动现金流入小计</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黑体" w:hAnsi="黑体" w:cs="黑体" w:eastAsia="黑体" w:hint="default"/>
                <w:sz w:val="2"/>
                <w:szCs w:val="2"/>
              </w:rPr>
            </w:pPr>
            <w:r>
              <w:rPr>
                <w:rFonts w:ascii="黑体" w:hAnsi="黑体" w:cs="黑体" w:eastAsia="黑体" w:hint="default"/>
                <w:sz w:val="2"/>
                <w:szCs w:val="2"/>
              </w:rPr>
              <w:pict>
                <v:group style="width:76.850pt;height:.6pt;mso-position-horizontal-relative:char;mso-position-vertical-relative:line" coordorigin="0,0" coordsize="1537,12">
                  <v:shape style="position:absolute;left:0;top:0;width:1537;height:12" type="#_x0000_t75" stroked="false">
                    <v:imagedata r:id="rId54" o:title=""/>
                  </v:shape>
                </v:group>
              </w:pict>
            </w:r>
            <w:r>
              <w:rPr>
                <w:rFonts w:ascii="黑体" w:hAnsi="黑体" w:cs="黑体" w:eastAsia="黑体" w:hint="default"/>
                <w:sz w:val="2"/>
                <w:szCs w:val="2"/>
              </w:rPr>
            </w:r>
          </w:p>
          <w:p>
            <w:pPr>
              <w:pStyle w:val="TableParagraph"/>
              <w:tabs>
                <w:tab w:pos="2386" w:val="left" w:leader="none"/>
              </w:tabs>
              <w:spacing w:line="240" w:lineRule="auto" w:before="13"/>
              <w:ind w:left="515" w:right="0"/>
              <w:jc w:val="left"/>
              <w:rPr>
                <w:rFonts w:ascii="宋体" w:hAnsi="宋体" w:cs="宋体" w:eastAsia="宋体" w:hint="default"/>
                <w:sz w:val="13"/>
                <w:szCs w:val="13"/>
              </w:rPr>
            </w:pPr>
            <w:r>
              <w:rPr>
                <w:rFonts w:ascii="宋体"/>
                <w:w w:val="105"/>
                <w:sz w:val="13"/>
              </w:rPr>
              <w:t>31,327,742.66</w:t>
              <w:tab/>
            </w:r>
            <w:r>
              <w:rPr>
                <w:rFonts w:ascii="宋体"/>
                <w:w w:val="110"/>
                <w:sz w:val="13"/>
              </w:rPr>
              <w:t>654,633,450.83</w:t>
            </w:r>
            <w:r>
              <w:rPr>
                <w:rFonts w:ascii="宋体"/>
                <w:sz w:val="13"/>
              </w:rPr>
            </w:r>
          </w:p>
        </w:tc>
      </w:tr>
      <w:tr>
        <w:trPr>
          <w:trHeight w:val="251"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9" w:right="0"/>
              <w:jc w:val="left"/>
              <w:rPr>
                <w:rFonts w:ascii="宋体" w:hAnsi="宋体" w:cs="宋体" w:eastAsia="宋体" w:hint="default"/>
                <w:sz w:val="13"/>
                <w:szCs w:val="13"/>
              </w:rPr>
            </w:pPr>
            <w:r>
              <w:rPr>
                <w:rFonts w:ascii="宋体" w:hAnsi="宋体" w:cs="宋体" w:eastAsia="宋体" w:hint="default"/>
                <w:w w:val="110"/>
                <w:sz w:val="13"/>
                <w:szCs w:val="13"/>
              </w:rPr>
              <w:t>偿还债务支付的现金</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6" w:right="0"/>
              <w:jc w:val="left"/>
              <w:rPr>
                <w:rFonts w:ascii="黑体" w:hAnsi="黑体" w:cs="黑体" w:eastAsia="黑体" w:hint="default"/>
                <w:sz w:val="2"/>
                <w:szCs w:val="2"/>
              </w:rPr>
            </w:pPr>
            <w:r>
              <w:rPr>
                <w:rFonts w:ascii="黑体" w:hAnsi="黑体" w:cs="黑体" w:eastAsia="黑体" w:hint="default"/>
                <w:sz w:val="2"/>
                <w:szCs w:val="2"/>
              </w:rPr>
              <w:pict>
                <v:group style="width:77.45pt;height:.65pt;mso-position-horizontal-relative:char;mso-position-vertical-relative:line" coordorigin="0,0" coordsize="1549,13">
                  <v:group style="position:absolute;left:7;top:1;width:1536;height:2" coordorigin="7,1" coordsize="1536,2">
                    <v:shape style="position:absolute;left:7;top:1;width:1536;height:2" coordorigin="7,1" coordsize="1536,0" path="m7,1l1542,1e" filled="false" stroked="true" strokeweight=".087007pt" strokecolor="#000000">
                      <v:path arrowok="t"/>
                    </v:shape>
                  </v:group>
                  <v:group style="position:absolute;left:6;top:6;width:1537;height:2" coordorigin="6,6" coordsize="1537,2">
                    <v:shape style="position:absolute;left:6;top:6;width:1537;height:2" coordorigin="6,6" coordsize="1537,0" path="m6,6l1543,6e" filled="false" stroked="true" strokeweight=".596591pt" strokecolor="#000000">
                      <v:path arrowok="t"/>
                    </v:shape>
                  </v:group>
                </v:group>
              </w:pict>
            </w:r>
            <w:r>
              <w:rPr>
                <w:rFonts w:ascii="黑体" w:hAnsi="黑体" w:cs="黑体" w:eastAsia="黑体" w:hint="default"/>
                <w:sz w:val="2"/>
                <w:szCs w:val="2"/>
              </w:rPr>
            </w:r>
          </w:p>
          <w:p>
            <w:pPr>
              <w:pStyle w:val="TableParagraph"/>
              <w:tabs>
                <w:tab w:pos="3167" w:val="left" w:leader="none"/>
              </w:tabs>
              <w:spacing w:line="240" w:lineRule="auto" w:before="13"/>
              <w:ind w:left="515" w:right="0"/>
              <w:jc w:val="left"/>
              <w:rPr>
                <w:rFonts w:ascii="宋体" w:hAnsi="宋体" w:cs="宋体" w:eastAsia="宋体" w:hint="default"/>
                <w:sz w:val="13"/>
                <w:szCs w:val="13"/>
              </w:rPr>
            </w:pPr>
            <w:r>
              <w:rPr>
                <w:rFonts w:ascii="宋体"/>
                <w:w w:val="105"/>
                <w:sz w:val="13"/>
              </w:rPr>
              <w:t>13,159,022.58</w:t>
              <w:tab/>
            </w:r>
            <w:r>
              <w:rPr>
                <w:rFonts w:ascii="宋体"/>
                <w:w w:val="110"/>
                <w:sz w:val="13"/>
              </w:rPr>
              <w:t>-</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分配股利、利润或偿付利息支付的现金</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tabs>
                <w:tab w:pos="3167" w:val="left" w:leader="none"/>
              </w:tabs>
              <w:spacing w:line="240" w:lineRule="auto" w:before="18"/>
              <w:ind w:left="515" w:right="0"/>
              <w:jc w:val="left"/>
              <w:rPr>
                <w:rFonts w:ascii="宋体" w:hAnsi="宋体" w:cs="宋体" w:eastAsia="宋体" w:hint="default"/>
                <w:sz w:val="13"/>
                <w:szCs w:val="13"/>
              </w:rPr>
            </w:pPr>
            <w:r>
              <w:rPr>
                <w:rFonts w:ascii="宋体"/>
                <w:w w:val="105"/>
                <w:sz w:val="13"/>
              </w:rPr>
              <w:t>12,959,043.66</w:t>
              <w:tab/>
            </w:r>
            <w:r>
              <w:rPr>
                <w:rFonts w:ascii="宋体"/>
                <w:w w:val="110"/>
                <w:sz w:val="13"/>
              </w:rPr>
              <w:t>-</w:t>
            </w:r>
            <w:r>
              <w:rPr>
                <w:rFonts w:ascii="宋体"/>
                <w:sz w:val="13"/>
              </w:rPr>
            </w:r>
          </w:p>
        </w:tc>
      </w:tr>
      <w:tr>
        <w:trPr>
          <w:trHeight w:val="233"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9" w:right="0"/>
              <w:jc w:val="left"/>
              <w:rPr>
                <w:rFonts w:ascii="宋体" w:hAnsi="宋体" w:cs="宋体" w:eastAsia="宋体" w:hint="default"/>
                <w:sz w:val="13"/>
                <w:szCs w:val="13"/>
              </w:rPr>
            </w:pPr>
            <w:r>
              <w:rPr>
                <w:rFonts w:ascii="宋体" w:hAnsi="宋体" w:cs="宋体" w:eastAsia="宋体" w:hint="default"/>
                <w:w w:val="110"/>
                <w:sz w:val="13"/>
                <w:szCs w:val="13"/>
              </w:rPr>
              <w:t>支付其他与筹资活动有关的现金</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tabs>
                <w:tab w:pos="2457" w:val="left" w:leader="none"/>
              </w:tabs>
              <w:spacing w:line="240" w:lineRule="auto" w:before="18"/>
              <w:ind w:left="515" w:right="0"/>
              <w:jc w:val="left"/>
              <w:rPr>
                <w:rFonts w:ascii="宋体" w:hAnsi="宋体" w:cs="宋体" w:eastAsia="宋体" w:hint="default"/>
                <w:sz w:val="13"/>
                <w:szCs w:val="13"/>
              </w:rPr>
            </w:pPr>
            <w:r>
              <w:rPr>
                <w:rFonts w:ascii="宋体"/>
                <w:w w:val="105"/>
                <w:sz w:val="13"/>
              </w:rPr>
              <w:t>12,453,349.10</w:t>
              <w:tab/>
            </w:r>
            <w:r>
              <w:rPr>
                <w:rFonts w:ascii="宋体"/>
                <w:w w:val="110"/>
                <w:sz w:val="13"/>
              </w:rPr>
              <w:t>11,823,339.87</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筹资活动现金流出小计</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黑体" w:hAnsi="黑体" w:cs="黑体" w:eastAsia="黑体" w:hint="default"/>
                <w:sz w:val="2"/>
                <w:szCs w:val="2"/>
              </w:rPr>
            </w:pPr>
            <w:r>
              <w:rPr>
                <w:rFonts w:ascii="黑体" w:hAnsi="黑体" w:cs="黑体" w:eastAsia="黑体" w:hint="default"/>
                <w:sz w:val="2"/>
                <w:szCs w:val="2"/>
              </w:rPr>
              <w:pict>
                <v:group style="width:76.850pt;height:.6pt;mso-position-horizontal-relative:char;mso-position-vertical-relative:line" coordorigin="0,0" coordsize="1537,12">
                  <v:shape style="position:absolute;left:0;top:0;width:1537;height:12" type="#_x0000_t75" stroked="false">
                    <v:imagedata r:id="rId54" o:title=""/>
                  </v:shape>
                </v:group>
              </w:pict>
            </w:r>
            <w:r>
              <w:rPr>
                <w:rFonts w:ascii="黑体" w:hAnsi="黑体" w:cs="黑体" w:eastAsia="黑体" w:hint="default"/>
                <w:sz w:val="2"/>
                <w:szCs w:val="2"/>
              </w:rPr>
            </w:r>
          </w:p>
          <w:p>
            <w:pPr>
              <w:pStyle w:val="TableParagraph"/>
              <w:tabs>
                <w:tab w:pos="2457" w:val="left" w:leader="none"/>
              </w:tabs>
              <w:spacing w:line="240" w:lineRule="auto" w:before="13"/>
              <w:ind w:left="515" w:right="0"/>
              <w:jc w:val="left"/>
              <w:rPr>
                <w:rFonts w:ascii="宋体" w:hAnsi="宋体" w:cs="宋体" w:eastAsia="宋体" w:hint="default"/>
                <w:sz w:val="13"/>
                <w:szCs w:val="13"/>
              </w:rPr>
            </w:pPr>
            <w:r>
              <w:rPr>
                <w:rFonts w:ascii="宋体"/>
                <w:w w:val="105"/>
                <w:sz w:val="13"/>
              </w:rPr>
              <w:t>38,571,415.34</w:t>
              <w:tab/>
            </w:r>
            <w:r>
              <w:rPr>
                <w:rFonts w:ascii="宋体"/>
                <w:w w:val="110"/>
                <w:sz w:val="13"/>
              </w:rPr>
              <w:t>11,823,339.87</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1" w:right="0"/>
              <w:jc w:val="left"/>
              <w:rPr>
                <w:rFonts w:ascii="宋体" w:hAnsi="宋体" w:cs="宋体" w:eastAsia="宋体" w:hint="default"/>
                <w:sz w:val="13"/>
                <w:szCs w:val="13"/>
              </w:rPr>
            </w:pPr>
            <w:r>
              <w:rPr>
                <w:rFonts w:ascii="宋体" w:hAnsi="宋体" w:cs="宋体" w:eastAsia="宋体" w:hint="default"/>
                <w:w w:val="110"/>
                <w:sz w:val="13"/>
                <w:szCs w:val="13"/>
              </w:rPr>
              <w:t>筹资活动产生的现金流量净额</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6" w:right="0"/>
              <w:jc w:val="left"/>
              <w:rPr>
                <w:rFonts w:ascii="黑体" w:hAnsi="黑体" w:cs="黑体" w:eastAsia="黑体" w:hint="default"/>
                <w:sz w:val="2"/>
                <w:szCs w:val="2"/>
              </w:rPr>
            </w:pPr>
            <w:r>
              <w:rPr>
                <w:rFonts w:ascii="黑体" w:hAnsi="黑体" w:cs="黑体" w:eastAsia="黑体" w:hint="default"/>
                <w:sz w:val="2"/>
                <w:szCs w:val="2"/>
              </w:rPr>
              <w:pict>
                <v:group style="width:77.45pt;height:.65pt;mso-position-horizontal-relative:char;mso-position-vertical-relative:line" coordorigin="0,0" coordsize="1549,13">
                  <v:group style="position:absolute;left:7;top:1;width:1536;height:2" coordorigin="7,1" coordsize="1536,2">
                    <v:shape style="position:absolute;left:7;top:1;width:1536;height:2" coordorigin="7,1" coordsize="1536,0" path="m7,1l1542,1e" filled="false" stroked="true" strokeweight=".087007pt" strokecolor="#000000">
                      <v:path arrowok="t"/>
                    </v:shape>
                  </v:group>
                  <v:group style="position:absolute;left:6;top:6;width:1537;height:2" coordorigin="6,6" coordsize="1537,2">
                    <v:shape style="position:absolute;left:6;top:6;width:1537;height:2" coordorigin="6,6" coordsize="1537,0" path="m6,6l1543,6e" filled="false" stroked="true" strokeweight=".596591pt" strokecolor="#000000">
                      <v:path arrowok="t"/>
                    </v:shape>
                  </v:group>
                </v:group>
              </w:pict>
            </w:r>
            <w:r>
              <w:rPr>
                <w:rFonts w:ascii="黑体" w:hAnsi="黑体" w:cs="黑体" w:eastAsia="黑体" w:hint="default"/>
                <w:sz w:val="2"/>
                <w:szCs w:val="2"/>
              </w:rPr>
            </w:r>
          </w:p>
          <w:p>
            <w:pPr>
              <w:pStyle w:val="TableParagraph"/>
              <w:tabs>
                <w:tab w:pos="2386" w:val="left" w:leader="none"/>
              </w:tabs>
              <w:spacing w:line="240" w:lineRule="auto" w:before="13"/>
              <w:ind w:left="515" w:right="0"/>
              <w:jc w:val="left"/>
              <w:rPr>
                <w:rFonts w:ascii="宋体" w:hAnsi="宋体" w:cs="宋体" w:eastAsia="宋体" w:hint="default"/>
                <w:sz w:val="13"/>
                <w:szCs w:val="13"/>
              </w:rPr>
            </w:pPr>
            <w:r>
              <w:rPr>
                <w:rFonts w:ascii="宋体"/>
                <w:w w:val="105"/>
                <w:sz w:val="13"/>
              </w:rPr>
              <w:t>(7,243,672.68)</w:t>
              <w:tab/>
            </w:r>
            <w:r>
              <w:rPr>
                <w:rFonts w:ascii="宋体"/>
                <w:w w:val="110"/>
                <w:sz w:val="13"/>
              </w:rPr>
              <w:t>642,810,110.96</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3"/>
                <w:szCs w:val="13"/>
              </w:rPr>
            </w:pPr>
            <w:r>
              <w:rPr>
                <w:rFonts w:ascii="宋体" w:hAnsi="宋体" w:cs="宋体" w:eastAsia="宋体" w:hint="default"/>
                <w:b/>
                <w:bCs/>
                <w:w w:val="110"/>
                <w:sz w:val="13"/>
                <w:szCs w:val="13"/>
              </w:rPr>
              <w:t>四、汇率变动对现金的影响</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35" w:lineRule="exact"/>
              <w:ind w:left="-6" w:right="0"/>
              <w:jc w:val="left"/>
              <w:rPr>
                <w:rFonts w:ascii="黑体" w:hAnsi="黑体" w:cs="黑体" w:eastAsia="黑体" w:hint="default"/>
                <w:sz w:val="3"/>
                <w:szCs w:val="3"/>
              </w:rPr>
            </w:pPr>
            <w:r>
              <w:rPr>
                <w:rFonts w:ascii="黑体" w:hAnsi="黑体" w:cs="黑体" w:eastAsia="黑体" w:hint="default"/>
                <w:position w:val="0"/>
                <w:sz w:val="3"/>
                <w:szCs w:val="3"/>
              </w:rPr>
              <w:pict>
                <v:group style="width:77.45pt;height:1.8pt;mso-position-horizontal-relative:char;mso-position-vertical-relative:line" coordorigin="0,0" coordsize="1549,36">
                  <v:group style="position:absolute;left:6;top:6;width:1537;height:2" coordorigin="6,6" coordsize="1537,2">
                    <v:shape style="position:absolute;left:6;top:6;width:1537;height:2" coordorigin="6,6" coordsize="1537,0" path="m6,6l1543,6e" filled="false" stroked="true" strokeweight=".596629pt" strokecolor="#000000">
                      <v:path arrowok="t"/>
                    </v:shape>
                  </v:group>
                  <v:group style="position:absolute;left:6;top:30;width:1537;height:2" coordorigin="6,30" coordsize="1537,2">
                    <v:shape style="position:absolute;left:6;top:30;width:1537;height:2" coordorigin="6,30" coordsize="1537,0" path="m6,30l1543,30e" filled="false" stroked="true" strokeweight=".596629pt" strokecolor="#000000">
                      <v:path arrowok="t"/>
                    </v:shape>
                  </v:group>
                </v:group>
              </w:pict>
            </w:r>
            <w:r>
              <w:rPr>
                <w:rFonts w:ascii="黑体" w:hAnsi="黑体" w:cs="黑体" w:eastAsia="黑体" w:hint="default"/>
                <w:position w:val="0"/>
                <w:sz w:val="3"/>
                <w:szCs w:val="3"/>
              </w:rPr>
            </w:r>
          </w:p>
          <w:p>
            <w:pPr>
              <w:pStyle w:val="TableParagraph"/>
              <w:tabs>
                <w:tab w:pos="3167" w:val="left" w:leader="none"/>
              </w:tabs>
              <w:spacing w:line="240" w:lineRule="auto" w:before="10"/>
              <w:ind w:left="1226" w:right="0"/>
              <w:jc w:val="left"/>
              <w:rPr>
                <w:rFonts w:ascii="宋体" w:hAnsi="宋体" w:cs="宋体" w:eastAsia="宋体" w:hint="default"/>
                <w:sz w:val="13"/>
                <w:szCs w:val="13"/>
              </w:rPr>
            </w:pPr>
            <w:r>
              <w:rPr>
                <w:rFonts w:ascii="宋体"/>
                <w:w w:val="105"/>
                <w:sz w:val="13"/>
              </w:rPr>
              <w:t>-</w:t>
              <w:tab/>
            </w:r>
            <w:r>
              <w:rPr>
                <w:rFonts w:ascii="宋体"/>
                <w:w w:val="110"/>
                <w:sz w:val="13"/>
              </w:rPr>
              <w:t>-</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3"/>
                <w:szCs w:val="13"/>
              </w:rPr>
            </w:pPr>
            <w:r>
              <w:rPr>
                <w:rFonts w:ascii="宋体" w:hAnsi="宋体" w:cs="宋体" w:eastAsia="宋体" w:hint="default"/>
                <w:b/>
                <w:bCs/>
                <w:w w:val="110"/>
                <w:sz w:val="13"/>
                <w:szCs w:val="13"/>
              </w:rPr>
              <w:t>五、现金及现金等价物净增加额</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黑体" w:hAnsi="黑体" w:cs="黑体" w:eastAsia="黑体" w:hint="default"/>
                <w:sz w:val="2"/>
                <w:szCs w:val="2"/>
              </w:rPr>
            </w:pPr>
            <w:r>
              <w:rPr>
                <w:rFonts w:ascii="黑体" w:hAnsi="黑体" w:cs="黑体" w:eastAsia="黑体" w:hint="default"/>
                <w:sz w:val="2"/>
                <w:szCs w:val="2"/>
              </w:rPr>
              <w:pict>
                <v:group style="width:76.850pt;height:.6pt;mso-position-horizontal-relative:char;mso-position-vertical-relative:line" coordorigin="0,0" coordsize="1537,12">
                  <v:shape style="position:absolute;left:0;top:0;width:1537;height:12" type="#_x0000_t75" stroked="false">
                    <v:imagedata r:id="rId54" o:title=""/>
                  </v:shape>
                </v:group>
              </w:pict>
            </w:r>
            <w:r>
              <w:rPr>
                <w:rFonts w:ascii="黑体" w:hAnsi="黑体" w:cs="黑体" w:eastAsia="黑体" w:hint="default"/>
                <w:sz w:val="2"/>
                <w:szCs w:val="2"/>
              </w:rPr>
            </w:r>
          </w:p>
          <w:p>
            <w:pPr>
              <w:pStyle w:val="TableParagraph"/>
              <w:tabs>
                <w:tab w:pos="2386" w:val="left" w:leader="none"/>
              </w:tabs>
              <w:spacing w:line="240" w:lineRule="auto" w:before="13"/>
              <w:ind w:left="444" w:right="0"/>
              <w:jc w:val="left"/>
              <w:rPr>
                <w:rFonts w:ascii="宋体" w:hAnsi="宋体" w:cs="宋体" w:eastAsia="宋体" w:hint="default"/>
                <w:sz w:val="13"/>
                <w:szCs w:val="13"/>
              </w:rPr>
            </w:pPr>
            <w:r>
              <w:rPr>
                <w:rFonts w:ascii="宋体"/>
                <w:w w:val="105"/>
                <w:sz w:val="13"/>
              </w:rPr>
              <w:t>(92,029,762.07)</w:t>
              <w:tab/>
            </w:r>
            <w:r>
              <w:rPr>
                <w:rFonts w:ascii="宋体"/>
                <w:w w:val="110"/>
                <w:sz w:val="13"/>
              </w:rPr>
              <w:t>644,265,888.36</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9" w:right="0"/>
              <w:jc w:val="left"/>
              <w:rPr>
                <w:rFonts w:ascii="宋体" w:hAnsi="宋体" w:cs="宋体" w:eastAsia="宋体" w:hint="default"/>
                <w:sz w:val="13"/>
                <w:szCs w:val="13"/>
              </w:rPr>
            </w:pPr>
            <w:r>
              <w:rPr>
                <w:rFonts w:ascii="宋体" w:hAnsi="宋体" w:cs="宋体" w:eastAsia="宋体" w:hint="default"/>
                <w:w w:val="110"/>
                <w:sz w:val="13"/>
                <w:szCs w:val="13"/>
              </w:rPr>
              <w:t>加：年初现金及现金等价物余额</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6" w:right="0"/>
              <w:jc w:val="left"/>
              <w:rPr>
                <w:rFonts w:ascii="黑体" w:hAnsi="黑体" w:cs="黑体" w:eastAsia="黑体" w:hint="default"/>
                <w:sz w:val="2"/>
                <w:szCs w:val="2"/>
              </w:rPr>
            </w:pPr>
            <w:r>
              <w:rPr>
                <w:rFonts w:ascii="黑体" w:hAnsi="黑体" w:cs="黑体" w:eastAsia="黑体" w:hint="default"/>
                <w:sz w:val="2"/>
                <w:szCs w:val="2"/>
              </w:rPr>
              <w:pict>
                <v:group style="width:77.45pt;height:.65pt;mso-position-horizontal-relative:char;mso-position-vertical-relative:line" coordorigin="0,0" coordsize="1549,13">
                  <v:group style="position:absolute;left:7;top:1;width:1536;height:2" coordorigin="7,1" coordsize="1536,2">
                    <v:shape style="position:absolute;left:7;top:1;width:1536;height:2" coordorigin="7,1" coordsize="1536,0" path="m7,1l1542,1e" filled="false" stroked="true" strokeweight=".087007pt" strokecolor="#000000">
                      <v:path arrowok="t"/>
                    </v:shape>
                  </v:group>
                  <v:group style="position:absolute;left:6;top:6;width:1537;height:2" coordorigin="6,6" coordsize="1537,2">
                    <v:shape style="position:absolute;left:6;top:6;width:1537;height:2" coordorigin="6,6" coordsize="1537,0" path="m6,6l1543,6e" filled="false" stroked="true" strokeweight=".596591pt" strokecolor="#000000">
                      <v:path arrowok="t"/>
                    </v:shape>
                  </v:group>
                </v:group>
              </w:pict>
            </w:r>
            <w:r>
              <w:rPr>
                <w:rFonts w:ascii="黑体" w:hAnsi="黑体" w:cs="黑体" w:eastAsia="黑体" w:hint="default"/>
                <w:sz w:val="2"/>
                <w:szCs w:val="2"/>
              </w:rPr>
            </w:r>
          </w:p>
          <w:p>
            <w:pPr>
              <w:pStyle w:val="TableParagraph"/>
              <w:tabs>
                <w:tab w:pos="2457" w:val="left" w:leader="none"/>
              </w:tabs>
              <w:spacing w:line="240" w:lineRule="auto" w:before="13"/>
              <w:ind w:left="444" w:right="0"/>
              <w:jc w:val="left"/>
              <w:rPr>
                <w:rFonts w:ascii="宋体" w:hAnsi="宋体" w:cs="宋体" w:eastAsia="宋体" w:hint="default"/>
                <w:sz w:val="13"/>
                <w:szCs w:val="13"/>
              </w:rPr>
            </w:pPr>
            <w:r>
              <w:rPr>
                <w:rFonts w:ascii="宋体"/>
                <w:w w:val="105"/>
                <w:sz w:val="13"/>
              </w:rPr>
              <w:t>715,590,749.97</w:t>
              <w:tab/>
            </w:r>
            <w:r>
              <w:rPr>
                <w:rFonts w:ascii="宋体"/>
                <w:w w:val="110"/>
                <w:sz w:val="13"/>
              </w:rPr>
              <w:t>71,324,861.61</w:t>
            </w:r>
            <w:r>
              <w:rPr>
                <w:rFonts w:ascii="宋体"/>
                <w:sz w:val="13"/>
              </w:rPr>
            </w:r>
          </w:p>
        </w:tc>
      </w:tr>
      <w:tr>
        <w:trPr>
          <w:trHeight w:val="24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3"/>
                <w:szCs w:val="13"/>
              </w:rPr>
            </w:pPr>
            <w:r>
              <w:rPr>
                <w:rFonts w:ascii="宋体" w:hAnsi="宋体" w:cs="宋体" w:eastAsia="宋体" w:hint="default"/>
                <w:b/>
                <w:bCs/>
                <w:w w:val="110"/>
                <w:sz w:val="13"/>
                <w:szCs w:val="13"/>
              </w:rPr>
              <w:t>六、年末现金及现金等价物余额</w:t>
            </w:r>
            <w:r>
              <w:rPr>
                <w:rFonts w:ascii="宋体" w:hAnsi="宋体" w:cs="宋体" w:eastAsia="宋体" w:hint="default"/>
                <w:sz w:val="13"/>
                <w:szCs w:val="13"/>
              </w:rPr>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276" w:right="0"/>
              <w:jc w:val="left"/>
              <w:rPr>
                <w:rFonts w:ascii="宋体" w:hAnsi="宋体" w:cs="宋体" w:eastAsia="宋体" w:hint="default"/>
                <w:sz w:val="13"/>
                <w:szCs w:val="13"/>
              </w:rPr>
            </w:pPr>
            <w:r>
              <w:rPr>
                <w:rFonts w:ascii="宋体" w:hAnsi="宋体" w:cs="宋体" w:eastAsia="宋体" w:hint="default"/>
                <w:w w:val="110"/>
                <w:sz w:val="13"/>
                <w:szCs w:val="13"/>
              </w:rPr>
              <w:t>十一(六)</w:t>
            </w:r>
            <w:r>
              <w:rPr>
                <w:rFonts w:ascii="宋体" w:hAnsi="宋体" w:cs="宋体" w:eastAsia="宋体" w:hint="default"/>
                <w:sz w:val="13"/>
                <w:szCs w:val="13"/>
              </w:rPr>
            </w:r>
          </w:p>
        </w:tc>
        <w:tc>
          <w:tcPr>
            <w:tcW w:w="347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6" w:right="0"/>
              <w:jc w:val="left"/>
              <w:rPr>
                <w:rFonts w:ascii="黑体" w:hAnsi="黑体" w:cs="黑体" w:eastAsia="黑体" w:hint="default"/>
                <w:sz w:val="2"/>
                <w:szCs w:val="2"/>
              </w:rPr>
            </w:pPr>
            <w:r>
              <w:rPr>
                <w:rFonts w:ascii="黑体" w:hAnsi="黑体" w:cs="黑体" w:eastAsia="黑体" w:hint="default"/>
                <w:sz w:val="2"/>
                <w:szCs w:val="2"/>
              </w:rPr>
              <w:pict>
                <v:group style="width:77.45pt;height:.65pt;mso-position-horizontal-relative:char;mso-position-vertical-relative:line" coordorigin="0,0" coordsize="1549,13">
                  <v:group style="position:absolute;left:7;top:1;width:1536;height:2" coordorigin="7,1" coordsize="1536,2">
                    <v:shape style="position:absolute;left:7;top:1;width:1536;height:2" coordorigin="7,1" coordsize="1536,0" path="m7,1l1542,1e" filled="false" stroked="true" strokeweight=".087007pt" strokecolor="#000000">
                      <v:path arrowok="t"/>
                    </v:shape>
                  </v:group>
                  <v:group style="position:absolute;left:6;top:6;width:1537;height:2" coordorigin="6,6" coordsize="1537,2">
                    <v:shape style="position:absolute;left:6;top:6;width:1537;height:2" coordorigin="6,6" coordsize="1537,0" path="m6,6l1543,6e" filled="false" stroked="true" strokeweight=".596591pt" strokecolor="#000000">
                      <v:path arrowok="t"/>
                    </v:shape>
                  </v:group>
                </v:group>
              </w:pict>
            </w:r>
            <w:r>
              <w:rPr>
                <w:rFonts w:ascii="黑体" w:hAnsi="黑体" w:cs="黑体" w:eastAsia="黑体" w:hint="default"/>
                <w:sz w:val="2"/>
                <w:szCs w:val="2"/>
              </w:rPr>
            </w:r>
          </w:p>
          <w:p>
            <w:pPr>
              <w:pStyle w:val="TableParagraph"/>
              <w:tabs>
                <w:tab w:pos="2386" w:val="left" w:leader="none"/>
              </w:tabs>
              <w:spacing w:line="240" w:lineRule="auto" w:before="13"/>
              <w:ind w:left="444" w:right="0"/>
              <w:jc w:val="left"/>
              <w:rPr>
                <w:rFonts w:ascii="宋体" w:hAnsi="宋体" w:cs="宋体" w:eastAsia="宋体" w:hint="default"/>
                <w:sz w:val="13"/>
                <w:szCs w:val="13"/>
              </w:rPr>
            </w:pPr>
            <w:r>
              <w:rPr>
                <w:rFonts w:ascii="宋体"/>
                <w:w w:val="105"/>
                <w:sz w:val="13"/>
              </w:rPr>
              <w:t>623,560,987.90</w:t>
              <w:tab/>
            </w:r>
            <w:r>
              <w:rPr>
                <w:rFonts w:ascii="宋体"/>
                <w:w w:val="110"/>
                <w:sz w:val="13"/>
              </w:rPr>
              <w:t>715,590,749.97</w:t>
            </w:r>
            <w:r>
              <w:rPr>
                <w:rFonts w:ascii="宋体"/>
                <w:sz w:val="13"/>
              </w:rPr>
            </w:r>
          </w:p>
        </w:tc>
      </w:tr>
    </w:tbl>
    <w:p>
      <w:pPr>
        <w:spacing w:line="240" w:lineRule="auto" w:before="7"/>
        <w:rPr>
          <w:rFonts w:ascii="黑体" w:hAnsi="黑体" w:cs="黑体" w:eastAsia="黑体" w:hint="default"/>
          <w:sz w:val="12"/>
          <w:szCs w:val="12"/>
        </w:rPr>
      </w:pPr>
    </w:p>
    <w:p>
      <w:pPr>
        <w:spacing w:line="20" w:lineRule="exact"/>
        <w:ind w:left="121" w:right="0" w:firstLine="0"/>
        <w:rPr>
          <w:rFonts w:ascii="黑体" w:hAnsi="黑体" w:cs="黑体" w:eastAsia="黑体" w:hint="default"/>
          <w:sz w:val="2"/>
          <w:szCs w:val="2"/>
        </w:rPr>
      </w:pPr>
      <w:r>
        <w:rPr>
          <w:rFonts w:ascii="黑体" w:hAnsi="黑体" w:cs="黑体" w:eastAsia="黑体" w:hint="default"/>
          <w:sz w:val="2"/>
          <w:szCs w:val="2"/>
        </w:rPr>
        <w:pict>
          <v:group style="width:431.4pt;height:.65pt;mso-position-horizontal-relative:char;mso-position-vertical-relative:line" coordorigin="0,0" coordsize="8628,13">
            <v:group style="position:absolute;left:7;top:1;width:8614;height:2" coordorigin="7,1" coordsize="8614,2">
              <v:shape style="position:absolute;left:7;top:1;width:8614;height:2" coordorigin="7,1" coordsize="8614,0" path="m7,1l8620,1e" filled="false" stroked="true" strokeweight=".087007pt" strokecolor="#000000">
                <v:path arrowok="t"/>
              </v:shape>
            </v:group>
            <v:group style="position:absolute;left:6;top:6;width:8616;height:2" coordorigin="6,6" coordsize="8616,2">
              <v:shape style="position:absolute;left:6;top:6;width:8616;height:2" coordorigin="6,6" coordsize="8616,0" path="m6,6l8621,6e" filled="false" stroked="true" strokeweight=".596629pt" strokecolor="#000000">
                <v:path arrowok="t"/>
              </v:shape>
            </v:group>
          </v:group>
        </w:pict>
      </w:r>
      <w:r>
        <w:rPr>
          <w:rFonts w:ascii="黑体" w:hAnsi="黑体" w:cs="黑体" w:eastAsia="黑体" w:hint="default"/>
          <w:sz w:val="2"/>
          <w:szCs w:val="2"/>
        </w:rPr>
      </w:r>
    </w:p>
    <w:p>
      <w:pPr>
        <w:tabs>
          <w:tab w:pos="2140" w:val="left" w:leader="none"/>
          <w:tab w:pos="4698" w:val="left" w:leader="none"/>
        </w:tabs>
        <w:spacing w:line="149" w:lineRule="exact" w:before="0"/>
        <w:ind w:left="152" w:right="2624" w:firstLine="0"/>
        <w:jc w:val="left"/>
        <w:rPr>
          <w:rFonts w:ascii="宋体" w:hAnsi="宋体" w:cs="宋体" w:eastAsia="宋体" w:hint="default"/>
          <w:sz w:val="13"/>
          <w:szCs w:val="13"/>
        </w:rPr>
      </w:pPr>
      <w:r>
        <w:rPr/>
        <w:pict>
          <v:group style="position:absolute;margin-left:346.916626pt;margin-top:-10.688811pt;width:77.45pt;height:1.8pt;mso-position-horizontal-relative:page;mso-position-vertical-relative:paragraph;z-index:-648424" coordorigin="6938,-214" coordsize="1549,36">
            <v:group style="position:absolute;left:6944;top:-208;width:1537;height:2" coordorigin="6944,-208" coordsize="1537,2">
              <v:shape style="position:absolute;left:6944;top:-208;width:1537;height:2" coordorigin="6944,-208" coordsize="1537,0" path="m6944,-208l8481,-208e" filled="false" stroked="true" strokeweight=".596629pt" strokecolor="#000000">
                <v:path arrowok="t"/>
              </v:shape>
            </v:group>
            <v:group style="position:absolute;left:6944;top:-184;width:1537;height:2" coordorigin="6944,-184" coordsize="1537,2">
              <v:shape style="position:absolute;left:6944;top:-184;width:1537;height:2" coordorigin="6944,-184" coordsize="1537,0" path="m6944,-184l8481,-184e" filled="false" stroked="true" strokeweight=".596629pt" strokecolor="#000000">
                <v:path arrowok="t"/>
              </v:shape>
            </v:group>
            <w10:wrap type="none"/>
          </v:group>
        </w:pict>
      </w:r>
      <w:r>
        <w:rPr>
          <w:rFonts w:ascii="宋体" w:hAnsi="宋体" w:cs="宋体" w:eastAsia="宋体" w:hint="default"/>
          <w:w w:val="105"/>
          <w:sz w:val="13"/>
          <w:szCs w:val="13"/>
        </w:rPr>
        <w:t>公司负责人：刘祥</w:t>
        <w:tab/>
        <w:t>主管会计工作负责人：赵辉</w:t>
        <w:tab/>
      </w:r>
      <w:r>
        <w:rPr>
          <w:rFonts w:ascii="宋体" w:hAnsi="宋体" w:cs="宋体" w:eastAsia="宋体" w:hint="default"/>
          <w:w w:val="110"/>
          <w:sz w:val="13"/>
          <w:szCs w:val="13"/>
        </w:rPr>
        <w:t>会计机构负责人：赵辉</w:t>
      </w:r>
      <w:r>
        <w:rPr>
          <w:rFonts w:ascii="宋体" w:hAnsi="宋体" w:cs="宋体" w:eastAsia="宋体" w:hint="default"/>
          <w:sz w:val="13"/>
          <w:szCs w:val="13"/>
        </w:rPr>
      </w:r>
    </w:p>
    <w:p>
      <w:pPr>
        <w:spacing w:after="0" w:line="149" w:lineRule="exact"/>
        <w:jc w:val="left"/>
        <w:rPr>
          <w:rFonts w:ascii="宋体" w:hAnsi="宋体" w:cs="宋体" w:eastAsia="宋体" w:hint="default"/>
          <w:sz w:val="13"/>
          <w:szCs w:val="13"/>
        </w:rPr>
        <w:sectPr>
          <w:footerReference w:type="default" r:id="rId53"/>
          <w:pgSz w:w="11910" w:h="16840"/>
          <w:pgMar w:footer="1195" w:header="0" w:top="1460" w:bottom="1380" w:left="16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5"/>
          <w:pgSz w:w="16840" w:h="11910" w:orient="landscape"/>
          <w:pgMar w:footer="1195" w:header="0" w:top="1100" w:bottom="1380" w:left="1340" w:right="1180"/>
          <w:pgNumType w:start="92"/>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7"/>
          <w:szCs w:val="17"/>
        </w:rPr>
      </w:pPr>
    </w:p>
    <w:p>
      <w:pPr>
        <w:tabs>
          <w:tab w:pos="3958" w:val="left" w:leader="none"/>
        </w:tabs>
        <w:spacing w:before="0"/>
        <w:ind w:left="1746" w:right="-19" w:firstLine="0"/>
        <w:jc w:val="left"/>
        <w:rPr>
          <w:rFonts w:ascii="宋体" w:hAnsi="宋体" w:cs="宋体" w:eastAsia="宋体" w:hint="default"/>
          <w:sz w:val="14"/>
          <w:szCs w:val="14"/>
        </w:rPr>
      </w:pPr>
      <w:r>
        <w:rPr/>
        <w:pict>
          <v:group style="position:absolute;margin-left:72.060768pt;margin-top:11.156284pt;width:181.6pt;height:.8pt;mso-position-horizontal-relative:page;mso-position-vertical-relative:paragraph;z-index:4360" coordorigin="1441,223" coordsize="3632,16">
            <v:group style="position:absolute;left:1450;top:224;width:3615;height:2" coordorigin="1450,224" coordsize="3615,2">
              <v:shape style="position:absolute;left:1450;top:224;width:3615;height:2" coordorigin="1450,224" coordsize="3615,0" path="m1450,224l5064,224e" filled="false" stroked="true" strokeweight=".108948pt" strokecolor="#000000">
                <v:path arrowok="t"/>
              </v:shape>
            </v:group>
            <v:group style="position:absolute;left:1449;top:231;width:3617;height:2" coordorigin="1449,231" coordsize="3617,2">
              <v:shape style="position:absolute;left:1449;top:231;width:3617;height:2" coordorigin="1449,231" coordsize="3617,0" path="m1449,231l5065,231e" filled="false" stroked="true" strokeweight=".747073pt" strokecolor="#000000">
                <v:path arrowok="t"/>
              </v:shape>
            </v:group>
            <w10:wrap type="none"/>
          </v:group>
        </w:pict>
      </w:r>
      <w:r>
        <w:rPr>
          <w:rFonts w:ascii="宋体" w:hAnsi="宋体" w:cs="宋体" w:eastAsia="宋体" w:hint="default"/>
          <w:sz w:val="14"/>
          <w:szCs w:val="14"/>
        </w:rPr>
        <w:t>项</w:t>
      </w:r>
      <w:r>
        <w:rPr>
          <w:rFonts w:ascii="宋体" w:hAnsi="宋体" w:cs="宋体" w:eastAsia="宋体" w:hint="default"/>
          <w:spacing w:val="1"/>
          <w:sz w:val="14"/>
          <w:szCs w:val="14"/>
        </w:rPr>
        <w:t> </w:t>
      </w:r>
      <w:r>
        <w:rPr>
          <w:rFonts w:ascii="宋体" w:hAnsi="宋体" w:cs="宋体" w:eastAsia="宋体" w:hint="default"/>
          <w:sz w:val="14"/>
          <w:szCs w:val="14"/>
        </w:rPr>
        <w:t>目</w:t>
        <w:tab/>
        <w:t>附注</w:t>
      </w:r>
    </w:p>
    <w:p>
      <w:pPr>
        <w:spacing w:line="240" w:lineRule="auto" w:before="3"/>
        <w:rPr>
          <w:rFonts w:ascii="宋体" w:hAnsi="宋体" w:cs="宋体" w:eastAsia="宋体" w:hint="default"/>
          <w:sz w:val="17"/>
          <w:szCs w:val="17"/>
        </w:rPr>
      </w:pPr>
      <w:r>
        <w:rPr/>
        <w:br w:type="column"/>
      </w:r>
      <w:r>
        <w:rPr>
          <w:rFonts w:ascii="宋体"/>
          <w:sz w:val="17"/>
        </w:rPr>
      </w:r>
    </w:p>
    <w:p>
      <w:pPr>
        <w:pStyle w:val="Heading6"/>
        <w:spacing w:line="324" w:lineRule="exact"/>
        <w:ind w:right="2740" w:hanging="498"/>
        <w:jc w:val="left"/>
      </w:pPr>
      <w:r>
        <w:rPr>
          <w:w w:val="95"/>
        </w:rPr>
        <w:t>深圳市新国都技术股份有限公司</w:t>
      </w:r>
      <w:r>
        <w:rPr>
          <w:spacing w:val="41"/>
          <w:w w:val="95"/>
        </w:rPr>
        <w:t> </w:t>
      </w:r>
      <w:r>
        <w:rPr/>
        <w:t>母公司股东权益变动表</w:t>
      </w:r>
    </w:p>
    <w:p>
      <w:pPr>
        <w:tabs>
          <w:tab w:pos="8905" w:val="left" w:leader="none"/>
        </w:tabs>
        <w:spacing w:before="24"/>
        <w:ind w:left="2956" w:right="0" w:firstLine="0"/>
        <w:jc w:val="left"/>
        <w:rPr>
          <w:rFonts w:ascii="宋体" w:hAnsi="宋体" w:cs="宋体" w:eastAsia="宋体" w:hint="default"/>
          <w:sz w:val="14"/>
          <w:szCs w:val="14"/>
        </w:rPr>
      </w:pPr>
      <w:r>
        <w:rPr>
          <w:rFonts w:ascii="宋体" w:hAnsi="宋体" w:cs="宋体" w:eastAsia="宋体" w:hint="default"/>
          <w:sz w:val="14"/>
          <w:szCs w:val="14"/>
        </w:rPr>
        <w:t>2011年度</w:t>
        <w:tab/>
        <w:t>单位：人民币元</w:t>
      </w:r>
    </w:p>
    <w:p>
      <w:pPr>
        <w:spacing w:line="240" w:lineRule="auto" w:before="7"/>
        <w:rPr>
          <w:rFonts w:ascii="宋体" w:hAnsi="宋体" w:cs="宋体" w:eastAsia="宋体" w:hint="default"/>
          <w:sz w:val="22"/>
          <w:szCs w:val="22"/>
        </w:rPr>
      </w:pPr>
    </w:p>
    <w:p>
      <w:pPr>
        <w:spacing w:line="20" w:lineRule="exact"/>
        <w:ind w:left="162" w:right="0" w:firstLine="0"/>
        <w:rPr>
          <w:rFonts w:ascii="宋体" w:hAnsi="宋体" w:cs="宋体" w:eastAsia="宋体" w:hint="default"/>
          <w:sz w:val="2"/>
          <w:szCs w:val="2"/>
        </w:rPr>
      </w:pPr>
      <w:r>
        <w:rPr>
          <w:rFonts w:ascii="宋体" w:hAnsi="宋体" w:cs="宋体" w:eastAsia="宋体" w:hint="default"/>
          <w:sz w:val="2"/>
          <w:szCs w:val="2"/>
        </w:rPr>
        <w:pict>
          <v:group style="width:488.1pt;height:.8pt;mso-position-horizontal-relative:char;mso-position-vertical-relative:line" coordorigin="0,0" coordsize="9762,16">
            <v:group style="position:absolute;left:8;top:1;width:9745;height:2" coordorigin="8,1" coordsize="9745,2">
              <v:shape style="position:absolute;left:8;top:1;width:9745;height:2" coordorigin="8,1" coordsize="9745,0" path="m8,1l9753,1e" filled="false" stroked="true" strokeweight=".108948pt" strokecolor="#000000">
                <v:path arrowok="t"/>
              </v:shape>
            </v:group>
            <v:group style="position:absolute;left:7;top:8;width:9747;height:2" coordorigin="7,8" coordsize="9747,2">
              <v:shape style="position:absolute;left:7;top:8;width:9747;height:2" coordorigin="7,8" coordsize="9747,0" path="m7,8l9754,8e" filled="false" stroked="true" strokeweight=".747073pt" strokecolor="#000000">
                <v:path arrowok="t"/>
              </v:shape>
            </v:group>
          </v:group>
        </w:pict>
      </w:r>
      <w:r>
        <w:rPr>
          <w:rFonts w:ascii="宋体" w:hAnsi="宋体" w:cs="宋体" w:eastAsia="宋体" w:hint="default"/>
          <w:sz w:val="2"/>
          <w:szCs w:val="2"/>
        </w:rPr>
      </w:r>
    </w:p>
    <w:p>
      <w:pPr>
        <w:tabs>
          <w:tab w:pos="1938" w:val="left" w:leader="none"/>
          <w:tab w:pos="3078" w:val="left" w:leader="none"/>
          <w:tab w:pos="4235" w:val="left" w:leader="none"/>
          <w:tab w:pos="5416" w:val="left" w:leader="none"/>
          <w:tab w:pos="6679" w:val="left" w:leader="none"/>
          <w:tab w:pos="7956" w:val="left" w:leader="none"/>
          <w:tab w:pos="8792" w:val="left" w:leader="none"/>
        </w:tabs>
        <w:spacing w:before="11"/>
        <w:ind w:left="703" w:right="0" w:firstLine="0"/>
        <w:jc w:val="left"/>
        <w:rPr>
          <w:rFonts w:ascii="宋体" w:hAnsi="宋体" w:cs="宋体" w:eastAsia="宋体" w:hint="default"/>
          <w:sz w:val="14"/>
          <w:szCs w:val="14"/>
        </w:rPr>
      </w:pPr>
      <w:r>
        <w:rPr/>
        <w:pict>
          <v:group style="position:absolute;margin-left:258.667206pt;margin-top:-.993942pt;width:26.05pt;height:.8pt;mso-position-horizontal-relative:page;mso-position-vertical-relative:paragraph;z-index:4384" coordorigin="5173,-20" coordsize="521,16">
            <v:group style="position:absolute;left:5182;top:-19;width:504;height:2" coordorigin="5182,-19" coordsize="504,2">
              <v:shape style="position:absolute;left:5182;top:-19;width:504;height:2" coordorigin="5182,-19" coordsize="504,0" path="m5182,-19l5685,-19e" filled="false" stroked="true" strokeweight=".108948pt" strokecolor="#000000">
                <v:path arrowok="t"/>
              </v:shape>
            </v:group>
            <v:group style="position:absolute;left:5181;top:-12;width:506;height:2" coordorigin="5181,-12" coordsize="506,2">
              <v:shape style="position:absolute;left:5181;top:-12;width:506;height:2" coordorigin="5181,-12" coordsize="506,0" path="m5181,-12l5686,-12e" filled="false" stroked="true" strokeweight=".747073pt" strokecolor="#000000">
                <v:path arrowok="t"/>
              </v:shape>
            </v:group>
            <w10:wrap type="none"/>
          </v:group>
        </w:pict>
      </w:r>
      <w:r>
        <w:rPr>
          <w:rFonts w:ascii="宋体" w:hAnsi="宋体" w:cs="宋体" w:eastAsia="宋体" w:hint="default"/>
          <w:sz w:val="14"/>
          <w:szCs w:val="14"/>
        </w:rPr>
        <w:t>股本</w:t>
        <w:tab/>
        <w:t>资本公积</w:t>
        <w:tab/>
        <w:t>减：库存股</w:t>
        <w:tab/>
        <w:t>专项储备</w:t>
        <w:tab/>
        <w:t>盈余公积</w:t>
        <w:tab/>
        <w:t>未分配利润</w:t>
        <w:tab/>
        <w:t>其他</w:t>
        <w:tab/>
        <w:t>股东权益合计</w:t>
      </w:r>
    </w:p>
    <w:p>
      <w:pPr>
        <w:spacing w:after="0"/>
        <w:jc w:val="left"/>
        <w:rPr>
          <w:rFonts w:ascii="宋体" w:hAnsi="宋体" w:cs="宋体" w:eastAsia="宋体" w:hint="default"/>
          <w:sz w:val="14"/>
          <w:szCs w:val="14"/>
        </w:rPr>
        <w:sectPr>
          <w:type w:val="continuous"/>
          <w:pgSz w:w="16840" w:h="11910" w:orient="landscape"/>
          <w:pgMar w:top="1580" w:bottom="280" w:left="1340" w:right="1180"/>
          <w:cols w:num="2" w:equalWidth="0">
            <w:col w:w="4240" w:space="40"/>
            <w:col w:w="10040"/>
          </w:cols>
        </w:sectPr>
      </w:pPr>
    </w:p>
    <w:p>
      <w:pPr>
        <w:spacing w:line="240" w:lineRule="auto" w:before="1"/>
        <w:rPr>
          <w:rFonts w:ascii="宋体" w:hAnsi="宋体" w:cs="宋体" w:eastAsia="宋体" w:hint="default"/>
          <w:sz w:val="3"/>
          <w:szCs w:val="3"/>
        </w:rPr>
      </w:pPr>
    </w:p>
    <w:p>
      <w:pPr>
        <w:spacing w:line="20" w:lineRule="exact"/>
        <w:ind w:left="4441" w:right="0" w:firstLine="0"/>
        <w:rPr>
          <w:rFonts w:ascii="宋体" w:hAnsi="宋体" w:cs="宋体" w:eastAsia="宋体" w:hint="default"/>
          <w:sz w:val="2"/>
          <w:szCs w:val="2"/>
        </w:rPr>
      </w:pPr>
      <w:r>
        <w:rPr>
          <w:rFonts w:ascii="宋体"/>
          <w:sz w:val="2"/>
        </w:rPr>
        <w:pict>
          <v:group style="width:68.150pt;height:.8pt;mso-position-horizontal-relative:char;mso-position-vertical-relative:line" coordorigin="0,0" coordsize="1363,16">
            <v:group style="position:absolute;left:8;top:1;width:1347;height:2" coordorigin="8,1" coordsize="1347,2">
              <v:shape style="position:absolute;left:8;top:1;width:1347;height:2" coordorigin="8,1" coordsize="1347,0" path="m8,1l1354,1e" filled="false" stroked="true" strokeweight=".108948pt" strokecolor="#000000">
                <v:path arrowok="t"/>
              </v:shape>
            </v:group>
            <v:group style="position:absolute;left:7;top:8;width:1348;height:2" coordorigin="7,8" coordsize="1348,2">
              <v:shape style="position:absolute;left:7;top:8;width:1348;height:2" coordorigin="7,8" coordsize="1348,0" path="m7,8l1355,8e" filled="false" stroked="true" strokeweight=".747081pt" strokecolor="#000000">
                <v:path arrowok="t"/>
              </v:shape>
            </v:group>
          </v:group>
        </w:pict>
      </w:r>
      <w:r>
        <w:rPr>
          <w:rFonts w:ascii="宋体"/>
          <w:sz w:val="2"/>
        </w:rPr>
      </w:r>
      <w:r>
        <w:rPr>
          <w:rFonts w:ascii="Times New Roman"/>
          <w:spacing w:val="69"/>
          <w:sz w:val="2"/>
        </w:rPr>
        <w:t> </w:t>
      </w:r>
      <w:r>
        <w:rPr>
          <w:rFonts w:ascii="宋体"/>
          <w:spacing w:val="69"/>
          <w:sz w:val="2"/>
        </w:rPr>
        <w:pict>
          <v:group style="width:61.7pt;height:.8pt;mso-position-horizontal-relative:char;mso-position-vertical-relative:line" coordorigin="0,0" coordsize="1234,16">
            <v:group style="position:absolute;left:8;top:1;width:1217;height:2" coordorigin="8,1" coordsize="1217,2">
              <v:shape style="position:absolute;left:8;top:1;width:1217;height:2" coordorigin="8,1" coordsize="1217,0" path="m8,1l1225,1e" filled="false" stroked="true" strokeweight=".108948pt" strokecolor="#000000">
                <v:path arrowok="t"/>
              </v:shape>
            </v:group>
            <v:group style="position:absolute;left:7;top:8;width:1219;height:2" coordorigin="7,8" coordsize="1219,2">
              <v:shape style="position:absolute;left:7;top:8;width:1219;height:2" coordorigin="7,8" coordsize="1219,0" path="m7,8l1226,8e" filled="false" stroked="true" strokeweight=".747081pt" strokecolor="#000000">
                <v:path arrowok="t"/>
              </v:shape>
            </v:group>
          </v:group>
        </w:pict>
      </w:r>
      <w:r>
        <w:rPr>
          <w:rFonts w:ascii="宋体"/>
          <w:spacing w:val="69"/>
          <w:sz w:val="2"/>
        </w:rPr>
      </w:r>
      <w:r>
        <w:rPr>
          <w:rFonts w:ascii="Times New Roman"/>
          <w:spacing w:val="79"/>
          <w:sz w:val="2"/>
        </w:rPr>
        <w:t> </w:t>
      </w:r>
      <w:r>
        <w:rPr>
          <w:rFonts w:ascii="宋体"/>
          <w:spacing w:val="79"/>
          <w:sz w:val="2"/>
        </w:rPr>
        <w:pict>
          <v:group style="width:50.55pt;height:.8pt;mso-position-horizontal-relative:char;mso-position-vertical-relative:line" coordorigin="0,0" coordsize="1011,16">
            <v:group style="position:absolute;left:8;top:1;width:995;height:2" coordorigin="8,1" coordsize="995,2">
              <v:shape style="position:absolute;left:8;top:1;width:995;height:2" coordorigin="8,1" coordsize="995,0" path="m8,1l1002,1e" filled="false" stroked="true" strokeweight=".108948pt" strokecolor="#000000">
                <v:path arrowok="t"/>
              </v:shape>
            </v:group>
            <v:group style="position:absolute;left:7;top:8;width:997;height:2" coordorigin="7,8" coordsize="997,2">
              <v:shape style="position:absolute;left:7;top:8;width:997;height:2" coordorigin="7,8" coordsize="997,0" path="m7,8l1003,8e" filled="false" stroked="true" strokeweight=".747081pt" strokecolor="#000000">
                <v:path arrowok="t"/>
              </v:shape>
            </v:group>
          </v:group>
        </w:pict>
      </w:r>
      <w:r>
        <w:rPr>
          <w:rFonts w:ascii="宋体"/>
          <w:spacing w:val="79"/>
          <w:sz w:val="2"/>
        </w:rPr>
      </w:r>
      <w:r>
        <w:rPr>
          <w:rFonts w:ascii="Times New Roman"/>
          <w:spacing w:val="69"/>
          <w:sz w:val="2"/>
        </w:rPr>
        <w:t> </w:t>
      </w:r>
      <w:r>
        <w:rPr>
          <w:rFonts w:ascii="宋体"/>
          <w:spacing w:val="69"/>
          <w:sz w:val="2"/>
        </w:rPr>
        <w:pict>
          <v:group style="width:50.55pt;height:.8pt;mso-position-horizontal-relative:char;mso-position-vertical-relative:line" coordorigin="0,0" coordsize="1011,16">
            <v:group style="position:absolute;left:8;top:1;width:994;height:2" coordorigin="8,1" coordsize="994,2">
              <v:shape style="position:absolute;left:8;top:1;width:994;height:2" coordorigin="8,1" coordsize="994,0" path="m8,1l1002,1e" filled="false" stroked="true" strokeweight=".108948pt" strokecolor="#000000">
                <v:path arrowok="t"/>
              </v:shape>
            </v:group>
            <v:group style="position:absolute;left:7;top:8;width:996;height:2" coordorigin="7,8" coordsize="996,2">
              <v:shape style="position:absolute;left:7;top:8;width:996;height:2" coordorigin="7,8" coordsize="996,0" path="m7,8l1003,8e" filled="false" stroked="true" strokeweight=".747081pt" strokecolor="#000000">
                <v:path arrowok="t"/>
              </v:shape>
            </v:group>
          </v:group>
        </w:pict>
      </w:r>
      <w:r>
        <w:rPr>
          <w:rFonts w:ascii="宋体"/>
          <w:spacing w:val="69"/>
          <w:sz w:val="2"/>
        </w:rPr>
      </w:r>
      <w:r>
        <w:rPr>
          <w:rFonts w:ascii="Times New Roman"/>
          <w:spacing w:val="68"/>
          <w:sz w:val="2"/>
        </w:rPr>
        <w:t> </w:t>
      </w:r>
      <w:r>
        <w:rPr>
          <w:rFonts w:ascii="宋体"/>
          <w:spacing w:val="68"/>
          <w:sz w:val="2"/>
        </w:rPr>
        <w:pict>
          <v:group style="width:59.95pt;height:.8pt;mso-position-horizontal-relative:char;mso-position-vertical-relative:line" coordorigin="0,0" coordsize="1199,16">
            <v:group style="position:absolute;left:8;top:1;width:1182;height:2" coordorigin="8,1" coordsize="1182,2">
              <v:shape style="position:absolute;left:8;top:1;width:1182;height:2" coordorigin="8,1" coordsize="1182,0" path="m8,1l1190,1e" filled="false" stroked="true" strokeweight=".108948pt" strokecolor="#000000">
                <v:path arrowok="t"/>
              </v:shape>
            </v:group>
            <v:group style="position:absolute;left:7;top:8;width:1184;height:2" coordorigin="7,8" coordsize="1184,2">
              <v:shape style="position:absolute;left:7;top:8;width:1184;height:2" coordorigin="7,8" coordsize="1184,0" path="m7,8l1191,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65.8pt;height:.8pt;mso-position-horizontal-relative:char;mso-position-vertical-relative:line" coordorigin="0,0" coordsize="1316,16">
            <v:group style="position:absolute;left:8;top:1;width:1299;height:2" coordorigin="8,1" coordsize="1299,2">
              <v:shape style="position:absolute;left:8;top:1;width:1299;height:2" coordorigin="8,1" coordsize="1299,0" path="m8,1l1307,1e" filled="false" stroked="true" strokeweight=".108948pt" strokecolor="#000000">
                <v:path arrowok="t"/>
              </v:shape>
            </v:group>
            <v:group style="position:absolute;left:7;top:8;width:1301;height:2" coordorigin="7,8" coordsize="1301,2">
              <v:shape style="position:absolute;left:7;top:8;width:1301;height:2" coordorigin="7,8" coordsize="1301,0" path="m7,8l1308,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33.050pt;height:.8pt;mso-position-horizontal-relative:char;mso-position-vertical-relative:line" coordorigin="0,0" coordsize="661,16">
            <v:group style="position:absolute;left:8;top:1;width:644;height:2" coordorigin="8,1" coordsize="644,2">
              <v:shape style="position:absolute;left:8;top:1;width:644;height:2" coordorigin="8,1" coordsize="644,0" path="m8,1l652,1e" filled="false" stroked="true" strokeweight=".108948pt" strokecolor="#000000">
                <v:path arrowok="t"/>
              </v:shape>
            </v:group>
            <v:group style="position:absolute;left:7;top:8;width:646;height:2" coordorigin="7,8" coordsize="646,2">
              <v:shape style="position:absolute;left:7;top:8;width:646;height:2" coordorigin="7,8" coordsize="646,0" path="m7,8l653,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71.05pt;height:.8pt;mso-position-horizontal-relative:char;mso-position-vertical-relative:line" coordorigin="0,0" coordsize="1421,16">
            <v:group style="position:absolute;left:8;top:1;width:1404;height:2" coordorigin="8,1" coordsize="1404,2">
              <v:shape style="position:absolute;left:8;top:1;width:1404;height:2" coordorigin="8,1" coordsize="1404,0" path="m8,1l1412,1e" filled="false" stroked="true" strokeweight=".108948pt" strokecolor="#000000">
                <v:path arrowok="t"/>
              </v:shape>
            </v:group>
            <v:group style="position:absolute;left:7;top:8;width:1406;height:2" coordorigin="7,8" coordsize="1406,2">
              <v:shape style="position:absolute;left:7;top:8;width:1406;height:2" coordorigin="7,8" coordsize="1406,0" path="m7,8l1413,8e" filled="false" stroked="true" strokeweight=".747081pt" strokecolor="#000000">
                <v:path arrowok="t"/>
              </v:shape>
            </v:group>
          </v:group>
        </w:pict>
      </w:r>
      <w:r>
        <w:rPr>
          <w:rFonts w:ascii="宋体"/>
          <w:spacing w:val="68"/>
          <w:sz w:val="2"/>
        </w:rPr>
      </w:r>
    </w:p>
    <w:p>
      <w:pPr>
        <w:tabs>
          <w:tab w:pos="4638" w:val="left" w:leader="none"/>
          <w:tab w:pos="5877" w:val="left" w:leader="none"/>
          <w:tab w:pos="7758" w:val="left" w:leader="none"/>
          <w:tab w:pos="8845" w:val="left" w:leader="none"/>
          <w:tab w:pos="9480" w:val="left" w:leader="none"/>
          <w:tab w:pos="10802" w:val="left" w:leader="none"/>
          <w:tab w:pos="12250" w:val="left" w:leader="none"/>
          <w:tab w:pos="12965" w:val="left" w:leader="none"/>
        </w:tabs>
        <w:spacing w:before="11"/>
        <w:ind w:left="0" w:right="85" w:firstLine="0"/>
        <w:jc w:val="center"/>
        <w:rPr>
          <w:rFonts w:ascii="宋体" w:hAnsi="宋体" w:cs="宋体" w:eastAsia="宋体" w:hint="default"/>
          <w:sz w:val="14"/>
          <w:szCs w:val="14"/>
        </w:rPr>
      </w:pPr>
      <w:r>
        <w:rPr>
          <w:rFonts w:ascii="宋体" w:hAnsi="宋体" w:cs="宋体" w:eastAsia="宋体" w:hint="default"/>
          <w:b/>
          <w:bCs/>
          <w:sz w:val="14"/>
          <w:szCs w:val="14"/>
        </w:rPr>
        <w:t>一、上年年末余额</w:t>
        <w:tab/>
      </w:r>
      <w:r>
        <w:rPr>
          <w:rFonts w:ascii="宋体" w:hAnsi="宋体" w:cs="宋体" w:eastAsia="宋体" w:hint="default"/>
          <w:sz w:val="14"/>
          <w:szCs w:val="14"/>
        </w:rPr>
        <w:t>63,500,000.00</w:t>
        <w:tab/>
        <w:t>692,720,393.65</w:t>
        <w:tab/>
        <w:t>-</w:t>
        <w:tab/>
        <w:t>-</w:t>
        <w:tab/>
        <w:t>7,020,701.36</w:t>
        <w:tab/>
        <w:t>53,401,391.95</w:t>
        <w:tab/>
        <w:t>-</w:t>
        <w:tab/>
        <w:t>816,642,486.96</w:t>
      </w:r>
    </w:p>
    <w:p>
      <w:pPr>
        <w:spacing w:line="240" w:lineRule="auto" w:before="1"/>
        <w:rPr>
          <w:rFonts w:ascii="宋体" w:hAnsi="宋体" w:cs="宋体" w:eastAsia="宋体" w:hint="default"/>
          <w:sz w:val="3"/>
          <w:szCs w:val="3"/>
        </w:rPr>
      </w:pPr>
    </w:p>
    <w:p>
      <w:pPr>
        <w:spacing w:line="20" w:lineRule="exact"/>
        <w:ind w:left="4441" w:right="0" w:firstLine="0"/>
        <w:rPr>
          <w:rFonts w:ascii="宋体" w:hAnsi="宋体" w:cs="宋体" w:eastAsia="宋体" w:hint="default"/>
          <w:sz w:val="2"/>
          <w:szCs w:val="2"/>
        </w:rPr>
      </w:pPr>
      <w:r>
        <w:rPr>
          <w:rFonts w:ascii="宋体" w:hAnsi="宋体" w:cs="宋体" w:eastAsia="宋体" w:hint="default"/>
          <w:sz w:val="2"/>
          <w:szCs w:val="2"/>
        </w:rPr>
        <w:pict>
          <v:group style="width:488.1pt;height:.8pt;mso-position-horizontal-relative:char;mso-position-vertical-relative:line" coordorigin="0,0" coordsize="9762,16">
            <v:group style="position:absolute;left:8;top:1;width:9745;height:2" coordorigin="8,1" coordsize="9745,2">
              <v:shape style="position:absolute;left:8;top:1;width:9745;height:2" coordorigin="8,1" coordsize="9745,0" path="m8,1l9753,1e" filled="false" stroked="true" strokeweight=".108948pt" strokecolor="#000000">
                <v:path arrowok="t"/>
              </v:shape>
            </v:group>
            <v:group style="position:absolute;left:7;top:8;width:9747;height:2" coordorigin="7,8" coordsize="9747,2">
              <v:shape style="position:absolute;left:7;top:8;width:9747;height:2" coordorigin="7,8" coordsize="9747,0" path="m7,8l9754,8e" filled="false" stroked="true" strokeweight=".747081pt" strokecolor="#000000">
                <v:path arrowok="t"/>
              </v:shape>
            </v:group>
          </v:group>
        </w:pict>
      </w:r>
      <w:r>
        <w:rPr>
          <w:rFonts w:ascii="宋体" w:hAnsi="宋体" w:cs="宋体" w:eastAsia="宋体" w:hint="default"/>
          <w:sz w:val="2"/>
          <w:szCs w:val="2"/>
        </w:rPr>
      </w:r>
    </w:p>
    <w:p>
      <w:pPr>
        <w:tabs>
          <w:tab w:pos="5484" w:val="left" w:leader="none"/>
          <w:tab w:pos="6794" w:val="left" w:leader="none"/>
          <w:tab w:pos="7893" w:val="left" w:leader="none"/>
          <w:tab w:pos="8980" w:val="left" w:leader="none"/>
          <w:tab w:pos="10255" w:val="left" w:leader="none"/>
          <w:tab w:pos="11648" w:val="left" w:leader="none"/>
          <w:tab w:pos="12385" w:val="left" w:leader="none"/>
          <w:tab w:pos="13883" w:val="left" w:leader="none"/>
        </w:tabs>
        <w:spacing w:before="11"/>
        <w:ind w:left="134" w:right="0" w:firstLine="0"/>
        <w:jc w:val="left"/>
        <w:rPr>
          <w:rFonts w:ascii="宋体" w:hAnsi="宋体" w:cs="宋体" w:eastAsia="宋体" w:hint="default"/>
          <w:sz w:val="14"/>
          <w:szCs w:val="14"/>
        </w:rPr>
      </w:pPr>
      <w:r>
        <w:rPr>
          <w:rFonts w:ascii="宋体" w:hAnsi="宋体" w:cs="宋体" w:eastAsia="宋体" w:hint="default"/>
          <w:sz w:val="14"/>
          <w:szCs w:val="14"/>
        </w:rPr>
        <w:t>加：会计政策变更</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前期差错更正</w:t>
        <w:tab/>
      </w:r>
      <w:r>
        <w:rPr>
          <w:rFonts w:ascii="宋体" w:hAnsi="宋体" w:cs="宋体" w:eastAsia="宋体" w:hint="default"/>
          <w:sz w:val="14"/>
          <w:szCs w:val="14"/>
        </w:rPr>
        <w:t>-</w:t>
        <w:tab/>
        <w:t>-</w:t>
        <w:tab/>
        <w:t>-</w:t>
        <w:tab/>
        <w:t>-</w:t>
        <w:tab/>
        <w:t>-</w:t>
        <w:tab/>
        <w:t>-</w:t>
        <w:tab/>
        <w:t>-</w:t>
        <w:tab/>
        <w:t>-</w:t>
      </w:r>
    </w:p>
    <w:p>
      <w:pPr>
        <w:tabs>
          <w:tab w:pos="4638" w:val="left" w:leader="none"/>
          <w:tab w:pos="5877" w:val="left" w:leader="none"/>
          <w:tab w:pos="7758" w:val="left" w:leader="none"/>
          <w:tab w:pos="8845" w:val="left" w:leader="none"/>
          <w:tab w:pos="9480" w:val="left" w:leader="none"/>
          <w:tab w:pos="10802" w:val="left" w:leader="none"/>
          <w:tab w:pos="12250" w:val="left" w:leader="none"/>
          <w:tab w:pos="12965" w:val="left" w:leader="none"/>
        </w:tabs>
        <w:spacing w:before="71"/>
        <w:ind w:left="0" w:right="85" w:firstLine="0"/>
        <w:jc w:val="center"/>
        <w:rPr>
          <w:rFonts w:ascii="宋体" w:hAnsi="宋体" w:cs="宋体" w:eastAsia="宋体" w:hint="default"/>
          <w:sz w:val="14"/>
          <w:szCs w:val="14"/>
        </w:rPr>
      </w:pPr>
      <w:r>
        <w:rPr>
          <w:rFonts w:ascii="宋体" w:hAnsi="宋体" w:cs="宋体" w:eastAsia="宋体" w:hint="default"/>
          <w:b/>
          <w:bCs/>
          <w:sz w:val="14"/>
          <w:szCs w:val="14"/>
        </w:rPr>
        <w:t>二、本年年初余额</w:t>
        <w:tab/>
      </w:r>
      <w:r>
        <w:rPr>
          <w:rFonts w:ascii="宋体" w:hAnsi="宋体" w:cs="宋体" w:eastAsia="宋体" w:hint="default"/>
          <w:sz w:val="14"/>
          <w:szCs w:val="14"/>
        </w:rPr>
        <w:t>63,500,000.00</w:t>
        <w:tab/>
        <w:t>692,720,393.65</w:t>
        <w:tab/>
        <w:t>-</w:t>
        <w:tab/>
        <w:t>-</w:t>
        <w:tab/>
        <w:t>7,020,701.36</w:t>
        <w:tab/>
        <w:t>53,401,391.95</w:t>
        <w:tab/>
        <w:t>-</w:t>
        <w:tab/>
        <w:t>816,642,486.96</w:t>
      </w:r>
    </w:p>
    <w:p>
      <w:pPr>
        <w:spacing w:line="240" w:lineRule="auto" w:before="1"/>
        <w:rPr>
          <w:rFonts w:ascii="宋体" w:hAnsi="宋体" w:cs="宋体" w:eastAsia="宋体" w:hint="default"/>
          <w:sz w:val="3"/>
          <w:szCs w:val="3"/>
        </w:rPr>
      </w:pPr>
    </w:p>
    <w:p>
      <w:pPr>
        <w:spacing w:line="20" w:lineRule="exact"/>
        <w:ind w:left="4441" w:right="0" w:firstLine="0"/>
        <w:rPr>
          <w:rFonts w:ascii="宋体" w:hAnsi="宋体" w:cs="宋体" w:eastAsia="宋体" w:hint="default"/>
          <w:sz w:val="2"/>
          <w:szCs w:val="2"/>
        </w:rPr>
      </w:pPr>
      <w:r>
        <w:rPr>
          <w:rFonts w:ascii="宋体"/>
          <w:sz w:val="2"/>
        </w:rPr>
        <w:pict>
          <v:group style="width:68.150pt;height:.8pt;mso-position-horizontal-relative:char;mso-position-vertical-relative:line" coordorigin="0,0" coordsize="1363,16">
            <v:group style="position:absolute;left:8;top:1;width:1347;height:2" coordorigin="8,1" coordsize="1347,2">
              <v:shape style="position:absolute;left:8;top:1;width:1347;height:2" coordorigin="8,1" coordsize="1347,0" path="m8,1l1354,1e" filled="false" stroked="true" strokeweight=".108948pt" strokecolor="#000000">
                <v:path arrowok="t"/>
              </v:shape>
            </v:group>
            <v:group style="position:absolute;left:7;top:8;width:1348;height:2" coordorigin="7,8" coordsize="1348,2">
              <v:shape style="position:absolute;left:7;top:8;width:1348;height:2" coordorigin="7,8" coordsize="1348,0" path="m7,8l1355,8e" filled="false" stroked="true" strokeweight=".747081pt" strokecolor="#000000">
                <v:path arrowok="t"/>
              </v:shape>
            </v:group>
          </v:group>
        </w:pict>
      </w:r>
      <w:r>
        <w:rPr>
          <w:rFonts w:ascii="宋体"/>
          <w:sz w:val="2"/>
        </w:rPr>
      </w:r>
      <w:r>
        <w:rPr>
          <w:rFonts w:ascii="Times New Roman"/>
          <w:spacing w:val="69"/>
          <w:sz w:val="2"/>
        </w:rPr>
        <w:t> </w:t>
      </w:r>
      <w:r>
        <w:rPr>
          <w:rFonts w:ascii="宋体"/>
          <w:spacing w:val="69"/>
          <w:sz w:val="2"/>
        </w:rPr>
        <w:pict>
          <v:group style="width:61.7pt;height:.8pt;mso-position-horizontal-relative:char;mso-position-vertical-relative:line" coordorigin="0,0" coordsize="1234,16">
            <v:group style="position:absolute;left:8;top:1;width:1217;height:2" coordorigin="8,1" coordsize="1217,2">
              <v:shape style="position:absolute;left:8;top:1;width:1217;height:2" coordorigin="8,1" coordsize="1217,0" path="m8,1l1225,1e" filled="false" stroked="true" strokeweight=".108948pt" strokecolor="#000000">
                <v:path arrowok="t"/>
              </v:shape>
            </v:group>
            <v:group style="position:absolute;left:7;top:8;width:1219;height:2" coordorigin="7,8" coordsize="1219,2">
              <v:shape style="position:absolute;left:7;top:8;width:1219;height:2" coordorigin="7,8" coordsize="1219,0" path="m7,8l1226,8e" filled="false" stroked="true" strokeweight=".747081pt" strokecolor="#000000">
                <v:path arrowok="t"/>
              </v:shape>
            </v:group>
          </v:group>
        </w:pict>
      </w:r>
      <w:r>
        <w:rPr>
          <w:rFonts w:ascii="宋体"/>
          <w:spacing w:val="69"/>
          <w:sz w:val="2"/>
        </w:rPr>
      </w:r>
      <w:r>
        <w:rPr>
          <w:rFonts w:ascii="Times New Roman"/>
          <w:spacing w:val="79"/>
          <w:sz w:val="2"/>
        </w:rPr>
        <w:t> </w:t>
      </w:r>
      <w:r>
        <w:rPr>
          <w:rFonts w:ascii="宋体"/>
          <w:spacing w:val="79"/>
          <w:sz w:val="2"/>
        </w:rPr>
        <w:pict>
          <v:group style="width:50.55pt;height:.8pt;mso-position-horizontal-relative:char;mso-position-vertical-relative:line" coordorigin="0,0" coordsize="1011,16">
            <v:group style="position:absolute;left:8;top:1;width:995;height:2" coordorigin="8,1" coordsize="995,2">
              <v:shape style="position:absolute;left:8;top:1;width:995;height:2" coordorigin="8,1" coordsize="995,0" path="m8,1l1002,1e" filled="false" stroked="true" strokeweight=".108948pt" strokecolor="#000000">
                <v:path arrowok="t"/>
              </v:shape>
            </v:group>
            <v:group style="position:absolute;left:7;top:8;width:997;height:2" coordorigin="7,8" coordsize="997,2">
              <v:shape style="position:absolute;left:7;top:8;width:997;height:2" coordorigin="7,8" coordsize="997,0" path="m7,8l1003,8e" filled="false" stroked="true" strokeweight=".747081pt" strokecolor="#000000">
                <v:path arrowok="t"/>
              </v:shape>
            </v:group>
          </v:group>
        </w:pict>
      </w:r>
      <w:r>
        <w:rPr>
          <w:rFonts w:ascii="宋体"/>
          <w:spacing w:val="79"/>
          <w:sz w:val="2"/>
        </w:rPr>
      </w:r>
      <w:r>
        <w:rPr>
          <w:rFonts w:ascii="Times New Roman"/>
          <w:spacing w:val="69"/>
          <w:sz w:val="2"/>
        </w:rPr>
        <w:t> </w:t>
      </w:r>
      <w:r>
        <w:rPr>
          <w:rFonts w:ascii="宋体"/>
          <w:spacing w:val="69"/>
          <w:sz w:val="2"/>
        </w:rPr>
        <w:pict>
          <v:group style="width:50.55pt;height:.8pt;mso-position-horizontal-relative:char;mso-position-vertical-relative:line" coordorigin="0,0" coordsize="1011,16">
            <v:group style="position:absolute;left:8;top:1;width:994;height:2" coordorigin="8,1" coordsize="994,2">
              <v:shape style="position:absolute;left:8;top:1;width:994;height:2" coordorigin="8,1" coordsize="994,0" path="m8,1l1002,1e" filled="false" stroked="true" strokeweight=".108948pt" strokecolor="#000000">
                <v:path arrowok="t"/>
              </v:shape>
            </v:group>
            <v:group style="position:absolute;left:7;top:8;width:996;height:2" coordorigin="7,8" coordsize="996,2">
              <v:shape style="position:absolute;left:7;top:8;width:996;height:2" coordorigin="7,8" coordsize="996,0" path="m7,8l1003,8e" filled="false" stroked="true" strokeweight=".747081pt" strokecolor="#000000">
                <v:path arrowok="t"/>
              </v:shape>
            </v:group>
          </v:group>
        </w:pict>
      </w:r>
      <w:r>
        <w:rPr>
          <w:rFonts w:ascii="宋体"/>
          <w:spacing w:val="69"/>
          <w:sz w:val="2"/>
        </w:rPr>
      </w:r>
      <w:r>
        <w:rPr>
          <w:rFonts w:ascii="Times New Roman"/>
          <w:spacing w:val="68"/>
          <w:sz w:val="2"/>
        </w:rPr>
        <w:t> </w:t>
      </w:r>
      <w:r>
        <w:rPr>
          <w:rFonts w:ascii="宋体"/>
          <w:spacing w:val="68"/>
          <w:sz w:val="2"/>
        </w:rPr>
        <w:pict>
          <v:group style="width:59.95pt;height:.8pt;mso-position-horizontal-relative:char;mso-position-vertical-relative:line" coordorigin="0,0" coordsize="1199,16">
            <v:group style="position:absolute;left:8;top:1;width:1182;height:2" coordorigin="8,1" coordsize="1182,2">
              <v:shape style="position:absolute;left:8;top:1;width:1182;height:2" coordorigin="8,1" coordsize="1182,0" path="m8,1l1190,1e" filled="false" stroked="true" strokeweight=".108948pt" strokecolor="#000000">
                <v:path arrowok="t"/>
              </v:shape>
            </v:group>
            <v:group style="position:absolute;left:7;top:8;width:1184;height:2" coordorigin="7,8" coordsize="1184,2">
              <v:shape style="position:absolute;left:7;top:8;width:1184;height:2" coordorigin="7,8" coordsize="1184,0" path="m7,8l1191,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65.8pt;height:.8pt;mso-position-horizontal-relative:char;mso-position-vertical-relative:line" coordorigin="0,0" coordsize="1316,16">
            <v:group style="position:absolute;left:8;top:1;width:1299;height:2" coordorigin="8,1" coordsize="1299,2">
              <v:shape style="position:absolute;left:8;top:1;width:1299;height:2" coordorigin="8,1" coordsize="1299,0" path="m8,1l1307,1e" filled="false" stroked="true" strokeweight=".108948pt" strokecolor="#000000">
                <v:path arrowok="t"/>
              </v:shape>
            </v:group>
            <v:group style="position:absolute;left:7;top:8;width:1301;height:2" coordorigin="7,8" coordsize="1301,2">
              <v:shape style="position:absolute;left:7;top:8;width:1301;height:2" coordorigin="7,8" coordsize="1301,0" path="m7,8l1308,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33.050pt;height:.8pt;mso-position-horizontal-relative:char;mso-position-vertical-relative:line" coordorigin="0,0" coordsize="661,16">
            <v:group style="position:absolute;left:8;top:1;width:644;height:2" coordorigin="8,1" coordsize="644,2">
              <v:shape style="position:absolute;left:8;top:1;width:644;height:2" coordorigin="8,1" coordsize="644,0" path="m8,1l652,1e" filled="false" stroked="true" strokeweight=".108948pt" strokecolor="#000000">
                <v:path arrowok="t"/>
              </v:shape>
            </v:group>
            <v:group style="position:absolute;left:7;top:8;width:646;height:2" coordorigin="7,8" coordsize="646,2">
              <v:shape style="position:absolute;left:7;top:8;width:646;height:2" coordorigin="7,8" coordsize="646,0" path="m7,8l653,8e" filled="false" stroked="true" strokeweight=".747081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71.05pt;height:.8pt;mso-position-horizontal-relative:char;mso-position-vertical-relative:line" coordorigin="0,0" coordsize="1421,16">
            <v:group style="position:absolute;left:8;top:1;width:1404;height:2" coordorigin="8,1" coordsize="1404,2">
              <v:shape style="position:absolute;left:8;top:1;width:1404;height:2" coordorigin="8,1" coordsize="1404,0" path="m8,1l1412,1e" filled="false" stroked="true" strokeweight=".108948pt" strokecolor="#000000">
                <v:path arrowok="t"/>
              </v:shape>
            </v:group>
            <v:group style="position:absolute;left:7;top:8;width:1406;height:2" coordorigin="7,8" coordsize="1406,2">
              <v:shape style="position:absolute;left:7;top:8;width:1406;height:2" coordorigin="7,8" coordsize="1406,0" path="m7,8l1413,8e" filled="false" stroked="true" strokeweight=".747081pt" strokecolor="#000000">
                <v:path arrowok="t"/>
              </v:shape>
            </v:group>
          </v:group>
        </w:pict>
      </w:r>
      <w:r>
        <w:rPr>
          <w:rFonts w:ascii="宋体"/>
          <w:spacing w:val="68"/>
          <w:sz w:val="2"/>
        </w:rPr>
      </w:r>
    </w:p>
    <w:p>
      <w:pPr>
        <w:tabs>
          <w:tab w:pos="4638" w:val="left" w:leader="none"/>
          <w:tab w:pos="5877" w:val="left" w:leader="none"/>
          <w:tab w:pos="7758" w:val="left" w:leader="none"/>
          <w:tab w:pos="8845" w:val="left" w:leader="none"/>
          <w:tab w:pos="9480" w:val="left" w:leader="none"/>
          <w:tab w:pos="10802" w:val="left" w:leader="none"/>
          <w:tab w:pos="12250" w:val="left" w:leader="none"/>
          <w:tab w:pos="13036" w:val="left" w:leader="none"/>
        </w:tabs>
        <w:spacing w:before="11"/>
        <w:ind w:left="0" w:right="85" w:firstLine="0"/>
        <w:jc w:val="center"/>
        <w:rPr>
          <w:rFonts w:ascii="宋体" w:hAnsi="宋体" w:cs="宋体" w:eastAsia="宋体" w:hint="default"/>
          <w:sz w:val="14"/>
          <w:szCs w:val="14"/>
        </w:rPr>
      </w:pPr>
      <w:r>
        <w:rPr>
          <w:rFonts w:ascii="宋体" w:hAnsi="宋体" w:cs="宋体" w:eastAsia="宋体" w:hint="default"/>
          <w:b/>
          <w:bCs/>
          <w:sz w:val="14"/>
          <w:szCs w:val="14"/>
        </w:rPr>
        <w:t>三、本年增减变动金额</w:t>
        <w:tab/>
      </w:r>
      <w:r>
        <w:rPr>
          <w:rFonts w:ascii="宋体" w:hAnsi="宋体" w:cs="宋体" w:eastAsia="宋体" w:hint="default"/>
          <w:sz w:val="14"/>
          <w:szCs w:val="14"/>
        </w:rPr>
        <w:t>50,800,000.00</w:t>
        <w:tab/>
        <w:t>(50,800,000.00)</w:t>
        <w:tab/>
        <w:t>-</w:t>
        <w:tab/>
        <w:t>-</w:t>
        <w:tab/>
        <w:t>3,775,384.72</w:t>
        <w:tab/>
        <w:t>21,278,462.51</w:t>
        <w:tab/>
        <w:t>-</w:t>
        <w:tab/>
        <w:t>25,053,847.23</w:t>
      </w:r>
    </w:p>
    <w:p>
      <w:pPr>
        <w:spacing w:line="240" w:lineRule="auto" w:before="1"/>
        <w:rPr>
          <w:rFonts w:ascii="宋体" w:hAnsi="宋体" w:cs="宋体" w:eastAsia="宋体" w:hint="default"/>
          <w:sz w:val="3"/>
          <w:szCs w:val="3"/>
        </w:rPr>
      </w:pPr>
    </w:p>
    <w:p>
      <w:pPr>
        <w:spacing w:line="20" w:lineRule="exact"/>
        <w:ind w:left="4441" w:right="0" w:firstLine="0"/>
        <w:rPr>
          <w:rFonts w:ascii="宋体" w:hAnsi="宋体" w:cs="宋体" w:eastAsia="宋体" w:hint="default"/>
          <w:sz w:val="2"/>
          <w:szCs w:val="2"/>
        </w:rPr>
      </w:pPr>
      <w:r>
        <w:rPr>
          <w:rFonts w:ascii="宋体"/>
          <w:sz w:val="2"/>
        </w:rPr>
        <w:pict>
          <v:group style="width:68.150pt;height:.8pt;mso-position-horizontal-relative:char;mso-position-vertical-relative:line" coordorigin="0,0" coordsize="1363,16">
            <v:group style="position:absolute;left:8;top:1;width:1347;height:2" coordorigin="8,1" coordsize="1347,2">
              <v:shape style="position:absolute;left:8;top:1;width:1347;height:2" coordorigin="8,1" coordsize="1347,0" path="m8,1l1354,1e" filled="false" stroked="true" strokeweight=".108948pt" strokecolor="#000000">
                <v:path arrowok="t"/>
              </v:shape>
            </v:group>
            <v:group style="position:absolute;left:7;top:8;width:1348;height:2" coordorigin="7,8" coordsize="1348,2">
              <v:shape style="position:absolute;left:7;top:8;width:1348;height:2" coordorigin="7,8" coordsize="1348,0" path="m7,8l1355,8e" filled="false" stroked="true" strokeweight=".747065pt" strokecolor="#000000">
                <v:path arrowok="t"/>
              </v:shape>
            </v:group>
          </v:group>
        </w:pict>
      </w:r>
      <w:r>
        <w:rPr>
          <w:rFonts w:ascii="宋体"/>
          <w:sz w:val="2"/>
        </w:rPr>
      </w:r>
      <w:r>
        <w:rPr>
          <w:rFonts w:ascii="Times New Roman"/>
          <w:spacing w:val="69"/>
          <w:sz w:val="2"/>
        </w:rPr>
        <w:t> </w:t>
      </w:r>
      <w:r>
        <w:rPr>
          <w:rFonts w:ascii="宋体"/>
          <w:spacing w:val="69"/>
          <w:sz w:val="2"/>
        </w:rPr>
        <w:pict>
          <v:group style="width:61.7pt;height:.8pt;mso-position-horizontal-relative:char;mso-position-vertical-relative:line" coordorigin="0,0" coordsize="1234,16">
            <v:group style="position:absolute;left:8;top:1;width:1217;height:2" coordorigin="8,1" coordsize="1217,2">
              <v:shape style="position:absolute;left:8;top:1;width:1217;height:2" coordorigin="8,1" coordsize="1217,0" path="m8,1l1225,1e" filled="false" stroked="true" strokeweight=".108948pt" strokecolor="#000000">
                <v:path arrowok="t"/>
              </v:shape>
            </v:group>
            <v:group style="position:absolute;left:7;top:8;width:1219;height:2" coordorigin="7,8" coordsize="1219,2">
              <v:shape style="position:absolute;left:7;top:8;width:1219;height:2" coordorigin="7,8" coordsize="1219,0" path="m7,8l1226,8e" filled="false" stroked="true" strokeweight=".747065pt" strokecolor="#000000">
                <v:path arrowok="t"/>
              </v:shape>
            </v:group>
          </v:group>
        </w:pict>
      </w:r>
      <w:r>
        <w:rPr>
          <w:rFonts w:ascii="宋体"/>
          <w:spacing w:val="69"/>
          <w:sz w:val="2"/>
        </w:rPr>
      </w:r>
      <w:r>
        <w:rPr>
          <w:rFonts w:ascii="Times New Roman"/>
          <w:spacing w:val="79"/>
          <w:sz w:val="2"/>
        </w:rPr>
        <w:t> </w:t>
      </w:r>
      <w:r>
        <w:rPr>
          <w:rFonts w:ascii="宋体"/>
          <w:spacing w:val="79"/>
          <w:sz w:val="2"/>
        </w:rPr>
        <w:pict>
          <v:group style="width:50.55pt;height:.8pt;mso-position-horizontal-relative:char;mso-position-vertical-relative:line" coordorigin="0,0" coordsize="1011,16">
            <v:group style="position:absolute;left:8;top:1;width:995;height:2" coordorigin="8,1" coordsize="995,2">
              <v:shape style="position:absolute;left:8;top:1;width:995;height:2" coordorigin="8,1" coordsize="995,0" path="m8,1l1002,1e" filled="false" stroked="true" strokeweight=".108948pt" strokecolor="#000000">
                <v:path arrowok="t"/>
              </v:shape>
            </v:group>
            <v:group style="position:absolute;left:7;top:8;width:997;height:2" coordorigin="7,8" coordsize="997,2">
              <v:shape style="position:absolute;left:7;top:8;width:997;height:2" coordorigin="7,8" coordsize="997,0" path="m7,8l1003,8e" filled="false" stroked="true" strokeweight=".747065pt" strokecolor="#000000">
                <v:path arrowok="t"/>
              </v:shape>
            </v:group>
          </v:group>
        </w:pict>
      </w:r>
      <w:r>
        <w:rPr>
          <w:rFonts w:ascii="宋体"/>
          <w:spacing w:val="79"/>
          <w:sz w:val="2"/>
        </w:rPr>
      </w:r>
      <w:r>
        <w:rPr>
          <w:rFonts w:ascii="Times New Roman"/>
          <w:spacing w:val="69"/>
          <w:sz w:val="2"/>
        </w:rPr>
        <w:t> </w:t>
      </w:r>
      <w:r>
        <w:rPr>
          <w:rFonts w:ascii="宋体"/>
          <w:spacing w:val="69"/>
          <w:sz w:val="2"/>
        </w:rPr>
        <w:pict>
          <v:group style="width:50.55pt;height:.8pt;mso-position-horizontal-relative:char;mso-position-vertical-relative:line" coordorigin="0,0" coordsize="1011,16">
            <v:group style="position:absolute;left:8;top:1;width:994;height:2" coordorigin="8,1" coordsize="994,2">
              <v:shape style="position:absolute;left:8;top:1;width:994;height:2" coordorigin="8,1" coordsize="994,0" path="m8,1l1002,1e" filled="false" stroked="true" strokeweight=".108948pt" strokecolor="#000000">
                <v:path arrowok="t"/>
              </v:shape>
            </v:group>
            <v:group style="position:absolute;left:7;top:8;width:996;height:2" coordorigin="7,8" coordsize="996,2">
              <v:shape style="position:absolute;left:7;top:8;width:996;height:2" coordorigin="7,8" coordsize="996,0" path="m7,8l1003,8e" filled="false" stroked="true" strokeweight=".747065pt" strokecolor="#000000">
                <v:path arrowok="t"/>
              </v:shape>
            </v:group>
          </v:group>
        </w:pict>
      </w:r>
      <w:r>
        <w:rPr>
          <w:rFonts w:ascii="宋体"/>
          <w:spacing w:val="69"/>
          <w:sz w:val="2"/>
        </w:rPr>
      </w:r>
      <w:r>
        <w:rPr>
          <w:rFonts w:ascii="Times New Roman"/>
          <w:spacing w:val="68"/>
          <w:sz w:val="2"/>
        </w:rPr>
        <w:t> </w:t>
      </w:r>
      <w:r>
        <w:rPr>
          <w:rFonts w:ascii="宋体"/>
          <w:spacing w:val="68"/>
          <w:sz w:val="2"/>
        </w:rPr>
        <w:pict>
          <v:group style="width:59.95pt;height:.8pt;mso-position-horizontal-relative:char;mso-position-vertical-relative:line" coordorigin="0,0" coordsize="1199,16">
            <v:group style="position:absolute;left:8;top:1;width:1182;height:2" coordorigin="8,1" coordsize="1182,2">
              <v:shape style="position:absolute;left:8;top:1;width:1182;height:2" coordorigin="8,1" coordsize="1182,0" path="m8,1l1190,1e" filled="false" stroked="true" strokeweight=".108948pt" strokecolor="#000000">
                <v:path arrowok="t"/>
              </v:shape>
            </v:group>
            <v:group style="position:absolute;left:7;top:8;width:1184;height:2" coordorigin="7,8" coordsize="1184,2">
              <v:shape style="position:absolute;left:7;top:8;width:1184;height:2" coordorigin="7,8" coordsize="1184,0" path="m7,8l1191,8e" filled="false" stroked="true" strokeweight=".747065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65.8pt;height:.8pt;mso-position-horizontal-relative:char;mso-position-vertical-relative:line" coordorigin="0,0" coordsize="1316,16">
            <v:group style="position:absolute;left:8;top:1;width:1299;height:2" coordorigin="8,1" coordsize="1299,2">
              <v:shape style="position:absolute;left:8;top:1;width:1299;height:2" coordorigin="8,1" coordsize="1299,0" path="m8,1l1307,1e" filled="false" stroked="true" strokeweight=".108948pt" strokecolor="#000000">
                <v:path arrowok="t"/>
              </v:shape>
            </v:group>
            <v:group style="position:absolute;left:7;top:8;width:1301;height:2" coordorigin="7,8" coordsize="1301,2">
              <v:shape style="position:absolute;left:7;top:8;width:1301;height:2" coordorigin="7,8" coordsize="1301,0" path="m7,8l1308,8e" filled="false" stroked="true" strokeweight=".747065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33.050pt;height:.8pt;mso-position-horizontal-relative:char;mso-position-vertical-relative:line" coordorigin="0,0" coordsize="661,16">
            <v:group style="position:absolute;left:8;top:1;width:644;height:2" coordorigin="8,1" coordsize="644,2">
              <v:shape style="position:absolute;left:8;top:1;width:644;height:2" coordorigin="8,1" coordsize="644,0" path="m8,1l652,1e" filled="false" stroked="true" strokeweight=".108948pt" strokecolor="#000000">
                <v:path arrowok="t"/>
              </v:shape>
            </v:group>
            <v:group style="position:absolute;left:7;top:8;width:646;height:2" coordorigin="7,8" coordsize="646,2">
              <v:shape style="position:absolute;left:7;top:8;width:646;height:2" coordorigin="7,8" coordsize="646,0" path="m7,8l653,8e" filled="false" stroked="true" strokeweight=".747065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71.05pt;height:.8pt;mso-position-horizontal-relative:char;mso-position-vertical-relative:line" coordorigin="0,0" coordsize="1421,16">
            <v:group style="position:absolute;left:8;top:1;width:1404;height:2" coordorigin="8,1" coordsize="1404,2">
              <v:shape style="position:absolute;left:8;top:1;width:1404;height:2" coordorigin="8,1" coordsize="1404,0" path="m8,1l1412,1e" filled="false" stroked="true" strokeweight=".108948pt" strokecolor="#000000">
                <v:path arrowok="t"/>
              </v:shape>
            </v:group>
            <v:group style="position:absolute;left:7;top:8;width:1406;height:2" coordorigin="7,8" coordsize="1406,2">
              <v:shape style="position:absolute;left:7;top:8;width:1406;height:2" coordorigin="7,8" coordsize="1406,0" path="m7,8l1413,8e" filled="false" stroked="true" strokeweight=".747065pt" strokecolor="#000000">
                <v:path arrowok="t"/>
              </v:shape>
            </v:group>
          </v:group>
        </w:pict>
      </w:r>
      <w:r>
        <w:rPr>
          <w:rFonts w:ascii="宋体"/>
          <w:spacing w:val="68"/>
          <w:sz w:val="2"/>
        </w:rPr>
      </w:r>
    </w:p>
    <w:p>
      <w:pPr>
        <w:tabs>
          <w:tab w:pos="5349" w:val="left" w:leader="none"/>
          <w:tab w:pos="6659" w:val="left" w:leader="none"/>
          <w:tab w:pos="7758" w:val="left" w:leader="none"/>
          <w:tab w:pos="8845" w:val="left" w:leader="none"/>
          <w:tab w:pos="10120" w:val="left" w:leader="none"/>
          <w:tab w:pos="10802" w:val="left" w:leader="none"/>
          <w:tab w:pos="12250" w:val="left" w:leader="none"/>
          <w:tab w:pos="13036" w:val="left" w:leader="none"/>
        </w:tabs>
        <w:spacing w:before="11"/>
        <w:ind w:left="0" w:right="85" w:firstLine="0"/>
        <w:jc w:val="center"/>
        <w:rPr>
          <w:rFonts w:ascii="宋体" w:hAnsi="宋体" w:cs="宋体" w:eastAsia="宋体" w:hint="default"/>
          <w:sz w:val="14"/>
          <w:szCs w:val="14"/>
        </w:rPr>
      </w:pPr>
      <w:r>
        <w:rPr>
          <w:rFonts w:ascii="宋体" w:hAnsi="宋体" w:cs="宋体" w:eastAsia="宋体" w:hint="default"/>
          <w:sz w:val="14"/>
          <w:szCs w:val="14"/>
        </w:rPr>
        <w:t>（一）净利润</w:t>
        <w:tab/>
      </w:r>
      <w:r>
        <w:rPr>
          <w:rFonts w:ascii="宋体" w:hAnsi="宋体" w:cs="宋体" w:eastAsia="宋体" w:hint="default"/>
          <w:sz w:val="14"/>
          <w:szCs w:val="14"/>
        </w:rPr>
        <w:t>-</w:t>
        <w:tab/>
        <w:t>-</w:t>
        <w:tab/>
        <w:t>-</w:t>
        <w:tab/>
        <w:t>-</w:t>
        <w:tab/>
        <w:t>-</w:t>
        <w:tab/>
        <w:t>37,753,847.23</w:t>
        <w:tab/>
        <w:t>-</w:t>
        <w:tab/>
        <w:t>37,753,847.23</w:t>
      </w:r>
    </w:p>
    <w:p>
      <w:pPr>
        <w:tabs>
          <w:tab w:pos="5484" w:val="left" w:leader="none"/>
          <w:tab w:pos="6794" w:val="left" w:leader="none"/>
          <w:tab w:pos="7893" w:val="left" w:leader="none"/>
          <w:tab w:pos="8980" w:val="left" w:leader="none"/>
          <w:tab w:pos="10255" w:val="left" w:leader="none"/>
          <w:tab w:pos="11648" w:val="left" w:leader="none"/>
          <w:tab w:pos="12385" w:val="left" w:leader="none"/>
          <w:tab w:pos="13883" w:val="left" w:leader="none"/>
        </w:tabs>
        <w:spacing w:before="71"/>
        <w:ind w:left="134" w:right="0" w:firstLine="0"/>
        <w:jc w:val="left"/>
        <w:rPr>
          <w:rFonts w:ascii="宋体" w:hAnsi="宋体" w:cs="宋体" w:eastAsia="宋体" w:hint="default"/>
          <w:sz w:val="14"/>
          <w:szCs w:val="14"/>
        </w:rPr>
      </w:pPr>
      <w:r>
        <w:rPr>
          <w:rFonts w:ascii="宋体" w:hAnsi="宋体" w:cs="宋体" w:eastAsia="宋体" w:hint="default"/>
          <w:sz w:val="14"/>
          <w:szCs w:val="14"/>
        </w:rPr>
        <w:t>（二）其他综合收益</w:t>
        <w:tab/>
      </w:r>
      <w:r>
        <w:rPr>
          <w:rFonts w:ascii="宋体" w:hAnsi="宋体" w:cs="宋体" w:eastAsia="宋体" w:hint="default"/>
          <w:sz w:val="14"/>
          <w:szCs w:val="14"/>
        </w:rPr>
        <w:t>-</w:t>
        <w:tab/>
        <w:t>-</w:t>
        <w:tab/>
        <w:t>-</w:t>
        <w:tab/>
        <w:t>-</w:t>
        <w:tab/>
        <w:t>-</w:t>
        <w:tab/>
        <w:t>-</w:t>
        <w:tab/>
        <w:t>-</w:t>
        <w:tab/>
        <w:t>-</w:t>
      </w:r>
    </w:p>
    <w:p>
      <w:pPr>
        <w:tabs>
          <w:tab w:pos="5349" w:val="left" w:leader="none"/>
          <w:tab w:pos="6659" w:val="left" w:leader="none"/>
          <w:tab w:pos="7758" w:val="left" w:leader="none"/>
          <w:tab w:pos="8845" w:val="left" w:leader="none"/>
          <w:tab w:pos="10120" w:val="left" w:leader="none"/>
          <w:tab w:pos="10802" w:val="left" w:leader="none"/>
          <w:tab w:pos="12250" w:val="left" w:leader="none"/>
          <w:tab w:pos="13036" w:val="left" w:leader="none"/>
        </w:tabs>
        <w:spacing w:before="71"/>
        <w:ind w:left="0" w:right="85" w:firstLine="0"/>
        <w:jc w:val="center"/>
        <w:rPr>
          <w:rFonts w:ascii="宋体" w:hAnsi="宋体" w:cs="宋体" w:eastAsia="宋体" w:hint="default"/>
          <w:sz w:val="14"/>
          <w:szCs w:val="14"/>
        </w:rPr>
      </w:pPr>
      <w:r>
        <w:rPr>
          <w:rFonts w:ascii="宋体" w:hAnsi="宋体" w:cs="宋体" w:eastAsia="宋体" w:hint="default"/>
          <w:sz w:val="14"/>
          <w:szCs w:val="14"/>
        </w:rPr>
        <w:t>上述（一）和（二）小计</w:t>
        <w:tab/>
      </w:r>
      <w:r>
        <w:rPr>
          <w:rFonts w:ascii="宋体" w:hAnsi="宋体" w:cs="宋体" w:eastAsia="宋体" w:hint="default"/>
          <w:sz w:val="14"/>
          <w:szCs w:val="14"/>
        </w:rPr>
        <w:t>-</w:t>
        <w:tab/>
        <w:t>-</w:t>
        <w:tab/>
        <w:t>-</w:t>
        <w:tab/>
        <w:t>-</w:t>
        <w:tab/>
        <w:t>-</w:t>
        <w:tab/>
        <w:t>37,753,847.23</w:t>
        <w:tab/>
        <w:t>-</w:t>
        <w:tab/>
        <w:t>37,753,847.23</w:t>
      </w:r>
    </w:p>
    <w:p>
      <w:pPr>
        <w:tabs>
          <w:tab w:pos="5484" w:val="left" w:leader="none"/>
          <w:tab w:pos="6794" w:val="left" w:leader="none"/>
          <w:tab w:pos="7893" w:val="left" w:leader="none"/>
          <w:tab w:pos="8980" w:val="left" w:leader="none"/>
          <w:tab w:pos="10255" w:val="left" w:leader="none"/>
          <w:tab w:pos="11648" w:val="left" w:leader="none"/>
          <w:tab w:pos="12385" w:val="left" w:leader="none"/>
          <w:tab w:pos="13883" w:val="left" w:leader="none"/>
        </w:tabs>
        <w:spacing w:before="71"/>
        <w:ind w:left="134" w:right="0" w:firstLine="0"/>
        <w:jc w:val="left"/>
        <w:rPr>
          <w:rFonts w:ascii="宋体" w:hAnsi="宋体" w:cs="宋体" w:eastAsia="宋体" w:hint="default"/>
          <w:sz w:val="14"/>
          <w:szCs w:val="14"/>
        </w:rPr>
      </w:pPr>
      <w:r>
        <w:rPr>
          <w:rFonts w:ascii="宋体" w:hAnsi="宋体" w:cs="宋体" w:eastAsia="宋体" w:hint="default"/>
          <w:sz w:val="14"/>
          <w:szCs w:val="14"/>
        </w:rPr>
        <w:t>（三）股东投入和减少股本</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71"/>
        <w:ind w:left="54" w:right="0" w:firstLine="0"/>
        <w:jc w:val="center"/>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1"/>
          <w:sz w:val="14"/>
          <w:szCs w:val="14"/>
        </w:rPr>
        <w:t> </w:t>
      </w:r>
      <w:r>
        <w:rPr>
          <w:rFonts w:ascii="宋体" w:hAnsi="宋体" w:cs="宋体" w:eastAsia="宋体" w:hint="default"/>
          <w:sz w:val="14"/>
          <w:szCs w:val="14"/>
        </w:rPr>
        <w:t>股东投入股本</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2．股份支付计入股东权益的金额</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3．其他</w:t>
        <w:tab/>
      </w:r>
      <w:r>
        <w:rPr>
          <w:rFonts w:ascii="宋体" w:hAnsi="宋体" w:cs="宋体" w:eastAsia="宋体" w:hint="default"/>
          <w:sz w:val="14"/>
          <w:szCs w:val="14"/>
        </w:rPr>
        <w:t>-</w:t>
        <w:tab/>
        <w:t>-</w:t>
        <w:tab/>
        <w:t>-</w:t>
        <w:tab/>
        <w:t>-</w:t>
        <w:tab/>
        <w:t>-</w:t>
        <w:tab/>
        <w:t>-</w:t>
        <w:tab/>
        <w:t>-</w:t>
        <w:tab/>
        <w:t>-</w:t>
      </w:r>
    </w:p>
    <w:p>
      <w:pPr>
        <w:tabs>
          <w:tab w:pos="5349" w:val="left" w:leader="none"/>
          <w:tab w:pos="6659" w:val="left" w:leader="none"/>
          <w:tab w:pos="7758" w:val="left" w:leader="none"/>
          <w:tab w:pos="8845" w:val="left" w:leader="none"/>
          <w:tab w:pos="9480" w:val="left" w:leader="none"/>
          <w:tab w:pos="10730" w:val="left" w:leader="none"/>
          <w:tab w:pos="12250" w:val="left" w:leader="none"/>
          <w:tab w:pos="12965" w:val="left" w:leader="none"/>
        </w:tabs>
        <w:spacing w:before="71"/>
        <w:ind w:left="0" w:right="14" w:firstLine="0"/>
        <w:jc w:val="center"/>
        <w:rPr>
          <w:rFonts w:ascii="宋体" w:hAnsi="宋体" w:cs="宋体" w:eastAsia="宋体" w:hint="default"/>
          <w:sz w:val="14"/>
          <w:szCs w:val="14"/>
        </w:rPr>
      </w:pPr>
      <w:r>
        <w:rPr>
          <w:rFonts w:ascii="宋体" w:hAnsi="宋体" w:cs="宋体" w:eastAsia="宋体" w:hint="default"/>
          <w:sz w:val="14"/>
          <w:szCs w:val="14"/>
        </w:rPr>
        <w:t>（四）利润分配</w:t>
        <w:tab/>
      </w:r>
      <w:r>
        <w:rPr>
          <w:rFonts w:ascii="宋体" w:hAnsi="宋体" w:cs="宋体" w:eastAsia="宋体" w:hint="default"/>
          <w:sz w:val="14"/>
          <w:szCs w:val="14"/>
        </w:rPr>
        <w:t>-</w:t>
        <w:tab/>
        <w:t>-</w:t>
        <w:tab/>
        <w:t>-</w:t>
        <w:tab/>
        <w:t>-</w:t>
        <w:tab/>
        <w:t>3,775,384.72</w:t>
        <w:tab/>
        <w:t>(16,475,384.72)</w:t>
        <w:tab/>
        <w:t>-</w:t>
        <w:tab/>
        <w:t>(12,700,000.00)</w:t>
      </w:r>
    </w:p>
    <w:p>
      <w:pPr>
        <w:tabs>
          <w:tab w:pos="5119" w:val="left" w:leader="none"/>
          <w:tab w:pos="6429" w:val="left" w:leader="none"/>
          <w:tab w:pos="7528" w:val="left" w:leader="none"/>
          <w:tab w:pos="8615" w:val="left" w:leader="none"/>
          <w:tab w:pos="9250" w:val="left" w:leader="none"/>
          <w:tab w:pos="10571"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1．提取盈余公积</w:t>
        <w:tab/>
      </w:r>
      <w:r>
        <w:rPr>
          <w:rFonts w:ascii="宋体" w:hAnsi="宋体" w:cs="宋体" w:eastAsia="宋体" w:hint="default"/>
          <w:sz w:val="14"/>
          <w:szCs w:val="14"/>
        </w:rPr>
        <w:t>-</w:t>
        <w:tab/>
        <w:t>-</w:t>
        <w:tab/>
        <w:t>-</w:t>
        <w:tab/>
        <w:t>-</w:t>
        <w:tab/>
        <w:t>3,775,384.72</w:t>
        <w:tab/>
        <w:t>(3,775,384.72)</w:t>
        <w:tab/>
        <w:t>-</w:t>
        <w:tab/>
        <w:t>-</w:t>
      </w:r>
    </w:p>
    <w:p>
      <w:pPr>
        <w:tabs>
          <w:tab w:pos="5484" w:val="left" w:leader="none"/>
          <w:tab w:pos="6794" w:val="left" w:leader="none"/>
          <w:tab w:pos="7893" w:val="left" w:leader="none"/>
          <w:tab w:pos="8980" w:val="left" w:leader="none"/>
          <w:tab w:pos="10255" w:val="left" w:leader="none"/>
          <w:tab w:pos="10865" w:val="left" w:leader="none"/>
          <w:tab w:pos="12385" w:val="left" w:leader="none"/>
          <w:tab w:pos="13100" w:val="left" w:leader="none"/>
        </w:tabs>
        <w:spacing w:before="71"/>
        <w:ind w:left="418" w:right="0" w:firstLine="0"/>
        <w:jc w:val="left"/>
        <w:rPr>
          <w:rFonts w:ascii="宋体" w:hAnsi="宋体" w:cs="宋体" w:eastAsia="宋体" w:hint="default"/>
          <w:sz w:val="14"/>
          <w:szCs w:val="14"/>
        </w:rPr>
      </w:pPr>
      <w:r>
        <w:rPr>
          <w:rFonts w:ascii="宋体" w:hAnsi="宋体" w:cs="宋体" w:eastAsia="宋体" w:hint="default"/>
          <w:sz w:val="14"/>
          <w:szCs w:val="14"/>
        </w:rPr>
        <w:t>2．对股东的分配</w:t>
        <w:tab/>
      </w:r>
      <w:r>
        <w:rPr>
          <w:rFonts w:ascii="宋体" w:hAnsi="宋体" w:cs="宋体" w:eastAsia="宋体" w:hint="default"/>
          <w:sz w:val="14"/>
          <w:szCs w:val="14"/>
        </w:rPr>
        <w:t>-</w:t>
        <w:tab/>
        <w:t>-</w:t>
        <w:tab/>
        <w:t>-</w:t>
        <w:tab/>
        <w:t>-</w:t>
        <w:tab/>
        <w:t>-</w:t>
        <w:tab/>
        <w:t>(12,700,000.00)</w:t>
        <w:tab/>
        <w:t>-</w:t>
        <w:tab/>
        <w:t>(12,700,000.00)</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3．其他</w:t>
        <w:tab/>
      </w:r>
      <w:r>
        <w:rPr>
          <w:rFonts w:ascii="宋体" w:hAnsi="宋体" w:cs="宋体" w:eastAsia="宋体" w:hint="default"/>
          <w:sz w:val="14"/>
          <w:szCs w:val="14"/>
        </w:rPr>
        <w:t>-</w:t>
        <w:tab/>
        <w:t>-</w:t>
        <w:tab/>
        <w:t>-</w:t>
        <w:tab/>
        <w:t>-</w:t>
        <w:tab/>
        <w:t>-</w:t>
        <w:tab/>
        <w:t>-</w:t>
        <w:tab/>
        <w:t>-</w:t>
        <w:tab/>
        <w:t>-</w:t>
      </w:r>
    </w:p>
    <w:p>
      <w:pPr>
        <w:tabs>
          <w:tab w:pos="4773" w:val="left" w:leader="none"/>
          <w:tab w:pos="6012" w:val="left" w:leader="none"/>
          <w:tab w:pos="7893" w:val="left" w:leader="none"/>
          <w:tab w:pos="8980" w:val="left" w:leader="none"/>
          <w:tab w:pos="10255" w:val="left" w:leader="none"/>
          <w:tab w:pos="11648" w:val="left" w:leader="none"/>
          <w:tab w:pos="12385" w:val="left" w:leader="none"/>
          <w:tab w:pos="13883" w:val="left" w:leader="none"/>
        </w:tabs>
        <w:spacing w:before="71"/>
        <w:ind w:left="134" w:right="0" w:firstLine="0"/>
        <w:jc w:val="left"/>
        <w:rPr>
          <w:rFonts w:ascii="宋体" w:hAnsi="宋体" w:cs="宋体" w:eastAsia="宋体" w:hint="default"/>
          <w:sz w:val="14"/>
          <w:szCs w:val="14"/>
        </w:rPr>
      </w:pPr>
      <w:r>
        <w:rPr>
          <w:rFonts w:ascii="宋体" w:hAnsi="宋体" w:cs="宋体" w:eastAsia="宋体" w:hint="default"/>
          <w:sz w:val="14"/>
          <w:szCs w:val="14"/>
        </w:rPr>
        <w:t>（五）股东权益内部结转</w:t>
        <w:tab/>
      </w:r>
      <w:r>
        <w:rPr>
          <w:rFonts w:ascii="宋体" w:hAnsi="宋体" w:cs="宋体" w:eastAsia="宋体" w:hint="default"/>
          <w:sz w:val="14"/>
          <w:szCs w:val="14"/>
        </w:rPr>
        <w:t>50,800,000.00</w:t>
        <w:tab/>
        <w:t>(50,800,000.00)</w:t>
        <w:tab/>
        <w:t>-</w:t>
        <w:tab/>
        <w:t>-</w:t>
        <w:tab/>
        <w:t>-</w:t>
        <w:tab/>
        <w:t>-</w:t>
        <w:tab/>
        <w:t>-</w:t>
        <w:tab/>
        <w:t>-</w:t>
      </w:r>
    </w:p>
    <w:p>
      <w:pPr>
        <w:tabs>
          <w:tab w:pos="4408" w:val="left" w:leader="none"/>
          <w:tab w:pos="5647" w:val="left" w:leader="none"/>
          <w:tab w:pos="7528" w:val="left" w:leader="none"/>
          <w:tab w:pos="8615" w:val="left" w:leader="none"/>
          <w:tab w:pos="9890" w:val="left" w:leader="none"/>
          <w:tab w:pos="11282" w:val="left" w:leader="none"/>
          <w:tab w:pos="12020" w:val="left" w:leader="none"/>
          <w:tab w:pos="13517" w:val="left" w:leader="none"/>
        </w:tabs>
        <w:spacing w:before="71"/>
        <w:ind w:left="53" w:right="0" w:firstLine="0"/>
        <w:jc w:val="center"/>
        <w:rPr>
          <w:rFonts w:ascii="宋体" w:hAnsi="宋体" w:cs="宋体" w:eastAsia="宋体" w:hint="default"/>
          <w:sz w:val="14"/>
          <w:szCs w:val="14"/>
        </w:rPr>
      </w:pPr>
      <w:r>
        <w:rPr>
          <w:rFonts w:ascii="宋体" w:hAnsi="宋体" w:cs="宋体" w:eastAsia="宋体" w:hint="default"/>
          <w:sz w:val="14"/>
          <w:szCs w:val="14"/>
        </w:rPr>
        <w:t>1．资本公积转增股本</w:t>
        <w:tab/>
      </w:r>
      <w:r>
        <w:rPr>
          <w:rFonts w:ascii="宋体" w:hAnsi="宋体" w:cs="宋体" w:eastAsia="宋体" w:hint="default"/>
          <w:sz w:val="14"/>
          <w:szCs w:val="14"/>
        </w:rPr>
        <w:t>50,800,000.00</w:t>
        <w:tab/>
        <w:t>(50,800,000.00)</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63"/>
        <w:ind w:left="53" w:right="0" w:firstLine="0"/>
        <w:jc w:val="center"/>
        <w:rPr>
          <w:rFonts w:ascii="宋体" w:hAnsi="宋体" w:cs="宋体" w:eastAsia="宋体" w:hint="default"/>
          <w:sz w:val="14"/>
          <w:szCs w:val="14"/>
        </w:rPr>
      </w:pPr>
      <w:r>
        <w:rPr>
          <w:rFonts w:ascii="宋体" w:hAnsi="宋体" w:cs="宋体" w:eastAsia="宋体" w:hint="default"/>
          <w:sz w:val="14"/>
          <w:szCs w:val="14"/>
        </w:rPr>
        <w:t>2．盈余公积转增股本</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56"/>
        <w:ind w:left="53" w:right="0" w:firstLine="0"/>
        <w:jc w:val="center"/>
        <w:rPr>
          <w:rFonts w:ascii="宋体" w:hAnsi="宋体" w:cs="宋体" w:eastAsia="宋体" w:hint="default"/>
          <w:sz w:val="14"/>
          <w:szCs w:val="14"/>
        </w:rPr>
      </w:pPr>
      <w:r>
        <w:rPr>
          <w:rFonts w:ascii="宋体" w:hAnsi="宋体" w:cs="宋体" w:eastAsia="宋体" w:hint="default"/>
          <w:sz w:val="14"/>
          <w:szCs w:val="14"/>
        </w:rPr>
        <w:t>3．盈余公积弥补亏损</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56"/>
        <w:ind w:left="53" w:right="0" w:firstLine="0"/>
        <w:jc w:val="center"/>
        <w:rPr>
          <w:rFonts w:ascii="宋体" w:hAnsi="宋体" w:cs="宋体" w:eastAsia="宋体" w:hint="default"/>
          <w:sz w:val="14"/>
          <w:szCs w:val="14"/>
        </w:rPr>
      </w:pPr>
      <w:r>
        <w:rPr>
          <w:rFonts w:ascii="宋体" w:hAnsi="宋体" w:cs="宋体" w:eastAsia="宋体" w:hint="default"/>
          <w:sz w:val="14"/>
          <w:szCs w:val="14"/>
        </w:rPr>
        <w:t>4．其他</w:t>
        <w:tab/>
      </w:r>
      <w:r>
        <w:rPr>
          <w:rFonts w:ascii="宋体" w:hAnsi="宋体" w:cs="宋体" w:eastAsia="宋体" w:hint="default"/>
          <w:sz w:val="14"/>
          <w:szCs w:val="14"/>
        </w:rPr>
        <w:t>-</w:t>
        <w:tab/>
        <w:t>-</w:t>
        <w:tab/>
        <w:t>-</w:t>
        <w:tab/>
        <w:t>-</w:t>
        <w:tab/>
        <w:t>-</w:t>
        <w:tab/>
        <w:t>-</w:t>
        <w:tab/>
        <w:t>-</w:t>
        <w:tab/>
        <w:t>-</w:t>
      </w:r>
    </w:p>
    <w:p>
      <w:pPr>
        <w:tabs>
          <w:tab w:pos="5484" w:val="left" w:leader="none"/>
          <w:tab w:pos="6794" w:val="left" w:leader="none"/>
          <w:tab w:pos="7893" w:val="left" w:leader="none"/>
          <w:tab w:pos="8980" w:val="left" w:leader="none"/>
          <w:tab w:pos="10255" w:val="left" w:leader="none"/>
          <w:tab w:pos="11648" w:val="left" w:leader="none"/>
          <w:tab w:pos="12385" w:val="left" w:leader="none"/>
          <w:tab w:pos="13883" w:val="left" w:leader="none"/>
        </w:tabs>
        <w:spacing w:before="56"/>
        <w:ind w:left="134" w:right="0" w:firstLine="0"/>
        <w:jc w:val="left"/>
        <w:rPr>
          <w:rFonts w:ascii="宋体" w:hAnsi="宋体" w:cs="宋体" w:eastAsia="宋体" w:hint="default"/>
          <w:sz w:val="14"/>
          <w:szCs w:val="14"/>
        </w:rPr>
      </w:pPr>
      <w:r>
        <w:rPr>
          <w:rFonts w:ascii="宋体" w:hAnsi="宋体" w:cs="宋体" w:eastAsia="宋体" w:hint="default"/>
          <w:sz w:val="14"/>
          <w:szCs w:val="14"/>
        </w:rPr>
        <w:t>（六）专项储备</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56"/>
        <w:ind w:left="53" w:right="0" w:firstLine="0"/>
        <w:jc w:val="center"/>
        <w:rPr>
          <w:rFonts w:ascii="宋体" w:hAnsi="宋体" w:cs="宋体" w:eastAsia="宋体" w:hint="default"/>
          <w:sz w:val="14"/>
          <w:szCs w:val="14"/>
        </w:rPr>
      </w:pPr>
      <w:r>
        <w:rPr>
          <w:rFonts w:ascii="宋体" w:hAnsi="宋体" w:cs="宋体" w:eastAsia="宋体" w:hint="default"/>
          <w:sz w:val="14"/>
          <w:szCs w:val="14"/>
        </w:rPr>
        <w:t>1．提取专项储备</w:t>
        <w:tab/>
      </w:r>
      <w:r>
        <w:rPr>
          <w:rFonts w:ascii="宋体" w:hAnsi="宋体" w:cs="宋体" w:eastAsia="宋体" w:hint="default"/>
          <w:sz w:val="14"/>
          <w:szCs w:val="14"/>
        </w:rPr>
        <w:t>-</w:t>
        <w:tab/>
        <w:t>-</w:t>
        <w:tab/>
        <w:t>-</w:t>
        <w:tab/>
        <w:t>-</w:t>
        <w:tab/>
        <w:t>-</w:t>
        <w:tab/>
        <w:t>-</w:t>
        <w:tab/>
        <w:t>-</w:t>
        <w:tab/>
        <w:t>-</w:t>
      </w:r>
    </w:p>
    <w:p>
      <w:pPr>
        <w:tabs>
          <w:tab w:pos="5119" w:val="left" w:leader="none"/>
          <w:tab w:pos="6429" w:val="left" w:leader="none"/>
          <w:tab w:pos="7528" w:val="left" w:leader="none"/>
          <w:tab w:pos="8615" w:val="left" w:leader="none"/>
          <w:tab w:pos="9890" w:val="left" w:leader="none"/>
          <w:tab w:pos="11282" w:val="left" w:leader="none"/>
          <w:tab w:pos="12020" w:val="left" w:leader="none"/>
          <w:tab w:pos="13517" w:val="left" w:leader="none"/>
        </w:tabs>
        <w:spacing w:before="56"/>
        <w:ind w:left="53" w:right="0" w:firstLine="0"/>
        <w:jc w:val="center"/>
        <w:rPr>
          <w:rFonts w:ascii="宋体" w:hAnsi="宋体" w:cs="宋体" w:eastAsia="宋体" w:hint="default"/>
          <w:sz w:val="14"/>
          <w:szCs w:val="14"/>
        </w:rPr>
      </w:pPr>
      <w:r>
        <w:rPr>
          <w:rFonts w:ascii="宋体" w:hAnsi="宋体" w:cs="宋体" w:eastAsia="宋体" w:hint="default"/>
          <w:sz w:val="14"/>
          <w:szCs w:val="14"/>
        </w:rPr>
        <w:t>2．使用专项储备</w:t>
        <w:tab/>
      </w:r>
      <w:r>
        <w:rPr>
          <w:rFonts w:ascii="宋体" w:hAnsi="宋体" w:cs="宋体" w:eastAsia="宋体" w:hint="default"/>
          <w:sz w:val="14"/>
          <w:szCs w:val="14"/>
        </w:rPr>
        <w:t>-</w:t>
        <w:tab/>
        <w:t>-</w:t>
        <w:tab/>
        <w:t>-</w:t>
        <w:tab/>
        <w:t>-</w:t>
        <w:tab/>
        <w:t>-</w:t>
        <w:tab/>
        <w:t>-</w:t>
        <w:tab/>
        <w:t>-</w:t>
        <w:tab/>
        <w:t>-</w:t>
      </w:r>
    </w:p>
    <w:p>
      <w:pPr>
        <w:tabs>
          <w:tab w:pos="4702" w:val="left" w:leader="none"/>
          <w:tab w:pos="5484" w:val="left" w:leader="none"/>
          <w:tab w:pos="6012" w:val="left" w:leader="none"/>
          <w:tab w:pos="6794" w:val="left" w:leader="none"/>
          <w:tab w:pos="7893" w:val="left" w:leader="none"/>
          <w:tab w:pos="8980" w:val="left" w:leader="none"/>
          <w:tab w:pos="9544" w:val="left" w:leader="none"/>
          <w:tab w:pos="10255" w:val="left" w:leader="none"/>
          <w:tab w:pos="10936" w:val="left" w:leader="none"/>
          <w:tab w:pos="11648" w:val="left" w:leader="none"/>
          <w:tab w:pos="12385" w:val="left" w:leader="none"/>
          <w:tab w:pos="13100" w:val="left" w:leader="none"/>
          <w:tab w:pos="13883" w:val="left" w:leader="none"/>
        </w:tabs>
        <w:spacing w:line="312" w:lineRule="auto" w:before="56"/>
        <w:ind w:left="134" w:right="220" w:firstLine="284"/>
        <w:jc w:val="left"/>
        <w:rPr>
          <w:rFonts w:ascii="宋体" w:hAnsi="宋体" w:cs="宋体" w:eastAsia="宋体" w:hint="default"/>
          <w:sz w:val="14"/>
          <w:szCs w:val="14"/>
        </w:rPr>
      </w:pPr>
      <w:r>
        <w:rPr/>
        <w:pict>
          <v:group style="position:absolute;margin-left:289.079468pt;margin-top:13.582753pt;width:68.150pt;height:.8pt;mso-position-horizontal-relative:page;mso-position-vertical-relative:paragraph;z-index:-647728" coordorigin="5782,272" coordsize="1363,16">
            <v:group style="position:absolute;left:5790;top:273;width:1347;height:2" coordorigin="5790,273" coordsize="1347,2">
              <v:shape style="position:absolute;left:5790;top:273;width:1347;height:2" coordorigin="5790,273" coordsize="1347,0" path="m5790,273l7136,273e" filled="false" stroked="true" strokeweight=".108948pt" strokecolor="#000000">
                <v:path arrowok="t"/>
              </v:shape>
            </v:group>
            <v:group style="position:absolute;left:5789;top:279;width:1348;height:2" coordorigin="5789,279" coordsize="1348,2">
              <v:shape style="position:absolute;left:5789;top:279;width:1348;height:2" coordorigin="5789,279" coordsize="1348,0" path="m5789,279l7137,279e" filled="false" stroked="true" strokeweight=".747065pt" strokecolor="#000000">
                <v:path arrowok="t"/>
              </v:shape>
            </v:group>
            <w10:wrap type="none"/>
          </v:group>
        </w:pict>
      </w:r>
      <w:r>
        <w:rPr/>
        <w:pict>
          <v:group style="position:absolute;margin-left:361.062927pt;margin-top:13.582753pt;width:61.7pt;height:.8pt;mso-position-horizontal-relative:page;mso-position-vertical-relative:paragraph;z-index:-647704" coordorigin="7221,272" coordsize="1234,16">
            <v:group style="position:absolute;left:7230;top:273;width:1217;height:2" coordorigin="7230,273" coordsize="1217,2">
              <v:shape style="position:absolute;left:7230;top:273;width:1217;height:2" coordorigin="7230,273" coordsize="1217,0" path="m7230,273l8446,273e" filled="false" stroked="true" strokeweight=".108948pt" strokecolor="#000000">
                <v:path arrowok="t"/>
              </v:shape>
            </v:group>
            <v:group style="position:absolute;left:7229;top:279;width:1219;height:2" coordorigin="7229,279" coordsize="1219,2">
              <v:shape style="position:absolute;left:7229;top:279;width:1219;height:2" coordorigin="7229,279" coordsize="1219,0" path="m7229,279l8447,279e" filled="false" stroked="true" strokeweight=".747065pt" strokecolor="#000000">
                <v:path arrowok="t"/>
              </v:shape>
            </v:group>
            <w10:wrap type="none"/>
          </v:group>
        </w:pict>
      </w:r>
      <w:r>
        <w:rPr/>
        <w:pict>
          <v:group style="position:absolute;margin-left:427.127686pt;margin-top:13.582753pt;width:50.55pt;height:.8pt;mso-position-horizontal-relative:page;mso-position-vertical-relative:paragraph;z-index:-647680" coordorigin="8543,272" coordsize="1011,16">
            <v:group style="position:absolute;left:8551;top:273;width:995;height:2" coordorigin="8551,273" coordsize="995,2">
              <v:shape style="position:absolute;left:8551;top:273;width:995;height:2" coordorigin="8551,273" coordsize="995,0" path="m8551,273l9545,273e" filled="false" stroked="true" strokeweight=".108948pt" strokecolor="#000000">
                <v:path arrowok="t"/>
              </v:shape>
            </v:group>
            <v:group style="position:absolute;left:8550;top:279;width:997;height:2" coordorigin="8550,279" coordsize="997,2">
              <v:shape style="position:absolute;left:8550;top:279;width:997;height:2" coordorigin="8550,279" coordsize="997,0" path="m8550,279l9546,279e" filled="false" stroked="true" strokeweight=".747065pt" strokecolor="#000000">
                <v:path arrowok="t"/>
              </v:shape>
            </v:group>
            <w10:wrap type="none"/>
          </v:group>
        </w:pict>
      </w:r>
      <w:r>
        <w:rPr/>
        <w:pict>
          <v:group style="position:absolute;margin-left:481.511017pt;margin-top:13.582753pt;width:50.55pt;height:.8pt;mso-position-horizontal-relative:page;mso-position-vertical-relative:paragraph;z-index:-647656" coordorigin="9630,272" coordsize="1011,16">
            <v:group style="position:absolute;left:9639;top:273;width:994;height:2" coordorigin="9639,273" coordsize="994,2">
              <v:shape style="position:absolute;left:9639;top:273;width:994;height:2" coordorigin="9639,273" coordsize="994,0" path="m9639,273l10632,273e" filled="false" stroked="true" strokeweight=".108948pt" strokecolor="#000000">
                <v:path arrowok="t"/>
              </v:shape>
            </v:group>
            <v:group style="position:absolute;left:9638;top:279;width:996;height:2" coordorigin="9638,279" coordsize="996,2">
              <v:shape style="position:absolute;left:9638;top:279;width:996;height:2" coordorigin="9638,279" coordsize="996,0" path="m9638,279l10633,279e" filled="false" stroked="true" strokeweight=".747065pt" strokecolor="#000000">
                <v:path arrowok="t"/>
              </v:shape>
            </v:group>
            <w10:wrap type="none"/>
          </v:group>
        </w:pict>
      </w:r>
      <w:r>
        <w:rPr/>
        <w:pict>
          <v:group style="position:absolute;margin-left:535.878784pt;margin-top:13.582753pt;width:59.95pt;height:.8pt;mso-position-horizontal-relative:page;mso-position-vertical-relative:paragraph;z-index:-647632" coordorigin="10718,272" coordsize="1199,16">
            <v:group style="position:absolute;left:10726;top:273;width:1182;height:2" coordorigin="10726,273" coordsize="1182,2">
              <v:shape style="position:absolute;left:10726;top:273;width:1182;height:2" coordorigin="10726,273" coordsize="1182,0" path="m10726,273l11907,273e" filled="false" stroked="true" strokeweight=".108948pt" strokecolor="#000000">
                <v:path arrowok="t"/>
              </v:shape>
            </v:group>
            <v:group style="position:absolute;left:10725;top:279;width:1184;height:2" coordorigin="10725,279" coordsize="1184,2">
              <v:shape style="position:absolute;left:10725;top:279;width:1184;height:2" coordorigin="10725,279" coordsize="1184,0" path="m10725,279l11908,279e" filled="false" stroked="true" strokeweight=".747065pt" strokecolor="#000000">
                <v:path arrowok="t"/>
              </v:shape>
            </v:group>
            <w10:wrap type="none"/>
          </v:group>
        </w:pict>
      </w:r>
      <w:r>
        <w:rPr/>
        <w:pict>
          <v:group style="position:absolute;margin-left:599.627502pt;margin-top:13.582753pt;width:65.8pt;height:.8pt;mso-position-horizontal-relative:page;mso-position-vertical-relative:paragraph;z-index:-647608" coordorigin="11993,272" coordsize="1316,16">
            <v:group style="position:absolute;left:12001;top:273;width:1299;height:2" coordorigin="12001,273" coordsize="1299,2">
              <v:shape style="position:absolute;left:12001;top:273;width:1299;height:2" coordorigin="12001,273" coordsize="1299,0" path="m12001,273l13300,273e" filled="false" stroked="true" strokeweight=".108948pt" strokecolor="#000000">
                <v:path arrowok="t"/>
              </v:shape>
            </v:group>
            <v:group style="position:absolute;left:12000;top:279;width:1301;height:2" coordorigin="12000,279" coordsize="1301,2">
              <v:shape style="position:absolute;left:12000;top:279;width:1301;height:2" coordorigin="12000,279" coordsize="1301,0" path="m12000,279l13301,279e" filled="false" stroked="true" strokeweight=".747065pt" strokecolor="#000000">
                <v:path arrowok="t"/>
              </v:shape>
            </v:group>
            <w10:wrap type="none"/>
          </v:group>
        </w:pict>
      </w:r>
      <w:r>
        <w:rPr/>
        <w:pict>
          <v:group style="position:absolute;margin-left:669.248169pt;margin-top:13.582753pt;width:33.050pt;height:.8pt;mso-position-horizontal-relative:page;mso-position-vertical-relative:paragraph;z-index:-647584" coordorigin="13385,272" coordsize="661,16">
            <v:group style="position:absolute;left:13393;top:273;width:644;height:2" coordorigin="13393,273" coordsize="644,2">
              <v:shape style="position:absolute;left:13393;top:273;width:644;height:2" coordorigin="13393,273" coordsize="644,0" path="m13393,273l14037,273e" filled="false" stroked="true" strokeweight=".108948pt" strokecolor="#000000">
                <v:path arrowok="t"/>
              </v:shape>
            </v:group>
            <v:group style="position:absolute;left:13392;top:279;width:646;height:2" coordorigin="13392,279" coordsize="646,2">
              <v:shape style="position:absolute;left:13392;top:279;width:646;height:2" coordorigin="13392,279" coordsize="646,0" path="m13392,279l14038,279e" filled="false" stroked="true" strokeweight=".747065pt" strokecolor="#000000">
                <v:path arrowok="t"/>
              </v:shape>
            </v:group>
            <w10:wrap type="none"/>
          </v:group>
        </w:pict>
      </w:r>
      <w:r>
        <w:rPr/>
        <w:pict>
          <v:group style="position:absolute;margin-left:289.079468pt;margin-top:24.815311pt;width:68.150pt;height:2.25pt;mso-position-horizontal-relative:page;mso-position-vertical-relative:paragraph;z-index:-647560" coordorigin="5782,496" coordsize="1363,45">
            <v:group style="position:absolute;left:5789;top:504;width:1348;height:2" coordorigin="5789,504" coordsize="1348,2">
              <v:shape style="position:absolute;left:5789;top:504;width:1348;height:2" coordorigin="5789,504" coordsize="1348,0" path="m5789,504l7137,504e" filled="false" stroked="true" strokeweight=".747065pt" strokecolor="#000000">
                <v:path arrowok="t"/>
              </v:shape>
            </v:group>
            <v:group style="position:absolute;left:5789;top:534;width:1348;height:2" coordorigin="5789,534" coordsize="1348,2">
              <v:shape style="position:absolute;left:5789;top:534;width:1348;height:2" coordorigin="5789,534" coordsize="1348,0" path="m5789,534l7137,534e" filled="false" stroked="true" strokeweight=".747065pt" strokecolor="#000000">
                <v:path arrowok="t"/>
              </v:shape>
            </v:group>
            <w10:wrap type="none"/>
          </v:group>
        </w:pict>
      </w:r>
      <w:r>
        <w:rPr/>
        <w:pict>
          <v:group style="position:absolute;margin-left:361.062927pt;margin-top:24.815311pt;width:61.7pt;height:2.25pt;mso-position-horizontal-relative:page;mso-position-vertical-relative:paragraph;z-index:-647536" coordorigin="7221,496" coordsize="1234,45">
            <v:group style="position:absolute;left:7229;top:504;width:1219;height:2" coordorigin="7229,504" coordsize="1219,2">
              <v:shape style="position:absolute;left:7229;top:504;width:1219;height:2" coordorigin="7229,504" coordsize="1219,0" path="m7229,504l8447,504e" filled="false" stroked="true" strokeweight=".747065pt" strokecolor="#000000">
                <v:path arrowok="t"/>
              </v:shape>
            </v:group>
            <v:group style="position:absolute;left:7229;top:534;width:1219;height:2" coordorigin="7229,534" coordsize="1219,2">
              <v:shape style="position:absolute;left:7229;top:534;width:1219;height:2" coordorigin="7229,534" coordsize="1219,0" path="m7229,534l8447,534e" filled="false" stroked="true" strokeweight=".747065pt" strokecolor="#000000">
                <v:path arrowok="t"/>
              </v:shape>
            </v:group>
            <w10:wrap type="none"/>
          </v:group>
        </w:pict>
      </w:r>
      <w:r>
        <w:rPr/>
        <w:pict>
          <v:group style="position:absolute;margin-left:427.127686pt;margin-top:24.815311pt;width:50.55pt;height:2.25pt;mso-position-horizontal-relative:page;mso-position-vertical-relative:paragraph;z-index:-647512" coordorigin="8543,496" coordsize="1011,45">
            <v:group style="position:absolute;left:8550;top:504;width:997;height:2" coordorigin="8550,504" coordsize="997,2">
              <v:shape style="position:absolute;left:8550;top:504;width:997;height:2" coordorigin="8550,504" coordsize="997,0" path="m8550,504l9546,504e" filled="false" stroked="true" strokeweight=".747065pt" strokecolor="#000000">
                <v:path arrowok="t"/>
              </v:shape>
            </v:group>
            <v:group style="position:absolute;left:8550;top:534;width:997;height:2" coordorigin="8550,534" coordsize="997,2">
              <v:shape style="position:absolute;left:8550;top:534;width:997;height:2" coordorigin="8550,534" coordsize="997,0" path="m8550,534l9546,534e" filled="false" stroked="true" strokeweight=".747065pt" strokecolor="#000000">
                <v:path arrowok="t"/>
              </v:shape>
            </v:group>
            <w10:wrap type="none"/>
          </v:group>
        </w:pict>
      </w:r>
      <w:r>
        <w:rPr/>
        <w:pict>
          <v:group style="position:absolute;margin-left:481.511017pt;margin-top:24.815311pt;width:50.55pt;height:2.25pt;mso-position-horizontal-relative:page;mso-position-vertical-relative:paragraph;z-index:-647488" coordorigin="9630,496" coordsize="1011,45">
            <v:group style="position:absolute;left:9638;top:504;width:996;height:2" coordorigin="9638,504" coordsize="996,2">
              <v:shape style="position:absolute;left:9638;top:504;width:996;height:2" coordorigin="9638,504" coordsize="996,0" path="m9638,504l10633,504e" filled="false" stroked="true" strokeweight=".747065pt" strokecolor="#000000">
                <v:path arrowok="t"/>
              </v:shape>
            </v:group>
            <v:group style="position:absolute;left:9638;top:534;width:996;height:2" coordorigin="9638,534" coordsize="996,2">
              <v:shape style="position:absolute;left:9638;top:534;width:996;height:2" coordorigin="9638,534" coordsize="996,0" path="m9638,534l10633,534e" filled="false" stroked="true" strokeweight=".747065pt" strokecolor="#000000">
                <v:path arrowok="t"/>
              </v:shape>
            </v:group>
            <w10:wrap type="none"/>
          </v:group>
        </w:pict>
      </w:r>
      <w:r>
        <w:rPr/>
        <w:pict>
          <v:group style="position:absolute;margin-left:535.878784pt;margin-top:24.815311pt;width:59.95pt;height:2.25pt;mso-position-horizontal-relative:page;mso-position-vertical-relative:paragraph;z-index:-647464" coordorigin="10718,496" coordsize="1199,45">
            <v:group style="position:absolute;left:10725;top:504;width:1184;height:2" coordorigin="10725,504" coordsize="1184,2">
              <v:shape style="position:absolute;left:10725;top:504;width:1184;height:2" coordorigin="10725,504" coordsize="1184,0" path="m10725,504l11908,504e" filled="false" stroked="true" strokeweight=".747065pt" strokecolor="#000000">
                <v:path arrowok="t"/>
              </v:shape>
            </v:group>
            <v:group style="position:absolute;left:10725;top:534;width:1184;height:2" coordorigin="10725,534" coordsize="1184,2">
              <v:shape style="position:absolute;left:10725;top:534;width:1184;height:2" coordorigin="10725,534" coordsize="1184,0" path="m10725,534l11908,534e" filled="false" stroked="true" strokeweight=".747065pt" strokecolor="#000000">
                <v:path arrowok="t"/>
              </v:shape>
            </v:group>
            <w10:wrap type="none"/>
          </v:group>
        </w:pict>
      </w:r>
      <w:r>
        <w:rPr/>
        <w:pict>
          <v:group style="position:absolute;margin-left:599.627502pt;margin-top:24.815311pt;width:65.8pt;height:2.25pt;mso-position-horizontal-relative:page;mso-position-vertical-relative:paragraph;z-index:-647440" coordorigin="11993,496" coordsize="1316,45">
            <v:group style="position:absolute;left:12000;top:504;width:1301;height:2" coordorigin="12000,504" coordsize="1301,2">
              <v:shape style="position:absolute;left:12000;top:504;width:1301;height:2" coordorigin="12000,504" coordsize="1301,0" path="m12000,504l13301,504e" filled="false" stroked="true" strokeweight=".747065pt" strokecolor="#000000">
                <v:path arrowok="t"/>
              </v:shape>
            </v:group>
            <v:group style="position:absolute;left:12000;top:534;width:1301;height:2" coordorigin="12000,534" coordsize="1301,2">
              <v:shape style="position:absolute;left:12000;top:534;width:1301;height:2" coordorigin="12000,534" coordsize="1301,0" path="m12000,534l13301,534e" filled="false" stroked="true" strokeweight=".747065pt" strokecolor="#000000">
                <v:path arrowok="t"/>
              </v:shape>
            </v:group>
            <w10:wrap type="none"/>
          </v:group>
        </w:pict>
      </w:r>
      <w:r>
        <w:rPr/>
        <w:pict>
          <v:group style="position:absolute;margin-left:669.248169pt;margin-top:24.815311pt;width:33.050pt;height:2.25pt;mso-position-horizontal-relative:page;mso-position-vertical-relative:paragraph;z-index:-647416" coordorigin="13385,496" coordsize="661,45">
            <v:group style="position:absolute;left:13392;top:504;width:646;height:2" coordorigin="13392,504" coordsize="646,2">
              <v:shape style="position:absolute;left:13392;top:504;width:646;height:2" coordorigin="13392,504" coordsize="646,0" path="m13392,504l14038,504e" filled="false" stroked="true" strokeweight=".747065pt" strokecolor="#000000">
                <v:path arrowok="t"/>
              </v:shape>
            </v:group>
            <v:group style="position:absolute;left:13392;top:534;width:646;height:2" coordorigin="13392,534" coordsize="646,2">
              <v:shape style="position:absolute;left:13392;top:534;width:646;height:2" coordorigin="13392,534" coordsize="646,0" path="m13392,534l14038,534e" filled="false" stroked="true" strokeweight=".747065pt" strokecolor="#000000">
                <v:path arrowok="t"/>
              </v:shape>
            </v:group>
            <w10:wrap type="none"/>
          </v:group>
        </w:pict>
      </w:r>
      <w:r>
        <w:rPr/>
        <w:pict>
          <v:group style="position:absolute;margin-left:706.117188pt;margin-top:13.582753pt;width:71.05pt;height:.8pt;mso-position-horizontal-relative:page;mso-position-vertical-relative:paragraph;z-index:-647368" coordorigin="14122,272" coordsize="1421,16">
            <v:group style="position:absolute;left:14131;top:273;width:1404;height:2" coordorigin="14131,273" coordsize="1404,2">
              <v:shape style="position:absolute;left:14131;top:273;width:1404;height:2" coordorigin="14131,273" coordsize="1404,0" path="m14131,273l15535,273e" filled="false" stroked="true" strokeweight=".108948pt" strokecolor="#000000">
                <v:path arrowok="t"/>
              </v:shape>
            </v:group>
            <v:group style="position:absolute;left:14130;top:279;width:1406;height:2" coordorigin="14130,279" coordsize="1406,2">
              <v:shape style="position:absolute;left:14130;top:279;width:1406;height:2" coordorigin="14130,279" coordsize="1406,0" path="m14130,279l15536,279e" filled="false" stroked="true" strokeweight=".747065pt" strokecolor="#000000">
                <v:path arrowok="t"/>
              </v:shape>
            </v:group>
            <w10:wrap type="none"/>
          </v:group>
        </w:pict>
      </w:r>
      <w:r>
        <w:rPr/>
        <w:pict>
          <v:group style="position:absolute;margin-left:706.117188pt;margin-top:24.815311pt;width:71.05pt;height:2.25pt;mso-position-horizontal-relative:page;mso-position-vertical-relative:paragraph;z-index:-647344" coordorigin="14122,496" coordsize="1421,45">
            <v:group style="position:absolute;left:14130;top:504;width:1406;height:2" coordorigin="14130,504" coordsize="1406,2">
              <v:shape style="position:absolute;left:14130;top:504;width:1406;height:2" coordorigin="14130,504" coordsize="1406,0" path="m14130,504l15536,504e" filled="false" stroked="true" strokeweight=".747065pt" strokecolor="#000000">
                <v:path arrowok="t"/>
              </v:shape>
            </v:group>
            <v:group style="position:absolute;left:14130;top:534;width:1406;height:2" coordorigin="14130,534" coordsize="1406,2">
              <v:shape style="position:absolute;left:14130;top:534;width:1406;height:2" coordorigin="14130,534" coordsize="1406,0" path="m14130,534l15536,534e" filled="false" stroked="true" strokeweight=".747065pt" strokecolor="#000000">
                <v:path arrowok="t"/>
              </v:shape>
            </v:group>
            <w10:wrap type="none"/>
          </v:group>
        </w:pict>
      </w:r>
      <w:r>
        <w:rPr>
          <w:rFonts w:ascii="宋体" w:hAnsi="宋体" w:cs="宋体" w:eastAsia="宋体" w:hint="default"/>
          <w:sz w:val="14"/>
          <w:szCs w:val="14"/>
        </w:rPr>
        <w:t>3．其他</w:t>
        <w:tab/>
        <w:tab/>
      </w:r>
      <w:r>
        <w:rPr>
          <w:rFonts w:ascii="宋体" w:hAnsi="宋体" w:cs="宋体" w:eastAsia="宋体" w:hint="default"/>
          <w:sz w:val="14"/>
          <w:szCs w:val="14"/>
        </w:rPr>
        <w:t>-</w:t>
        <w:tab/>
        <w:tab/>
        <w:t>-</w:t>
        <w:tab/>
        <w:t>-</w:t>
        <w:tab/>
        <w:t>-</w:t>
        <w:tab/>
        <w:tab/>
        <w:t>-</w:t>
        <w:tab/>
        <w:tab/>
        <w:t>-</w:t>
        <w:tab/>
        <w:t>-</w:t>
        <w:tab/>
        <w:tab/>
        <w:t>-</w:t>
      </w:r>
      <w:r>
        <w:rPr>
          <w:rFonts w:ascii="宋体" w:hAnsi="宋体" w:cs="宋体" w:eastAsia="宋体" w:hint="default"/>
          <w:w w:val="100"/>
          <w:sz w:val="14"/>
          <w:szCs w:val="14"/>
        </w:rPr>
        <w:t> </w:t>
      </w:r>
      <w:r>
        <w:rPr>
          <w:rFonts w:ascii="宋体" w:hAnsi="宋体" w:cs="宋体" w:eastAsia="宋体" w:hint="default"/>
          <w:b/>
          <w:bCs/>
          <w:sz w:val="14"/>
          <w:szCs w:val="14"/>
        </w:rPr>
        <w:t>四、本年年末余额</w:t>
        <w:tab/>
      </w:r>
      <w:r>
        <w:rPr>
          <w:rFonts w:ascii="宋体" w:hAnsi="宋体" w:cs="宋体" w:eastAsia="宋体" w:hint="default"/>
          <w:sz w:val="14"/>
          <w:szCs w:val="14"/>
        </w:rPr>
        <w:t>114,300,000.00</w:t>
        <w:tab/>
        <w:t>641,920,393.65</w:t>
        <w:tab/>
        <w:t>-</w:t>
        <w:tab/>
        <w:t>-</w:t>
        <w:tab/>
        <w:t>10,796,086.08</w:t>
        <w:tab/>
        <w:t>74,679,854.46</w:t>
        <w:tab/>
        <w:t>-</w:t>
        <w:tab/>
        <w:t>841,696,334.19</w:t>
      </w:r>
    </w:p>
    <w:p>
      <w:pPr>
        <w:spacing w:line="240" w:lineRule="auto" w:before="1"/>
        <w:rPr>
          <w:rFonts w:ascii="宋体" w:hAnsi="宋体" w:cs="宋体" w:eastAsia="宋体" w:hint="default"/>
          <w:sz w:val="17"/>
          <w:szCs w:val="17"/>
        </w:rPr>
      </w:pPr>
    </w:p>
    <w:p>
      <w:pPr>
        <w:tabs>
          <w:tab w:pos="2110" w:val="left" w:leader="none"/>
          <w:tab w:pos="4646" w:val="left" w:leader="none"/>
        </w:tabs>
        <w:spacing w:before="0"/>
        <w:ind w:left="134" w:right="0" w:firstLine="0"/>
        <w:jc w:val="left"/>
        <w:rPr>
          <w:rFonts w:ascii="宋体" w:hAnsi="宋体" w:cs="宋体" w:eastAsia="宋体" w:hint="default"/>
          <w:sz w:val="14"/>
          <w:szCs w:val="14"/>
        </w:rPr>
      </w:pPr>
      <w:r>
        <w:rPr/>
        <w:pict>
          <v:group style="position:absolute;margin-left:72.06076pt;margin-top:.323498pt;width:705.1pt;height:.8pt;mso-position-horizontal-relative:page;mso-position-vertical-relative:paragraph;z-index:-647392" coordorigin="1441,6" coordsize="14102,16">
            <v:group style="position:absolute;left:1450;top:8;width:3731;height:2" coordorigin="1450,8" coordsize="3731,2">
              <v:shape style="position:absolute;left:1450;top:8;width:3731;height:2" coordorigin="1450,8" coordsize="3731,0" path="m1450,8l5180,8e" filled="false" stroked="true" strokeweight=".108948pt" strokecolor="#000000">
                <v:path arrowok="t"/>
              </v:shape>
            </v:group>
            <v:group style="position:absolute;left:1449;top:14;width:3733;height:2" coordorigin="1449,14" coordsize="3733,2">
              <v:shape style="position:absolute;left:1449;top:14;width:3733;height:2" coordorigin="1449,14" coordsize="3733,0" path="m1449,14l5181,14e" filled="false" stroked="true" strokeweight=".747088pt" strokecolor="#000000">
                <v:path arrowok="t"/>
              </v:shape>
            </v:group>
            <v:group style="position:absolute;left:5182;top:8;width:607;height:2" coordorigin="5182,8" coordsize="607,2">
              <v:shape style="position:absolute;left:5182;top:8;width:607;height:2" coordorigin="5182,8" coordsize="607,0" path="m5182,8l5788,8e" filled="false" stroked="true" strokeweight=".108948pt" strokecolor="#000000">
                <v:path arrowok="t"/>
              </v:shape>
            </v:group>
            <v:group style="position:absolute;left:5181;top:14;width:609;height:2" coordorigin="5181,14" coordsize="609,2">
              <v:shape style="position:absolute;left:5181;top:14;width:609;height:2" coordorigin="5181,14" coordsize="609,0" path="m5181,14l5789,14e" filled="false" stroked="true" strokeweight=".747088pt" strokecolor="#000000">
                <v:path arrowok="t"/>
              </v:shape>
            </v:group>
            <v:group style="position:absolute;left:5790;top:8;width:9745;height:2" coordorigin="5790,8" coordsize="9745,2">
              <v:shape style="position:absolute;left:5790;top:8;width:9745;height:2" coordorigin="5790,8" coordsize="9745,0" path="m5790,8l15535,8e" filled="false" stroked="true" strokeweight=".108948pt" strokecolor="#000000">
                <v:path arrowok="t"/>
              </v:shape>
            </v:group>
            <v:group style="position:absolute;left:5789;top:14;width:9747;height:2" coordorigin="5789,14" coordsize="9747,2">
              <v:shape style="position:absolute;left:5789;top:14;width:9747;height:2" coordorigin="5789,14" coordsize="9747,0" path="m5789,14l15536,14e" filled="false" stroked="true" strokeweight=".747088pt" strokecolor="#000000">
                <v:path arrowok="t"/>
              </v:shape>
            </v:group>
            <w10:wrap type="none"/>
          </v:group>
        </w:pict>
      </w:r>
      <w:r>
        <w:rPr>
          <w:rFonts w:ascii="宋体" w:hAnsi="宋体" w:cs="宋体" w:eastAsia="宋体" w:hint="default"/>
          <w:sz w:val="14"/>
          <w:szCs w:val="14"/>
        </w:rPr>
        <w:t>公司负责人：刘祥</w:t>
        <w:tab/>
        <w:t>主管会计工作负责人：赵辉</w:t>
        <w:tab/>
        <w:t>会计机构负责人：赵辉</w:t>
      </w:r>
    </w:p>
    <w:p>
      <w:pPr>
        <w:spacing w:after="0"/>
        <w:jc w:val="left"/>
        <w:rPr>
          <w:rFonts w:ascii="宋体" w:hAnsi="宋体" w:cs="宋体" w:eastAsia="宋体" w:hint="default"/>
          <w:sz w:val="14"/>
          <w:szCs w:val="14"/>
        </w:rPr>
        <w:sectPr>
          <w:type w:val="continuous"/>
          <w:pgSz w:w="16840" w:h="11910" w:orient="landscape"/>
          <w:pgMar w:top="1580" w:bottom="280" w:left="134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10" w:lineRule="exact" w:before="57"/>
        <w:ind w:left="1946" w:right="5884" w:hanging="492"/>
        <w:jc w:val="left"/>
        <w:rPr>
          <w:rFonts w:ascii="黑体" w:hAnsi="黑体" w:cs="黑体" w:eastAsia="黑体" w:hint="default"/>
        </w:rPr>
      </w:pPr>
      <w:r>
        <w:rPr>
          <w:rFonts w:ascii="黑体" w:hAnsi="黑体" w:cs="黑体" w:eastAsia="黑体" w:hint="default"/>
        </w:rPr>
        <w:t>深圳市新国都技术股份有限公司</w:t>
      </w:r>
      <w:r>
        <w:rPr>
          <w:rFonts w:ascii="黑体" w:hAnsi="黑体" w:cs="黑体" w:eastAsia="黑体" w:hint="default"/>
          <w:spacing w:val="-42"/>
        </w:rPr>
        <w:t> </w:t>
      </w:r>
      <w:r>
        <w:rPr>
          <w:rFonts w:ascii="黑体" w:hAnsi="黑体" w:cs="黑体" w:eastAsia="黑体" w:hint="default"/>
        </w:rPr>
        <w:t>母公司股东权益变动表</w:t>
      </w:r>
    </w:p>
    <w:p>
      <w:pPr>
        <w:tabs>
          <w:tab w:pos="8811" w:val="left" w:leader="none"/>
        </w:tabs>
        <w:spacing w:before="28"/>
        <w:ind w:left="2940" w:right="0" w:firstLine="0"/>
        <w:jc w:val="left"/>
        <w:rPr>
          <w:rFonts w:ascii="宋体" w:hAnsi="宋体" w:cs="宋体" w:eastAsia="宋体" w:hint="default"/>
          <w:sz w:val="13"/>
          <w:szCs w:val="13"/>
        </w:rPr>
      </w:pPr>
      <w:r>
        <w:rPr>
          <w:rFonts w:ascii="宋体" w:hAnsi="宋体" w:cs="宋体" w:eastAsia="宋体" w:hint="default"/>
          <w:w w:val="105"/>
          <w:sz w:val="13"/>
          <w:szCs w:val="13"/>
        </w:rPr>
        <w:t>2010年度</w:t>
        <w:tab/>
        <w:t>单位：人民币元</w:t>
      </w:r>
      <w:r>
        <w:rPr>
          <w:rFonts w:ascii="宋体" w:hAnsi="宋体" w:cs="宋体" w:eastAsia="宋体" w:hint="default"/>
          <w:sz w:val="13"/>
          <w:szCs w:val="13"/>
        </w:rPr>
      </w:r>
    </w:p>
    <w:p>
      <w:pPr>
        <w:spacing w:line="240" w:lineRule="auto" w:before="8"/>
        <w:rPr>
          <w:rFonts w:ascii="宋体" w:hAnsi="宋体" w:cs="宋体" w:eastAsia="宋体" w:hint="default"/>
          <w:sz w:val="21"/>
          <w:szCs w:val="21"/>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8;top:1;width:9699;height:2" coordorigin="8,1" coordsize="9699,2">
              <v:shape style="position:absolute;left:8;top:1;width:9699;height:2" coordorigin="8,1" coordsize="9699,0" path="m8,1l9706,1e" filled="false" stroked="true" strokeweight=".104553pt" strokecolor="#000000">
                <v:path arrowok="t"/>
              </v:shape>
            </v:group>
            <v:group style="position:absolute;left:7;top:7;width:9700;height:2" coordorigin="7,7" coordsize="9700,2">
              <v:shape style="position:absolute;left:7;top:7;width:9700;height:2" coordorigin="7,7" coordsize="9700,0" path="m7,7l9707,7e" filled="false" stroked="true" strokeweight=".716936pt" strokecolor="#000000">
                <v:path arrowok="t"/>
              </v:shape>
            </v:group>
          </v:group>
        </w:pict>
      </w:r>
      <w:r>
        <w:rPr>
          <w:rFonts w:ascii="宋体" w:hAnsi="宋体" w:cs="宋体" w:eastAsia="宋体" w:hint="default"/>
          <w:sz w:val="2"/>
          <w:szCs w:val="2"/>
        </w:rPr>
      </w:r>
    </w:p>
    <w:p>
      <w:pPr>
        <w:tabs>
          <w:tab w:pos="1802" w:val="left" w:leader="none"/>
          <w:tab w:pos="3060" w:val="left" w:leader="none"/>
          <w:tab w:pos="3588" w:val="left" w:leader="none"/>
          <w:tab w:pos="4202" w:val="left" w:leader="none"/>
          <w:tab w:pos="4662" w:val="left" w:leader="none"/>
          <w:tab w:pos="5288" w:val="left" w:leader="none"/>
          <w:tab w:pos="6584" w:val="left" w:leader="none"/>
          <w:tab w:pos="6614" w:val="left" w:leader="none"/>
          <w:tab w:pos="7874" w:val="left" w:leader="none"/>
          <w:tab w:pos="8022" w:val="left" w:leader="none"/>
          <w:tab w:pos="8700" w:val="left" w:leader="none"/>
        </w:tabs>
        <w:spacing w:line="343" w:lineRule="auto" w:before="14"/>
        <w:ind w:left="428" w:right="3365" w:firstLine="206"/>
        <w:jc w:val="left"/>
        <w:rPr>
          <w:rFonts w:ascii="宋体" w:hAnsi="宋体" w:cs="宋体" w:eastAsia="宋体" w:hint="default"/>
          <w:sz w:val="13"/>
          <w:szCs w:val="13"/>
        </w:rPr>
      </w:pPr>
      <w:r>
        <w:rPr/>
        <w:pict>
          <v:group style="position:absolute;margin-left:72.070915pt;margin-top:11.152072pt;width:67.25pt;height:.75pt;mso-position-horizontal-relative:page;mso-position-vertical-relative:paragraph;z-index:-647008" coordorigin="1441,223" coordsize="1345,15">
            <v:group style="position:absolute;left:1450;top:224;width:1329;height:2" coordorigin="1450,224" coordsize="1329,2">
              <v:shape style="position:absolute;left:1450;top:224;width:1329;height:2" coordorigin="1450,224" coordsize="1329,0" path="m1450,224l2778,224e" filled="false" stroked="true" strokeweight=".104553pt" strokecolor="#000000">
                <v:path arrowok="t"/>
              </v:shape>
            </v:group>
            <v:group style="position:absolute;left:1449;top:230;width:1331;height:2" coordorigin="1449,230" coordsize="1331,2">
              <v:shape style="position:absolute;left:1449;top:230;width:1331;height:2" coordorigin="1449,230" coordsize="1331,0" path="m1449,230l2779,230e" filled="false" stroked="true" strokeweight=".716943pt" strokecolor="#000000">
                <v:path arrowok="t"/>
              </v:shape>
            </v:group>
            <w10:wrap type="none"/>
          </v:group>
        </w:pict>
      </w:r>
      <w:r>
        <w:rPr/>
        <w:pict>
          <v:group style="position:absolute;margin-left:143.103317pt;margin-top:11.152072pt;width:64.95pt;height:.75pt;mso-position-horizontal-relative:page;mso-position-vertical-relative:paragraph;z-index:-646984" coordorigin="2862,223" coordsize="1299,15">
            <v:group style="position:absolute;left:2870;top:224;width:1283;height:2" coordorigin="2870,224" coordsize="1283,2">
              <v:shape style="position:absolute;left:2870;top:224;width:1283;height:2" coordorigin="2870,224" coordsize="1283,0" path="m2870,224l4152,224e" filled="false" stroked="true" strokeweight=".104553pt" strokecolor="#000000">
                <v:path arrowok="t"/>
              </v:shape>
            </v:group>
            <v:group style="position:absolute;left:2869;top:230;width:1284;height:2" coordorigin="2869,230" coordsize="1284,2">
              <v:shape style="position:absolute;left:2869;top:230;width:1284;height:2" coordorigin="2869,230" coordsize="1284,0" path="m2869,230l4153,230e" filled="false" stroked="true" strokeweight=".716943pt" strokecolor="#000000">
                <v:path arrowok="t"/>
              </v:shape>
            </v:group>
            <w10:wrap type="none"/>
          </v:group>
        </w:pict>
      </w:r>
      <w:r>
        <w:rPr/>
        <w:pict>
          <v:group style="position:absolute;margin-left:212.38269pt;margin-top:11.152072pt;width:49.85pt;height:.75pt;mso-position-horizontal-relative:page;mso-position-vertical-relative:paragraph;z-index:-646960" coordorigin="4248,223" coordsize="997,15">
            <v:group style="position:absolute;left:4256;top:224;width:981;height:2" coordorigin="4256,224" coordsize="981,2">
              <v:shape style="position:absolute;left:4256;top:224;width:981;height:2" coordorigin="4256,224" coordsize="981,0" path="m4256,224l5236,224e" filled="false" stroked="true" strokeweight=".104553pt" strokecolor="#000000">
                <v:path arrowok="t"/>
              </v:shape>
            </v:group>
            <v:group style="position:absolute;left:4255;top:230;width:983;height:2" coordorigin="4255,230" coordsize="983,2">
              <v:shape style="position:absolute;left:4255;top:230;width:983;height:2" coordorigin="4255,230" coordsize="983,0" path="m4255,230l5237,230e" filled="false" stroked="true" strokeweight=".716943pt" strokecolor="#000000">
                <v:path arrowok="t"/>
              </v:shape>
            </v:group>
            <w10:wrap type="none"/>
          </v:group>
        </w:pict>
      </w:r>
      <w:r>
        <w:rPr/>
        <w:pict>
          <v:group style="position:absolute;margin-left:266.035614pt;margin-top:11.152072pt;width:49.9pt;height:.75pt;mso-position-horizontal-relative:page;mso-position-vertical-relative:paragraph;z-index:-646936" coordorigin="5321,223" coordsize="998,15">
            <v:group style="position:absolute;left:5329;top:224;width:982;height:2" coordorigin="5329,224" coordsize="982,2">
              <v:shape style="position:absolute;left:5329;top:224;width:982;height:2" coordorigin="5329,224" coordsize="982,0" path="m5329,224l6310,224e" filled="false" stroked="true" strokeweight=".104553pt" strokecolor="#000000">
                <v:path arrowok="t"/>
              </v:shape>
            </v:group>
            <v:group style="position:absolute;left:5328;top:230;width:983;height:2" coordorigin="5328,230" coordsize="983,2">
              <v:shape style="position:absolute;left:5328;top:230;width:983;height:2" coordorigin="5328,230" coordsize="983,0" path="m5328,230l6311,230e" filled="false" stroked="true" strokeweight=".716943pt" strokecolor="#000000">
                <v:path arrowok="t"/>
              </v:shape>
            </v:group>
            <w10:wrap type="none"/>
          </v:group>
        </w:pict>
      </w:r>
      <w:r>
        <w:rPr/>
        <w:pict>
          <v:group style="position:absolute;margin-left:319.703918pt;margin-top:11.152072pt;width:59.1pt;height:.75pt;mso-position-horizontal-relative:page;mso-position-vertical-relative:paragraph;z-index:-646912" coordorigin="6394,223" coordsize="1182,15">
            <v:group style="position:absolute;left:6402;top:224;width:1166;height:2" coordorigin="6402,224" coordsize="1166,2">
              <v:shape style="position:absolute;left:6402;top:224;width:1166;height:2" coordorigin="6402,224" coordsize="1166,0" path="m6402,224l7568,224e" filled="false" stroked="true" strokeweight=".104553pt" strokecolor="#000000">
                <v:path arrowok="t"/>
              </v:shape>
            </v:group>
            <v:group style="position:absolute;left:6401;top:230;width:1168;height:2" coordorigin="6401,230" coordsize="1168,2">
              <v:shape style="position:absolute;left:6401;top:230;width:1168;height:2" coordorigin="6401,230" coordsize="1168,0" path="m6401,230l7568,230e" filled="false" stroked="true" strokeweight=".716943pt" strokecolor="#000000">
                <v:path arrowok="t"/>
              </v:shape>
            </v:group>
            <w10:wrap type="none"/>
          </v:group>
        </w:pict>
      </w:r>
      <w:r>
        <w:rPr/>
        <w:pict>
          <v:group style="position:absolute;margin-left:382.591431pt;margin-top:11.152072pt;width:64.95pt;height:.75pt;mso-position-horizontal-relative:page;mso-position-vertical-relative:paragraph;z-index:-646888" coordorigin="7652,223" coordsize="1299,15">
            <v:group style="position:absolute;left:7660;top:224;width:1283;height:2" coordorigin="7660,224" coordsize="1283,2">
              <v:shape style="position:absolute;left:7660;top:224;width:1283;height:2" coordorigin="7660,224" coordsize="1283,0" path="m7660,224l8942,224e" filled="false" stroked="true" strokeweight=".104553pt" strokecolor="#000000">
                <v:path arrowok="t"/>
              </v:shape>
            </v:group>
            <v:group style="position:absolute;left:7659;top:230;width:1284;height:2" coordorigin="7659,230" coordsize="1284,2">
              <v:shape style="position:absolute;left:7659;top:230;width:1284;height:2" coordorigin="7659,230" coordsize="1284,0" path="m7659,230l8943,230e" filled="false" stroked="true" strokeweight=".716943pt" strokecolor="#000000">
                <v:path arrowok="t"/>
              </v:shape>
            </v:group>
            <w10:wrap type="none"/>
          </v:group>
        </w:pict>
      </w:r>
      <w:r>
        <w:rPr/>
        <w:pict>
          <v:group style="position:absolute;margin-left:451.319794pt;margin-top:11.152072pt;width:32.6pt;height:.75pt;mso-position-horizontal-relative:page;mso-position-vertical-relative:paragraph;z-index:-646864" coordorigin="9026,223" coordsize="652,15">
            <v:group style="position:absolute;left:9034;top:224;width:636;height:2" coordorigin="9034,224" coordsize="636,2">
              <v:shape style="position:absolute;left:9034;top:224;width:636;height:2" coordorigin="9034,224" coordsize="636,0" path="m9034,224l9670,224e" filled="false" stroked="true" strokeweight=".104553pt" strokecolor="#000000">
                <v:path arrowok="t"/>
              </v:shape>
            </v:group>
            <v:group style="position:absolute;left:9034;top:230;width:638;height:2" coordorigin="9034,230" coordsize="638,2">
              <v:shape style="position:absolute;left:9034;top:230;width:638;height:2" coordorigin="9034,230" coordsize="638,0" path="m9034,230l9671,230e" filled="false" stroked="true" strokeweight=".716943pt" strokecolor="#000000">
                <v:path arrowok="t"/>
              </v:shape>
            </v:group>
            <w10:wrap type="none"/>
          </v:group>
        </w:pict>
      </w:r>
      <w:r>
        <w:rPr/>
        <w:pict>
          <v:group style="position:absolute;margin-left:487.719421pt;margin-top:11.152072pt;width:70.1pt;height:.75pt;mso-position-horizontal-relative:page;mso-position-vertical-relative:paragraph;z-index:-646432" coordorigin="9754,223" coordsize="1402,15">
            <v:group style="position:absolute;left:9762;top:224;width:1386;height:2" coordorigin="9762,224" coordsize="1386,2">
              <v:shape style="position:absolute;left:9762;top:224;width:1386;height:2" coordorigin="9762,224" coordsize="1386,0" path="m9762,224l11148,224e" filled="false" stroked="true" strokeweight=".104553pt" strokecolor="#000000">
                <v:path arrowok="t"/>
              </v:shape>
            </v:group>
            <v:group style="position:absolute;left:9762;top:230;width:1388;height:2" coordorigin="9762,230" coordsize="1388,2">
              <v:shape style="position:absolute;left:9762;top:230;width:1388;height:2" coordorigin="9762,230" coordsize="1388,0" path="m9762,230l11149,230e" filled="false" stroked="true" strokeweight=".716943pt" strokecolor="#000000">
                <v:path arrowok="t"/>
              </v:shape>
            </v:group>
            <w10:wrap type="none"/>
          </v:group>
        </w:pict>
      </w:r>
      <w:r>
        <w:rPr>
          <w:rFonts w:ascii="宋体" w:hAnsi="宋体" w:cs="宋体" w:eastAsia="宋体" w:hint="default"/>
          <w:w w:val="105"/>
          <w:sz w:val="13"/>
          <w:szCs w:val="13"/>
        </w:rPr>
        <w:t>股本</w:t>
        <w:tab/>
        <w:t>资本公积</w:t>
        <w:tab/>
        <w:t>减：库存股</w:t>
        <w:tab/>
        <w:t>专项储备</w:t>
        <w:tab/>
        <w:t>盈余公积</w:t>
        <w:tab/>
        <w:tab/>
        <w:t>未分配利润</w:t>
        <w:tab/>
        <w:t>其他</w:t>
        <w:tab/>
        <w:t>股东权益合计</w:t>
      </w:r>
      <w:r>
        <w:rPr>
          <w:rFonts w:ascii="宋体" w:hAnsi="宋体" w:cs="宋体" w:eastAsia="宋体" w:hint="default"/>
          <w:w w:val="106"/>
          <w:sz w:val="13"/>
          <w:szCs w:val="13"/>
        </w:rPr>
        <w:t> </w:t>
      </w:r>
      <w:r>
        <w:rPr>
          <w:rFonts w:ascii="宋体" w:hAnsi="宋体" w:cs="宋体" w:eastAsia="宋体" w:hint="default"/>
          <w:w w:val="105"/>
          <w:sz w:val="13"/>
          <w:szCs w:val="13"/>
        </w:rPr>
        <w:t>47,500,000.00</w:t>
        <w:tab/>
        <w:t>62,385,459.32</w:t>
        <w:tab/>
        <w:tab/>
        <w:t>-</w:t>
        <w:tab/>
        <w:tab/>
        <w:t>-</w:t>
        <w:tab/>
        <w:t>4,376,663.12</w:t>
        <w:tab/>
        <w:t>29,605,047.81</w:t>
        <w:tab/>
        <w:tab/>
        <w:t>-</w:t>
        <w:tab/>
        <w:t>143,867,170.25</w:t>
      </w:r>
      <w:r>
        <w:rPr>
          <w:rFonts w:ascii="宋体" w:hAnsi="宋体" w:cs="宋体" w:eastAsia="宋体" w:hint="default"/>
          <w:sz w:val="13"/>
          <w:szCs w:val="13"/>
        </w:rPr>
      </w:r>
    </w:p>
    <w:p>
      <w:pPr>
        <w:spacing w:line="20" w:lineRule="exact"/>
        <w:ind w:left="101" w:right="0" w:firstLine="0"/>
        <w:rPr>
          <w:rFonts w:ascii="宋体" w:hAnsi="宋体" w:cs="宋体" w:eastAsia="宋体" w:hint="default"/>
          <w:sz w:val="2"/>
          <w:szCs w:val="2"/>
        </w:rPr>
      </w:pPr>
      <w:r>
        <w:rPr>
          <w:rFonts w:ascii="宋体"/>
          <w:sz w:val="2"/>
        </w:rPr>
        <w:pict>
          <v:group style="width:67.25pt;height:.75pt;mso-position-horizontal-relative:char;mso-position-vertical-relative:line" coordorigin="0,0" coordsize="1345,15">
            <v:group style="position:absolute;left:8;top:1;width:1329;height:2" coordorigin="8,1" coordsize="1329,2">
              <v:shape style="position:absolute;left:8;top:1;width:1329;height:2" coordorigin="8,1" coordsize="1329,0" path="m8,1l1336,1e" filled="false" stroked="true" strokeweight=".104553pt" strokecolor="#000000">
                <v:path arrowok="t"/>
              </v:shape>
            </v:group>
            <v:group style="position:absolute;left:7;top:7;width:1331;height:2" coordorigin="7,7" coordsize="1331,2">
              <v:shape style="position:absolute;left:7;top:7;width:1331;height:2" coordorigin="7,7" coordsize="1331,0" path="m7,7l1337,7e" filled="false" stroked="true" strokeweight=".716943pt" strokecolor="#000000">
                <v:path arrowok="t"/>
              </v:shape>
            </v:group>
          </v:group>
        </w:pict>
      </w:r>
      <w:r>
        <w:rPr>
          <w:rFonts w:ascii="宋体"/>
          <w:sz w:val="2"/>
        </w:rPr>
      </w:r>
      <w:r>
        <w:rPr>
          <w:rFonts w:ascii="Times New Roman"/>
          <w:spacing w:val="68"/>
          <w:sz w:val="2"/>
        </w:rPr>
        <w:t> </w:t>
      </w:r>
      <w:r>
        <w:rPr>
          <w:rFonts w:ascii="宋体"/>
          <w:spacing w:val="68"/>
          <w:sz w:val="2"/>
        </w:rPr>
        <w:pict>
          <v:group style="width:64.95pt;height:.75pt;mso-position-horizontal-relative:char;mso-position-vertical-relative:line" coordorigin="0,0" coordsize="1299,15">
            <v:group style="position:absolute;left:8;top:1;width:1283;height:2" coordorigin="8,1" coordsize="1283,2">
              <v:shape style="position:absolute;left:8;top:1;width:1283;height:2" coordorigin="8,1" coordsize="1283,0" path="m8,1l1290,1e" filled="false" stroked="true" strokeweight=".104553pt" strokecolor="#000000">
                <v:path arrowok="t"/>
              </v:shape>
            </v:group>
            <v:group style="position:absolute;left:7;top:7;width:1284;height:2" coordorigin="7,7" coordsize="1284,2">
              <v:shape style="position:absolute;left:7;top:7;width:1284;height:2" coordorigin="7,7" coordsize="1284,0" path="m7,7l1291,7e" filled="false" stroked="true" strokeweight=".716943pt" strokecolor="#000000">
                <v:path arrowok="t"/>
              </v:shape>
            </v:group>
          </v:group>
        </w:pict>
      </w:r>
      <w:r>
        <w:rPr>
          <w:rFonts w:ascii="宋体"/>
          <w:spacing w:val="68"/>
          <w:sz w:val="2"/>
        </w:rPr>
      </w:r>
      <w:r>
        <w:rPr>
          <w:rFonts w:ascii="Times New Roman"/>
          <w:spacing w:val="79"/>
          <w:sz w:val="2"/>
        </w:rPr>
        <w:t> </w:t>
      </w:r>
      <w:r>
        <w:rPr>
          <w:rFonts w:ascii="宋体"/>
          <w:spacing w:val="79"/>
          <w:sz w:val="2"/>
        </w:rPr>
        <w:pict>
          <v:group style="width:49.85pt;height:.75pt;mso-position-horizontal-relative:char;mso-position-vertical-relative:line" coordorigin="0,0" coordsize="997,15">
            <v:group style="position:absolute;left:8;top:1;width:981;height:2" coordorigin="8,1" coordsize="981,2">
              <v:shape style="position:absolute;left:8;top:1;width:981;height:2" coordorigin="8,1" coordsize="981,0" path="m8,1l989,1e" filled="false" stroked="true" strokeweight=".104553pt" strokecolor="#000000">
                <v:path arrowok="t"/>
              </v:shape>
            </v:group>
            <v:group style="position:absolute;left:7;top:7;width:983;height:2" coordorigin="7,7" coordsize="983,2">
              <v:shape style="position:absolute;left:7;top:7;width:983;height:2" coordorigin="7,7" coordsize="983,0" path="m7,7l990,7e" filled="false" stroked="true" strokeweight=".716943pt" strokecolor="#000000">
                <v:path arrowok="t"/>
              </v:shape>
            </v:group>
          </v:group>
        </w:pict>
      </w:r>
      <w:r>
        <w:rPr>
          <w:rFonts w:ascii="宋体"/>
          <w:spacing w:val="79"/>
          <w:sz w:val="2"/>
        </w:rPr>
      </w:r>
      <w:r>
        <w:rPr>
          <w:rFonts w:ascii="Times New Roman"/>
          <w:spacing w:val="68"/>
          <w:sz w:val="2"/>
        </w:rPr>
        <w:t> </w:t>
      </w:r>
      <w:r>
        <w:rPr>
          <w:rFonts w:ascii="宋体"/>
          <w:spacing w:val="68"/>
          <w:sz w:val="2"/>
        </w:rPr>
        <w:pict>
          <v:group style="width:49.9pt;height:.75pt;mso-position-horizontal-relative:char;mso-position-vertical-relative:line" coordorigin="0,0" coordsize="998,15">
            <v:group style="position:absolute;left:8;top:1;width:982;height:2" coordorigin="8,1" coordsize="982,2">
              <v:shape style="position:absolute;left:8;top:1;width:982;height:2" coordorigin="8,1" coordsize="982,0" path="m8,1l989,1e" filled="false" stroked="true" strokeweight=".104553pt" strokecolor="#000000">
                <v:path arrowok="t"/>
              </v:shape>
            </v:group>
            <v:group style="position:absolute;left:7;top:7;width:983;height:2" coordorigin="7,7" coordsize="983,2">
              <v:shape style="position:absolute;left:7;top:7;width:983;height:2" coordorigin="7,7" coordsize="983,0" path="m7,7l990,7e" filled="false" stroked="true" strokeweight=".716943pt" strokecolor="#000000">
                <v:path arrowok="t"/>
              </v:shape>
            </v:group>
          </v:group>
        </w:pict>
      </w:r>
      <w:r>
        <w:rPr>
          <w:rFonts w:ascii="宋体"/>
          <w:spacing w:val="68"/>
          <w:sz w:val="2"/>
        </w:rPr>
      </w:r>
      <w:r>
        <w:rPr>
          <w:rFonts w:ascii="Times New Roman"/>
          <w:spacing w:val="67"/>
          <w:sz w:val="2"/>
        </w:rPr>
        <w:t> </w:t>
      </w:r>
      <w:r>
        <w:rPr>
          <w:rFonts w:ascii="宋体"/>
          <w:spacing w:val="67"/>
          <w:sz w:val="2"/>
        </w:rPr>
        <w:pict>
          <v:group style="width:59.1pt;height:.75pt;mso-position-horizontal-relative:char;mso-position-vertical-relative:line" coordorigin="0,0" coordsize="1182,15">
            <v:group style="position:absolute;left:8;top:1;width:1166;height:2" coordorigin="8,1" coordsize="1166,2">
              <v:shape style="position:absolute;left:8;top:1;width:1166;height:2" coordorigin="8,1" coordsize="1166,0" path="m8,1l1173,1e" filled="false" stroked="true" strokeweight=".104553pt" strokecolor="#000000">
                <v:path arrowok="t"/>
              </v:shape>
            </v:group>
            <v:group style="position:absolute;left:7;top:7;width:1168;height:2" coordorigin="7,7" coordsize="1168,2">
              <v:shape style="position:absolute;left:7;top:7;width:1168;height:2" coordorigin="7,7" coordsize="1168,0" path="m7,7l1174,7e" filled="false" stroked="true" strokeweight=".716943pt" strokecolor="#000000">
                <v:path arrowok="t"/>
              </v:shape>
            </v:group>
          </v:group>
        </w:pict>
      </w:r>
      <w:r>
        <w:rPr>
          <w:rFonts w:ascii="宋体"/>
          <w:spacing w:val="67"/>
          <w:sz w:val="2"/>
        </w:rPr>
      </w:r>
      <w:r>
        <w:rPr>
          <w:rFonts w:ascii="Times New Roman"/>
          <w:spacing w:val="68"/>
          <w:sz w:val="2"/>
        </w:rPr>
        <w:t> </w:t>
      </w:r>
      <w:r>
        <w:rPr>
          <w:rFonts w:ascii="宋体"/>
          <w:spacing w:val="68"/>
          <w:sz w:val="2"/>
        </w:rPr>
        <w:pict>
          <v:group style="width:64.95pt;height:.75pt;mso-position-horizontal-relative:char;mso-position-vertical-relative:line" coordorigin="0,0" coordsize="1299,15">
            <v:group style="position:absolute;left:8;top:1;width:1283;height:2" coordorigin="8,1" coordsize="1283,2">
              <v:shape style="position:absolute;left:8;top:1;width:1283;height:2" coordorigin="8,1" coordsize="1283,0" path="m8,1l1290,1e" filled="false" stroked="true" strokeweight=".104553pt" strokecolor="#000000">
                <v:path arrowok="t"/>
              </v:shape>
            </v:group>
            <v:group style="position:absolute;left:7;top:7;width:1284;height:2" coordorigin="7,7" coordsize="1284,2">
              <v:shape style="position:absolute;left:7;top:7;width:1284;height:2" coordorigin="7,7" coordsize="1284,0" path="m7,7l1291,7e" filled="false" stroked="true" strokeweight=".716943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32.6pt;height:.75pt;mso-position-horizontal-relative:char;mso-position-vertical-relative:line" coordorigin="0,0" coordsize="652,15">
            <v:group style="position:absolute;left:8;top:1;width:636;height:2" coordorigin="8,1" coordsize="636,2">
              <v:shape style="position:absolute;left:8;top:1;width:636;height:2" coordorigin="8,1" coordsize="636,0" path="m8,1l644,1e" filled="false" stroked="true" strokeweight=".104553pt" strokecolor="#000000">
                <v:path arrowok="t"/>
              </v:shape>
            </v:group>
            <v:group style="position:absolute;left:7;top:7;width:638;height:2" coordorigin="7,7" coordsize="638,2">
              <v:shape style="position:absolute;left:7;top:7;width:638;height:2" coordorigin="7,7" coordsize="638,0" path="m7,7l645,7e" filled="false" stroked="true" strokeweight=".716943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70.1pt;height:.75pt;mso-position-horizontal-relative:char;mso-position-vertical-relative:line" coordorigin="0,0" coordsize="1402,15">
            <v:group style="position:absolute;left:8;top:1;width:1386;height:2" coordorigin="8,1" coordsize="1386,2">
              <v:shape style="position:absolute;left:8;top:1;width:1386;height:2" coordorigin="8,1" coordsize="1386,0" path="m8,1l1393,1e" filled="false" stroked="true" strokeweight=".104553pt" strokecolor="#000000">
                <v:path arrowok="t"/>
              </v:shape>
            </v:group>
            <v:group style="position:absolute;left:7;top:7;width:1388;height:2" coordorigin="7,7" coordsize="1388,2">
              <v:shape style="position:absolute;left:7;top:7;width:1388;height:2" coordorigin="7,7" coordsize="1388,0" path="m7,7l1394,7e" filled="false" stroked="true" strokeweight=".716943pt" strokecolor="#000000">
                <v:path arrowok="t"/>
              </v:shape>
            </v:group>
          </v:group>
        </w:pict>
      </w:r>
      <w:r>
        <w:rPr>
          <w:rFonts w:ascii="宋体"/>
          <w:spacing w:val="68"/>
          <w:sz w:val="2"/>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14"/>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30"/>
        <w:gridCol w:w="90"/>
        <w:gridCol w:w="1284"/>
        <w:gridCol w:w="102"/>
        <w:gridCol w:w="3314"/>
        <w:gridCol w:w="90"/>
        <w:gridCol w:w="1284"/>
        <w:gridCol w:w="91"/>
        <w:gridCol w:w="2115"/>
      </w:tblGrid>
      <w:tr>
        <w:trPr>
          <w:trHeight w:val="262" w:hRule="exact"/>
        </w:trPr>
        <w:tc>
          <w:tcPr>
            <w:tcW w:w="1330"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96"/>
              <w:jc w:val="right"/>
              <w:rPr>
                <w:rFonts w:ascii="宋体" w:hAnsi="宋体" w:cs="宋体" w:eastAsia="宋体" w:hint="default"/>
                <w:sz w:val="13"/>
                <w:szCs w:val="13"/>
              </w:rPr>
            </w:pPr>
            <w:r>
              <w:rPr>
                <w:rFonts w:ascii="宋体"/>
                <w:w w:val="105"/>
                <w:sz w:val="13"/>
              </w:rPr>
              <w:t>47,500,000.00</w:t>
            </w:r>
            <w:r>
              <w:rPr>
                <w:rFonts w:ascii="宋体"/>
                <w:sz w:val="13"/>
              </w:rPr>
            </w:r>
          </w:p>
        </w:tc>
        <w:tc>
          <w:tcPr>
            <w:tcW w:w="9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96"/>
              <w:jc w:val="right"/>
              <w:rPr>
                <w:rFonts w:ascii="宋体" w:hAnsi="宋体" w:cs="宋体" w:eastAsia="宋体" w:hint="default"/>
                <w:sz w:val="13"/>
                <w:szCs w:val="13"/>
              </w:rPr>
            </w:pPr>
            <w:r>
              <w:rPr>
                <w:rFonts w:ascii="宋体"/>
                <w:w w:val="105"/>
                <w:sz w:val="13"/>
              </w:rPr>
              <w:t>62,385,459.32</w:t>
            </w:r>
            <w:r>
              <w:rPr>
                <w:rFonts w:ascii="宋体"/>
                <w:sz w:val="13"/>
              </w:rPr>
            </w:r>
          </w:p>
        </w:tc>
        <w:tc>
          <w:tcPr>
            <w:tcW w:w="102" w:type="dxa"/>
            <w:tcBorders>
              <w:top w:val="nil" w:sz="6" w:space="0" w:color="auto"/>
              <w:left w:val="nil" w:sz="6" w:space="0" w:color="auto"/>
              <w:bottom w:val="nil" w:sz="6" w:space="0" w:color="auto"/>
              <w:right w:val="nil" w:sz="6" w:space="0" w:color="auto"/>
            </w:tcBorders>
          </w:tcPr>
          <w:p>
            <w:pPr/>
          </w:p>
        </w:tc>
        <w:tc>
          <w:tcPr>
            <w:tcW w:w="3314" w:type="dxa"/>
            <w:tcBorders>
              <w:top w:val="nil" w:sz="6" w:space="0" w:color="auto"/>
              <w:left w:val="nil" w:sz="6" w:space="0" w:color="auto"/>
              <w:bottom w:val="single" w:sz="6" w:space="0" w:color="000000"/>
              <w:right w:val="nil" w:sz="6" w:space="0" w:color="auto"/>
            </w:tcBorders>
          </w:tcPr>
          <w:p>
            <w:pPr>
              <w:pStyle w:val="TableParagraph"/>
              <w:tabs>
                <w:tab w:pos="1073" w:val="left" w:leader="none"/>
                <w:tab w:pos="1699" w:val="left" w:leader="none"/>
              </w:tabs>
              <w:spacing w:line="240" w:lineRule="auto" w:before="45"/>
              <w:ind w:right="95"/>
              <w:jc w:val="right"/>
              <w:rPr>
                <w:rFonts w:ascii="宋体" w:hAnsi="宋体" w:cs="宋体" w:eastAsia="宋体" w:hint="default"/>
                <w:sz w:val="13"/>
                <w:szCs w:val="13"/>
              </w:rPr>
            </w:pPr>
            <w:r>
              <w:rPr>
                <w:rFonts w:ascii="宋体"/>
                <w:w w:val="105"/>
                <w:sz w:val="13"/>
              </w:rPr>
              <w:t>-</w:t>
              <w:tab/>
              <w:t>-</w:t>
              <w:tab/>
              <w:t>4,376,663.12</w:t>
            </w:r>
            <w:r>
              <w:rPr>
                <w:rFonts w:ascii="宋体"/>
                <w:sz w:val="13"/>
              </w:rPr>
            </w:r>
          </w:p>
        </w:tc>
        <w:tc>
          <w:tcPr>
            <w:tcW w:w="9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95"/>
              <w:jc w:val="right"/>
              <w:rPr>
                <w:rFonts w:ascii="宋体" w:hAnsi="宋体" w:cs="宋体" w:eastAsia="宋体" w:hint="default"/>
                <w:sz w:val="13"/>
                <w:szCs w:val="13"/>
              </w:rPr>
            </w:pPr>
            <w:r>
              <w:rPr>
                <w:rFonts w:ascii="宋体"/>
                <w:w w:val="105"/>
                <w:sz w:val="13"/>
              </w:rPr>
              <w:t>29,605,047.81</w:t>
            </w:r>
            <w:r>
              <w:rPr>
                <w:rFonts w:ascii="宋体"/>
                <w:sz w:val="13"/>
              </w:rPr>
            </w:r>
          </w:p>
        </w:tc>
        <w:tc>
          <w:tcPr>
            <w:tcW w:w="9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single" w:sz="6" w:space="0" w:color="000000"/>
              <w:right w:val="nil" w:sz="6" w:space="0" w:color="auto"/>
            </w:tcBorders>
          </w:tcPr>
          <w:p>
            <w:pPr>
              <w:pStyle w:val="TableParagraph"/>
              <w:tabs>
                <w:tab w:pos="705" w:val="left" w:leader="none"/>
              </w:tabs>
              <w:spacing w:line="240" w:lineRule="auto" w:before="45"/>
              <w:ind w:right="95"/>
              <w:jc w:val="right"/>
              <w:rPr>
                <w:rFonts w:ascii="宋体" w:hAnsi="宋体" w:cs="宋体" w:eastAsia="宋体" w:hint="default"/>
                <w:sz w:val="13"/>
                <w:szCs w:val="13"/>
              </w:rPr>
            </w:pPr>
            <w:r>
              <w:rPr>
                <w:rFonts w:ascii="宋体"/>
                <w:w w:val="105"/>
                <w:sz w:val="13"/>
              </w:rPr>
              <w:t>-</w:t>
              <w:tab/>
              <w:t>143,867,170.25</w:t>
            </w:r>
            <w:r>
              <w:rPr>
                <w:rFonts w:ascii="宋体"/>
                <w:sz w:val="13"/>
              </w:rPr>
            </w:r>
          </w:p>
        </w:tc>
      </w:tr>
      <w:tr>
        <w:trPr>
          <w:trHeight w:val="244" w:hRule="exact"/>
        </w:trPr>
        <w:tc>
          <w:tcPr>
            <w:tcW w:w="133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6"/>
              <w:jc w:val="right"/>
              <w:rPr>
                <w:rFonts w:ascii="宋体" w:hAnsi="宋体" w:cs="宋体" w:eastAsia="宋体" w:hint="default"/>
                <w:sz w:val="13"/>
                <w:szCs w:val="13"/>
              </w:rPr>
            </w:pPr>
            <w:r>
              <w:rPr>
                <w:rFonts w:ascii="宋体"/>
                <w:w w:val="105"/>
                <w:sz w:val="13"/>
              </w:rPr>
              <w:t>16,000,000.00</w:t>
            </w:r>
            <w:r>
              <w:rPr>
                <w:rFonts w:ascii="宋体"/>
                <w:sz w:val="13"/>
              </w:rPr>
            </w:r>
          </w:p>
        </w:tc>
        <w:tc>
          <w:tcPr>
            <w:tcW w:w="90" w:type="dxa"/>
            <w:tcBorders>
              <w:top w:val="nil" w:sz="6" w:space="0" w:color="auto"/>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6"/>
              <w:jc w:val="right"/>
              <w:rPr>
                <w:rFonts w:ascii="宋体" w:hAnsi="宋体" w:cs="宋体" w:eastAsia="宋体" w:hint="default"/>
                <w:sz w:val="13"/>
                <w:szCs w:val="13"/>
              </w:rPr>
            </w:pPr>
            <w:r>
              <w:rPr>
                <w:rFonts w:ascii="宋体"/>
                <w:w w:val="105"/>
                <w:sz w:val="13"/>
              </w:rPr>
              <w:t>630,334,934.33</w:t>
            </w:r>
            <w:r>
              <w:rPr>
                <w:rFonts w:ascii="宋体"/>
                <w:sz w:val="13"/>
              </w:rPr>
            </w:r>
          </w:p>
        </w:tc>
        <w:tc>
          <w:tcPr>
            <w:tcW w:w="102" w:type="dxa"/>
            <w:tcBorders>
              <w:top w:val="nil" w:sz="6" w:space="0" w:color="auto"/>
              <w:left w:val="nil" w:sz="6" w:space="0" w:color="auto"/>
              <w:bottom w:val="nil" w:sz="6" w:space="0" w:color="auto"/>
              <w:right w:val="nil" w:sz="6" w:space="0" w:color="auto"/>
            </w:tcBorders>
          </w:tcPr>
          <w:p>
            <w:pPr/>
          </w:p>
        </w:tc>
        <w:tc>
          <w:tcPr>
            <w:tcW w:w="3314"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sz w:val="2"/>
              </w:rPr>
              <w:pict>
                <v:group style="width:49.85pt;height:.75pt;mso-position-horizontal-relative:char;mso-position-vertical-relative:line" coordorigin="0,0" coordsize="997,15">
                  <v:group style="position:absolute;left:8;top:1;width:981;height:2" coordorigin="8,1" coordsize="981,2">
                    <v:shape style="position:absolute;left:8;top:1;width:981;height:2" coordorigin="8,1" coordsize="981,0" path="m8,1l989,1e" filled="false" stroked="true" strokeweight=".104553pt" strokecolor="#000000">
                      <v:path arrowok="t"/>
                    </v:shape>
                  </v:group>
                  <v:group style="position:absolute;left:7;top:7;width:983;height:2" coordorigin="7,7" coordsize="983,2">
                    <v:shape style="position:absolute;left:7;top:7;width:983;height:2" coordorigin="7,7" coordsize="983,0" path="m7,7l990,7e" filled="false" stroked="true" strokeweight=".716943pt" strokecolor="#000000">
                      <v:path arrowok="t"/>
                    </v:shape>
                  </v:group>
                </v:group>
              </w:pict>
            </w:r>
            <w:r>
              <w:rPr>
                <w:rFonts w:ascii="宋体"/>
                <w:sz w:val="2"/>
              </w:rPr>
            </w:r>
            <w:r>
              <w:rPr>
                <w:rFonts w:ascii="Times New Roman"/>
                <w:spacing w:val="68"/>
                <w:sz w:val="2"/>
              </w:rPr>
              <w:t> </w:t>
            </w:r>
            <w:r>
              <w:rPr>
                <w:rFonts w:ascii="宋体"/>
                <w:spacing w:val="68"/>
                <w:sz w:val="2"/>
              </w:rPr>
              <w:pict>
                <v:group style="width:49.9pt;height:.75pt;mso-position-horizontal-relative:char;mso-position-vertical-relative:line" coordorigin="0,0" coordsize="998,15">
                  <v:group style="position:absolute;left:8;top:1;width:982;height:2" coordorigin="8,1" coordsize="982,2">
                    <v:shape style="position:absolute;left:8;top:1;width:982;height:2" coordorigin="8,1" coordsize="982,0" path="m8,1l989,1e" filled="false" stroked="true" strokeweight=".104553pt" strokecolor="#000000">
                      <v:path arrowok="t"/>
                    </v:shape>
                  </v:group>
                  <v:group style="position:absolute;left:7;top:7;width:983;height:2" coordorigin="7,7" coordsize="983,2">
                    <v:shape style="position:absolute;left:7;top:7;width:983;height:2" coordorigin="7,7" coordsize="983,0" path="m7,7l990,7e" filled="false" stroked="true" strokeweight=".716943pt" strokecolor="#000000">
                      <v:path arrowok="t"/>
                    </v:shape>
                  </v:group>
                </v:group>
              </w:pict>
            </w:r>
            <w:r>
              <w:rPr>
                <w:rFonts w:ascii="宋体"/>
                <w:spacing w:val="68"/>
                <w:sz w:val="2"/>
              </w:rPr>
            </w:r>
          </w:p>
          <w:p>
            <w:pPr>
              <w:pStyle w:val="TableParagraph"/>
              <w:tabs>
                <w:tab w:pos="1073" w:val="left" w:leader="none"/>
                <w:tab w:pos="1699" w:val="left" w:leader="none"/>
              </w:tabs>
              <w:spacing w:line="240" w:lineRule="auto" w:before="14"/>
              <w:ind w:right="95"/>
              <w:jc w:val="right"/>
              <w:rPr>
                <w:rFonts w:ascii="宋体" w:hAnsi="宋体" w:cs="宋体" w:eastAsia="宋体" w:hint="default"/>
                <w:sz w:val="13"/>
                <w:szCs w:val="13"/>
              </w:rPr>
            </w:pPr>
            <w:r>
              <w:rPr>
                <w:rFonts w:ascii="宋体"/>
                <w:w w:val="105"/>
                <w:sz w:val="13"/>
              </w:rPr>
              <w:t>-</w:t>
              <w:tab/>
              <w:t>-</w:t>
              <w:tab/>
              <w:t>2,644,038.24</w:t>
            </w:r>
            <w:r>
              <w:rPr>
                <w:rFonts w:ascii="宋体"/>
                <w:sz w:val="13"/>
              </w:rPr>
            </w:r>
          </w:p>
        </w:tc>
        <w:tc>
          <w:tcPr>
            <w:tcW w:w="90" w:type="dxa"/>
            <w:tcBorders>
              <w:top w:val="nil" w:sz="6" w:space="0" w:color="auto"/>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5"/>
              <w:jc w:val="right"/>
              <w:rPr>
                <w:rFonts w:ascii="宋体" w:hAnsi="宋体" w:cs="宋体" w:eastAsia="宋体" w:hint="default"/>
                <w:sz w:val="13"/>
                <w:szCs w:val="13"/>
              </w:rPr>
            </w:pPr>
            <w:r>
              <w:rPr>
                <w:rFonts w:ascii="宋体"/>
                <w:w w:val="105"/>
                <w:sz w:val="13"/>
              </w:rPr>
              <w:t>23,796,344.14</w:t>
            </w:r>
            <w:r>
              <w:rPr>
                <w:rFonts w:ascii="宋体"/>
                <w:sz w:val="13"/>
              </w:rPr>
            </w:r>
          </w:p>
        </w:tc>
        <w:tc>
          <w:tcPr>
            <w:tcW w:w="91" w:type="dxa"/>
            <w:tcBorders>
              <w:top w:val="nil" w:sz="6" w:space="0" w:color="auto"/>
              <w:left w:val="nil" w:sz="6" w:space="0" w:color="auto"/>
              <w:bottom w:val="nil" w:sz="6" w:space="0" w:color="auto"/>
              <w:right w:val="nil" w:sz="6" w:space="0" w:color="auto"/>
            </w:tcBorders>
          </w:tcPr>
          <w:p>
            <w:pPr/>
          </w:p>
        </w:tc>
        <w:tc>
          <w:tcPr>
            <w:tcW w:w="2115" w:type="dxa"/>
            <w:tcBorders>
              <w:top w:val="single" w:sz="6" w:space="0" w:color="000000"/>
              <w:left w:val="nil" w:sz="6" w:space="0" w:color="auto"/>
              <w:bottom w:val="single" w:sz="6" w:space="0" w:color="000000"/>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32.6pt;height:.75pt;mso-position-horizontal-relative:char;mso-position-vertical-relative:line" coordorigin="0,0" coordsize="652,15">
                  <v:group style="position:absolute;left:8;top:1;width:636;height:2" coordorigin="8,1" coordsize="636,2">
                    <v:shape style="position:absolute;left:8;top:1;width:636;height:2" coordorigin="8,1" coordsize="636,0" path="m8,1l644,1e" filled="false" stroked="true" strokeweight=".104553pt" strokecolor="#000000">
                      <v:path arrowok="t"/>
                    </v:shape>
                  </v:group>
                  <v:group style="position:absolute;left:7;top:7;width:638;height:2" coordorigin="7,7" coordsize="638,2">
                    <v:shape style="position:absolute;left:7;top:7;width:638;height:2" coordorigin="7,7" coordsize="638,0" path="m7,7l645,7e" filled="false" stroked="true" strokeweight=".716943pt" strokecolor="#000000">
                      <v:path arrowok="t"/>
                    </v:shape>
                  </v:group>
                </v:group>
              </w:pict>
            </w:r>
            <w:r>
              <w:rPr>
                <w:rFonts w:ascii="宋体" w:hAnsi="宋体" w:cs="宋体" w:eastAsia="宋体" w:hint="default"/>
                <w:sz w:val="2"/>
                <w:szCs w:val="2"/>
              </w:rPr>
            </w:r>
          </w:p>
          <w:p>
            <w:pPr>
              <w:pStyle w:val="TableParagraph"/>
              <w:tabs>
                <w:tab w:pos="705" w:val="left" w:leader="none"/>
              </w:tabs>
              <w:spacing w:line="240" w:lineRule="auto" w:before="14"/>
              <w:ind w:right="95"/>
              <w:jc w:val="right"/>
              <w:rPr>
                <w:rFonts w:ascii="宋体" w:hAnsi="宋体" w:cs="宋体" w:eastAsia="宋体" w:hint="default"/>
                <w:sz w:val="13"/>
                <w:szCs w:val="13"/>
              </w:rPr>
            </w:pPr>
            <w:r>
              <w:rPr>
                <w:rFonts w:ascii="宋体"/>
                <w:w w:val="105"/>
                <w:sz w:val="13"/>
              </w:rPr>
              <w:t>-</w:t>
              <w:tab/>
              <w:t>672,775,316.71</w:t>
            </w:r>
            <w:r>
              <w:rPr>
                <w:rFonts w:ascii="宋体"/>
                <w:sz w:val="13"/>
              </w:rPr>
            </w:r>
          </w:p>
        </w:tc>
      </w:tr>
    </w:tbl>
    <w:p>
      <w:pPr>
        <w:tabs>
          <w:tab w:pos="2504" w:val="left" w:leader="none"/>
          <w:tab w:pos="3588" w:val="left" w:leader="none"/>
          <w:tab w:pos="4662" w:val="left" w:leader="none"/>
          <w:tab w:pos="5919" w:val="left" w:leader="none"/>
          <w:tab w:pos="6592" w:val="left" w:leader="none"/>
          <w:tab w:pos="8022" w:val="left" w:leader="none"/>
          <w:tab w:pos="8798" w:val="left" w:leader="none"/>
        </w:tabs>
        <w:spacing w:before="13"/>
        <w:ind w:left="1130" w:right="0" w:firstLine="0"/>
        <w:jc w:val="left"/>
        <w:rPr>
          <w:rFonts w:ascii="宋体" w:hAnsi="宋体" w:cs="宋体" w:eastAsia="宋体" w:hint="default"/>
          <w:sz w:val="13"/>
          <w:szCs w:val="13"/>
        </w:rPr>
      </w:pPr>
      <w:r>
        <w:rPr/>
        <w:pict>
          <v:group style="position:absolute;margin-left:212.38269pt;margin-top:-1.085824pt;width:49.85pt;height:.75pt;mso-position-horizontal-relative:page;mso-position-vertical-relative:paragraph;z-index:-646840" coordorigin="4248,-22" coordsize="997,15">
            <v:group style="position:absolute;left:4256;top:-21;width:981;height:2" coordorigin="4256,-21" coordsize="981,2">
              <v:shape style="position:absolute;left:4256;top:-21;width:981;height:2" coordorigin="4256,-21" coordsize="981,0" path="m4256,-21l5236,-21e" filled="false" stroked="true" strokeweight=".104553pt" strokecolor="#000000">
                <v:path arrowok="t"/>
              </v:shape>
            </v:group>
            <v:group style="position:absolute;left:4255;top:-14;width:983;height:2" coordorigin="4255,-14" coordsize="983,2">
              <v:shape style="position:absolute;left:4255;top:-14;width:983;height:2" coordorigin="4255,-14" coordsize="983,0" path="m4255,-14l5237,-14e" filled="false" stroked="true" strokeweight=".716928pt" strokecolor="#000000">
                <v:path arrowok="t"/>
              </v:shape>
            </v:group>
            <w10:wrap type="none"/>
          </v:group>
        </w:pict>
      </w:r>
      <w:r>
        <w:rPr/>
        <w:pict>
          <v:group style="position:absolute;margin-left:266.035614pt;margin-top:-1.085824pt;width:49.9pt;height:.75pt;mso-position-horizontal-relative:page;mso-position-vertical-relative:paragraph;z-index:-646816" coordorigin="5321,-22" coordsize="998,15">
            <v:group style="position:absolute;left:5329;top:-21;width:982;height:2" coordorigin="5329,-21" coordsize="982,2">
              <v:shape style="position:absolute;left:5329;top:-21;width:982;height:2" coordorigin="5329,-21" coordsize="982,0" path="m5329,-21l6310,-21e" filled="false" stroked="true" strokeweight=".104553pt" strokecolor="#000000">
                <v:path arrowok="t"/>
              </v:shape>
            </v:group>
            <v:group style="position:absolute;left:5328;top:-14;width:983;height:2" coordorigin="5328,-14" coordsize="983,2">
              <v:shape style="position:absolute;left:5328;top:-14;width:983;height:2" coordorigin="5328,-14" coordsize="983,0" path="m5328,-14l6311,-14e" filled="false" stroked="true" strokeweight=".716928pt" strokecolor="#000000">
                <v:path arrowok="t"/>
              </v:shape>
            </v:group>
            <w10:wrap type="none"/>
          </v:group>
        </w:pict>
      </w:r>
      <w:r>
        <w:rPr/>
        <w:pict>
          <v:group style="position:absolute;margin-left:451.319794pt;margin-top:-1.085824pt;width:32.6pt;height:.75pt;mso-position-horizontal-relative:page;mso-position-vertical-relative:paragraph;z-index:-646792" coordorigin="9026,-22" coordsize="652,15">
            <v:group style="position:absolute;left:9034;top:-21;width:636;height:2" coordorigin="9034,-21" coordsize="636,2">
              <v:shape style="position:absolute;left:9034;top:-21;width:636;height:2" coordorigin="9034,-21" coordsize="636,0" path="m9034,-21l9670,-21e" filled="false" stroked="true" strokeweight=".104553pt" strokecolor="#000000">
                <v:path arrowok="t"/>
              </v:shape>
            </v:group>
            <v:group style="position:absolute;left:9034;top:-14;width:638;height:2" coordorigin="9034,-14" coordsize="638,2">
              <v:shape style="position:absolute;left:9034;top:-14;width:638;height:2" coordorigin="9034,-14" coordsize="638,0" path="m9034,-14l9671,-14e" filled="false" stroked="true" strokeweight=".716928pt" strokecolor="#000000">
                <v:path arrowok="t"/>
              </v:shape>
            </v:group>
            <w10:wrap type="none"/>
          </v:group>
        </w:pict>
      </w:r>
      <w:r>
        <w:rPr>
          <w:rFonts w:ascii="宋体"/>
          <w:w w:val="105"/>
          <w:sz w:val="13"/>
        </w:rPr>
        <w:t>-</w:t>
        <w:tab/>
        <w:t>-</w:t>
        <w:tab/>
        <w:t>-</w:t>
        <w:tab/>
        <w:t>-</w:t>
        <w:tab/>
        <w:t>-</w:t>
        <w:tab/>
        <w:t>26,440,382.38</w:t>
        <w:tab/>
        <w:t>-</w:t>
        <w:tab/>
        <w:t>26,440,382.38</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6592" w:val="left" w:leader="none"/>
          <w:tab w:pos="8022" w:val="left" w:leader="none"/>
          <w:tab w:pos="8798"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26,440,382.38</w:t>
        <w:tab/>
        <w:t>-</w:t>
        <w:tab/>
        <w:t>26,440,382.38</w:t>
      </w:r>
      <w:r>
        <w:rPr>
          <w:rFonts w:ascii="宋体"/>
          <w:sz w:val="13"/>
        </w:rPr>
      </w:r>
    </w:p>
    <w:p>
      <w:pPr>
        <w:spacing w:line="240" w:lineRule="auto" w:before="2"/>
        <w:rPr>
          <w:rFonts w:ascii="宋体" w:hAnsi="宋体" w:cs="宋体" w:eastAsia="宋体" w:hint="default"/>
          <w:sz w:val="2"/>
          <w:szCs w:val="2"/>
        </w:rPr>
      </w:pPr>
    </w:p>
    <w:tbl>
      <w:tblPr>
        <w:tblW w:w="0" w:type="auto"/>
        <w:jc w:val="left"/>
        <w:tblInd w:w="393" w:type="dxa"/>
        <w:tblLayout w:type="fixed"/>
        <w:tblCellMar>
          <w:top w:w="0" w:type="dxa"/>
          <w:left w:w="0" w:type="dxa"/>
          <w:bottom w:w="0" w:type="dxa"/>
          <w:right w:w="0" w:type="dxa"/>
        </w:tblCellMar>
        <w:tblLook w:val="01E0"/>
      </w:tblPr>
      <w:tblGrid>
        <w:gridCol w:w="1143"/>
        <w:gridCol w:w="1616"/>
        <w:gridCol w:w="6594"/>
      </w:tblGrid>
      <w:tr>
        <w:trPr>
          <w:trHeight w:val="271"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3"/>
                <w:szCs w:val="13"/>
              </w:rPr>
            </w:pPr>
            <w:r>
              <w:rPr>
                <w:rFonts w:ascii="宋体"/>
                <w:w w:val="105"/>
                <w:sz w:val="13"/>
              </w:rPr>
              <w:t>16,000,000.00</w:t>
            </w:r>
            <w:r>
              <w:rPr>
                <w:rFonts w:ascii="宋体"/>
                <w:sz w:val="13"/>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5" w:right="0"/>
              <w:jc w:val="left"/>
              <w:rPr>
                <w:rFonts w:ascii="宋体" w:hAnsi="宋体" w:cs="宋体" w:eastAsia="宋体" w:hint="default"/>
                <w:sz w:val="13"/>
                <w:szCs w:val="13"/>
              </w:rPr>
            </w:pPr>
            <w:r>
              <w:rPr>
                <w:rFonts w:ascii="宋体"/>
                <w:w w:val="105"/>
                <w:sz w:val="13"/>
              </w:rPr>
              <w:t>630,334,934.33</w:t>
            </w:r>
            <w:r>
              <w:rPr>
                <w:rFonts w:ascii="宋体"/>
                <w:sz w:val="13"/>
              </w:rPr>
            </w:r>
          </w:p>
        </w:tc>
        <w:tc>
          <w:tcPr>
            <w:tcW w:w="6594" w:type="dxa"/>
            <w:tcBorders>
              <w:top w:val="nil" w:sz="6" w:space="0" w:color="auto"/>
              <w:left w:val="nil" w:sz="6" w:space="0" w:color="auto"/>
              <w:bottom w:val="nil" w:sz="6" w:space="0" w:color="auto"/>
              <w:right w:val="nil" w:sz="6" w:space="0" w:color="auto"/>
            </w:tcBorders>
          </w:tcPr>
          <w:p>
            <w:pPr>
              <w:pStyle w:val="TableParagraph"/>
              <w:tabs>
                <w:tab w:pos="1073" w:val="left" w:leader="none"/>
                <w:tab w:pos="2331" w:val="left" w:leader="none"/>
                <w:tab w:pos="3705" w:val="left" w:leader="none"/>
                <w:tab w:pos="4433" w:val="left" w:leader="none"/>
                <w:tab w:pos="5139" w:val="left" w:leader="none"/>
              </w:tabs>
              <w:spacing w:line="240" w:lineRule="auto" w:before="45"/>
              <w:ind w:right="33"/>
              <w:jc w:val="right"/>
              <w:rPr>
                <w:rFonts w:ascii="宋体" w:hAnsi="宋体" w:cs="宋体" w:eastAsia="宋体" w:hint="default"/>
                <w:sz w:val="13"/>
                <w:szCs w:val="13"/>
              </w:rPr>
            </w:pPr>
            <w:r>
              <w:rPr>
                <w:rFonts w:ascii="宋体"/>
                <w:w w:val="105"/>
                <w:sz w:val="13"/>
              </w:rPr>
              <w:t>-</w:t>
              <w:tab/>
              <w:t>-</w:t>
              <w:tab/>
              <w:t>-</w:t>
              <w:tab/>
              <w:t>-</w:t>
              <w:tab/>
              <w:t>-</w:t>
              <w:tab/>
              <w:t>646,334,934.33</w:t>
            </w:r>
            <w:r>
              <w:rPr>
                <w:rFonts w:ascii="宋体"/>
                <w:sz w:val="13"/>
              </w:rPr>
            </w:r>
          </w:p>
        </w:tc>
      </w:tr>
      <w:tr>
        <w:trPr>
          <w:trHeight w:val="271"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3"/>
                <w:szCs w:val="13"/>
              </w:rPr>
            </w:pPr>
            <w:r>
              <w:rPr>
                <w:rFonts w:ascii="宋体"/>
                <w:w w:val="105"/>
                <w:sz w:val="13"/>
              </w:rPr>
              <w:t>16,000,000.00</w:t>
            </w:r>
            <w:r>
              <w:rPr>
                <w:rFonts w:ascii="宋体"/>
                <w:sz w:val="13"/>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5" w:right="0"/>
              <w:jc w:val="left"/>
              <w:rPr>
                <w:rFonts w:ascii="宋体" w:hAnsi="宋体" w:cs="宋体" w:eastAsia="宋体" w:hint="default"/>
                <w:sz w:val="13"/>
                <w:szCs w:val="13"/>
              </w:rPr>
            </w:pPr>
            <w:r>
              <w:rPr>
                <w:rFonts w:ascii="宋体"/>
                <w:w w:val="105"/>
                <w:sz w:val="13"/>
              </w:rPr>
              <w:t>630,334,934.33</w:t>
            </w:r>
            <w:r>
              <w:rPr>
                <w:rFonts w:ascii="宋体"/>
                <w:sz w:val="13"/>
              </w:rPr>
            </w:r>
          </w:p>
        </w:tc>
        <w:tc>
          <w:tcPr>
            <w:tcW w:w="6594" w:type="dxa"/>
            <w:tcBorders>
              <w:top w:val="nil" w:sz="6" w:space="0" w:color="auto"/>
              <w:left w:val="nil" w:sz="6" w:space="0" w:color="auto"/>
              <w:bottom w:val="nil" w:sz="6" w:space="0" w:color="auto"/>
              <w:right w:val="nil" w:sz="6" w:space="0" w:color="auto"/>
            </w:tcBorders>
          </w:tcPr>
          <w:p>
            <w:pPr>
              <w:pStyle w:val="TableParagraph"/>
              <w:tabs>
                <w:tab w:pos="1073" w:val="left" w:leader="none"/>
                <w:tab w:pos="2331" w:val="left" w:leader="none"/>
                <w:tab w:pos="3705" w:val="left" w:leader="none"/>
                <w:tab w:pos="4433" w:val="left" w:leader="none"/>
                <w:tab w:pos="5139" w:val="left" w:leader="none"/>
              </w:tabs>
              <w:spacing w:line="240" w:lineRule="auto" w:before="18"/>
              <w:ind w:right="33"/>
              <w:jc w:val="right"/>
              <w:rPr>
                <w:rFonts w:ascii="宋体" w:hAnsi="宋体" w:cs="宋体" w:eastAsia="宋体" w:hint="default"/>
                <w:sz w:val="13"/>
                <w:szCs w:val="13"/>
              </w:rPr>
            </w:pPr>
            <w:r>
              <w:rPr>
                <w:rFonts w:ascii="宋体"/>
                <w:w w:val="105"/>
                <w:sz w:val="13"/>
              </w:rPr>
              <w:t>-</w:t>
              <w:tab/>
              <w:t>-</w:t>
              <w:tab/>
              <w:t>-</w:t>
              <w:tab/>
              <w:t>-</w:t>
              <w:tab/>
              <w:t>-</w:t>
              <w:tab/>
              <w:t>646,334,934.33</w:t>
            </w:r>
            <w:r>
              <w:rPr>
                <w:rFonts w:ascii="宋体"/>
                <w:sz w:val="13"/>
              </w:rPr>
            </w:r>
          </w:p>
        </w:tc>
      </w:tr>
    </w:tbl>
    <w:p>
      <w:pPr>
        <w:tabs>
          <w:tab w:pos="2504" w:val="left" w:leader="none"/>
          <w:tab w:pos="3588" w:val="left" w:leader="none"/>
          <w:tab w:pos="4662" w:val="left" w:leader="none"/>
          <w:tab w:pos="5919" w:val="left" w:leader="none"/>
          <w:tab w:pos="7294" w:val="left" w:leader="none"/>
          <w:tab w:pos="8022" w:val="left" w:leader="none"/>
          <w:tab w:pos="9500" w:val="left" w:leader="none"/>
        </w:tabs>
        <w:spacing w:line="162" w:lineRule="exact" w:before="0"/>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4"/>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spacing w:line="240" w:lineRule="auto" w:before="2"/>
        <w:rPr>
          <w:rFonts w:ascii="宋体" w:hAnsi="宋体" w:cs="宋体" w:eastAsia="宋体" w:hint="default"/>
          <w:sz w:val="2"/>
          <w:szCs w:val="2"/>
        </w:rPr>
      </w:pPr>
    </w:p>
    <w:tbl>
      <w:tblPr>
        <w:tblW w:w="0" w:type="auto"/>
        <w:jc w:val="left"/>
        <w:tblInd w:w="1095" w:type="dxa"/>
        <w:tblLayout w:type="fixed"/>
        <w:tblCellMar>
          <w:top w:w="0" w:type="dxa"/>
          <w:left w:w="0" w:type="dxa"/>
          <w:bottom w:w="0" w:type="dxa"/>
          <w:right w:w="0" w:type="dxa"/>
        </w:tblCellMar>
        <w:tblLook w:val="01E0"/>
      </w:tblPr>
      <w:tblGrid>
        <w:gridCol w:w="5266"/>
        <w:gridCol w:w="1437"/>
        <w:gridCol w:w="1806"/>
      </w:tblGrid>
      <w:tr>
        <w:trPr>
          <w:trHeight w:val="271" w:hRule="exact"/>
        </w:trPr>
        <w:tc>
          <w:tcPr>
            <w:tcW w:w="5266" w:type="dxa"/>
            <w:tcBorders>
              <w:top w:val="nil" w:sz="6" w:space="0" w:color="auto"/>
              <w:left w:val="nil" w:sz="6" w:space="0" w:color="auto"/>
              <w:bottom w:val="nil" w:sz="6" w:space="0" w:color="auto"/>
              <w:right w:val="nil" w:sz="6" w:space="0" w:color="auto"/>
            </w:tcBorders>
          </w:tcPr>
          <w:p>
            <w:pPr>
              <w:pStyle w:val="TableParagraph"/>
              <w:tabs>
                <w:tab w:pos="1408" w:val="left" w:leader="none"/>
                <w:tab w:pos="2493" w:val="left" w:leader="none"/>
                <w:tab w:pos="3566" w:val="left" w:leader="none"/>
                <w:tab w:pos="4193" w:val="left" w:leader="none"/>
              </w:tabs>
              <w:spacing w:line="240" w:lineRule="auto" w:before="45"/>
              <w:ind w:left="35" w:right="0"/>
              <w:jc w:val="left"/>
              <w:rPr>
                <w:rFonts w:ascii="宋体" w:hAnsi="宋体" w:cs="宋体" w:eastAsia="宋体" w:hint="default"/>
                <w:sz w:val="13"/>
                <w:szCs w:val="13"/>
              </w:rPr>
            </w:pPr>
            <w:r>
              <w:rPr>
                <w:rFonts w:ascii="宋体"/>
                <w:w w:val="105"/>
                <w:sz w:val="13"/>
              </w:rPr>
              <w:t>-</w:t>
              <w:tab/>
              <w:t>-</w:t>
              <w:tab/>
              <w:t>-</w:t>
              <w:tab/>
              <w:t>-</w:t>
              <w:tab/>
              <w:t>2,644,038.24</w:t>
            </w:r>
            <w:r>
              <w:rPr>
                <w:rFonts w:ascii="宋体"/>
                <w:sz w:val="13"/>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宋体" w:hAnsi="宋体" w:cs="宋体" w:eastAsia="宋体" w:hint="default"/>
                <w:sz w:val="13"/>
                <w:szCs w:val="13"/>
              </w:rPr>
            </w:pPr>
            <w:r>
              <w:rPr>
                <w:rFonts w:ascii="宋体"/>
                <w:w w:val="105"/>
                <w:sz w:val="13"/>
              </w:rPr>
              <w:t>(2,644,038.24)</w:t>
            </w:r>
            <w:r>
              <w:rPr>
                <w:rFonts w:ascii="宋体"/>
                <w:sz w:val="13"/>
              </w:rPr>
            </w:r>
          </w:p>
        </w:tc>
        <w:tc>
          <w:tcPr>
            <w:tcW w:w="1806" w:type="dxa"/>
            <w:tcBorders>
              <w:top w:val="nil" w:sz="6" w:space="0" w:color="auto"/>
              <w:left w:val="nil" w:sz="6" w:space="0" w:color="auto"/>
              <w:bottom w:val="nil" w:sz="6" w:space="0" w:color="auto"/>
              <w:right w:val="nil" w:sz="6" w:space="0" w:color="auto"/>
            </w:tcBorders>
          </w:tcPr>
          <w:p>
            <w:pPr>
              <w:pStyle w:val="TableParagraph"/>
              <w:tabs>
                <w:tab w:pos="1477" w:val="left" w:leader="none"/>
              </w:tabs>
              <w:spacing w:line="240" w:lineRule="auto" w:before="45"/>
              <w:ind w:right="33"/>
              <w:jc w:val="right"/>
              <w:rPr>
                <w:rFonts w:ascii="宋体" w:hAnsi="宋体" w:cs="宋体" w:eastAsia="宋体" w:hint="default"/>
                <w:sz w:val="13"/>
                <w:szCs w:val="13"/>
              </w:rPr>
            </w:pPr>
            <w:r>
              <w:rPr>
                <w:rFonts w:ascii="宋体"/>
                <w:w w:val="105"/>
                <w:sz w:val="13"/>
              </w:rPr>
              <w:t>-</w:t>
              <w:tab/>
              <w:t>-</w:t>
            </w:r>
            <w:r>
              <w:rPr>
                <w:rFonts w:ascii="宋体"/>
                <w:sz w:val="13"/>
              </w:rPr>
            </w:r>
          </w:p>
        </w:tc>
      </w:tr>
      <w:tr>
        <w:trPr>
          <w:trHeight w:val="271" w:hRule="exact"/>
        </w:trPr>
        <w:tc>
          <w:tcPr>
            <w:tcW w:w="5266" w:type="dxa"/>
            <w:tcBorders>
              <w:top w:val="nil" w:sz="6" w:space="0" w:color="auto"/>
              <w:left w:val="nil" w:sz="6" w:space="0" w:color="auto"/>
              <w:bottom w:val="nil" w:sz="6" w:space="0" w:color="auto"/>
              <w:right w:val="nil" w:sz="6" w:space="0" w:color="auto"/>
            </w:tcBorders>
          </w:tcPr>
          <w:p>
            <w:pPr>
              <w:pStyle w:val="TableParagraph"/>
              <w:tabs>
                <w:tab w:pos="1408" w:val="left" w:leader="none"/>
                <w:tab w:pos="2493" w:val="left" w:leader="none"/>
                <w:tab w:pos="3566" w:val="left" w:leader="none"/>
                <w:tab w:pos="4193" w:val="left" w:leader="none"/>
              </w:tabs>
              <w:spacing w:line="240" w:lineRule="auto" w:before="18"/>
              <w:ind w:left="35" w:right="0"/>
              <w:jc w:val="left"/>
              <w:rPr>
                <w:rFonts w:ascii="宋体" w:hAnsi="宋体" w:cs="宋体" w:eastAsia="宋体" w:hint="default"/>
                <w:sz w:val="13"/>
                <w:szCs w:val="13"/>
              </w:rPr>
            </w:pPr>
            <w:r>
              <w:rPr>
                <w:rFonts w:ascii="宋体"/>
                <w:w w:val="105"/>
                <w:sz w:val="13"/>
              </w:rPr>
              <w:t>-</w:t>
              <w:tab/>
              <w:t>-</w:t>
              <w:tab/>
              <w:t>-</w:t>
              <w:tab/>
              <w:t>-</w:t>
              <w:tab/>
              <w:t>2,644,038.24</w:t>
            </w:r>
            <w:r>
              <w:rPr>
                <w:rFonts w:ascii="宋体"/>
                <w:sz w:val="13"/>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13"/>
                <w:szCs w:val="13"/>
              </w:rPr>
            </w:pPr>
            <w:r>
              <w:rPr>
                <w:rFonts w:ascii="宋体"/>
                <w:w w:val="105"/>
                <w:sz w:val="13"/>
              </w:rPr>
              <w:t>(2,644,038.24)</w:t>
            </w:r>
            <w:r>
              <w:rPr>
                <w:rFonts w:ascii="宋体"/>
                <w:sz w:val="13"/>
              </w:rPr>
            </w:r>
          </w:p>
        </w:tc>
        <w:tc>
          <w:tcPr>
            <w:tcW w:w="1806" w:type="dxa"/>
            <w:tcBorders>
              <w:top w:val="nil" w:sz="6" w:space="0" w:color="auto"/>
              <w:left w:val="nil" w:sz="6" w:space="0" w:color="auto"/>
              <w:bottom w:val="nil" w:sz="6" w:space="0" w:color="auto"/>
              <w:right w:val="nil" w:sz="6" w:space="0" w:color="auto"/>
            </w:tcBorders>
          </w:tcPr>
          <w:p>
            <w:pPr>
              <w:pStyle w:val="TableParagraph"/>
              <w:tabs>
                <w:tab w:pos="1477" w:val="left" w:leader="none"/>
              </w:tabs>
              <w:spacing w:line="240" w:lineRule="auto" w:before="18"/>
              <w:ind w:right="33"/>
              <w:jc w:val="right"/>
              <w:rPr>
                <w:rFonts w:ascii="宋体" w:hAnsi="宋体" w:cs="宋体" w:eastAsia="宋体" w:hint="default"/>
                <w:sz w:val="13"/>
                <w:szCs w:val="13"/>
              </w:rPr>
            </w:pPr>
            <w:r>
              <w:rPr>
                <w:rFonts w:ascii="宋体"/>
                <w:w w:val="105"/>
                <w:sz w:val="13"/>
              </w:rPr>
              <w:t>-</w:t>
              <w:tab/>
              <w:t>-</w:t>
            </w:r>
            <w:r>
              <w:rPr>
                <w:rFonts w:ascii="宋体"/>
                <w:sz w:val="13"/>
              </w:rPr>
            </w:r>
          </w:p>
        </w:tc>
      </w:tr>
    </w:tbl>
    <w:p>
      <w:pPr>
        <w:tabs>
          <w:tab w:pos="2504" w:val="left" w:leader="none"/>
          <w:tab w:pos="3588" w:val="left" w:leader="none"/>
          <w:tab w:pos="4662" w:val="left" w:leader="none"/>
          <w:tab w:pos="5919" w:val="left" w:leader="none"/>
          <w:tab w:pos="7294" w:val="left" w:leader="none"/>
          <w:tab w:pos="8022" w:val="left" w:leader="none"/>
          <w:tab w:pos="9500" w:val="left" w:leader="none"/>
        </w:tabs>
        <w:spacing w:line="162" w:lineRule="exact" w:before="0"/>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73"/>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66"/>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59"/>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59"/>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59"/>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59"/>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2504" w:val="left" w:leader="none"/>
          <w:tab w:pos="3588" w:val="left" w:leader="none"/>
          <w:tab w:pos="4662" w:val="left" w:leader="none"/>
          <w:tab w:pos="5919" w:val="left" w:leader="none"/>
          <w:tab w:pos="7294" w:val="left" w:leader="none"/>
          <w:tab w:pos="8022" w:val="left" w:leader="none"/>
          <w:tab w:pos="9500" w:val="left" w:leader="none"/>
        </w:tabs>
        <w:spacing w:before="59"/>
        <w:ind w:left="1130" w:right="0" w:firstLine="0"/>
        <w:jc w:val="left"/>
        <w:rPr>
          <w:rFonts w:ascii="宋体" w:hAnsi="宋体" w:cs="宋体" w:eastAsia="宋体" w:hint="default"/>
          <w:sz w:val="13"/>
          <w:szCs w:val="13"/>
        </w:rPr>
      </w:pPr>
      <w:r>
        <w:rPr>
          <w:rFonts w:ascii="宋体"/>
          <w:w w:val="105"/>
          <w:sz w:val="13"/>
        </w:rPr>
        <w:t>-</w:t>
        <w:tab/>
        <w:t>-</w:t>
        <w:tab/>
        <w:t>-</w:t>
        <w:tab/>
        <w:t>-</w:t>
        <w:tab/>
        <w:t>-</w:t>
        <w:tab/>
        <w:t>-</w:t>
        <w:tab/>
        <w:t>-</w:t>
        <w:tab/>
        <w:t>-</w:t>
      </w:r>
      <w:r>
        <w:rPr>
          <w:rFonts w:ascii="宋体"/>
          <w:sz w:val="13"/>
        </w:rPr>
      </w:r>
    </w:p>
    <w:p>
      <w:pPr>
        <w:tabs>
          <w:tab w:pos="1732" w:val="left" w:leader="none"/>
          <w:tab w:pos="2504" w:val="left" w:leader="none"/>
          <w:tab w:pos="3588" w:val="left" w:leader="none"/>
          <w:tab w:pos="4662" w:val="left" w:leader="none"/>
          <w:tab w:pos="5288" w:val="left" w:leader="none"/>
          <w:tab w:pos="5919" w:val="left" w:leader="none"/>
          <w:tab w:pos="6592" w:val="left" w:leader="none"/>
          <w:tab w:pos="7294" w:val="left" w:leader="none"/>
          <w:tab w:pos="8022" w:val="left" w:leader="none"/>
          <w:tab w:pos="8728" w:val="left" w:leader="none"/>
          <w:tab w:pos="9500" w:val="left" w:leader="none"/>
        </w:tabs>
        <w:spacing w:line="324" w:lineRule="auto" w:before="59"/>
        <w:ind w:left="428" w:right="3365" w:firstLine="702"/>
        <w:jc w:val="left"/>
        <w:rPr>
          <w:rFonts w:ascii="宋体" w:hAnsi="宋体" w:cs="宋体" w:eastAsia="宋体" w:hint="default"/>
          <w:sz w:val="13"/>
          <w:szCs w:val="13"/>
        </w:rPr>
      </w:pPr>
      <w:r>
        <w:rPr/>
        <w:pict>
          <v:group style="position:absolute;margin-left:72.070923pt;margin-top:13.0436pt;width:67.25pt;height:.75pt;mso-position-horizontal-relative:page;mso-position-vertical-relative:paragraph;z-index:-646768" coordorigin="1441,261" coordsize="1345,15">
            <v:group style="position:absolute;left:1450;top:262;width:1329;height:2" coordorigin="1450,262" coordsize="1329,2">
              <v:shape style="position:absolute;left:1450;top:262;width:1329;height:2" coordorigin="1450,262" coordsize="1329,0" path="m1450,262l2778,262e" filled="false" stroked="true" strokeweight=".104553pt" strokecolor="#000000">
                <v:path arrowok="t"/>
              </v:shape>
            </v:group>
            <v:group style="position:absolute;left:1449;top:268;width:1331;height:2" coordorigin="1449,268" coordsize="1331,2">
              <v:shape style="position:absolute;left:1449;top:268;width:1331;height:2" coordorigin="1449,268" coordsize="1331,0" path="m1449,268l2779,268e" filled="false" stroked="true" strokeweight=".716928pt" strokecolor="#000000">
                <v:path arrowok="t"/>
              </v:shape>
            </v:group>
            <w10:wrap type="none"/>
          </v:group>
        </w:pict>
      </w:r>
      <w:r>
        <w:rPr/>
        <w:pict>
          <v:group style="position:absolute;margin-left:143.103317pt;margin-top:13.0436pt;width:64.95pt;height:.75pt;mso-position-horizontal-relative:page;mso-position-vertical-relative:paragraph;z-index:-646744" coordorigin="2862,261" coordsize="1299,15">
            <v:group style="position:absolute;left:2870;top:262;width:1283;height:2" coordorigin="2870,262" coordsize="1283,2">
              <v:shape style="position:absolute;left:2870;top:262;width:1283;height:2" coordorigin="2870,262" coordsize="1283,0" path="m2870,262l4152,262e" filled="false" stroked="true" strokeweight=".104553pt" strokecolor="#000000">
                <v:path arrowok="t"/>
              </v:shape>
            </v:group>
            <v:group style="position:absolute;left:2869;top:268;width:1284;height:2" coordorigin="2869,268" coordsize="1284,2">
              <v:shape style="position:absolute;left:2869;top:268;width:1284;height:2" coordorigin="2869,268" coordsize="1284,0" path="m2869,268l4153,268e" filled="false" stroked="true" strokeweight=".716928pt" strokecolor="#000000">
                <v:path arrowok="t"/>
              </v:shape>
            </v:group>
            <w10:wrap type="none"/>
          </v:group>
        </w:pict>
      </w:r>
      <w:r>
        <w:rPr/>
        <w:pict>
          <v:group style="position:absolute;margin-left:212.38269pt;margin-top:13.0436pt;width:49.85pt;height:.75pt;mso-position-horizontal-relative:page;mso-position-vertical-relative:paragraph;z-index:-646720" coordorigin="4248,261" coordsize="997,15">
            <v:group style="position:absolute;left:4256;top:262;width:981;height:2" coordorigin="4256,262" coordsize="981,2">
              <v:shape style="position:absolute;left:4256;top:262;width:981;height:2" coordorigin="4256,262" coordsize="981,0" path="m4256,262l5236,262e" filled="false" stroked="true" strokeweight=".104553pt" strokecolor="#000000">
                <v:path arrowok="t"/>
              </v:shape>
            </v:group>
            <v:group style="position:absolute;left:4255;top:268;width:983;height:2" coordorigin="4255,268" coordsize="983,2">
              <v:shape style="position:absolute;left:4255;top:268;width:983;height:2" coordorigin="4255,268" coordsize="983,0" path="m4255,268l5237,268e" filled="false" stroked="true" strokeweight=".716928pt" strokecolor="#000000">
                <v:path arrowok="t"/>
              </v:shape>
            </v:group>
            <w10:wrap type="none"/>
          </v:group>
        </w:pict>
      </w:r>
      <w:r>
        <w:rPr/>
        <w:pict>
          <v:group style="position:absolute;margin-left:266.035614pt;margin-top:13.0436pt;width:49.9pt;height:.75pt;mso-position-horizontal-relative:page;mso-position-vertical-relative:paragraph;z-index:-646696" coordorigin="5321,261" coordsize="998,15">
            <v:group style="position:absolute;left:5329;top:262;width:982;height:2" coordorigin="5329,262" coordsize="982,2">
              <v:shape style="position:absolute;left:5329;top:262;width:982;height:2" coordorigin="5329,262" coordsize="982,0" path="m5329,262l6310,262e" filled="false" stroked="true" strokeweight=".104553pt" strokecolor="#000000">
                <v:path arrowok="t"/>
              </v:shape>
            </v:group>
            <v:group style="position:absolute;left:5328;top:268;width:983;height:2" coordorigin="5328,268" coordsize="983,2">
              <v:shape style="position:absolute;left:5328;top:268;width:983;height:2" coordorigin="5328,268" coordsize="983,0" path="m5328,268l6311,268e" filled="false" stroked="true" strokeweight=".716928pt" strokecolor="#000000">
                <v:path arrowok="t"/>
              </v:shape>
            </v:group>
            <w10:wrap type="none"/>
          </v:group>
        </w:pict>
      </w:r>
      <w:r>
        <w:rPr/>
        <w:pict>
          <v:group style="position:absolute;margin-left:319.703918pt;margin-top:13.0436pt;width:59.1pt;height:.75pt;mso-position-horizontal-relative:page;mso-position-vertical-relative:paragraph;z-index:-646672" coordorigin="6394,261" coordsize="1182,15">
            <v:group style="position:absolute;left:6402;top:262;width:1166;height:2" coordorigin="6402,262" coordsize="1166,2">
              <v:shape style="position:absolute;left:6402;top:262;width:1166;height:2" coordorigin="6402,262" coordsize="1166,0" path="m6402,262l7568,262e" filled="false" stroked="true" strokeweight=".104553pt" strokecolor="#000000">
                <v:path arrowok="t"/>
              </v:shape>
            </v:group>
            <v:group style="position:absolute;left:6401;top:268;width:1168;height:2" coordorigin="6401,268" coordsize="1168,2">
              <v:shape style="position:absolute;left:6401;top:268;width:1168;height:2" coordorigin="6401,268" coordsize="1168,0" path="m6401,268l7568,268e" filled="false" stroked="true" strokeweight=".716928pt" strokecolor="#000000">
                <v:path arrowok="t"/>
              </v:shape>
            </v:group>
            <w10:wrap type="none"/>
          </v:group>
        </w:pict>
      </w:r>
      <w:r>
        <w:rPr/>
        <w:pict>
          <v:group style="position:absolute;margin-left:382.591431pt;margin-top:13.0436pt;width:64.95pt;height:.75pt;mso-position-horizontal-relative:page;mso-position-vertical-relative:paragraph;z-index:-646648" coordorigin="7652,261" coordsize="1299,15">
            <v:group style="position:absolute;left:7660;top:262;width:1283;height:2" coordorigin="7660,262" coordsize="1283,2">
              <v:shape style="position:absolute;left:7660;top:262;width:1283;height:2" coordorigin="7660,262" coordsize="1283,0" path="m7660,262l8942,262e" filled="false" stroked="true" strokeweight=".104553pt" strokecolor="#000000">
                <v:path arrowok="t"/>
              </v:shape>
            </v:group>
            <v:group style="position:absolute;left:7659;top:268;width:1284;height:2" coordorigin="7659,268" coordsize="1284,2">
              <v:shape style="position:absolute;left:7659;top:268;width:1284;height:2" coordorigin="7659,268" coordsize="1284,0" path="m7659,268l8943,268e" filled="false" stroked="true" strokeweight=".716928pt" strokecolor="#000000">
                <v:path arrowok="t"/>
              </v:shape>
            </v:group>
            <w10:wrap type="none"/>
          </v:group>
        </w:pict>
      </w:r>
      <w:r>
        <w:rPr/>
        <w:pict>
          <v:group style="position:absolute;margin-left:451.319794pt;margin-top:13.0436pt;width:32.6pt;height:.75pt;mso-position-horizontal-relative:page;mso-position-vertical-relative:paragraph;z-index:-646624" coordorigin="9026,261" coordsize="652,15">
            <v:group style="position:absolute;left:9034;top:262;width:636;height:2" coordorigin="9034,262" coordsize="636,2">
              <v:shape style="position:absolute;left:9034;top:262;width:636;height:2" coordorigin="9034,262" coordsize="636,0" path="m9034,262l9670,262e" filled="false" stroked="true" strokeweight=".104553pt" strokecolor="#000000">
                <v:path arrowok="t"/>
              </v:shape>
            </v:group>
            <v:group style="position:absolute;left:9034;top:268;width:638;height:2" coordorigin="9034,268" coordsize="638,2">
              <v:shape style="position:absolute;left:9034;top:268;width:638;height:2" coordorigin="9034,268" coordsize="638,0" path="m9034,268l9671,268e" filled="false" stroked="true" strokeweight=".716928pt" strokecolor="#000000">
                <v:path arrowok="t"/>
              </v:shape>
            </v:group>
            <w10:wrap type="none"/>
          </v:group>
        </w:pict>
      </w:r>
      <w:r>
        <w:rPr/>
        <w:pict>
          <v:group style="position:absolute;margin-left:72.070923pt;margin-top:23.823034pt;width:67.25pt;height:2.15pt;mso-position-horizontal-relative:page;mso-position-vertical-relative:paragraph;z-index:-646600" coordorigin="1441,476" coordsize="1345,43">
            <v:group style="position:absolute;left:1449;top:484;width:1331;height:2" coordorigin="1449,484" coordsize="1331,2">
              <v:shape style="position:absolute;left:1449;top:484;width:1331;height:2" coordorigin="1449,484" coordsize="1331,0" path="m1449,484l2779,484e" filled="false" stroked="true" strokeweight=".716928pt" strokecolor="#000000">
                <v:path arrowok="t"/>
              </v:shape>
            </v:group>
            <v:group style="position:absolute;left:1449;top:512;width:1331;height:2" coordorigin="1449,512" coordsize="1331,2">
              <v:shape style="position:absolute;left:1449;top:512;width:1331;height:2" coordorigin="1449,512" coordsize="1331,0" path="m1449,512l2779,512e" filled="false" stroked="true" strokeweight=".716928pt" strokecolor="#000000">
                <v:path arrowok="t"/>
              </v:shape>
            </v:group>
            <w10:wrap type="none"/>
          </v:group>
        </w:pict>
      </w:r>
      <w:r>
        <w:rPr/>
        <w:pict>
          <v:group style="position:absolute;margin-left:143.103317pt;margin-top:23.823034pt;width:64.95pt;height:2.15pt;mso-position-horizontal-relative:page;mso-position-vertical-relative:paragraph;z-index:-646576" coordorigin="2862,476" coordsize="1299,43">
            <v:group style="position:absolute;left:2869;top:484;width:1284;height:2" coordorigin="2869,484" coordsize="1284,2">
              <v:shape style="position:absolute;left:2869;top:484;width:1284;height:2" coordorigin="2869,484" coordsize="1284,0" path="m2869,484l4153,484e" filled="false" stroked="true" strokeweight=".716928pt" strokecolor="#000000">
                <v:path arrowok="t"/>
              </v:shape>
            </v:group>
            <v:group style="position:absolute;left:2869;top:512;width:1284;height:2" coordorigin="2869,512" coordsize="1284,2">
              <v:shape style="position:absolute;left:2869;top:512;width:1284;height:2" coordorigin="2869,512" coordsize="1284,0" path="m2869,512l4153,512e" filled="false" stroked="true" strokeweight=".716928pt" strokecolor="#000000">
                <v:path arrowok="t"/>
              </v:shape>
            </v:group>
            <w10:wrap type="none"/>
          </v:group>
        </w:pict>
      </w:r>
      <w:r>
        <w:rPr/>
        <w:pict>
          <v:group style="position:absolute;margin-left:212.38269pt;margin-top:23.823034pt;width:49.85pt;height:2.15pt;mso-position-horizontal-relative:page;mso-position-vertical-relative:paragraph;z-index:-646552" coordorigin="4248,476" coordsize="997,43">
            <v:group style="position:absolute;left:4255;top:484;width:983;height:2" coordorigin="4255,484" coordsize="983,2">
              <v:shape style="position:absolute;left:4255;top:484;width:983;height:2" coordorigin="4255,484" coordsize="983,0" path="m4255,484l5237,484e" filled="false" stroked="true" strokeweight=".716928pt" strokecolor="#000000">
                <v:path arrowok="t"/>
              </v:shape>
            </v:group>
            <v:group style="position:absolute;left:4255;top:512;width:983;height:2" coordorigin="4255,512" coordsize="983,2">
              <v:shape style="position:absolute;left:4255;top:512;width:983;height:2" coordorigin="4255,512" coordsize="983,0" path="m4255,512l5237,512e" filled="false" stroked="true" strokeweight=".716928pt" strokecolor="#000000">
                <v:path arrowok="t"/>
              </v:shape>
            </v:group>
            <w10:wrap type="none"/>
          </v:group>
        </w:pict>
      </w:r>
      <w:r>
        <w:rPr/>
        <w:pict>
          <v:group style="position:absolute;margin-left:266.035614pt;margin-top:23.823034pt;width:49.9pt;height:2.15pt;mso-position-horizontal-relative:page;mso-position-vertical-relative:paragraph;z-index:-646528" coordorigin="5321,476" coordsize="998,43">
            <v:group style="position:absolute;left:5328;top:484;width:983;height:2" coordorigin="5328,484" coordsize="983,2">
              <v:shape style="position:absolute;left:5328;top:484;width:983;height:2" coordorigin="5328,484" coordsize="983,0" path="m5328,484l6311,484e" filled="false" stroked="true" strokeweight=".716928pt" strokecolor="#000000">
                <v:path arrowok="t"/>
              </v:shape>
            </v:group>
            <v:group style="position:absolute;left:5328;top:512;width:983;height:2" coordorigin="5328,512" coordsize="983,2">
              <v:shape style="position:absolute;left:5328;top:512;width:983;height:2" coordorigin="5328,512" coordsize="983,0" path="m5328,512l6311,512e" filled="false" stroked="true" strokeweight=".716928pt" strokecolor="#000000">
                <v:path arrowok="t"/>
              </v:shape>
            </v:group>
            <w10:wrap type="none"/>
          </v:group>
        </w:pict>
      </w:r>
      <w:r>
        <w:rPr/>
        <w:pict>
          <v:group style="position:absolute;margin-left:319.703918pt;margin-top:23.823034pt;width:59.1pt;height:2.15pt;mso-position-horizontal-relative:page;mso-position-vertical-relative:paragraph;z-index:-646504" coordorigin="6394,476" coordsize="1182,43">
            <v:group style="position:absolute;left:6401;top:484;width:1168;height:2" coordorigin="6401,484" coordsize="1168,2">
              <v:shape style="position:absolute;left:6401;top:484;width:1168;height:2" coordorigin="6401,484" coordsize="1168,0" path="m6401,484l7568,484e" filled="false" stroked="true" strokeweight=".716928pt" strokecolor="#000000">
                <v:path arrowok="t"/>
              </v:shape>
            </v:group>
            <v:group style="position:absolute;left:6401;top:512;width:1168;height:2" coordorigin="6401,512" coordsize="1168,2">
              <v:shape style="position:absolute;left:6401;top:512;width:1168;height:2" coordorigin="6401,512" coordsize="1168,0" path="m6401,512l7568,512e" filled="false" stroked="true" strokeweight=".716928pt" strokecolor="#000000">
                <v:path arrowok="t"/>
              </v:shape>
            </v:group>
            <w10:wrap type="none"/>
          </v:group>
        </w:pict>
      </w:r>
      <w:r>
        <w:rPr/>
        <w:pict>
          <v:group style="position:absolute;margin-left:382.591431pt;margin-top:23.823034pt;width:64.95pt;height:2.15pt;mso-position-horizontal-relative:page;mso-position-vertical-relative:paragraph;z-index:-646480" coordorigin="7652,476" coordsize="1299,43">
            <v:group style="position:absolute;left:7659;top:484;width:1284;height:2" coordorigin="7659,484" coordsize="1284,2">
              <v:shape style="position:absolute;left:7659;top:484;width:1284;height:2" coordorigin="7659,484" coordsize="1284,0" path="m7659,484l8943,484e" filled="false" stroked="true" strokeweight=".716928pt" strokecolor="#000000">
                <v:path arrowok="t"/>
              </v:shape>
            </v:group>
            <v:group style="position:absolute;left:7659;top:512;width:1284;height:2" coordorigin="7659,512" coordsize="1284,2">
              <v:shape style="position:absolute;left:7659;top:512;width:1284;height:2" coordorigin="7659,512" coordsize="1284,0" path="m7659,512l8943,512e" filled="false" stroked="true" strokeweight=".716928pt" strokecolor="#000000">
                <v:path arrowok="t"/>
              </v:shape>
            </v:group>
            <w10:wrap type="none"/>
          </v:group>
        </w:pict>
      </w:r>
      <w:r>
        <w:rPr/>
        <w:pict>
          <v:group style="position:absolute;margin-left:451.319794pt;margin-top:23.823034pt;width:32.6pt;height:2.15pt;mso-position-horizontal-relative:page;mso-position-vertical-relative:paragraph;z-index:-646456" coordorigin="9026,476" coordsize="652,43">
            <v:group style="position:absolute;left:9034;top:484;width:638;height:2" coordorigin="9034,484" coordsize="638,2">
              <v:shape style="position:absolute;left:9034;top:484;width:638;height:2" coordorigin="9034,484" coordsize="638,0" path="m9034,484l9671,484e" filled="false" stroked="true" strokeweight=".716928pt" strokecolor="#000000">
                <v:path arrowok="t"/>
              </v:shape>
            </v:group>
            <v:group style="position:absolute;left:9034;top:512;width:638;height:2" coordorigin="9034,512" coordsize="638,2">
              <v:shape style="position:absolute;left:9034;top:512;width:638;height:2" coordorigin="9034,512" coordsize="638,0" path="m9034,512l9671,512e" filled="false" stroked="true" strokeweight=".716928pt" strokecolor="#000000">
                <v:path arrowok="t"/>
              </v:shape>
            </v:group>
            <w10:wrap type="none"/>
          </v:group>
        </w:pict>
      </w:r>
      <w:r>
        <w:rPr/>
        <w:pict>
          <v:group style="position:absolute;margin-left:487.719452pt;margin-top:13.0436pt;width:70.1pt;height:.75pt;mso-position-horizontal-relative:page;mso-position-vertical-relative:paragraph;z-index:-646408" coordorigin="9754,261" coordsize="1402,15">
            <v:group style="position:absolute;left:9762;top:262;width:1386;height:2" coordorigin="9762,262" coordsize="1386,2">
              <v:shape style="position:absolute;left:9762;top:262;width:1386;height:2" coordorigin="9762,262" coordsize="1386,0" path="m9762,262l11148,262e" filled="false" stroked="true" strokeweight=".104553pt" strokecolor="#000000">
                <v:path arrowok="t"/>
              </v:shape>
            </v:group>
            <v:group style="position:absolute;left:9762;top:268;width:1388;height:2" coordorigin="9762,268" coordsize="1388,2">
              <v:shape style="position:absolute;left:9762;top:268;width:1388;height:2" coordorigin="9762,268" coordsize="1388,0" path="m9762,268l11149,268e" filled="false" stroked="true" strokeweight=".716928pt" strokecolor="#000000">
                <v:path arrowok="t"/>
              </v:shape>
            </v:group>
            <w10:wrap type="none"/>
          </v:group>
        </w:pict>
      </w:r>
      <w:r>
        <w:rPr/>
        <w:pict>
          <v:group style="position:absolute;margin-left:487.719452pt;margin-top:23.823034pt;width:70.1pt;height:2.15pt;mso-position-horizontal-relative:page;mso-position-vertical-relative:paragraph;z-index:-646384" coordorigin="9754,476" coordsize="1402,43">
            <v:group style="position:absolute;left:9762;top:484;width:1388;height:2" coordorigin="9762,484" coordsize="1388,2">
              <v:shape style="position:absolute;left:9762;top:484;width:1388;height:2" coordorigin="9762,484" coordsize="1388,0" path="m9762,484l11149,484e" filled="false" stroked="true" strokeweight=".716928pt" strokecolor="#000000">
                <v:path arrowok="t"/>
              </v:shape>
            </v:group>
            <v:group style="position:absolute;left:9762;top:512;width:1388;height:2" coordorigin="9762,512" coordsize="1388,2">
              <v:shape style="position:absolute;left:9762;top:512;width:1388;height:2" coordorigin="9762,512" coordsize="1388,0" path="m9762,512l11149,512e" filled="false" stroked="true" strokeweight=".716928pt" strokecolor="#000000">
                <v:path arrowok="t"/>
              </v:shape>
            </v:group>
            <w10:wrap type="none"/>
          </v:group>
        </w:pict>
      </w:r>
      <w:r>
        <w:rPr>
          <w:rFonts w:ascii="宋体"/>
          <w:w w:val="105"/>
          <w:sz w:val="13"/>
        </w:rPr>
        <w:t>-</w:t>
        <w:tab/>
        <w:tab/>
        <w:t>-</w:t>
        <w:tab/>
        <w:t>-</w:t>
        <w:tab/>
        <w:t>-</w:t>
        <w:tab/>
        <w:tab/>
        <w:t>-</w:t>
        <w:tab/>
        <w:tab/>
        <w:t>-</w:t>
        <w:tab/>
        <w:t>-</w:t>
        <w:tab/>
        <w:tab/>
        <w:t>-</w:t>
      </w:r>
      <w:r>
        <w:rPr>
          <w:rFonts w:ascii="宋体"/>
          <w:w w:val="106"/>
          <w:sz w:val="13"/>
        </w:rPr>
        <w:t> </w:t>
      </w:r>
      <w:r>
        <w:rPr>
          <w:rFonts w:ascii="宋体"/>
          <w:w w:val="105"/>
          <w:sz w:val="13"/>
        </w:rPr>
        <w:t>63,500,000.00</w:t>
        <w:tab/>
        <w:t>692,720,393.65</w:t>
        <w:tab/>
        <w:t>-</w:t>
        <w:tab/>
        <w:t>-</w:t>
        <w:tab/>
        <w:t>7,020,701.36</w:t>
        <w:tab/>
        <w:t>53,401,391.95</w:t>
        <w:tab/>
        <w:t>-</w:t>
        <w:tab/>
        <w:t>816,642,486.96</w:t>
      </w:r>
      <w:r>
        <w:rPr>
          <w:rFonts w:ascii="宋体"/>
          <w:sz w:val="13"/>
        </w:rPr>
      </w:r>
    </w:p>
    <w:p>
      <w:pPr>
        <w:spacing w:line="240" w:lineRule="auto" w:before="7"/>
        <w:rPr>
          <w:rFonts w:ascii="宋体" w:hAnsi="宋体" w:cs="宋体" w:eastAsia="宋体" w:hint="default"/>
          <w:sz w:val="16"/>
          <w:szCs w:val="16"/>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8;top:1;width:9699;height:2" coordorigin="8,1" coordsize="9699,2">
              <v:shape style="position:absolute;left:8;top:1;width:9699;height:2" coordorigin="8,1" coordsize="9699,0" path="m8,1l9706,1e" filled="false" stroked="true" strokeweight=".104553pt" strokecolor="#000000">
                <v:path arrowok="t"/>
              </v:shape>
            </v:group>
            <v:group style="position:absolute;left:7;top:7;width:9700;height:2" coordorigin="7,7" coordsize="9700,2">
              <v:shape style="position:absolute;left:7;top:7;width:9700;height:2" coordorigin="7,7" coordsize="9700,0" path="m7,7l9707,7e" filled="false" stroked="true" strokeweight=".71695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0" w:footer="1195" w:top="1100" w:bottom="1380" w:left="1340" w:right="2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357" w:lineRule="auto"/>
        <w:ind w:right="2276"/>
        <w:jc w:val="center"/>
      </w:pPr>
      <w:r>
        <w:rPr/>
        <w:t>深圳市新国都技术股份有限公司</w:t>
      </w:r>
      <w:r>
        <w:rPr>
          <w:w w:val="99"/>
        </w:rPr>
        <w:t> </w:t>
      </w:r>
      <w:r>
        <w:rPr/>
        <w:t>二〇一一年度财务报表附注</w:t>
      </w:r>
    </w:p>
    <w:p>
      <w:pPr>
        <w:spacing w:line="240" w:lineRule="auto" w:before="7"/>
        <w:rPr>
          <w:rFonts w:ascii="黑体" w:hAnsi="黑体" w:cs="黑体" w:eastAsia="黑体" w:hint="default"/>
          <w:sz w:val="40"/>
          <w:szCs w:val="40"/>
        </w:rPr>
      </w:pPr>
    </w:p>
    <w:p>
      <w:pPr>
        <w:spacing w:before="0"/>
        <w:ind w:left="5983" w:right="0" w:firstLine="0"/>
        <w:jc w:val="left"/>
        <w:rPr>
          <w:rFonts w:ascii="宋体" w:hAnsi="宋体" w:cs="宋体" w:eastAsia="宋体" w:hint="default"/>
          <w:sz w:val="21"/>
          <w:szCs w:val="21"/>
        </w:rPr>
      </w:pPr>
      <w:r>
        <w:rPr>
          <w:rFonts w:ascii="宋体" w:hAnsi="宋体" w:cs="宋体" w:eastAsia="宋体" w:hint="default"/>
          <w:sz w:val="21"/>
          <w:szCs w:val="21"/>
        </w:rPr>
        <w:t>除特别说明，以人民币元表述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37"/>
        <w:ind w:left="102" w:right="0" w:firstLine="839"/>
        <w:jc w:val="left"/>
        <w:rPr>
          <w:rFonts w:ascii="宋体" w:hAnsi="宋体" w:cs="宋体" w:eastAsia="宋体" w:hint="default"/>
          <w:sz w:val="21"/>
          <w:szCs w:val="21"/>
        </w:rPr>
      </w:pPr>
      <w:r>
        <w:rPr>
          <w:rFonts w:ascii="宋体" w:hAnsi="宋体" w:cs="宋体" w:eastAsia="宋体" w:hint="default"/>
          <w:spacing w:val="-2"/>
          <w:sz w:val="21"/>
          <w:szCs w:val="21"/>
        </w:rPr>
        <w:t>深圳市新国都技术股份有限公司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以下简称“新国都技术”或“本公司”</w:t>
      </w:r>
      <w:r>
        <w:rPr>
          <w:rFonts w:ascii="宋体" w:hAnsi="宋体" w:cs="宋体" w:eastAsia="宋体" w:hint="default"/>
          <w:spacing w:val="-2"/>
          <w:sz w:val="21"/>
          <w:szCs w:val="21"/>
        </w:rPr>
        <w:t>)</w:t>
      </w:r>
      <w:r>
        <w:rPr>
          <w:rFonts w:ascii="宋体" w:hAnsi="宋体" w:cs="宋体" w:eastAsia="宋体" w:hint="default"/>
          <w:spacing w:val="-2"/>
          <w:sz w:val="21"/>
          <w:szCs w:val="21"/>
        </w:rPr>
        <w:t>前身为深圳</w:t>
      </w:r>
      <w:r>
        <w:rPr>
          <w:rFonts w:ascii="宋体" w:hAnsi="宋体" w:cs="宋体" w:eastAsia="宋体" w:hint="default"/>
          <w:w w:val="100"/>
          <w:sz w:val="21"/>
          <w:szCs w:val="21"/>
        </w:rPr>
        <w:t> </w:t>
      </w:r>
      <w:r>
        <w:rPr>
          <w:rFonts w:ascii="宋体" w:hAnsi="宋体" w:cs="宋体" w:eastAsia="宋体" w:hint="default"/>
          <w:sz w:val="21"/>
          <w:szCs w:val="21"/>
        </w:rPr>
        <w:t>市新国都技术有限公司，于</w:t>
      </w:r>
      <w:r>
        <w:rPr>
          <w:rFonts w:ascii="宋体" w:hAnsi="宋体" w:cs="宋体" w:eastAsia="宋体" w:hint="default"/>
          <w:spacing w:val="-54"/>
          <w:sz w:val="21"/>
          <w:szCs w:val="21"/>
        </w:rPr>
        <w:t> </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日经深圳市工商行政管理局批准成立，由刘祥、刘</w:t>
      </w:r>
    </w:p>
    <w:p>
      <w:pPr>
        <w:spacing w:line="408" w:lineRule="auto" w:before="46"/>
        <w:ind w:left="102" w:right="101" w:firstLine="0"/>
        <w:jc w:val="both"/>
        <w:rPr>
          <w:rFonts w:ascii="宋体" w:hAnsi="宋体" w:cs="宋体" w:eastAsia="宋体" w:hint="default"/>
          <w:sz w:val="21"/>
          <w:szCs w:val="21"/>
        </w:rPr>
      </w:pPr>
      <w:r>
        <w:rPr>
          <w:rFonts w:ascii="宋体" w:hAnsi="宋体" w:cs="宋体" w:eastAsia="宋体" w:hint="default"/>
          <w:sz w:val="21"/>
          <w:szCs w:val="21"/>
        </w:rPr>
        <w:t>亚和深圳市奥格立电子科技有限公司共同出资组建，注册资本为人民币</w:t>
      </w:r>
      <w:r>
        <w:rPr>
          <w:rFonts w:ascii="宋体" w:hAnsi="宋体" w:cs="宋体" w:eastAsia="宋体" w:hint="default"/>
          <w:spacing w:val="-55"/>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万元，其中刘祥出</w:t>
      </w:r>
      <w:r>
        <w:rPr>
          <w:rFonts w:ascii="宋体" w:hAnsi="宋体" w:cs="宋体" w:eastAsia="宋体" w:hint="default"/>
          <w:w w:val="100"/>
          <w:sz w:val="21"/>
          <w:szCs w:val="21"/>
        </w:rPr>
        <w:t> </w:t>
      </w:r>
      <w:r>
        <w:rPr>
          <w:rFonts w:ascii="宋体" w:hAnsi="宋体" w:cs="宋体" w:eastAsia="宋体" w:hint="default"/>
          <w:sz w:val="21"/>
          <w:szCs w:val="21"/>
        </w:rPr>
        <w:t>资人民币</w:t>
      </w:r>
      <w:r>
        <w:rPr>
          <w:rFonts w:ascii="宋体" w:hAnsi="宋体" w:cs="宋体" w:eastAsia="宋体" w:hint="default"/>
          <w:spacing w:val="-54"/>
          <w:sz w:val="21"/>
          <w:szCs w:val="21"/>
        </w:rPr>
        <w:t> </w:t>
      </w:r>
      <w:r>
        <w:rPr>
          <w:rFonts w:ascii="宋体" w:hAnsi="宋体" w:cs="宋体" w:eastAsia="宋体" w:hint="default"/>
          <w:sz w:val="21"/>
          <w:szCs w:val="21"/>
        </w:rPr>
        <w:t>120</w:t>
      </w:r>
      <w:r>
        <w:rPr>
          <w:rFonts w:ascii="宋体" w:hAnsi="宋体" w:cs="宋体" w:eastAsia="宋体" w:hint="default"/>
          <w:spacing w:val="-54"/>
          <w:sz w:val="21"/>
          <w:szCs w:val="21"/>
        </w:rPr>
        <w:t> </w:t>
      </w:r>
      <w:r>
        <w:rPr>
          <w:rFonts w:ascii="宋体" w:hAnsi="宋体" w:cs="宋体" w:eastAsia="宋体" w:hint="default"/>
          <w:sz w:val="21"/>
          <w:szCs w:val="21"/>
        </w:rPr>
        <w:t>万元，出资比例</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z w:val="21"/>
          <w:szCs w:val="21"/>
        </w:rPr>
        <w:t>；刘亚出资人民币</w:t>
      </w:r>
      <w:r>
        <w:rPr>
          <w:rFonts w:ascii="宋体" w:hAnsi="宋体" w:cs="宋体" w:eastAsia="宋体" w:hint="default"/>
          <w:spacing w:val="-54"/>
          <w:sz w:val="21"/>
          <w:szCs w:val="21"/>
        </w:rPr>
        <w:t> </w:t>
      </w:r>
      <w:r>
        <w:rPr>
          <w:rFonts w:ascii="宋体" w:hAnsi="宋体" w:cs="宋体" w:eastAsia="宋体" w:hint="default"/>
          <w:sz w:val="21"/>
          <w:szCs w:val="21"/>
        </w:rPr>
        <w:t>90</w:t>
      </w:r>
      <w:r>
        <w:rPr>
          <w:rFonts w:ascii="宋体" w:hAnsi="宋体" w:cs="宋体" w:eastAsia="宋体" w:hint="default"/>
          <w:spacing w:val="-56"/>
          <w:sz w:val="21"/>
          <w:szCs w:val="21"/>
        </w:rPr>
        <w:t> </w:t>
      </w:r>
      <w:r>
        <w:rPr>
          <w:rFonts w:ascii="宋体" w:hAnsi="宋体" w:cs="宋体" w:eastAsia="宋体" w:hint="default"/>
          <w:sz w:val="21"/>
          <w:szCs w:val="21"/>
        </w:rPr>
        <w:t>万元，出资比例</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；深圳市奥格立电</w:t>
      </w:r>
      <w:r>
        <w:rPr>
          <w:rFonts w:ascii="宋体" w:hAnsi="宋体" w:cs="宋体" w:eastAsia="宋体" w:hint="default"/>
          <w:w w:val="100"/>
          <w:sz w:val="21"/>
          <w:szCs w:val="21"/>
        </w:rPr>
        <w:t> </w:t>
      </w:r>
      <w:r>
        <w:rPr>
          <w:rFonts w:ascii="宋体" w:hAnsi="宋体" w:cs="宋体" w:eastAsia="宋体" w:hint="default"/>
          <w:sz w:val="21"/>
          <w:szCs w:val="21"/>
        </w:rPr>
        <w:t>子科技有限公司出资人民币</w:t>
      </w:r>
      <w:r>
        <w:rPr>
          <w:rFonts w:ascii="宋体" w:hAnsi="宋体" w:cs="宋体" w:eastAsia="宋体" w:hint="default"/>
          <w:spacing w:val="-44"/>
          <w:sz w:val="21"/>
          <w:szCs w:val="21"/>
        </w:rPr>
        <w:t> </w:t>
      </w:r>
      <w:r>
        <w:rPr>
          <w:rFonts w:ascii="宋体" w:hAnsi="宋体" w:cs="宋体" w:eastAsia="宋体" w:hint="default"/>
          <w:sz w:val="21"/>
          <w:szCs w:val="21"/>
        </w:rPr>
        <w:t>90</w:t>
      </w:r>
      <w:r>
        <w:rPr>
          <w:rFonts w:ascii="宋体" w:hAnsi="宋体" w:cs="宋体" w:eastAsia="宋体" w:hint="default"/>
          <w:spacing w:val="-47"/>
          <w:sz w:val="21"/>
          <w:szCs w:val="21"/>
        </w:rPr>
        <w:t> </w:t>
      </w:r>
      <w:r>
        <w:rPr>
          <w:rFonts w:ascii="宋体" w:hAnsi="宋体" w:cs="宋体" w:eastAsia="宋体" w:hint="default"/>
          <w:spacing w:val="-5"/>
          <w:sz w:val="21"/>
          <w:szCs w:val="21"/>
        </w:rPr>
        <w:t>万元，出资比例</w:t>
      </w:r>
      <w:r>
        <w:rPr>
          <w:rFonts w:ascii="宋体" w:hAnsi="宋体" w:cs="宋体" w:eastAsia="宋体" w:hint="default"/>
          <w:spacing w:val="-45"/>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。本次出资业经深圳市远东会计师事务所深</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w w:val="100"/>
          <w:sz w:val="21"/>
          <w:szCs w:val="21"/>
        </w:rPr>
        <w:t>远东验字</w:t>
      </w:r>
      <w:r>
        <w:rPr>
          <w:rFonts w:ascii="宋体" w:hAnsi="宋体" w:cs="宋体" w:eastAsia="宋体" w:hint="default"/>
          <w:spacing w:val="-1"/>
          <w:w w:val="100"/>
          <w:sz w:val="21"/>
          <w:szCs w:val="21"/>
        </w:rPr>
        <w:t>[2001]</w:t>
      </w:r>
      <w:r>
        <w:rPr>
          <w:rFonts w:ascii="宋体" w:hAnsi="宋体" w:cs="宋体" w:eastAsia="宋体" w:hint="default"/>
          <w:spacing w:val="-1"/>
          <w:w w:val="100"/>
          <w:sz w:val="21"/>
          <w:szCs w:val="21"/>
        </w:rPr>
        <w:t>第</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347</w:t>
      </w:r>
      <w:r>
        <w:rPr>
          <w:rFonts w:ascii="宋体" w:hAnsi="宋体" w:cs="宋体" w:eastAsia="宋体" w:hint="default"/>
          <w:spacing w:val="-49"/>
          <w:w w:val="100"/>
          <w:sz w:val="21"/>
          <w:szCs w:val="21"/>
        </w:rPr>
        <w:t> </w:t>
      </w:r>
      <w:r>
        <w:rPr>
          <w:rFonts w:ascii="宋体" w:hAnsi="宋体" w:cs="宋体" w:eastAsia="宋体" w:hint="default"/>
          <w:spacing w:val="-9"/>
          <w:w w:val="100"/>
          <w:sz w:val="21"/>
          <w:szCs w:val="21"/>
        </w:rPr>
        <w:t>号验资报告验证，并领取注册号为</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4403012070860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的企业法人营业执照。</w:t>
      </w:r>
    </w:p>
    <w:p>
      <w:pPr>
        <w:spacing w:line="408" w:lineRule="auto" w:before="46"/>
        <w:ind w:left="102" w:right="204" w:firstLine="419"/>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日经股东会决议，刘亚将其持有的新国都技术</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的股权转让给刘祥，转</w:t>
      </w:r>
      <w:r>
        <w:rPr>
          <w:rFonts w:ascii="宋体" w:hAnsi="宋体" w:cs="宋体" w:eastAsia="宋体" w:hint="default"/>
          <w:w w:val="100"/>
          <w:sz w:val="21"/>
          <w:szCs w:val="21"/>
        </w:rPr>
        <w:t> </w:t>
      </w:r>
      <w:r>
        <w:rPr>
          <w:rFonts w:ascii="宋体" w:hAnsi="宋体" w:cs="宋体" w:eastAsia="宋体" w:hint="default"/>
          <w:sz w:val="21"/>
          <w:szCs w:val="21"/>
        </w:rPr>
        <w:t>让完成后股权结构为：刘祥占注册资本的</w:t>
      </w:r>
      <w:r>
        <w:rPr>
          <w:rFonts w:ascii="宋体" w:hAnsi="宋体" w:cs="宋体" w:eastAsia="宋体" w:hint="default"/>
          <w:spacing w:val="-5"/>
          <w:sz w:val="21"/>
          <w:szCs w:val="21"/>
        </w:rPr>
        <w:t> </w:t>
      </w:r>
      <w:r>
        <w:rPr>
          <w:rFonts w:ascii="宋体" w:hAnsi="宋体" w:cs="宋体" w:eastAsia="宋体" w:hint="default"/>
          <w:sz w:val="21"/>
          <w:szCs w:val="21"/>
        </w:rPr>
        <w:t>70%</w:t>
      </w:r>
      <w:r>
        <w:rPr>
          <w:rFonts w:ascii="宋体" w:hAnsi="宋体" w:cs="宋体" w:eastAsia="宋体" w:hint="default"/>
          <w:sz w:val="21"/>
          <w:szCs w:val="21"/>
        </w:rPr>
        <w:t>；深圳市奥格立电子科技有限公司占注册资本的</w:t>
      </w:r>
      <w:r>
        <w:rPr>
          <w:rFonts w:ascii="宋体" w:hAnsi="宋体" w:cs="宋体" w:eastAsia="宋体" w:hint="default"/>
          <w:w w:val="100"/>
          <w:sz w:val="21"/>
          <w:szCs w:val="21"/>
        </w:rPr>
        <w:t> </w:t>
      </w:r>
      <w:r>
        <w:rPr>
          <w:rFonts w:ascii="宋体" w:hAnsi="宋体" w:cs="宋体" w:eastAsia="宋体" w:hint="default"/>
          <w:sz w:val="21"/>
          <w:szCs w:val="21"/>
        </w:rPr>
        <w:t>30%</w:t>
      </w:r>
      <w:r>
        <w:rPr>
          <w:rFonts w:ascii="宋体" w:hAnsi="宋体" w:cs="宋体" w:eastAsia="宋体" w:hint="default"/>
          <w:sz w:val="21"/>
          <w:szCs w:val="21"/>
        </w:rPr>
        <w:t>。并于</w:t>
      </w:r>
      <w:r>
        <w:rPr>
          <w:rFonts w:ascii="宋体" w:hAnsi="宋体" w:cs="宋体" w:eastAsia="宋体" w:hint="default"/>
          <w:spacing w:val="-54"/>
          <w:sz w:val="21"/>
          <w:szCs w:val="21"/>
        </w:rPr>
        <w:t> </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日办理了工商变更手续。</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21</w:t>
      </w:r>
      <w:r>
        <w:rPr>
          <w:rFonts w:ascii="宋体" w:hAnsi="宋体" w:cs="宋体" w:eastAsia="宋体" w:hint="default"/>
          <w:spacing w:val="-48"/>
          <w:sz w:val="21"/>
          <w:szCs w:val="21"/>
        </w:rPr>
        <w:t> </w:t>
      </w:r>
      <w:r>
        <w:rPr>
          <w:rFonts w:ascii="宋体" w:hAnsi="宋体" w:cs="宋体" w:eastAsia="宋体" w:hint="default"/>
          <w:sz w:val="21"/>
          <w:szCs w:val="21"/>
        </w:rPr>
        <w:t>日经股东会决议，增加注册资本人民币</w:t>
      </w:r>
      <w:r>
        <w:rPr>
          <w:rFonts w:ascii="宋体" w:hAnsi="宋体" w:cs="宋体" w:eastAsia="宋体" w:hint="default"/>
          <w:spacing w:val="-45"/>
          <w:sz w:val="21"/>
          <w:szCs w:val="21"/>
        </w:rPr>
        <w:t> </w:t>
      </w:r>
      <w:r>
        <w:rPr>
          <w:rFonts w:ascii="宋体" w:hAnsi="宋体" w:cs="宋体" w:eastAsia="宋体" w:hint="default"/>
          <w:sz w:val="21"/>
          <w:szCs w:val="21"/>
        </w:rPr>
        <w:t>1,200</w:t>
      </w:r>
      <w:r>
        <w:rPr>
          <w:rFonts w:ascii="宋体" w:hAnsi="宋体" w:cs="宋体" w:eastAsia="宋体" w:hint="default"/>
          <w:spacing w:val="-47"/>
          <w:sz w:val="21"/>
          <w:szCs w:val="21"/>
        </w:rPr>
        <w:t> </w:t>
      </w:r>
      <w:r>
        <w:rPr>
          <w:rFonts w:ascii="宋体" w:hAnsi="宋体" w:cs="宋体" w:eastAsia="宋体" w:hint="default"/>
          <w:sz w:val="21"/>
          <w:szCs w:val="21"/>
        </w:rPr>
        <w:t>万元，全部由股东深圳市奥</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格立电子科技有限公司投入，增资后新国都技术注册资本为人民币</w:t>
      </w:r>
      <w:r>
        <w:rPr>
          <w:rFonts w:ascii="宋体" w:hAnsi="宋体" w:cs="宋体" w:eastAsia="宋体" w:hint="default"/>
          <w:spacing w:val="-57"/>
          <w:sz w:val="21"/>
          <w:szCs w:val="21"/>
        </w:rPr>
        <w:t> </w:t>
      </w:r>
      <w:r>
        <w:rPr>
          <w:rFonts w:ascii="宋体" w:hAnsi="宋体" w:cs="宋体" w:eastAsia="宋体" w:hint="default"/>
          <w:sz w:val="21"/>
          <w:szCs w:val="21"/>
        </w:rPr>
        <w:t>1,500</w:t>
      </w:r>
      <w:r>
        <w:rPr>
          <w:rFonts w:ascii="宋体" w:hAnsi="宋体" w:cs="宋体" w:eastAsia="宋体" w:hint="default"/>
          <w:spacing w:val="-55"/>
          <w:sz w:val="21"/>
          <w:szCs w:val="21"/>
        </w:rPr>
        <w:t> </w:t>
      </w:r>
      <w:r>
        <w:rPr>
          <w:rFonts w:ascii="宋体" w:hAnsi="宋体" w:cs="宋体" w:eastAsia="宋体" w:hint="default"/>
          <w:sz w:val="21"/>
          <w:szCs w:val="21"/>
        </w:rPr>
        <w:t>万元，其中：深圳市</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奥格立电子科技有限公司占注册资本的</w:t>
      </w:r>
      <w:r>
        <w:rPr>
          <w:rFonts w:ascii="宋体" w:hAnsi="宋体" w:cs="宋体" w:eastAsia="宋体" w:hint="default"/>
          <w:spacing w:val="-50"/>
          <w:sz w:val="21"/>
          <w:szCs w:val="21"/>
        </w:rPr>
        <w:t> </w:t>
      </w:r>
      <w:r>
        <w:rPr>
          <w:rFonts w:ascii="宋体" w:hAnsi="宋体" w:cs="宋体" w:eastAsia="宋体" w:hint="default"/>
          <w:spacing w:val="-6"/>
          <w:sz w:val="21"/>
          <w:szCs w:val="21"/>
        </w:rPr>
        <w:t>86%</w:t>
      </w:r>
      <w:r>
        <w:rPr>
          <w:rFonts w:ascii="宋体" w:hAnsi="宋体" w:cs="宋体" w:eastAsia="宋体" w:hint="default"/>
          <w:spacing w:val="-6"/>
          <w:sz w:val="21"/>
          <w:szCs w:val="21"/>
        </w:rPr>
        <w:t>；刘祥占注册资本的</w:t>
      </w:r>
      <w:r>
        <w:rPr>
          <w:rFonts w:ascii="宋体" w:hAnsi="宋体" w:cs="宋体" w:eastAsia="宋体" w:hint="default"/>
          <w:spacing w:val="-50"/>
          <w:sz w:val="21"/>
          <w:szCs w:val="21"/>
        </w:rPr>
        <w:t> </w:t>
      </w:r>
      <w:r>
        <w:rPr>
          <w:rFonts w:ascii="宋体" w:hAnsi="宋体" w:cs="宋体" w:eastAsia="宋体" w:hint="default"/>
          <w:spacing w:val="-10"/>
          <w:sz w:val="21"/>
          <w:szCs w:val="21"/>
        </w:rPr>
        <w:t>14%</w:t>
      </w:r>
      <w:r>
        <w:rPr>
          <w:rFonts w:ascii="宋体" w:hAnsi="宋体" w:cs="宋体" w:eastAsia="宋体" w:hint="default"/>
          <w:spacing w:val="-10"/>
          <w:sz w:val="21"/>
          <w:szCs w:val="21"/>
        </w:rPr>
        <w:t>。并于</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pacing w:val="-3"/>
          <w:sz w:val="21"/>
          <w:szCs w:val="21"/>
        </w:rPr>
        <w:t>日办</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102" w:right="201" w:firstLine="0"/>
        <w:jc w:val="left"/>
        <w:rPr>
          <w:rFonts w:ascii="宋体" w:hAnsi="宋体" w:cs="宋体" w:eastAsia="宋体" w:hint="default"/>
          <w:sz w:val="21"/>
          <w:szCs w:val="21"/>
        </w:rPr>
      </w:pPr>
      <w:r>
        <w:rPr>
          <w:rFonts w:ascii="宋体" w:hAnsi="宋体" w:cs="宋体" w:eastAsia="宋体" w:hint="default"/>
          <w:sz w:val="21"/>
          <w:szCs w:val="21"/>
        </w:rPr>
        <w:t>理了工商变更手续。本次增资业经深圳市长城会计师事务所有限公司深长验字</w:t>
      </w:r>
      <w:r>
        <w:rPr>
          <w:rFonts w:ascii="宋体" w:hAnsi="宋体" w:cs="宋体" w:eastAsia="宋体" w:hint="default"/>
          <w:sz w:val="21"/>
          <w:szCs w:val="21"/>
        </w:rPr>
        <w:t>(2004)</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宋体" w:hAnsi="宋体" w:cs="宋体" w:eastAsia="宋体" w:hint="default"/>
          <w:sz w:val="21"/>
          <w:szCs w:val="21"/>
        </w:rPr>
        <w:t>159</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验资报告验证。</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13</w:t>
      </w:r>
      <w:r>
        <w:rPr>
          <w:rFonts w:ascii="宋体" w:hAnsi="宋体" w:cs="宋体" w:eastAsia="宋体" w:hint="default"/>
          <w:spacing w:val="-47"/>
          <w:sz w:val="21"/>
          <w:szCs w:val="21"/>
        </w:rPr>
        <w:t> </w:t>
      </w:r>
      <w:r>
        <w:rPr>
          <w:rFonts w:ascii="宋体" w:hAnsi="宋体" w:cs="宋体" w:eastAsia="宋体" w:hint="default"/>
          <w:spacing w:val="-3"/>
          <w:sz w:val="21"/>
          <w:szCs w:val="21"/>
        </w:rPr>
        <w:t>日经股东会决议，增加注册资本人民币</w:t>
      </w:r>
      <w:r>
        <w:rPr>
          <w:rFonts w:ascii="宋体" w:hAnsi="宋体" w:cs="宋体" w:eastAsia="宋体" w:hint="default"/>
          <w:spacing w:val="-47"/>
          <w:sz w:val="21"/>
          <w:szCs w:val="21"/>
        </w:rPr>
        <w:t> </w:t>
      </w:r>
      <w:r>
        <w:rPr>
          <w:rFonts w:ascii="宋体" w:hAnsi="宋体" w:cs="宋体" w:eastAsia="宋体" w:hint="default"/>
          <w:sz w:val="21"/>
          <w:szCs w:val="21"/>
        </w:rPr>
        <w:t>2,500</w:t>
      </w:r>
      <w:r>
        <w:rPr>
          <w:rFonts w:ascii="宋体" w:hAnsi="宋体" w:cs="宋体" w:eastAsia="宋体" w:hint="default"/>
          <w:spacing w:val="-48"/>
          <w:sz w:val="21"/>
          <w:szCs w:val="21"/>
        </w:rPr>
        <w:t> </w:t>
      </w:r>
      <w:r>
        <w:rPr>
          <w:rFonts w:ascii="宋体" w:hAnsi="宋体" w:cs="宋体" w:eastAsia="宋体" w:hint="default"/>
          <w:spacing w:val="-4"/>
          <w:sz w:val="21"/>
          <w:szCs w:val="21"/>
        </w:rPr>
        <w:t>万元，全部由未分配利润转</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增，增资后新国都技术注册资本为人民币</w:t>
      </w:r>
      <w:r>
        <w:rPr>
          <w:rFonts w:ascii="宋体" w:hAnsi="宋体" w:cs="宋体" w:eastAsia="宋体" w:hint="default"/>
          <w:spacing w:val="-57"/>
          <w:sz w:val="21"/>
          <w:szCs w:val="21"/>
        </w:rPr>
        <w:t> </w:t>
      </w:r>
      <w:r>
        <w:rPr>
          <w:rFonts w:ascii="宋体" w:hAnsi="宋体" w:cs="宋体" w:eastAsia="宋体" w:hint="default"/>
          <w:sz w:val="21"/>
          <w:szCs w:val="21"/>
        </w:rPr>
        <w:t>4,000</w:t>
      </w:r>
      <w:r>
        <w:rPr>
          <w:rFonts w:ascii="宋体" w:hAnsi="宋体" w:cs="宋体" w:eastAsia="宋体" w:hint="default"/>
          <w:spacing w:val="-55"/>
          <w:sz w:val="21"/>
          <w:szCs w:val="21"/>
        </w:rPr>
        <w:t> </w:t>
      </w:r>
      <w:r>
        <w:rPr>
          <w:rFonts w:ascii="宋体" w:hAnsi="宋体" w:cs="宋体" w:eastAsia="宋体" w:hint="default"/>
          <w:sz w:val="21"/>
          <w:szCs w:val="21"/>
        </w:rPr>
        <w:t>万元，其中：深圳市奥格立电子科技有限公司</w:t>
      </w:r>
    </w:p>
    <w:p>
      <w:pPr>
        <w:spacing w:line="240" w:lineRule="auto" w:before="10"/>
        <w:rPr>
          <w:rFonts w:ascii="宋体" w:hAnsi="宋体" w:cs="宋体" w:eastAsia="宋体" w:hint="default"/>
          <w:sz w:val="14"/>
          <w:szCs w:val="14"/>
        </w:rPr>
      </w:pPr>
    </w:p>
    <w:p>
      <w:pPr>
        <w:spacing w:line="408" w:lineRule="auto" w:before="0"/>
        <w:ind w:left="102" w:right="205" w:firstLine="0"/>
        <w:jc w:val="left"/>
        <w:rPr>
          <w:rFonts w:ascii="宋体" w:hAnsi="宋体" w:cs="宋体" w:eastAsia="宋体" w:hint="default"/>
          <w:sz w:val="21"/>
          <w:szCs w:val="21"/>
        </w:rPr>
      </w:pPr>
      <w:r>
        <w:rPr>
          <w:rFonts w:ascii="宋体" w:hAnsi="宋体" w:cs="宋体" w:eastAsia="宋体" w:hint="default"/>
          <w:sz w:val="21"/>
          <w:szCs w:val="21"/>
        </w:rPr>
        <w:t>占注册资本的</w:t>
      </w:r>
      <w:r>
        <w:rPr>
          <w:rFonts w:ascii="宋体" w:hAnsi="宋体" w:cs="宋体" w:eastAsia="宋体" w:hint="default"/>
          <w:spacing w:val="-53"/>
          <w:sz w:val="21"/>
          <w:szCs w:val="21"/>
        </w:rPr>
        <w:t> </w:t>
      </w:r>
      <w:r>
        <w:rPr>
          <w:rFonts w:ascii="宋体" w:hAnsi="宋体" w:cs="宋体" w:eastAsia="宋体" w:hint="default"/>
          <w:sz w:val="21"/>
          <w:szCs w:val="21"/>
        </w:rPr>
        <w:t>86%</w:t>
      </w:r>
      <w:r>
        <w:rPr>
          <w:rFonts w:ascii="宋体" w:hAnsi="宋体" w:cs="宋体" w:eastAsia="宋体" w:hint="default"/>
          <w:sz w:val="21"/>
          <w:szCs w:val="21"/>
        </w:rPr>
        <w:t>；刘祥占注册资本的</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z w:val="21"/>
          <w:szCs w:val="21"/>
        </w:rPr>
        <w:t>。并于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日办理了工商变更手续，本</w:t>
      </w:r>
      <w:r>
        <w:rPr>
          <w:rFonts w:ascii="宋体" w:hAnsi="宋体" w:cs="宋体" w:eastAsia="宋体" w:hint="default"/>
          <w:w w:val="100"/>
          <w:sz w:val="21"/>
          <w:szCs w:val="21"/>
        </w:rPr>
        <w:t> </w:t>
      </w:r>
      <w:r>
        <w:rPr>
          <w:rFonts w:ascii="宋体" w:hAnsi="宋体" w:cs="宋体" w:eastAsia="宋体" w:hint="default"/>
          <w:spacing w:val="-2"/>
          <w:sz w:val="21"/>
          <w:szCs w:val="21"/>
        </w:rPr>
        <w:t>次增资业经深圳大华天诚会计师事务所深华验字</w:t>
      </w:r>
      <w:r>
        <w:rPr>
          <w:rFonts w:ascii="宋体" w:hAnsi="宋体" w:cs="宋体" w:eastAsia="宋体" w:hint="default"/>
          <w:spacing w:val="-2"/>
          <w:sz w:val="21"/>
          <w:szCs w:val="21"/>
        </w:rPr>
        <w:t>[2007]152</w:t>
      </w:r>
      <w:r>
        <w:rPr>
          <w:rFonts w:ascii="宋体" w:hAnsi="宋体" w:cs="宋体" w:eastAsia="宋体" w:hint="default"/>
          <w:spacing w:val="15"/>
          <w:sz w:val="21"/>
          <w:szCs w:val="21"/>
        </w:rPr>
        <w:t> </w:t>
      </w:r>
      <w:r>
        <w:rPr>
          <w:rFonts w:ascii="宋体" w:hAnsi="宋体" w:cs="宋体" w:eastAsia="宋体" w:hint="default"/>
          <w:spacing w:val="-2"/>
          <w:sz w:val="21"/>
          <w:szCs w:val="21"/>
        </w:rPr>
        <w:t>号验资报告验证。</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日股东会通过了同意深圳市奥格立电子科技有限公司将其持有新国都技术</w:t>
      </w:r>
    </w:p>
    <w:p>
      <w:pPr>
        <w:spacing w:after="0"/>
        <w:jc w:val="left"/>
        <w:rPr>
          <w:rFonts w:ascii="宋体" w:hAnsi="宋体" w:cs="宋体" w:eastAsia="宋体" w:hint="default"/>
          <w:sz w:val="21"/>
          <w:szCs w:val="21"/>
        </w:rPr>
        <w:sectPr>
          <w:footerReference w:type="default" r:id="rId56"/>
          <w:pgSz w:w="11910" w:h="16840"/>
          <w:pgMar w:footer="1195" w:header="0" w:top="1580" w:bottom="1380" w:left="1600" w:right="1380"/>
          <w:pgNumType w:start="94"/>
        </w:sectPr>
      </w:pPr>
    </w:p>
    <w:p>
      <w:pPr>
        <w:spacing w:line="408" w:lineRule="auto" w:before="24"/>
        <w:ind w:left="102" w:right="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4"/>
          <w:sz w:val="21"/>
          <w:szCs w:val="21"/>
        </w:rPr>
        <w:t> </w:t>
      </w:r>
      <w:r>
        <w:rPr>
          <w:rFonts w:ascii="宋体" w:hAnsi="宋体" w:cs="宋体" w:eastAsia="宋体" w:hint="default"/>
          <w:sz w:val="21"/>
          <w:szCs w:val="21"/>
        </w:rPr>
        <w:t>86%</w:t>
      </w:r>
      <w:r>
        <w:rPr>
          <w:rFonts w:ascii="宋体" w:hAnsi="宋体" w:cs="宋体" w:eastAsia="宋体" w:hint="default"/>
          <w:sz w:val="21"/>
          <w:szCs w:val="21"/>
        </w:rPr>
        <w:t>的股权以人民币</w:t>
      </w:r>
      <w:r>
        <w:rPr>
          <w:rFonts w:ascii="宋体" w:hAnsi="宋体" w:cs="宋体" w:eastAsia="宋体" w:hint="default"/>
          <w:spacing w:val="-43"/>
          <w:sz w:val="21"/>
          <w:szCs w:val="21"/>
        </w:rPr>
        <w:t> </w:t>
      </w:r>
      <w:r>
        <w:rPr>
          <w:rFonts w:ascii="宋体" w:hAnsi="宋体" w:cs="宋体" w:eastAsia="宋体" w:hint="default"/>
          <w:sz w:val="21"/>
          <w:szCs w:val="21"/>
        </w:rPr>
        <w:t>4,449.64</w:t>
      </w:r>
      <w:r>
        <w:rPr>
          <w:rFonts w:ascii="宋体" w:hAnsi="宋体" w:cs="宋体" w:eastAsia="宋体" w:hint="default"/>
          <w:spacing w:val="-46"/>
          <w:sz w:val="21"/>
          <w:szCs w:val="21"/>
        </w:rPr>
        <w:t> </w:t>
      </w:r>
      <w:r>
        <w:rPr>
          <w:rFonts w:ascii="宋体" w:hAnsi="宋体" w:cs="宋体" w:eastAsia="宋体" w:hint="default"/>
          <w:spacing w:val="-7"/>
          <w:sz w:val="21"/>
          <w:szCs w:val="21"/>
        </w:rPr>
        <w:t>万元的价格转让给刘祥、刘亚、江汉、李俊、徐兴春、栾承岚、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李林杰、陈希芬、徐金芳、韦余红、赵辉、汪洋、聂淼 </w:t>
      </w:r>
      <w:r>
        <w:rPr>
          <w:rFonts w:ascii="宋体" w:hAnsi="宋体" w:cs="宋体" w:eastAsia="宋体" w:hint="default"/>
          <w:sz w:val="21"/>
          <w:szCs w:val="21"/>
        </w:rPr>
        <w:t>13</w:t>
      </w:r>
      <w:r>
        <w:rPr>
          <w:rFonts w:ascii="宋体" w:hAnsi="宋体" w:cs="宋体" w:eastAsia="宋体" w:hint="default"/>
          <w:spacing w:val="-22"/>
          <w:sz w:val="21"/>
          <w:szCs w:val="21"/>
        </w:rPr>
        <w:t> </w:t>
      </w:r>
      <w:r>
        <w:rPr>
          <w:rFonts w:ascii="宋体" w:hAnsi="宋体" w:cs="宋体" w:eastAsia="宋体" w:hint="default"/>
          <w:spacing w:val="-3"/>
          <w:sz w:val="21"/>
          <w:szCs w:val="21"/>
        </w:rPr>
        <w:t>位自然人的决议，转让后深圳市奥格</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立电子科技有限公司不再持有新国都技术的股份。并于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3</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24</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日办理了工商变更手续。</w:t>
      </w:r>
      <w:r>
        <w:rPr>
          <w:rFonts w:ascii="宋体" w:hAnsi="宋体" w:cs="宋体" w:eastAsia="宋体" w:hint="default"/>
          <w:w w:val="100"/>
          <w:sz w:val="21"/>
          <w:szCs w:val="21"/>
        </w:rPr>
        <w:t> </w:t>
      </w:r>
      <w:r>
        <w:rPr>
          <w:rFonts w:ascii="宋体" w:hAnsi="宋体" w:cs="宋体" w:eastAsia="宋体" w:hint="default"/>
          <w:sz w:val="21"/>
          <w:szCs w:val="21"/>
        </w:rPr>
        <w:t>本次股权转让完成后，新国都技术股权结构如下表：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2081"/>
        <w:gridCol w:w="1616"/>
        <w:gridCol w:w="1858"/>
        <w:gridCol w:w="977"/>
        <w:gridCol w:w="2002"/>
      </w:tblGrid>
      <w:tr>
        <w:trPr>
          <w:trHeight w:val="296" w:hRule="exact"/>
        </w:trPr>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left="68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180" w:lineRule="exact"/>
              <w:ind w:left="300" w:right="0"/>
              <w:jc w:val="left"/>
              <w:rPr>
                <w:rFonts w:ascii="宋体" w:hAnsi="宋体" w:cs="宋体" w:eastAsia="宋体" w:hint="default"/>
                <w:sz w:val="18"/>
                <w:szCs w:val="18"/>
              </w:rPr>
            </w:pPr>
            <w:r>
              <w:rPr>
                <w:rFonts w:ascii="宋体" w:hAnsi="宋体" w:cs="宋体" w:eastAsia="宋体" w:hint="default"/>
                <w:sz w:val="18"/>
                <w:szCs w:val="18"/>
              </w:rPr>
              <w:t>所持股份</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643"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400"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2,115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52.875%</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705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17.625%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705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17.625%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1%</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1.5%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40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1%</w:t>
            </w:r>
          </w:p>
        </w:tc>
      </w:tr>
      <w:tr>
        <w:trPr>
          <w:trHeight w:val="39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1.5%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50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1.25%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35</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0.875%</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60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1.5%</w:t>
            </w:r>
          </w:p>
        </w:tc>
      </w:tr>
      <w:tr>
        <w:trPr>
          <w:trHeight w:val="403"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50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1.25%</w:t>
            </w:r>
          </w:p>
        </w:tc>
      </w:tr>
      <w:tr>
        <w:trPr>
          <w:trHeight w:val="418"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4,000</w:t>
            </w:r>
          </w:p>
        </w:tc>
        <w:tc>
          <w:tcPr>
            <w:tcW w:w="977"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100%</w:t>
            </w:r>
          </w:p>
        </w:tc>
      </w:tr>
    </w:tbl>
    <w:p>
      <w:pPr>
        <w:spacing w:line="240" w:lineRule="auto" w:before="9"/>
        <w:rPr>
          <w:rFonts w:ascii="宋体" w:hAnsi="宋体" w:cs="宋体" w:eastAsia="宋体" w:hint="default"/>
          <w:sz w:val="29"/>
          <w:szCs w:val="29"/>
        </w:rPr>
      </w:pPr>
    </w:p>
    <w:p>
      <w:pPr>
        <w:spacing w:before="36"/>
        <w:ind w:left="521"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日召开的</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年第</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5"/>
          <w:sz w:val="21"/>
          <w:szCs w:val="21"/>
        </w:rPr>
        <w:t>次临时股东会会议及其决议、</w:t>
      </w:r>
      <w:r>
        <w:rPr>
          <w:rFonts w:ascii="宋体" w:hAnsi="宋体" w:cs="宋体" w:eastAsia="宋体" w:hint="default"/>
          <w:spacing w:val="-5"/>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日签</w:t>
      </w:r>
    </w:p>
    <w:p>
      <w:pPr>
        <w:spacing w:line="240" w:lineRule="auto" w:before="11"/>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pacing w:val="-3"/>
          <w:sz w:val="21"/>
          <w:szCs w:val="21"/>
        </w:rPr>
        <w:t>订的发起人协议规定，新国都技术由有限责任公司整体变更为股份有限公司，以截止</w:t>
      </w:r>
      <w:r>
        <w:rPr>
          <w:rFonts w:ascii="宋体" w:hAnsi="宋体" w:cs="宋体" w:eastAsia="宋体" w:hint="default"/>
          <w:spacing w:val="-34"/>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3</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z w:val="21"/>
          <w:szCs w:val="21"/>
        </w:rPr>
        <w:t>日经审计的净资产人民币</w:t>
      </w:r>
      <w:r>
        <w:rPr>
          <w:rFonts w:ascii="宋体" w:hAnsi="宋体" w:cs="宋体" w:eastAsia="宋体" w:hint="default"/>
          <w:spacing w:val="-66"/>
          <w:sz w:val="21"/>
          <w:szCs w:val="21"/>
        </w:rPr>
        <w:t> </w:t>
      </w:r>
      <w:r>
        <w:rPr>
          <w:rFonts w:ascii="宋体" w:hAnsi="宋体" w:cs="宋体" w:eastAsia="宋体" w:hint="default"/>
          <w:sz w:val="21"/>
          <w:szCs w:val="21"/>
        </w:rPr>
        <w:t>59,860,459.32</w:t>
      </w:r>
      <w:r>
        <w:rPr>
          <w:rFonts w:ascii="宋体" w:hAnsi="宋体" w:cs="宋体" w:eastAsia="宋体" w:hint="default"/>
          <w:spacing w:val="-68"/>
          <w:sz w:val="21"/>
          <w:szCs w:val="21"/>
        </w:rPr>
        <w:t> </w:t>
      </w:r>
      <w:r>
        <w:rPr>
          <w:rFonts w:ascii="宋体" w:hAnsi="宋体" w:cs="宋体" w:eastAsia="宋体" w:hint="default"/>
          <w:sz w:val="21"/>
          <w:szCs w:val="21"/>
        </w:rPr>
        <w:t>元中的</w:t>
      </w:r>
      <w:r>
        <w:rPr>
          <w:rFonts w:ascii="宋体" w:hAnsi="宋体" w:cs="宋体" w:eastAsia="宋体" w:hint="default"/>
          <w:spacing w:val="-66"/>
          <w:sz w:val="21"/>
          <w:szCs w:val="21"/>
        </w:rPr>
        <w:t> </w:t>
      </w:r>
      <w:r>
        <w:rPr>
          <w:rFonts w:ascii="宋体" w:hAnsi="宋体" w:cs="宋体" w:eastAsia="宋体" w:hint="default"/>
          <w:sz w:val="21"/>
          <w:szCs w:val="21"/>
        </w:rPr>
        <w:t>4,000</w:t>
      </w:r>
      <w:r>
        <w:rPr>
          <w:rFonts w:ascii="宋体" w:hAnsi="宋体" w:cs="宋体" w:eastAsia="宋体" w:hint="default"/>
          <w:spacing w:val="-66"/>
          <w:sz w:val="21"/>
          <w:szCs w:val="21"/>
        </w:rPr>
        <w:t> </w:t>
      </w:r>
      <w:r>
        <w:rPr>
          <w:rFonts w:ascii="宋体" w:hAnsi="宋体" w:cs="宋体" w:eastAsia="宋体" w:hint="default"/>
          <w:sz w:val="21"/>
          <w:szCs w:val="21"/>
        </w:rPr>
        <w:t>万元按</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z w:val="21"/>
          <w:szCs w:val="21"/>
        </w:rPr>
        <w:t>的比例折合为股本总额</w:t>
      </w:r>
    </w:p>
    <w:p>
      <w:pPr>
        <w:spacing w:line="240" w:lineRule="auto" w:before="10"/>
        <w:rPr>
          <w:rFonts w:ascii="宋体" w:hAnsi="宋体" w:cs="宋体" w:eastAsia="宋体" w:hint="default"/>
          <w:sz w:val="14"/>
          <w:szCs w:val="14"/>
        </w:rPr>
      </w:pPr>
    </w:p>
    <w:p>
      <w:pPr>
        <w:spacing w:line="408" w:lineRule="auto" w:before="0"/>
        <w:ind w:left="102" w:right="204" w:firstLine="0"/>
        <w:jc w:val="both"/>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38"/>
          <w:sz w:val="21"/>
          <w:szCs w:val="21"/>
        </w:rPr>
        <w:t> </w:t>
      </w:r>
      <w:r>
        <w:rPr>
          <w:rFonts w:ascii="宋体" w:hAnsi="宋体" w:cs="宋体" w:eastAsia="宋体" w:hint="default"/>
          <w:sz w:val="21"/>
          <w:szCs w:val="21"/>
        </w:rPr>
        <w:t>万股。变更后的注册资本为人民币</w:t>
      </w:r>
      <w:r>
        <w:rPr>
          <w:rFonts w:ascii="宋体" w:hAnsi="宋体" w:cs="宋体" w:eastAsia="宋体" w:hint="default"/>
          <w:spacing w:val="-37"/>
          <w:sz w:val="21"/>
          <w:szCs w:val="21"/>
        </w:rPr>
        <w:t> </w:t>
      </w:r>
      <w:r>
        <w:rPr>
          <w:rFonts w:ascii="宋体" w:hAnsi="宋体" w:cs="宋体" w:eastAsia="宋体" w:hint="default"/>
          <w:sz w:val="21"/>
          <w:szCs w:val="21"/>
        </w:rPr>
        <w:t>4,000</w:t>
      </w:r>
      <w:r>
        <w:rPr>
          <w:rFonts w:ascii="宋体" w:hAnsi="宋体" w:cs="宋体" w:eastAsia="宋体" w:hint="default"/>
          <w:spacing w:val="-40"/>
          <w:sz w:val="21"/>
          <w:szCs w:val="21"/>
        </w:rPr>
        <w:t> </w:t>
      </w:r>
      <w:r>
        <w:rPr>
          <w:rFonts w:ascii="宋体" w:hAnsi="宋体" w:cs="宋体" w:eastAsia="宋体" w:hint="default"/>
          <w:sz w:val="21"/>
          <w:szCs w:val="21"/>
        </w:rPr>
        <w:t>万元。本次变更业经深圳大华天诚会计师事务</w:t>
      </w:r>
      <w:r>
        <w:rPr>
          <w:rFonts w:ascii="宋体" w:hAnsi="宋体" w:cs="宋体" w:eastAsia="宋体" w:hint="default"/>
          <w:w w:val="100"/>
          <w:sz w:val="21"/>
          <w:szCs w:val="21"/>
        </w:rPr>
        <w:t> </w:t>
      </w:r>
      <w:r>
        <w:rPr>
          <w:rFonts w:ascii="宋体" w:hAnsi="宋体" w:cs="宋体" w:eastAsia="宋体" w:hint="default"/>
          <w:sz w:val="21"/>
          <w:szCs w:val="21"/>
        </w:rPr>
        <w:t>所深华验字</w:t>
      </w:r>
      <w:r>
        <w:rPr>
          <w:rFonts w:ascii="宋体" w:hAnsi="宋体" w:cs="宋体" w:eastAsia="宋体" w:hint="default"/>
          <w:sz w:val="21"/>
          <w:szCs w:val="21"/>
        </w:rPr>
        <w:t>[2008]35</w:t>
      </w:r>
      <w:r>
        <w:rPr>
          <w:rFonts w:ascii="宋体" w:hAnsi="宋体" w:cs="宋体" w:eastAsia="宋体" w:hint="default"/>
          <w:spacing w:val="-55"/>
          <w:sz w:val="21"/>
          <w:szCs w:val="21"/>
        </w:rPr>
        <w:t> </w:t>
      </w:r>
      <w:r>
        <w:rPr>
          <w:rFonts w:ascii="宋体" w:hAnsi="宋体" w:cs="宋体" w:eastAsia="宋体" w:hint="default"/>
          <w:sz w:val="21"/>
          <w:szCs w:val="21"/>
        </w:rPr>
        <w:t>号验资报告验证。</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日，新国都技术取得深圳市工商行政管</w:t>
      </w:r>
      <w:r>
        <w:rPr>
          <w:rFonts w:ascii="宋体" w:hAnsi="宋体" w:cs="宋体" w:eastAsia="宋体" w:hint="default"/>
          <w:w w:val="100"/>
          <w:sz w:val="21"/>
          <w:szCs w:val="21"/>
        </w:rPr>
        <w:t> </w:t>
      </w:r>
      <w:r>
        <w:rPr>
          <w:rFonts w:ascii="宋体" w:hAnsi="宋体" w:cs="宋体" w:eastAsia="宋体" w:hint="default"/>
          <w:spacing w:val="-2"/>
          <w:w w:val="100"/>
          <w:sz w:val="21"/>
          <w:szCs w:val="21"/>
        </w:rPr>
        <w:t>理局核发的</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440301103074776</w:t>
      </w:r>
      <w:r>
        <w:rPr>
          <w:rFonts w:ascii="宋体" w:hAnsi="宋体" w:cs="宋体" w:eastAsia="宋体" w:hint="default"/>
          <w:spacing w:val="-44"/>
          <w:w w:val="100"/>
          <w:sz w:val="21"/>
          <w:szCs w:val="21"/>
        </w:rPr>
        <w:t> </w:t>
      </w:r>
      <w:r>
        <w:rPr>
          <w:rFonts w:ascii="宋体" w:hAnsi="宋体" w:cs="宋体" w:eastAsia="宋体" w:hint="default"/>
          <w:spacing w:val="-11"/>
          <w:w w:val="100"/>
          <w:sz w:val="21"/>
          <w:szCs w:val="21"/>
        </w:rPr>
        <w:t>号《企业法人营业执照》。</w:t>
      </w:r>
    </w:p>
    <w:p>
      <w:pPr>
        <w:spacing w:line="408" w:lineRule="auto" w:before="46"/>
        <w:ind w:left="102" w:right="151" w:firstLine="419"/>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月，新国都技术与深圳国际高新技术产权交易所签订了股权登记托管服务合同，</w:t>
      </w:r>
      <w:r>
        <w:rPr>
          <w:rFonts w:ascii="宋体" w:hAnsi="宋体" w:cs="宋体" w:eastAsia="宋体" w:hint="default"/>
          <w:w w:val="100"/>
          <w:sz w:val="21"/>
          <w:szCs w:val="21"/>
        </w:rPr>
        <w:t> </w:t>
      </w:r>
      <w:r>
        <w:rPr>
          <w:rFonts w:ascii="宋体" w:hAnsi="宋体" w:cs="宋体" w:eastAsia="宋体" w:hint="default"/>
          <w:sz w:val="21"/>
          <w:szCs w:val="21"/>
        </w:rPr>
        <w:t>办理了非上市股份有限公司股权托管。</w:t>
      </w:r>
    </w:p>
    <w:p>
      <w:pPr>
        <w:spacing w:before="46"/>
        <w:ind w:left="521"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新</w:t>
      </w:r>
      <w:r>
        <w:rPr>
          <w:rFonts w:ascii="宋体" w:hAnsi="宋体" w:cs="宋体" w:eastAsia="宋体" w:hint="default"/>
          <w:w w:val="100"/>
          <w:sz w:val="21"/>
          <w:szCs w:val="21"/>
        </w:rPr>
        <w:t>国</w:t>
      </w:r>
      <w:r>
        <w:rPr>
          <w:rFonts w:ascii="宋体" w:hAnsi="宋体" w:cs="宋体" w:eastAsia="宋体" w:hint="default"/>
          <w:spacing w:val="-3"/>
          <w:w w:val="100"/>
          <w:sz w:val="21"/>
          <w:szCs w:val="21"/>
        </w:rPr>
        <w:t>都技</w:t>
      </w:r>
      <w:r>
        <w:rPr>
          <w:rFonts w:ascii="宋体" w:hAnsi="宋体" w:cs="宋体" w:eastAsia="宋体" w:hint="default"/>
          <w:w w:val="100"/>
          <w:sz w:val="21"/>
          <w:szCs w:val="21"/>
        </w:rPr>
        <w:t>术</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年第</w:t>
      </w:r>
      <w:r>
        <w:rPr>
          <w:rFonts w:ascii="宋体" w:hAnsi="宋体" w:cs="宋体" w:eastAsia="宋体" w:hint="default"/>
          <w:w w:val="100"/>
          <w:sz w:val="21"/>
          <w:szCs w:val="21"/>
        </w:rPr>
        <w:t>一次</w:t>
      </w:r>
      <w:r>
        <w:rPr>
          <w:rFonts w:ascii="宋体" w:hAnsi="宋体" w:cs="宋体" w:eastAsia="宋体" w:hint="default"/>
          <w:spacing w:val="-3"/>
          <w:w w:val="100"/>
          <w:sz w:val="21"/>
          <w:szCs w:val="21"/>
        </w:rPr>
        <w:t>临</w:t>
      </w:r>
      <w:r>
        <w:rPr>
          <w:rFonts w:ascii="宋体" w:hAnsi="宋体" w:cs="宋体" w:eastAsia="宋体" w:hint="default"/>
          <w:spacing w:val="-1"/>
          <w:w w:val="100"/>
          <w:sz w:val="21"/>
          <w:szCs w:val="21"/>
        </w:rPr>
        <w:t>时</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和</w:t>
      </w:r>
      <w:r>
        <w:rPr>
          <w:rFonts w:ascii="宋体" w:hAnsi="宋体" w:cs="宋体" w:eastAsia="宋体" w:hint="default"/>
          <w:spacing w:val="-3"/>
          <w:w w:val="100"/>
          <w:sz w:val="21"/>
          <w:szCs w:val="21"/>
        </w:rPr>
        <w:t>修</w:t>
      </w:r>
      <w:r>
        <w:rPr>
          <w:rFonts w:ascii="宋体" w:hAnsi="宋体" w:cs="宋体" w:eastAsia="宋体" w:hint="default"/>
          <w:w w:val="100"/>
          <w:sz w:val="21"/>
          <w:szCs w:val="21"/>
        </w:rPr>
        <w:t>改后</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spacing w:val="-3"/>
          <w:w w:val="100"/>
          <w:sz w:val="21"/>
          <w:szCs w:val="21"/>
        </w:rPr>
        <w:t>的</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w w:val="100"/>
          <w:sz w:val="21"/>
          <w:szCs w:val="21"/>
        </w:rPr>
        <w:t>新</w:t>
      </w:r>
      <w:r>
        <w:rPr>
          <w:rFonts w:ascii="宋体" w:hAnsi="宋体" w:cs="宋体" w:eastAsia="宋体" w:hint="default"/>
          <w:spacing w:val="-3"/>
          <w:w w:val="100"/>
          <w:sz w:val="21"/>
          <w:szCs w:val="21"/>
        </w:rPr>
        <w:t>国</w:t>
      </w:r>
      <w:r>
        <w:rPr>
          <w:rFonts w:ascii="宋体" w:hAnsi="宋体" w:cs="宋体" w:eastAsia="宋体" w:hint="default"/>
          <w:w w:val="100"/>
          <w:sz w:val="21"/>
          <w:szCs w:val="21"/>
        </w:rPr>
        <w:t>都</w:t>
      </w:r>
      <w:r>
        <w:rPr>
          <w:rFonts w:ascii="宋体" w:hAnsi="宋体" w:cs="宋体" w:eastAsia="宋体" w:hint="default"/>
          <w:spacing w:val="-3"/>
          <w:w w:val="100"/>
          <w:sz w:val="21"/>
          <w:szCs w:val="21"/>
        </w:rPr>
        <w:t>技</w:t>
      </w:r>
      <w:r>
        <w:rPr>
          <w:rFonts w:ascii="宋体" w:hAnsi="宋体" w:cs="宋体" w:eastAsia="宋体" w:hint="default"/>
          <w:spacing w:val="-1"/>
          <w:w w:val="100"/>
          <w:sz w:val="21"/>
          <w:szCs w:val="21"/>
        </w:rPr>
        <w:t>术</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增加</w:t>
      </w:r>
    </w:p>
    <w:p>
      <w:pPr>
        <w:spacing w:line="240" w:lineRule="auto" w:before="10"/>
        <w:rPr>
          <w:rFonts w:ascii="宋体" w:hAnsi="宋体" w:cs="宋体" w:eastAsia="宋体" w:hint="default"/>
          <w:sz w:val="14"/>
          <w:szCs w:val="14"/>
        </w:rPr>
      </w:pPr>
    </w:p>
    <w:p>
      <w:pPr>
        <w:spacing w:line="408" w:lineRule="auto" w:before="0"/>
        <w:ind w:left="102" w:right="204" w:firstLine="0"/>
        <w:jc w:val="both"/>
        <w:rPr>
          <w:rFonts w:ascii="宋体" w:hAnsi="宋体" w:cs="宋体" w:eastAsia="宋体" w:hint="default"/>
          <w:sz w:val="21"/>
          <w:szCs w:val="21"/>
        </w:rPr>
      </w:pPr>
      <w:r>
        <w:rPr>
          <w:rFonts w:ascii="宋体" w:hAnsi="宋体" w:cs="宋体" w:eastAsia="宋体" w:hint="default"/>
          <w:sz w:val="21"/>
          <w:szCs w:val="21"/>
        </w:rPr>
        <w:t>注册资本人民币</w:t>
      </w:r>
      <w:r>
        <w:rPr>
          <w:rFonts w:ascii="宋体" w:hAnsi="宋体" w:cs="宋体" w:eastAsia="宋体" w:hint="default"/>
          <w:spacing w:val="-55"/>
          <w:sz w:val="21"/>
          <w:szCs w:val="21"/>
        </w:rPr>
        <w:t> </w:t>
      </w:r>
      <w:r>
        <w:rPr>
          <w:rFonts w:ascii="宋体" w:hAnsi="宋体" w:cs="宋体" w:eastAsia="宋体" w:hint="default"/>
          <w:sz w:val="21"/>
          <w:szCs w:val="21"/>
        </w:rPr>
        <w:t>750</w:t>
      </w:r>
      <w:r>
        <w:rPr>
          <w:rFonts w:ascii="宋体" w:hAnsi="宋体" w:cs="宋体" w:eastAsia="宋体" w:hint="default"/>
          <w:spacing w:val="-54"/>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3"/>
          <w:sz w:val="21"/>
          <w:szCs w:val="21"/>
        </w:rPr>
        <w:t> </w:t>
      </w:r>
      <w:r>
        <w:rPr>
          <w:rFonts w:ascii="宋体" w:hAnsi="宋体" w:cs="宋体" w:eastAsia="宋体" w:hint="default"/>
          <w:sz w:val="21"/>
          <w:szCs w:val="21"/>
        </w:rPr>
        <w:t>4,750</w:t>
      </w:r>
      <w:r>
        <w:rPr>
          <w:rFonts w:ascii="宋体" w:hAnsi="宋体" w:cs="宋体" w:eastAsia="宋体" w:hint="default"/>
          <w:spacing w:val="-55"/>
          <w:sz w:val="21"/>
          <w:szCs w:val="21"/>
        </w:rPr>
        <w:t> </w:t>
      </w:r>
      <w:r>
        <w:rPr>
          <w:rFonts w:ascii="宋体" w:hAnsi="宋体" w:cs="宋体" w:eastAsia="宋体" w:hint="default"/>
          <w:sz w:val="21"/>
          <w:szCs w:val="21"/>
        </w:rPr>
        <w:t>万元。新增注册资本由深圳市创</w:t>
      </w:r>
      <w:r>
        <w:rPr>
          <w:rFonts w:ascii="宋体" w:hAnsi="宋体" w:cs="宋体" w:eastAsia="宋体" w:hint="default"/>
          <w:w w:val="100"/>
          <w:sz w:val="21"/>
          <w:szCs w:val="21"/>
        </w:rPr>
        <w:t> </w:t>
      </w:r>
      <w:r>
        <w:rPr>
          <w:rFonts w:ascii="宋体" w:hAnsi="宋体" w:cs="宋体" w:eastAsia="宋体" w:hint="default"/>
          <w:spacing w:val="-2"/>
          <w:sz w:val="21"/>
          <w:szCs w:val="21"/>
        </w:rPr>
        <w:t>新投资集团有限公司、北京首创建设有限公司、深圳市长润创业投资企业</w:t>
      </w:r>
      <w:r>
        <w:rPr>
          <w:rFonts w:ascii="宋体" w:hAnsi="宋体" w:cs="宋体" w:eastAsia="宋体" w:hint="default"/>
          <w:spacing w:val="-2"/>
          <w:sz w:val="21"/>
          <w:szCs w:val="21"/>
        </w:rPr>
        <w:t>(</w:t>
      </w:r>
      <w:r>
        <w:rPr>
          <w:rFonts w:ascii="宋体" w:hAnsi="宋体" w:cs="宋体" w:eastAsia="宋体" w:hint="default"/>
          <w:spacing w:val="-2"/>
          <w:sz w:val="21"/>
          <w:szCs w:val="21"/>
        </w:rPr>
        <w:t>有限合伙</w:t>
      </w:r>
      <w:r>
        <w:rPr>
          <w:rFonts w:ascii="宋体" w:hAnsi="宋体" w:cs="宋体" w:eastAsia="宋体" w:hint="default"/>
          <w:spacing w:val="-2"/>
          <w:sz w:val="21"/>
          <w:szCs w:val="21"/>
        </w:rPr>
        <w:t>)</w:t>
      </w:r>
      <w:r>
        <w:rPr>
          <w:rFonts w:ascii="宋体" w:hAnsi="宋体" w:cs="宋体" w:eastAsia="宋体" w:hint="default"/>
          <w:spacing w:val="-2"/>
          <w:sz w:val="21"/>
          <w:szCs w:val="21"/>
        </w:rPr>
        <w:t>、上海林</w:t>
      </w:r>
    </w:p>
    <w:p>
      <w:pPr>
        <w:spacing w:after="0" w:line="408" w:lineRule="auto"/>
        <w:jc w:val="both"/>
        <w:rPr>
          <w:rFonts w:ascii="宋体" w:hAnsi="宋体" w:cs="宋体" w:eastAsia="宋体" w:hint="default"/>
          <w:sz w:val="21"/>
          <w:szCs w:val="21"/>
        </w:rPr>
        <w:sectPr>
          <w:pgSz w:w="11910" w:h="16840"/>
          <w:pgMar w:header="0" w:footer="1195" w:top="1440" w:bottom="1380" w:left="1600" w:right="1380"/>
        </w:sectPr>
      </w:pPr>
    </w:p>
    <w:p>
      <w:pPr>
        <w:spacing w:line="408" w:lineRule="auto" w:before="24"/>
        <w:ind w:left="102" w:right="204" w:firstLine="0"/>
        <w:jc w:val="both"/>
        <w:rPr>
          <w:rFonts w:ascii="宋体" w:hAnsi="宋体" w:cs="宋体" w:eastAsia="宋体" w:hint="default"/>
          <w:sz w:val="21"/>
          <w:szCs w:val="21"/>
        </w:rPr>
      </w:pPr>
      <w:r>
        <w:rPr>
          <w:rFonts w:ascii="宋体" w:hAnsi="宋体" w:cs="宋体" w:eastAsia="宋体" w:hint="default"/>
          <w:spacing w:val="-2"/>
          <w:sz w:val="21"/>
          <w:szCs w:val="21"/>
        </w:rPr>
        <w:t>耐实业投资中心</w:t>
      </w:r>
      <w:r>
        <w:rPr>
          <w:rFonts w:ascii="宋体" w:hAnsi="宋体" w:cs="宋体" w:eastAsia="宋体" w:hint="default"/>
          <w:spacing w:val="-2"/>
          <w:sz w:val="21"/>
          <w:szCs w:val="21"/>
        </w:rPr>
        <w:t>(</w:t>
      </w:r>
      <w:r>
        <w:rPr>
          <w:rFonts w:ascii="宋体" w:hAnsi="宋体" w:cs="宋体" w:eastAsia="宋体" w:hint="default"/>
          <w:spacing w:val="-2"/>
          <w:sz w:val="21"/>
          <w:szCs w:val="21"/>
        </w:rPr>
        <w:t>有限合伙</w:t>
      </w:r>
      <w:r>
        <w:rPr>
          <w:rFonts w:ascii="宋体" w:hAnsi="宋体" w:cs="宋体" w:eastAsia="宋体" w:hint="default"/>
          <w:spacing w:val="-2"/>
          <w:sz w:val="21"/>
          <w:szCs w:val="21"/>
        </w:rPr>
        <w:t>)</w:t>
      </w:r>
      <w:r>
        <w:rPr>
          <w:rFonts w:ascii="宋体" w:hAnsi="宋体" w:cs="宋体" w:eastAsia="宋体" w:hint="default"/>
          <w:spacing w:val="-2"/>
          <w:sz w:val="21"/>
          <w:szCs w:val="21"/>
        </w:rPr>
        <w:t>、深圳市福田创新资本创业投资有限公司、蔡衍军、陈新华、里维</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宁、王凌海、许芹、李妍</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位新股东以人民币</w:t>
      </w:r>
      <w:r>
        <w:rPr>
          <w:rFonts w:ascii="宋体" w:hAnsi="宋体" w:cs="宋体" w:eastAsia="宋体" w:hint="default"/>
          <w:spacing w:val="-53"/>
          <w:sz w:val="21"/>
          <w:szCs w:val="21"/>
        </w:rPr>
        <w:t> </w:t>
      </w:r>
      <w:r>
        <w:rPr>
          <w:rFonts w:ascii="宋体" w:hAnsi="宋体" w:cs="宋体" w:eastAsia="宋体" w:hint="default"/>
          <w:sz w:val="21"/>
          <w:szCs w:val="21"/>
        </w:rPr>
        <w:t>5,002.50</w:t>
      </w:r>
      <w:r>
        <w:rPr>
          <w:rFonts w:ascii="宋体" w:hAnsi="宋体" w:cs="宋体" w:eastAsia="宋体" w:hint="default"/>
          <w:spacing w:val="-55"/>
          <w:sz w:val="21"/>
          <w:szCs w:val="21"/>
        </w:rPr>
        <w:t> </w:t>
      </w:r>
      <w:r>
        <w:rPr>
          <w:rFonts w:ascii="宋体" w:hAnsi="宋体" w:cs="宋体" w:eastAsia="宋体" w:hint="default"/>
          <w:sz w:val="21"/>
          <w:szCs w:val="21"/>
        </w:rPr>
        <w:t>万元全部认购，其中人民币</w:t>
      </w:r>
      <w:r>
        <w:rPr>
          <w:rFonts w:ascii="宋体" w:hAnsi="宋体" w:cs="宋体" w:eastAsia="宋体" w:hint="default"/>
          <w:spacing w:val="-52"/>
          <w:sz w:val="21"/>
          <w:szCs w:val="21"/>
        </w:rPr>
        <w:t> </w:t>
      </w:r>
      <w:r>
        <w:rPr>
          <w:rFonts w:ascii="宋体" w:hAnsi="宋体" w:cs="宋体" w:eastAsia="宋体" w:hint="default"/>
          <w:sz w:val="21"/>
          <w:szCs w:val="21"/>
        </w:rPr>
        <w:t>750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408" w:lineRule="auto" w:before="46"/>
        <w:ind w:left="102" w:right="204" w:firstLine="0"/>
        <w:jc w:val="both"/>
        <w:rPr>
          <w:rFonts w:ascii="宋体" w:hAnsi="宋体" w:cs="宋体" w:eastAsia="宋体" w:hint="default"/>
          <w:sz w:val="21"/>
          <w:szCs w:val="21"/>
        </w:rPr>
      </w:pPr>
      <w:r>
        <w:rPr>
          <w:rFonts w:ascii="宋体" w:hAnsi="宋体" w:cs="宋体" w:eastAsia="宋体" w:hint="default"/>
          <w:spacing w:val="-6"/>
          <w:sz w:val="21"/>
          <w:szCs w:val="21"/>
        </w:rPr>
        <w:t>作为新增注册资本，剩余人民币</w:t>
      </w:r>
      <w:r>
        <w:rPr>
          <w:rFonts w:ascii="宋体" w:hAnsi="宋体" w:cs="宋体" w:eastAsia="宋体" w:hint="default"/>
          <w:spacing w:val="-29"/>
          <w:sz w:val="21"/>
          <w:szCs w:val="21"/>
        </w:rPr>
        <w:t> </w:t>
      </w:r>
      <w:r>
        <w:rPr>
          <w:rFonts w:ascii="宋体" w:hAnsi="宋体" w:cs="宋体" w:eastAsia="宋体" w:hint="default"/>
          <w:sz w:val="21"/>
          <w:szCs w:val="21"/>
        </w:rPr>
        <w:t>4,252.50</w:t>
      </w:r>
      <w:r>
        <w:rPr>
          <w:rFonts w:ascii="宋体" w:hAnsi="宋体" w:cs="宋体" w:eastAsia="宋体" w:hint="default"/>
          <w:spacing w:val="-27"/>
          <w:sz w:val="21"/>
          <w:szCs w:val="21"/>
        </w:rPr>
        <w:t> </w:t>
      </w:r>
      <w:r>
        <w:rPr>
          <w:rFonts w:ascii="宋体" w:hAnsi="宋体" w:cs="宋体" w:eastAsia="宋体" w:hint="default"/>
          <w:spacing w:val="-4"/>
          <w:sz w:val="21"/>
          <w:szCs w:val="21"/>
        </w:rPr>
        <w:t>万元作为新国都技术资本公积，增资后新国都技术注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册资本为人民币</w:t>
      </w:r>
      <w:r>
        <w:rPr>
          <w:rFonts w:ascii="宋体" w:hAnsi="宋体" w:cs="宋体" w:eastAsia="宋体" w:hint="default"/>
          <w:spacing w:val="-42"/>
          <w:sz w:val="21"/>
          <w:szCs w:val="21"/>
        </w:rPr>
        <w:t> </w:t>
      </w:r>
      <w:r>
        <w:rPr>
          <w:rFonts w:ascii="宋体" w:hAnsi="宋体" w:cs="宋体" w:eastAsia="宋体" w:hint="default"/>
          <w:sz w:val="21"/>
          <w:szCs w:val="21"/>
        </w:rPr>
        <w:t>4,750</w:t>
      </w:r>
      <w:r>
        <w:rPr>
          <w:rFonts w:ascii="宋体" w:hAnsi="宋体" w:cs="宋体" w:eastAsia="宋体" w:hint="default"/>
          <w:spacing w:val="-41"/>
          <w:sz w:val="21"/>
          <w:szCs w:val="21"/>
        </w:rPr>
        <w:t> </w:t>
      </w:r>
      <w:r>
        <w:rPr>
          <w:rFonts w:ascii="宋体" w:hAnsi="宋体" w:cs="宋体" w:eastAsia="宋体" w:hint="default"/>
          <w:spacing w:val="-3"/>
          <w:sz w:val="21"/>
          <w:szCs w:val="21"/>
        </w:rPr>
        <w:t>万元。该增资业经广东大华德律会计师事务所深华验字</w:t>
      </w:r>
      <w:r>
        <w:rPr>
          <w:rFonts w:ascii="宋体" w:hAnsi="宋体" w:cs="宋体" w:eastAsia="宋体" w:hint="default"/>
          <w:spacing w:val="-3"/>
          <w:sz w:val="21"/>
          <w:szCs w:val="21"/>
        </w:rPr>
        <w:t>[2008]74</w:t>
      </w:r>
      <w:r>
        <w:rPr>
          <w:rFonts w:ascii="宋体" w:hAnsi="宋体" w:cs="宋体" w:eastAsia="宋体" w:hint="default"/>
          <w:spacing w:val="-42"/>
          <w:sz w:val="21"/>
          <w:szCs w:val="21"/>
        </w:rPr>
        <w:t> </w:t>
      </w:r>
      <w:r>
        <w:rPr>
          <w:rFonts w:ascii="宋体" w:hAnsi="宋体" w:cs="宋体" w:eastAsia="宋体" w:hint="default"/>
          <w:sz w:val="21"/>
          <w:szCs w:val="21"/>
        </w:rPr>
        <w:t>号验资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报告验证。并于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日办理完毕工商变更手续。</w:t>
      </w:r>
    </w:p>
    <w:p>
      <w:pPr>
        <w:spacing w:before="46"/>
        <w:ind w:left="521" w:right="0" w:firstLine="0"/>
        <w:jc w:val="left"/>
        <w:rPr>
          <w:rFonts w:ascii="宋体" w:hAnsi="宋体" w:cs="宋体" w:eastAsia="宋体" w:hint="default"/>
          <w:sz w:val="21"/>
          <w:szCs w:val="21"/>
        </w:rPr>
      </w:pPr>
      <w:r>
        <w:rPr>
          <w:rFonts w:ascii="宋体" w:hAnsi="宋体" w:cs="宋体" w:eastAsia="宋体" w:hint="default"/>
          <w:w w:val="100"/>
          <w:sz w:val="21"/>
          <w:szCs w:val="21"/>
        </w:rPr>
        <w:t>2009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海林</w:t>
      </w:r>
      <w:r>
        <w:rPr>
          <w:rFonts w:ascii="宋体" w:hAnsi="宋体" w:cs="宋体" w:eastAsia="宋体" w:hint="default"/>
          <w:w w:val="100"/>
          <w:sz w:val="21"/>
          <w:szCs w:val="21"/>
        </w:rPr>
        <w:t>耐实</w:t>
      </w:r>
      <w:r>
        <w:rPr>
          <w:rFonts w:ascii="宋体" w:hAnsi="宋体" w:cs="宋体" w:eastAsia="宋体" w:hint="default"/>
          <w:spacing w:val="-3"/>
          <w:w w:val="100"/>
          <w:sz w:val="21"/>
          <w:szCs w:val="21"/>
        </w:rPr>
        <w:t>业</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其</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r>
        <w:rPr>
          <w:rFonts w:ascii="宋体" w:hAnsi="宋体" w:cs="宋体" w:eastAsia="宋体" w:hint="default"/>
          <w:spacing w:val="-3"/>
          <w:w w:val="100"/>
          <w:sz w:val="21"/>
          <w:szCs w:val="21"/>
        </w:rPr>
        <w:t>新</w:t>
      </w:r>
      <w:r>
        <w:rPr>
          <w:rFonts w:ascii="宋体" w:hAnsi="宋体" w:cs="宋体" w:eastAsia="宋体" w:hint="default"/>
          <w:w w:val="100"/>
          <w:sz w:val="21"/>
          <w:szCs w:val="21"/>
        </w:rPr>
        <w:t>国</w:t>
      </w:r>
      <w:r>
        <w:rPr>
          <w:rFonts w:ascii="宋体" w:hAnsi="宋体" w:cs="宋体" w:eastAsia="宋体" w:hint="default"/>
          <w:spacing w:val="-3"/>
          <w:w w:val="100"/>
          <w:sz w:val="21"/>
          <w:szCs w:val="21"/>
        </w:rPr>
        <w:t>都</w:t>
      </w:r>
      <w:r>
        <w:rPr>
          <w:rFonts w:ascii="宋体" w:hAnsi="宋体" w:cs="宋体" w:eastAsia="宋体" w:hint="default"/>
          <w:w w:val="100"/>
          <w:sz w:val="21"/>
          <w:szCs w:val="21"/>
        </w:rPr>
        <w:t>技术</w:t>
      </w:r>
      <w:r>
        <w:rPr>
          <w:rFonts w:ascii="宋体" w:hAnsi="宋体" w:cs="宋体" w:eastAsia="宋体" w:hint="default"/>
          <w:spacing w:val="-5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.684</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p>
    <w:p>
      <w:pPr>
        <w:spacing w:line="240" w:lineRule="auto" w:before="10"/>
        <w:rPr>
          <w:rFonts w:ascii="宋体" w:hAnsi="宋体" w:cs="宋体" w:eastAsia="宋体" w:hint="default"/>
          <w:sz w:val="14"/>
          <w:szCs w:val="14"/>
        </w:rPr>
      </w:pPr>
    </w:p>
    <w:p>
      <w:pPr>
        <w:spacing w:line="410" w:lineRule="auto" w:before="0"/>
        <w:ind w:left="102" w:right="204" w:firstLine="0"/>
        <w:jc w:val="both"/>
        <w:rPr>
          <w:rFonts w:ascii="宋体" w:hAnsi="宋体" w:cs="宋体" w:eastAsia="宋体" w:hint="default"/>
          <w:sz w:val="21"/>
          <w:szCs w:val="21"/>
        </w:rPr>
      </w:pPr>
      <w:r>
        <w:rPr>
          <w:rFonts w:ascii="宋体" w:hAnsi="宋体" w:cs="宋体" w:eastAsia="宋体" w:hint="default"/>
          <w:sz w:val="21"/>
          <w:szCs w:val="21"/>
        </w:rPr>
        <w:t>全部转让给自然人张燕民，并于</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日在深圳国际高新技术产权交易所办理了股权</w:t>
      </w:r>
      <w:r>
        <w:rPr>
          <w:rFonts w:ascii="宋体" w:hAnsi="宋体" w:cs="宋体" w:eastAsia="宋体" w:hint="default"/>
          <w:w w:val="100"/>
          <w:sz w:val="21"/>
          <w:szCs w:val="21"/>
        </w:rPr>
        <w:t> </w:t>
      </w:r>
      <w:r>
        <w:rPr>
          <w:rFonts w:ascii="宋体" w:hAnsi="宋体" w:cs="宋体" w:eastAsia="宋体" w:hint="default"/>
          <w:sz w:val="21"/>
          <w:szCs w:val="21"/>
        </w:rPr>
        <w:t>变更的备案手续。</w:t>
      </w:r>
    </w:p>
    <w:p>
      <w:pPr>
        <w:spacing w:before="44"/>
        <w:ind w:left="521"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日，深圳市长润创业投资企业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将其持有的新国都技术</w:t>
      </w:r>
      <w:r>
        <w:rPr>
          <w:rFonts w:ascii="宋体" w:hAnsi="宋体" w:cs="宋体" w:eastAsia="宋体" w:hint="default"/>
          <w:spacing w:val="-55"/>
          <w:sz w:val="21"/>
          <w:szCs w:val="21"/>
        </w:rPr>
        <w:t> </w:t>
      </w:r>
      <w:r>
        <w:rPr>
          <w:rFonts w:ascii="宋体" w:hAnsi="宋体" w:cs="宋体" w:eastAsia="宋体" w:hint="default"/>
          <w:sz w:val="21"/>
          <w:szCs w:val="21"/>
        </w:rPr>
        <w:t>2.105%</w:t>
      </w:r>
      <w:r>
        <w:rPr>
          <w:rFonts w:ascii="宋体" w:hAnsi="宋体" w:cs="宋体" w:eastAsia="宋体" w:hint="default"/>
          <w:sz w:val="21"/>
          <w:szCs w:val="21"/>
        </w:rPr>
        <w:t>的</w:t>
      </w:r>
    </w:p>
    <w:p>
      <w:pPr>
        <w:spacing w:line="240" w:lineRule="auto" w:before="10"/>
        <w:rPr>
          <w:rFonts w:ascii="宋体" w:hAnsi="宋体" w:cs="宋体" w:eastAsia="宋体" w:hint="default"/>
          <w:sz w:val="14"/>
          <w:szCs w:val="14"/>
        </w:rPr>
      </w:pPr>
    </w:p>
    <w:p>
      <w:pPr>
        <w:spacing w:line="408" w:lineRule="auto" w:before="0"/>
        <w:ind w:left="102" w:right="204" w:firstLine="0"/>
        <w:jc w:val="both"/>
        <w:rPr>
          <w:rFonts w:ascii="宋体" w:hAnsi="宋体" w:cs="宋体" w:eastAsia="宋体" w:hint="default"/>
          <w:sz w:val="21"/>
          <w:szCs w:val="21"/>
        </w:rPr>
      </w:pPr>
      <w:r>
        <w:rPr>
          <w:rFonts w:ascii="宋体" w:hAnsi="宋体" w:cs="宋体" w:eastAsia="宋体" w:hint="default"/>
          <w:sz w:val="21"/>
          <w:szCs w:val="21"/>
        </w:rPr>
        <w:t>股权全部转让给自然人王巍，并于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日在深圳国际高新技术产权交易所办理了股</w:t>
      </w:r>
      <w:r>
        <w:rPr>
          <w:rFonts w:ascii="宋体" w:hAnsi="宋体" w:cs="宋体" w:eastAsia="宋体" w:hint="default"/>
          <w:w w:val="100"/>
          <w:sz w:val="21"/>
          <w:szCs w:val="21"/>
        </w:rPr>
        <w:t> </w:t>
      </w:r>
      <w:r>
        <w:rPr>
          <w:rFonts w:ascii="宋体" w:hAnsi="宋体" w:cs="宋体" w:eastAsia="宋体" w:hint="default"/>
          <w:sz w:val="21"/>
          <w:szCs w:val="21"/>
        </w:rPr>
        <w:t>权变更的备案手续。</w:t>
      </w:r>
    </w:p>
    <w:p>
      <w:pPr>
        <w:spacing w:before="46"/>
        <w:ind w:left="505"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15</w:t>
      </w:r>
      <w:r>
        <w:rPr>
          <w:rFonts w:ascii="宋体" w:hAnsi="宋体" w:cs="宋体" w:eastAsia="宋体" w:hint="default"/>
          <w:spacing w:val="-40"/>
          <w:sz w:val="21"/>
          <w:szCs w:val="21"/>
        </w:rPr>
        <w:t> </w:t>
      </w:r>
      <w:r>
        <w:rPr>
          <w:rFonts w:ascii="宋体" w:hAnsi="宋体" w:cs="宋体" w:eastAsia="宋体" w:hint="default"/>
          <w:sz w:val="21"/>
          <w:szCs w:val="21"/>
        </w:rPr>
        <w:t>日，北京首创建设有限公司</w:t>
      </w:r>
      <w:r>
        <w:rPr>
          <w:rFonts w:ascii="宋体" w:hAnsi="宋体" w:cs="宋体" w:eastAsia="宋体" w:hint="default"/>
          <w:sz w:val="21"/>
          <w:szCs w:val="21"/>
        </w:rPr>
        <w:t>(</w:t>
      </w:r>
      <w:r>
        <w:rPr>
          <w:rFonts w:ascii="宋体" w:hAnsi="宋体" w:cs="宋体" w:eastAsia="宋体" w:hint="default"/>
          <w:sz w:val="21"/>
          <w:szCs w:val="21"/>
        </w:rPr>
        <w:t>以下简称“首创建设”</w:t>
      </w:r>
      <w:r>
        <w:rPr>
          <w:rFonts w:ascii="宋体" w:hAnsi="宋体" w:cs="宋体" w:eastAsia="宋体" w:hint="default"/>
          <w:sz w:val="21"/>
          <w:szCs w:val="21"/>
        </w:rPr>
        <w:t>)</w:t>
      </w:r>
      <w:r>
        <w:rPr>
          <w:rFonts w:ascii="宋体" w:hAnsi="宋体" w:cs="宋体" w:eastAsia="宋体" w:hint="default"/>
          <w:sz w:val="21"/>
          <w:szCs w:val="21"/>
        </w:rPr>
        <w:t>董事会通过了关于转</w:t>
      </w:r>
    </w:p>
    <w:p>
      <w:pPr>
        <w:spacing w:line="240" w:lineRule="auto" w:before="10"/>
        <w:rPr>
          <w:rFonts w:ascii="宋体" w:hAnsi="宋体" w:cs="宋体" w:eastAsia="宋体" w:hint="default"/>
          <w:sz w:val="14"/>
          <w:szCs w:val="14"/>
        </w:rPr>
      </w:pPr>
    </w:p>
    <w:p>
      <w:pPr>
        <w:spacing w:line="408" w:lineRule="auto" w:before="0"/>
        <w:ind w:left="102" w:right="204" w:firstLine="0"/>
        <w:jc w:val="both"/>
        <w:rPr>
          <w:rFonts w:ascii="宋体" w:hAnsi="宋体" w:cs="宋体" w:eastAsia="宋体" w:hint="default"/>
          <w:sz w:val="21"/>
          <w:szCs w:val="21"/>
        </w:rPr>
      </w:pPr>
      <w:r>
        <w:rPr>
          <w:rFonts w:ascii="宋体" w:hAnsi="宋体" w:cs="宋体" w:eastAsia="宋体" w:hint="default"/>
          <w:sz w:val="21"/>
          <w:szCs w:val="21"/>
        </w:rPr>
        <w:t>让其持有新国都技术</w:t>
      </w:r>
      <w:r>
        <w:rPr>
          <w:rFonts w:ascii="宋体" w:hAnsi="宋体" w:cs="宋体" w:eastAsia="宋体" w:hint="default"/>
          <w:spacing w:val="-56"/>
          <w:sz w:val="21"/>
          <w:szCs w:val="21"/>
        </w:rPr>
        <w:t> </w:t>
      </w:r>
      <w:r>
        <w:rPr>
          <w:rFonts w:ascii="宋体" w:hAnsi="宋体" w:cs="宋体" w:eastAsia="宋体" w:hint="default"/>
          <w:sz w:val="21"/>
          <w:szCs w:val="21"/>
        </w:rPr>
        <w:t>120</w:t>
      </w:r>
      <w:r>
        <w:rPr>
          <w:rFonts w:ascii="宋体" w:hAnsi="宋体" w:cs="宋体" w:eastAsia="宋体" w:hint="default"/>
          <w:spacing w:val="-56"/>
          <w:sz w:val="21"/>
          <w:szCs w:val="21"/>
        </w:rPr>
        <w:t> </w:t>
      </w:r>
      <w:r>
        <w:rPr>
          <w:rFonts w:ascii="宋体" w:hAnsi="宋体" w:cs="宋体" w:eastAsia="宋体" w:hint="default"/>
          <w:sz w:val="21"/>
          <w:szCs w:val="21"/>
        </w:rPr>
        <w:t>万股股份的决议，同意以不低于评估价格转让上述股权，并按照国有</w:t>
      </w:r>
      <w:r>
        <w:rPr>
          <w:rFonts w:ascii="宋体" w:hAnsi="宋体" w:cs="宋体" w:eastAsia="宋体" w:hint="default"/>
          <w:w w:val="100"/>
          <w:sz w:val="21"/>
          <w:szCs w:val="21"/>
        </w:rPr>
        <w:t> </w:t>
      </w:r>
      <w:r>
        <w:rPr>
          <w:rFonts w:ascii="宋体" w:hAnsi="宋体" w:cs="宋体" w:eastAsia="宋体" w:hint="default"/>
          <w:spacing w:val="-4"/>
          <w:w w:val="100"/>
          <w:sz w:val="21"/>
          <w:szCs w:val="21"/>
        </w:rPr>
        <w:t>产权转让相关规定履行审批程序和转让流程，呈报北京首都创业集团有限公司</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以下简称“首创</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审批。根据</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日《首创集团总经理办公会会议纪要》</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年第</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次会</w:t>
      </w:r>
      <w:r>
        <w:rPr>
          <w:rFonts w:ascii="宋体" w:hAnsi="宋体" w:cs="宋体" w:eastAsia="宋体" w:hint="default"/>
          <w:spacing w:val="-3"/>
          <w:w w:val="100"/>
          <w:sz w:val="21"/>
          <w:szCs w:val="21"/>
        </w:rPr>
        <w:t> </w:t>
      </w:r>
      <w:r>
        <w:rPr>
          <w:rFonts w:ascii="宋体" w:hAnsi="宋体" w:cs="宋体" w:eastAsia="宋体" w:hint="default"/>
          <w:spacing w:val="-4"/>
          <w:sz w:val="21"/>
          <w:szCs w:val="21"/>
        </w:rPr>
        <w:t>议</w:t>
      </w:r>
      <w:r>
        <w:rPr>
          <w:rFonts w:ascii="宋体" w:hAnsi="宋体" w:cs="宋体" w:eastAsia="宋体" w:hint="default"/>
          <w:spacing w:val="-4"/>
          <w:sz w:val="21"/>
          <w:szCs w:val="21"/>
        </w:rPr>
        <w:t>)</w:t>
      </w:r>
      <w:r>
        <w:rPr>
          <w:rFonts w:ascii="宋体" w:hAnsi="宋体" w:cs="宋体" w:eastAsia="宋体" w:hint="default"/>
          <w:spacing w:val="-4"/>
          <w:sz w:val="21"/>
          <w:szCs w:val="21"/>
        </w:rPr>
        <w:t>，首创集团同意首创建设转让其持有的新国都技术股权，转让价格不低于初始投资额。北京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市人民政府国有资产监督管理委员会</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日做出了《北京市人民政府国有资产监督</w:t>
      </w:r>
      <w:r>
        <w:rPr>
          <w:rFonts w:ascii="宋体" w:hAnsi="宋体" w:cs="宋体" w:eastAsia="宋体" w:hint="default"/>
          <w:w w:val="100"/>
          <w:sz w:val="21"/>
          <w:szCs w:val="21"/>
        </w:rPr>
        <w:t> </w:t>
      </w:r>
      <w:r>
        <w:rPr>
          <w:rFonts w:ascii="宋体" w:hAnsi="宋体" w:cs="宋体" w:eastAsia="宋体" w:hint="default"/>
          <w:spacing w:val="-2"/>
          <w:sz w:val="21"/>
          <w:szCs w:val="21"/>
        </w:rPr>
        <w:t>管理委员会关于深圳市新国都技术股份有限公司股权转让评估项目予以核准的批复》批准了首</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创建设股份转让项目的资产评估报告，同意深圳市天健国众联资产评估土地房产评估有限公司</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出具的深天健国众联评报字【</w:t>
      </w:r>
      <w:r>
        <w:rPr>
          <w:rFonts w:ascii="宋体" w:hAnsi="宋体" w:cs="宋体" w:eastAsia="宋体" w:hint="default"/>
          <w:sz w:val="21"/>
          <w:szCs w:val="21"/>
        </w:rPr>
        <w:t>2009</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宋体" w:hAnsi="宋体" w:cs="宋体" w:eastAsia="宋体" w:hint="default"/>
          <w:sz w:val="21"/>
          <w:szCs w:val="21"/>
        </w:rPr>
        <w:t>T-10801</w:t>
      </w:r>
      <w:r>
        <w:rPr>
          <w:rFonts w:ascii="宋体" w:hAnsi="宋体" w:cs="宋体" w:eastAsia="宋体" w:hint="default"/>
          <w:spacing w:val="-56"/>
          <w:sz w:val="21"/>
          <w:szCs w:val="21"/>
        </w:rPr>
        <w:t> </w:t>
      </w:r>
      <w:r>
        <w:rPr>
          <w:rFonts w:ascii="宋体" w:hAnsi="宋体" w:cs="宋体" w:eastAsia="宋体" w:hint="default"/>
          <w:sz w:val="21"/>
          <w:szCs w:val="21"/>
        </w:rPr>
        <w:t>号《北京首创建设有限公司拟转让持有的深圳</w:t>
      </w:r>
      <w:r>
        <w:rPr>
          <w:rFonts w:ascii="宋体" w:hAnsi="宋体" w:cs="宋体" w:eastAsia="宋体" w:hint="default"/>
          <w:w w:val="100"/>
          <w:sz w:val="21"/>
          <w:szCs w:val="21"/>
        </w:rPr>
        <w:t> </w:t>
      </w:r>
      <w:r>
        <w:rPr>
          <w:rFonts w:ascii="宋体" w:hAnsi="宋体" w:cs="宋体" w:eastAsia="宋体" w:hint="default"/>
          <w:sz w:val="21"/>
          <w:szCs w:val="21"/>
        </w:rPr>
        <w:t>市新国都技术股份有限公司</w:t>
      </w:r>
      <w:r>
        <w:rPr>
          <w:rFonts w:ascii="宋体" w:hAnsi="宋体" w:cs="宋体" w:eastAsia="宋体" w:hint="default"/>
          <w:spacing w:val="-5"/>
          <w:sz w:val="21"/>
          <w:szCs w:val="21"/>
        </w:rPr>
        <w:t> </w:t>
      </w:r>
      <w:r>
        <w:rPr>
          <w:rFonts w:ascii="宋体" w:hAnsi="宋体" w:cs="宋体" w:eastAsia="宋体" w:hint="default"/>
          <w:sz w:val="21"/>
          <w:szCs w:val="21"/>
        </w:rPr>
        <w:t>2.5263%</w:t>
      </w:r>
      <w:r>
        <w:rPr>
          <w:rFonts w:ascii="宋体" w:hAnsi="宋体" w:cs="宋体" w:eastAsia="宋体" w:hint="default"/>
          <w:sz w:val="21"/>
          <w:szCs w:val="21"/>
        </w:rPr>
        <w:t>国有股权权益价值股权转让项目资产评估报告书》对深圳</w:t>
      </w:r>
      <w:r>
        <w:rPr>
          <w:rFonts w:ascii="宋体" w:hAnsi="宋体" w:cs="宋体" w:eastAsia="宋体" w:hint="default"/>
          <w:w w:val="100"/>
          <w:sz w:val="21"/>
          <w:szCs w:val="21"/>
        </w:rPr>
        <w:t> </w:t>
      </w:r>
      <w:r>
        <w:rPr>
          <w:rFonts w:ascii="宋体" w:hAnsi="宋体" w:cs="宋体" w:eastAsia="宋体" w:hint="default"/>
          <w:sz w:val="21"/>
          <w:szCs w:val="21"/>
        </w:rPr>
        <w:t>市新国都技术股份有限公司股权转让项目有效。</w:t>
      </w:r>
    </w:p>
    <w:p>
      <w:pPr>
        <w:spacing w:line="408" w:lineRule="auto" w:before="46"/>
        <w:ind w:left="102" w:right="202" w:firstLine="403"/>
        <w:jc w:val="left"/>
        <w:rPr>
          <w:rFonts w:ascii="宋体" w:hAnsi="宋体" w:cs="宋体" w:eastAsia="宋体" w:hint="default"/>
          <w:sz w:val="21"/>
          <w:szCs w:val="21"/>
        </w:rPr>
      </w:pPr>
      <w:r>
        <w:rPr>
          <w:rFonts w:ascii="宋体" w:hAnsi="宋体" w:cs="宋体" w:eastAsia="宋体" w:hint="default"/>
          <w:spacing w:val="-6"/>
          <w:w w:val="100"/>
          <w:sz w:val="21"/>
          <w:szCs w:val="21"/>
        </w:rPr>
        <w:t>根据上述批复，首创建设将其持有的新国都技术全部股权在北京产权交易所挂牌转让。</w:t>
      </w:r>
      <w:r>
        <w:rPr>
          <w:rFonts w:ascii="宋体" w:hAnsi="宋体" w:cs="宋体" w:eastAsia="宋体" w:hint="default"/>
          <w:spacing w:val="-6"/>
          <w:w w:val="100"/>
          <w:sz w:val="21"/>
          <w:szCs w:val="21"/>
        </w:rPr>
        <w:t>2009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9</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27</w:t>
      </w:r>
      <w:r>
        <w:rPr>
          <w:rFonts w:ascii="宋体" w:hAnsi="宋体" w:cs="宋体" w:eastAsia="宋体" w:hint="default"/>
          <w:spacing w:val="-36"/>
          <w:sz w:val="21"/>
          <w:szCs w:val="21"/>
        </w:rPr>
        <w:t> </w:t>
      </w:r>
      <w:r>
        <w:rPr>
          <w:rFonts w:ascii="宋体" w:hAnsi="宋体" w:cs="宋体" w:eastAsia="宋体" w:hint="default"/>
          <w:spacing w:val="-5"/>
          <w:sz w:val="21"/>
          <w:szCs w:val="21"/>
        </w:rPr>
        <w:t>日，首创建设与湖南瑞驰丰和创业投资管理有限公司、钟可颐、谢建龙、黄健生、欧</w:t>
      </w:r>
    </w:p>
    <w:p>
      <w:pPr>
        <w:spacing w:before="46"/>
        <w:ind w:left="102" w:right="0" w:firstLine="0"/>
        <w:jc w:val="both"/>
        <w:rPr>
          <w:rFonts w:ascii="宋体" w:hAnsi="宋体" w:cs="宋体" w:eastAsia="宋体" w:hint="default"/>
          <w:sz w:val="21"/>
          <w:szCs w:val="21"/>
        </w:rPr>
      </w:pPr>
      <w:r>
        <w:rPr>
          <w:rFonts w:ascii="宋体" w:hAnsi="宋体" w:cs="宋体" w:eastAsia="宋体" w:hint="default"/>
          <w:sz w:val="21"/>
          <w:szCs w:val="21"/>
        </w:rPr>
        <w:t>阳伟强等五方签署产权交易合同，将其所持有的</w:t>
      </w:r>
      <w:r>
        <w:rPr>
          <w:rFonts w:ascii="宋体" w:hAnsi="宋体" w:cs="宋体" w:eastAsia="宋体" w:hint="default"/>
          <w:spacing w:val="-54"/>
          <w:sz w:val="21"/>
          <w:szCs w:val="21"/>
        </w:rPr>
        <w:t> </w:t>
      </w:r>
      <w:r>
        <w:rPr>
          <w:rFonts w:ascii="宋体" w:hAnsi="宋体" w:cs="宋体" w:eastAsia="宋体" w:hint="default"/>
          <w:sz w:val="21"/>
          <w:szCs w:val="21"/>
        </w:rPr>
        <w:t>120</w:t>
      </w:r>
      <w:r>
        <w:rPr>
          <w:rFonts w:ascii="宋体" w:hAnsi="宋体" w:cs="宋体" w:eastAsia="宋体" w:hint="default"/>
          <w:spacing w:val="-55"/>
          <w:sz w:val="21"/>
          <w:szCs w:val="21"/>
        </w:rPr>
        <w:t> </w:t>
      </w:r>
      <w:r>
        <w:rPr>
          <w:rFonts w:ascii="宋体" w:hAnsi="宋体" w:cs="宋体" w:eastAsia="宋体" w:hint="default"/>
          <w:sz w:val="21"/>
          <w:szCs w:val="21"/>
        </w:rPr>
        <w:t>万股新国都技术股份，作价</w:t>
      </w:r>
      <w:r>
        <w:rPr>
          <w:rFonts w:ascii="宋体" w:hAnsi="宋体" w:cs="宋体" w:eastAsia="宋体" w:hint="default"/>
          <w:spacing w:val="-55"/>
          <w:sz w:val="21"/>
          <w:szCs w:val="21"/>
        </w:rPr>
        <w:t> </w:t>
      </w:r>
      <w:r>
        <w:rPr>
          <w:rFonts w:ascii="宋体" w:hAnsi="宋体" w:cs="宋体" w:eastAsia="宋体" w:hint="default"/>
          <w:sz w:val="21"/>
          <w:szCs w:val="21"/>
        </w:rPr>
        <w:t>900</w:t>
      </w:r>
      <w:r>
        <w:rPr>
          <w:rFonts w:ascii="宋体" w:hAnsi="宋体" w:cs="宋体" w:eastAsia="宋体" w:hint="default"/>
          <w:spacing w:val="-55"/>
          <w:sz w:val="21"/>
          <w:szCs w:val="21"/>
        </w:rPr>
        <w:t> </w:t>
      </w:r>
      <w:r>
        <w:rPr>
          <w:rFonts w:ascii="宋体" w:hAnsi="宋体" w:cs="宋体" w:eastAsia="宋体" w:hint="default"/>
          <w:sz w:val="21"/>
          <w:szCs w:val="21"/>
        </w:rPr>
        <w:t>万元转让</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pacing w:val="-4"/>
          <w:sz w:val="21"/>
          <w:szCs w:val="21"/>
        </w:rPr>
        <w:t>给上述五方，转让价格高于评估价值 </w:t>
      </w:r>
      <w:r>
        <w:rPr>
          <w:rFonts w:ascii="宋体" w:hAnsi="宋体" w:cs="宋体" w:eastAsia="宋体" w:hint="default"/>
          <w:sz w:val="21"/>
          <w:szCs w:val="21"/>
        </w:rPr>
        <w:t>484.02</w:t>
      </w:r>
      <w:r>
        <w:rPr>
          <w:rFonts w:ascii="宋体" w:hAnsi="宋体" w:cs="宋体" w:eastAsia="宋体" w:hint="default"/>
          <w:spacing w:val="-41"/>
          <w:sz w:val="21"/>
          <w:szCs w:val="21"/>
        </w:rPr>
        <w:t> </w:t>
      </w:r>
      <w:r>
        <w:rPr>
          <w:rFonts w:ascii="宋体" w:hAnsi="宋体" w:cs="宋体" w:eastAsia="宋体" w:hint="default"/>
          <w:spacing w:val="-5"/>
          <w:sz w:val="21"/>
          <w:szCs w:val="21"/>
        </w:rPr>
        <w:t>万元。其中，湖南瑞驰丰和创业投资管理有限公司</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受让</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万股，钟可颐受让</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万股，谢建龙受让</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万股，黄健生、欧阳伟强各受让</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万股。</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上述股权变更及过户于</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日完成。</w:t>
      </w:r>
    </w:p>
    <w:p>
      <w:pPr>
        <w:spacing w:line="460" w:lineRule="atLeast" w:before="8"/>
        <w:ind w:left="102" w:right="0" w:firstLine="403"/>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pacing w:val="-42"/>
          <w:sz w:val="21"/>
          <w:szCs w:val="21"/>
        </w:rPr>
        <w:t> </w:t>
      </w:r>
      <w:r>
        <w:rPr>
          <w:rFonts w:ascii="宋体" w:hAnsi="宋体" w:cs="宋体" w:eastAsia="宋体" w:hint="default"/>
          <w:spacing w:val="-3"/>
          <w:sz w:val="21"/>
          <w:szCs w:val="21"/>
        </w:rPr>
        <w:t>日，深圳国际高新技术产权交易所作为非上市股份公司股权登记托管机构，</w:t>
      </w:r>
      <w:r>
        <w:rPr>
          <w:rFonts w:ascii="宋体" w:hAnsi="宋体" w:cs="宋体" w:eastAsia="宋体" w:hint="default"/>
          <w:w w:val="100"/>
          <w:sz w:val="21"/>
          <w:szCs w:val="21"/>
        </w:rPr>
        <w:t> </w:t>
      </w:r>
      <w:r>
        <w:rPr>
          <w:rFonts w:ascii="宋体" w:hAnsi="宋体" w:cs="宋体" w:eastAsia="宋体" w:hint="default"/>
          <w:spacing w:val="-4"/>
          <w:w w:val="100"/>
          <w:sz w:val="21"/>
          <w:szCs w:val="21"/>
        </w:rPr>
        <w:t>就新国都技术股份转让后的股东情况向发行人出具了《非上市股份有限公司股东名册》。至此，</w:t>
      </w:r>
    </w:p>
    <w:p>
      <w:pPr>
        <w:spacing w:after="0" w:line="460" w:lineRule="atLeast"/>
        <w:jc w:val="left"/>
        <w:rPr>
          <w:rFonts w:ascii="宋体" w:hAnsi="宋体" w:cs="宋体" w:eastAsia="宋体" w:hint="default"/>
          <w:sz w:val="21"/>
          <w:szCs w:val="21"/>
        </w:rPr>
        <w:sectPr>
          <w:pgSz w:w="11910" w:h="16840"/>
          <w:pgMar w:header="0" w:footer="1195" w:top="1440" w:bottom="1380" w:left="1600" w:right="1380"/>
        </w:sectPr>
      </w:pPr>
    </w:p>
    <w:p>
      <w:pPr>
        <w:spacing w:before="24"/>
        <w:ind w:left="222" w:right="98" w:firstLine="0"/>
        <w:jc w:val="left"/>
        <w:rPr>
          <w:rFonts w:ascii="宋体" w:hAnsi="宋体" w:cs="宋体" w:eastAsia="宋体" w:hint="default"/>
          <w:sz w:val="21"/>
          <w:szCs w:val="21"/>
        </w:rPr>
      </w:pPr>
      <w:r>
        <w:rPr>
          <w:rFonts w:ascii="宋体" w:hAnsi="宋体" w:cs="宋体" w:eastAsia="宋体" w:hint="default"/>
          <w:sz w:val="21"/>
          <w:szCs w:val="21"/>
        </w:rPr>
        <w:t>新国都技术股本结构如下：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300"/>
        <w:gridCol w:w="1208"/>
        <w:gridCol w:w="1671"/>
        <w:gridCol w:w="958"/>
        <w:gridCol w:w="1630"/>
      </w:tblGrid>
      <w:tr>
        <w:trPr>
          <w:trHeight w:val="265" w:hRule="exact"/>
        </w:trPr>
        <w:tc>
          <w:tcPr>
            <w:tcW w:w="33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single" w:sz="4" w:space="0" w:color="000000"/>
              <w:right w:val="nil" w:sz="6" w:space="0" w:color="auto"/>
            </w:tcBorders>
          </w:tcPr>
          <w:p>
            <w:pPr>
              <w:pStyle w:val="TableParagraph"/>
              <w:spacing w:line="180" w:lineRule="exact"/>
              <w:ind w:left="297" w:right="0"/>
              <w:jc w:val="left"/>
              <w:rPr>
                <w:rFonts w:ascii="宋体" w:hAnsi="宋体" w:cs="宋体" w:eastAsia="宋体" w:hint="default"/>
                <w:sz w:val="18"/>
                <w:szCs w:val="18"/>
              </w:rPr>
            </w:pPr>
            <w:r>
              <w:rPr>
                <w:rFonts w:ascii="宋体" w:hAnsi="宋体" w:cs="宋体" w:eastAsia="宋体" w:hint="default"/>
                <w:sz w:val="18"/>
                <w:szCs w:val="18"/>
              </w:rPr>
              <w:t>持股数</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180" w:lineRule="exact"/>
              <w:ind w:left="456" w:right="0"/>
              <w:jc w:val="left"/>
              <w:rPr>
                <w:rFonts w:ascii="宋体" w:hAnsi="宋体" w:cs="宋体" w:eastAsia="宋体" w:hint="default"/>
                <w:sz w:val="18"/>
                <w:szCs w:val="18"/>
              </w:rPr>
            </w:pPr>
            <w:r>
              <w:rPr>
                <w:rFonts w:ascii="宋体" w:hAnsi="宋体" w:cs="宋体" w:eastAsia="宋体" w:hint="default"/>
                <w:sz w:val="18"/>
                <w:szCs w:val="18"/>
              </w:rPr>
              <w:t>股权比例</w:t>
            </w:r>
          </w:p>
        </w:tc>
      </w:tr>
      <w:tr>
        <w:trPr>
          <w:trHeight w:val="343" w:hRule="exact"/>
        </w:trPr>
        <w:tc>
          <w:tcPr>
            <w:tcW w:w="33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2,115</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44.5263%</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705</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14.8421%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705</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14.8421%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160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3.3684%</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100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2.1053%</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80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1.6842%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60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1.2632%</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60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1.2632%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60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1.2632%</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1.0526%</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1.0526%</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1.0526%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1.0526%</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0.8421%</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0.8421%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35</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z w:val="18"/>
              </w:rPr>
              <w:t>0.7368%</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30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0.6316%</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0.4211%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0.4211%</w:t>
            </w:r>
          </w:p>
        </w:tc>
      </w:tr>
      <w:tr>
        <w:trPr>
          <w:trHeight w:val="341"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0.4211%</w:t>
            </w:r>
          </w:p>
        </w:tc>
      </w:tr>
      <w:tr>
        <w:trPr>
          <w:trHeight w:val="340"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0.4211%</w:t>
            </w:r>
          </w:p>
        </w:tc>
      </w:tr>
      <w:tr>
        <w:trPr>
          <w:trHeight w:val="347"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10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0.2105%</w:t>
            </w:r>
          </w:p>
        </w:tc>
      </w:tr>
      <w:tr>
        <w:trPr>
          <w:trHeight w:val="362" w:hRule="exact"/>
        </w:trPr>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nil" w:sz="6" w:space="0" w:color="auto"/>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4,750</w:t>
            </w:r>
          </w:p>
        </w:tc>
        <w:tc>
          <w:tcPr>
            <w:tcW w:w="958"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sz w:val="25"/>
          <w:szCs w:val="25"/>
        </w:rPr>
      </w:pPr>
    </w:p>
    <w:p>
      <w:pPr>
        <w:spacing w:line="408" w:lineRule="auto" w:before="36"/>
        <w:ind w:left="222" w:right="98" w:firstLine="403"/>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经中国证券监督管理委员会证监发行字</w:t>
      </w:r>
      <w:r>
        <w:rPr>
          <w:rFonts w:ascii="宋体" w:hAnsi="宋体" w:cs="宋体" w:eastAsia="宋体" w:hint="default"/>
          <w:sz w:val="21"/>
          <w:szCs w:val="21"/>
        </w:rPr>
        <w:t>[2010]1292</w:t>
      </w:r>
      <w:r>
        <w:rPr>
          <w:rFonts w:ascii="宋体" w:hAnsi="宋体" w:cs="宋体" w:eastAsia="宋体" w:hint="default"/>
          <w:spacing w:val="-58"/>
          <w:sz w:val="21"/>
          <w:szCs w:val="21"/>
        </w:rPr>
        <w:t> </w:t>
      </w:r>
      <w:r>
        <w:rPr>
          <w:rFonts w:ascii="宋体" w:hAnsi="宋体" w:cs="宋体" w:eastAsia="宋体" w:hint="default"/>
          <w:sz w:val="21"/>
          <w:szCs w:val="21"/>
        </w:rPr>
        <w:t>号文核准，并经深圳证券交易所同意，</w:t>
      </w:r>
      <w:r>
        <w:rPr>
          <w:rFonts w:ascii="宋体" w:hAnsi="宋体" w:cs="宋体" w:eastAsia="宋体" w:hint="default"/>
          <w:w w:val="100"/>
          <w:sz w:val="21"/>
          <w:szCs w:val="21"/>
        </w:rPr>
        <w:t> </w:t>
      </w:r>
      <w:r>
        <w:rPr>
          <w:rFonts w:ascii="宋体" w:hAnsi="宋体" w:cs="宋体" w:eastAsia="宋体" w:hint="default"/>
          <w:sz w:val="21"/>
          <w:szCs w:val="21"/>
        </w:rPr>
        <w:t>本公司由主承销商中信证券股份有限公司于</w:t>
      </w:r>
      <w:r>
        <w:rPr>
          <w:rFonts w:ascii="宋体" w:hAnsi="宋体" w:cs="宋体" w:eastAsia="宋体" w:hint="default"/>
          <w:spacing w:val="-72"/>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日向社会公众公开发行普通股</w:t>
      </w:r>
      <w:r>
        <w:rPr>
          <w:rFonts w:ascii="宋体" w:hAnsi="宋体" w:cs="宋体" w:eastAsia="宋体" w:hint="default"/>
          <w:sz w:val="21"/>
          <w:szCs w:val="21"/>
        </w:rPr>
        <w:t>(A</w:t>
      </w:r>
      <w:r>
        <w:rPr>
          <w:rFonts w:ascii="宋体" w:hAnsi="宋体" w:cs="宋体" w:eastAsia="宋体" w:hint="default"/>
          <w:spacing w:val="-2"/>
          <w:sz w:val="21"/>
          <w:szCs w:val="21"/>
        </w:rPr>
        <w:t> </w:t>
      </w:r>
      <w:r>
        <w:rPr>
          <w:rFonts w:ascii="宋体" w:hAnsi="宋体" w:cs="宋体" w:eastAsia="宋体" w:hint="default"/>
          <w:sz w:val="21"/>
          <w:szCs w:val="21"/>
        </w:rPr>
        <w:t>股</w:t>
      </w:r>
      <w:r>
        <w:rPr>
          <w:rFonts w:ascii="宋体" w:hAnsi="宋体" w:cs="宋体" w:eastAsia="宋体" w:hint="default"/>
          <w:sz w:val="21"/>
          <w:szCs w:val="21"/>
        </w:rPr>
        <w:t>)</w:t>
      </w:r>
    </w:p>
    <w:p>
      <w:pPr>
        <w:spacing w:before="46"/>
        <w:ind w:left="222" w:right="0" w:firstLine="0"/>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pacing w:val="-53"/>
          <w:sz w:val="21"/>
          <w:szCs w:val="21"/>
        </w:rPr>
        <w:t> </w:t>
      </w:r>
      <w:r>
        <w:rPr>
          <w:rFonts w:ascii="宋体" w:hAnsi="宋体" w:cs="宋体" w:eastAsia="宋体" w:hint="default"/>
          <w:sz w:val="21"/>
          <w:szCs w:val="21"/>
        </w:rPr>
        <w:t>1600</w:t>
      </w:r>
      <w:r>
        <w:rPr>
          <w:rFonts w:ascii="宋体" w:hAnsi="宋体" w:cs="宋体" w:eastAsia="宋体" w:hint="default"/>
          <w:spacing w:val="-55"/>
          <w:sz w:val="21"/>
          <w:szCs w:val="21"/>
        </w:rPr>
        <w:t> </w:t>
      </w:r>
      <w:r>
        <w:rPr>
          <w:rFonts w:ascii="宋体" w:hAnsi="宋体" w:cs="宋体" w:eastAsia="宋体" w:hint="default"/>
          <w:sz w:val="21"/>
          <w:szCs w:val="21"/>
        </w:rPr>
        <w:t>万股，每股面值</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元，每股发行价人民币</w:t>
      </w:r>
      <w:r>
        <w:rPr>
          <w:rFonts w:ascii="宋体" w:hAnsi="宋体" w:cs="宋体" w:eastAsia="宋体" w:hint="default"/>
          <w:spacing w:val="-53"/>
          <w:sz w:val="21"/>
          <w:szCs w:val="21"/>
        </w:rPr>
        <w:t> </w:t>
      </w:r>
      <w:r>
        <w:rPr>
          <w:rFonts w:ascii="宋体" w:hAnsi="宋体" w:cs="宋体" w:eastAsia="宋体" w:hint="default"/>
          <w:sz w:val="21"/>
          <w:szCs w:val="21"/>
        </w:rPr>
        <w:t>43.33</w:t>
      </w:r>
      <w:r>
        <w:rPr>
          <w:rFonts w:ascii="宋体" w:hAnsi="宋体" w:cs="宋体" w:eastAsia="宋体" w:hint="default"/>
          <w:spacing w:val="-55"/>
          <w:sz w:val="21"/>
          <w:szCs w:val="21"/>
        </w:rPr>
        <w:t> </w:t>
      </w:r>
      <w:r>
        <w:rPr>
          <w:rFonts w:ascii="宋体" w:hAnsi="宋体" w:cs="宋体" w:eastAsia="宋体" w:hint="default"/>
          <w:sz w:val="21"/>
          <w:szCs w:val="21"/>
        </w:rPr>
        <w:t>元。截至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日止，</w:t>
      </w:r>
    </w:p>
    <w:p>
      <w:pPr>
        <w:spacing w:line="240" w:lineRule="auto" w:before="10"/>
        <w:rPr>
          <w:rFonts w:ascii="宋体" w:hAnsi="宋体" w:cs="宋体" w:eastAsia="宋体" w:hint="default"/>
          <w:sz w:val="14"/>
          <w:szCs w:val="14"/>
        </w:rPr>
      </w:pPr>
    </w:p>
    <w:p>
      <w:pPr>
        <w:spacing w:before="0"/>
        <w:ind w:left="222" w:right="98" w:firstLine="0"/>
        <w:jc w:val="left"/>
        <w:rPr>
          <w:rFonts w:ascii="宋体" w:hAnsi="宋体" w:cs="宋体" w:eastAsia="宋体" w:hint="default"/>
          <w:sz w:val="21"/>
          <w:szCs w:val="21"/>
        </w:rPr>
      </w:pPr>
      <w:r>
        <w:rPr>
          <w:rFonts w:ascii="宋体" w:hAnsi="宋体" w:cs="宋体" w:eastAsia="宋体" w:hint="default"/>
          <w:sz w:val="21"/>
          <w:szCs w:val="21"/>
        </w:rPr>
        <w:t>共募集资金</w:t>
      </w:r>
      <w:r>
        <w:rPr>
          <w:rFonts w:ascii="宋体" w:hAnsi="宋体" w:cs="宋体" w:eastAsia="宋体" w:hint="default"/>
          <w:spacing w:val="-48"/>
          <w:sz w:val="21"/>
          <w:szCs w:val="21"/>
        </w:rPr>
        <w:t> </w:t>
      </w:r>
      <w:r>
        <w:rPr>
          <w:rFonts w:ascii="宋体" w:hAnsi="宋体" w:cs="宋体" w:eastAsia="宋体" w:hint="default"/>
          <w:sz w:val="21"/>
          <w:szCs w:val="21"/>
        </w:rPr>
        <w:t>69,328.00</w:t>
      </w:r>
      <w:r>
        <w:rPr>
          <w:rFonts w:ascii="宋体" w:hAnsi="宋体" w:cs="宋体" w:eastAsia="宋体" w:hint="default"/>
          <w:spacing w:val="-46"/>
          <w:sz w:val="21"/>
          <w:szCs w:val="21"/>
        </w:rPr>
        <w:t> </w:t>
      </w:r>
      <w:r>
        <w:rPr>
          <w:rFonts w:ascii="宋体" w:hAnsi="宋体" w:cs="宋体" w:eastAsia="宋体" w:hint="default"/>
          <w:spacing w:val="-5"/>
          <w:sz w:val="21"/>
          <w:szCs w:val="21"/>
        </w:rPr>
        <w:t>万元，扣除发行费用</w:t>
      </w:r>
      <w:r>
        <w:rPr>
          <w:rFonts w:ascii="宋体" w:hAnsi="宋体" w:cs="宋体" w:eastAsia="宋体" w:hint="default"/>
          <w:spacing w:val="-48"/>
          <w:sz w:val="21"/>
          <w:szCs w:val="21"/>
        </w:rPr>
        <w:t> </w:t>
      </w:r>
      <w:r>
        <w:rPr>
          <w:rFonts w:ascii="宋体" w:hAnsi="宋体" w:cs="宋体" w:eastAsia="宋体" w:hint="default"/>
          <w:sz w:val="21"/>
          <w:szCs w:val="21"/>
        </w:rPr>
        <w:t>46,945,065.67</w:t>
      </w:r>
      <w:r>
        <w:rPr>
          <w:rFonts w:ascii="宋体" w:hAnsi="宋体" w:cs="宋体" w:eastAsia="宋体" w:hint="default"/>
          <w:spacing w:val="-48"/>
          <w:sz w:val="21"/>
          <w:szCs w:val="21"/>
        </w:rPr>
        <w:t> </w:t>
      </w:r>
      <w:r>
        <w:rPr>
          <w:rFonts w:ascii="宋体" w:hAnsi="宋体" w:cs="宋体" w:eastAsia="宋体" w:hint="default"/>
          <w:spacing w:val="-5"/>
          <w:sz w:val="21"/>
          <w:szCs w:val="21"/>
        </w:rPr>
        <w:t>元，募集资金净额</w:t>
      </w:r>
      <w:r>
        <w:rPr>
          <w:rFonts w:ascii="宋体" w:hAnsi="宋体" w:cs="宋体" w:eastAsia="宋体" w:hint="default"/>
          <w:spacing w:val="-50"/>
          <w:sz w:val="21"/>
          <w:szCs w:val="21"/>
        </w:rPr>
        <w:t> </w:t>
      </w:r>
      <w:r>
        <w:rPr>
          <w:rFonts w:ascii="宋体" w:hAnsi="宋体" w:cs="宋体" w:eastAsia="宋体" w:hint="default"/>
          <w:sz w:val="21"/>
          <w:szCs w:val="21"/>
        </w:rPr>
        <w:t>646,334,934.33</w:t>
      </w:r>
    </w:p>
    <w:p>
      <w:pPr>
        <w:spacing w:after="0"/>
        <w:jc w:val="left"/>
        <w:rPr>
          <w:rFonts w:ascii="宋体" w:hAnsi="宋体" w:cs="宋体" w:eastAsia="宋体" w:hint="default"/>
          <w:sz w:val="21"/>
          <w:szCs w:val="21"/>
        </w:rPr>
        <w:sectPr>
          <w:pgSz w:w="11910" w:h="16840"/>
          <w:pgMar w:header="0" w:footer="1195" w:top="1440" w:bottom="1380" w:left="1480" w:right="1380"/>
        </w:sectPr>
      </w:pPr>
    </w:p>
    <w:p>
      <w:pPr>
        <w:spacing w:line="408" w:lineRule="auto" w:before="24"/>
        <w:ind w:left="505" w:right="0" w:hanging="404"/>
        <w:jc w:val="left"/>
        <w:rPr>
          <w:rFonts w:ascii="宋体" w:hAnsi="宋体" w:cs="宋体" w:eastAsia="宋体" w:hint="default"/>
          <w:sz w:val="21"/>
          <w:szCs w:val="21"/>
        </w:rPr>
      </w:pPr>
      <w:r>
        <w:rPr>
          <w:rFonts w:ascii="宋体" w:hAnsi="宋体" w:cs="宋体" w:eastAsia="宋体" w:hint="default"/>
          <w:sz w:val="21"/>
          <w:szCs w:val="21"/>
        </w:rPr>
        <w:t>元，本次募集资本业经立信大华会计师事务所“立信大华验字</w:t>
      </w:r>
      <w:r>
        <w:rPr>
          <w:rFonts w:ascii="宋体" w:hAnsi="宋体" w:cs="宋体" w:eastAsia="宋体" w:hint="default"/>
          <w:sz w:val="21"/>
          <w:szCs w:val="21"/>
        </w:rPr>
        <w:t>[2010]124</w:t>
      </w:r>
      <w:r>
        <w:rPr>
          <w:rFonts w:ascii="宋体" w:hAnsi="宋体" w:cs="宋体" w:eastAsia="宋体" w:hint="default"/>
          <w:spacing w:val="-55"/>
          <w:sz w:val="21"/>
          <w:szCs w:val="21"/>
        </w:rPr>
        <w:t> </w:t>
      </w:r>
      <w:r>
        <w:rPr>
          <w:rFonts w:ascii="宋体" w:hAnsi="宋体" w:cs="宋体" w:eastAsia="宋体" w:hint="default"/>
          <w:sz w:val="21"/>
          <w:szCs w:val="21"/>
        </w:rPr>
        <w:t>号”验资报告验证。</w:t>
      </w:r>
      <w:r>
        <w:rPr>
          <w:rFonts w:ascii="宋体" w:hAnsi="宋体" w:cs="宋体" w:eastAsia="宋体" w:hint="default"/>
          <w:w w:val="100"/>
          <w:sz w:val="21"/>
          <w:szCs w:val="21"/>
        </w:rPr>
        <w:t> </w:t>
      </w:r>
      <w:r>
        <w:rPr>
          <w:rFonts w:ascii="宋体" w:hAnsi="宋体" w:cs="宋体" w:eastAsia="宋体" w:hint="default"/>
          <w:sz w:val="21"/>
          <w:szCs w:val="21"/>
        </w:rPr>
        <w:t>经本公司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日股东大会审议通过，以公司原有的</w:t>
      </w:r>
      <w:r>
        <w:rPr>
          <w:rFonts w:ascii="宋体" w:hAnsi="宋体" w:cs="宋体" w:eastAsia="宋体" w:hint="default"/>
          <w:spacing w:val="-51"/>
          <w:sz w:val="21"/>
          <w:szCs w:val="21"/>
        </w:rPr>
        <w:t> </w:t>
      </w:r>
      <w:r>
        <w:rPr>
          <w:rFonts w:ascii="宋体" w:hAnsi="宋体" w:cs="宋体" w:eastAsia="宋体" w:hint="default"/>
          <w:sz w:val="21"/>
          <w:szCs w:val="21"/>
        </w:rPr>
        <w:t>6,350</w:t>
      </w:r>
      <w:r>
        <w:rPr>
          <w:rFonts w:ascii="宋体" w:hAnsi="宋体" w:cs="宋体" w:eastAsia="宋体" w:hint="default"/>
          <w:spacing w:val="-54"/>
          <w:sz w:val="21"/>
          <w:szCs w:val="21"/>
        </w:rPr>
        <w:t> </w:t>
      </w:r>
      <w:r>
        <w:rPr>
          <w:rFonts w:ascii="宋体" w:hAnsi="宋体" w:cs="宋体" w:eastAsia="宋体" w:hint="default"/>
          <w:sz w:val="21"/>
          <w:szCs w:val="21"/>
        </w:rPr>
        <w:t>万股为基础，向全体</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股东每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股派</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元人民币现金</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，同时以资本公积向全体股东每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股，共计转</w:t>
      </w:r>
    </w:p>
    <w:p>
      <w:pPr>
        <w:spacing w:line="240" w:lineRule="auto" w:before="10"/>
        <w:rPr>
          <w:rFonts w:ascii="宋体" w:hAnsi="宋体" w:cs="宋体" w:eastAsia="宋体" w:hint="default"/>
          <w:sz w:val="14"/>
          <w:szCs w:val="14"/>
        </w:rPr>
      </w:pPr>
    </w:p>
    <w:p>
      <w:pPr>
        <w:spacing w:line="408" w:lineRule="auto" w:before="0"/>
        <w:ind w:left="505" w:right="193" w:hanging="404"/>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3"/>
          <w:sz w:val="21"/>
          <w:szCs w:val="21"/>
        </w:rPr>
        <w:t> </w:t>
      </w:r>
      <w:r>
        <w:rPr>
          <w:rFonts w:ascii="宋体" w:hAnsi="宋体" w:cs="宋体" w:eastAsia="宋体" w:hint="default"/>
          <w:sz w:val="21"/>
          <w:szCs w:val="21"/>
        </w:rPr>
        <w:t>5,080</w:t>
      </w:r>
      <w:r>
        <w:rPr>
          <w:rFonts w:ascii="宋体" w:hAnsi="宋体" w:cs="宋体" w:eastAsia="宋体" w:hint="default"/>
          <w:spacing w:val="-53"/>
          <w:sz w:val="21"/>
          <w:szCs w:val="21"/>
        </w:rPr>
        <w:t> </w:t>
      </w:r>
      <w:r>
        <w:rPr>
          <w:rFonts w:ascii="宋体" w:hAnsi="宋体" w:cs="宋体" w:eastAsia="宋体" w:hint="default"/>
          <w:sz w:val="21"/>
          <w:szCs w:val="21"/>
        </w:rPr>
        <w:t>万元。分红后公司总股本增至</w:t>
      </w:r>
      <w:r>
        <w:rPr>
          <w:rFonts w:ascii="宋体" w:hAnsi="宋体" w:cs="宋体" w:eastAsia="宋体" w:hint="default"/>
          <w:spacing w:val="-53"/>
          <w:sz w:val="21"/>
          <w:szCs w:val="21"/>
        </w:rPr>
        <w:t> </w:t>
      </w:r>
      <w:r>
        <w:rPr>
          <w:rFonts w:ascii="宋体" w:hAnsi="宋体" w:cs="宋体" w:eastAsia="宋体" w:hint="default"/>
          <w:sz w:val="21"/>
          <w:szCs w:val="21"/>
        </w:rPr>
        <w:t>11,430</w:t>
      </w:r>
      <w:r>
        <w:rPr>
          <w:rFonts w:ascii="宋体" w:hAnsi="宋体" w:cs="宋体" w:eastAsia="宋体" w:hint="default"/>
          <w:spacing w:val="-52"/>
          <w:sz w:val="21"/>
          <w:szCs w:val="21"/>
        </w:rPr>
        <w:t> </w:t>
      </w:r>
      <w:r>
        <w:rPr>
          <w:rFonts w:ascii="宋体" w:hAnsi="宋体" w:cs="宋体" w:eastAsia="宋体" w:hint="default"/>
          <w:spacing w:val="-3"/>
          <w:sz w:val="21"/>
          <w:szCs w:val="21"/>
        </w:rPr>
        <w:t>万股。</w:t>
      </w:r>
      <w:r>
        <w:rPr>
          <w:rFonts w:ascii="宋体" w:hAnsi="宋体" w:cs="宋体" w:eastAsia="宋体" w:hint="default"/>
          <w:spacing w:val="-3"/>
          <w:w w:val="100"/>
          <w:sz w:val="21"/>
          <w:szCs w:val="21"/>
        </w:rPr>
        <w:t> </w:t>
      </w:r>
      <w:r>
        <w:rPr>
          <w:rFonts w:ascii="宋体" w:hAnsi="宋体" w:cs="宋体" w:eastAsia="宋体" w:hint="default"/>
          <w:sz w:val="21"/>
          <w:szCs w:val="21"/>
        </w:rPr>
        <w:t>本公司现注册地为深圳市福田区深南路车公庙工业区泰然劲松大厦</w:t>
      </w:r>
      <w:r>
        <w:rPr>
          <w:rFonts w:ascii="宋体" w:hAnsi="宋体" w:cs="宋体" w:eastAsia="宋体" w:hint="default"/>
          <w:spacing w:val="18"/>
          <w:sz w:val="21"/>
          <w:szCs w:val="21"/>
        </w:rPr>
        <w:t> </w:t>
      </w:r>
      <w:r>
        <w:rPr>
          <w:rFonts w:ascii="宋体" w:hAnsi="宋体" w:cs="宋体" w:eastAsia="宋体" w:hint="default"/>
          <w:sz w:val="21"/>
          <w:szCs w:val="21"/>
        </w:rPr>
        <w:t>17A</w:t>
      </w:r>
      <w:r>
        <w:rPr>
          <w:rFonts w:ascii="宋体" w:hAnsi="宋体" w:cs="宋体" w:eastAsia="宋体" w:hint="default"/>
          <w:sz w:val="21"/>
          <w:szCs w:val="21"/>
        </w:rPr>
        <w:t>，法定代表人为刘</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祥。经营范围为：银行卡电子支付终端产品</w:t>
      </w:r>
      <w:r>
        <w:rPr>
          <w:rFonts w:ascii="宋体" w:hAnsi="宋体" w:cs="宋体" w:eastAsia="宋体" w:hint="default"/>
          <w:sz w:val="21"/>
          <w:szCs w:val="21"/>
        </w:rPr>
        <w:t>(POS</w:t>
      </w:r>
      <w:r>
        <w:rPr>
          <w:rFonts w:ascii="宋体" w:hAnsi="宋体" w:cs="宋体" w:eastAsia="宋体" w:hint="default"/>
          <w:spacing w:val="-5"/>
          <w:sz w:val="21"/>
          <w:szCs w:val="21"/>
        </w:rPr>
        <w:t> </w:t>
      </w:r>
      <w:r>
        <w:rPr>
          <w:rFonts w:ascii="宋体" w:hAnsi="宋体" w:cs="宋体" w:eastAsia="宋体" w:hint="default"/>
          <w:sz w:val="21"/>
          <w:szCs w:val="21"/>
        </w:rPr>
        <w:t>机</w:t>
      </w:r>
      <w:r>
        <w:rPr>
          <w:rFonts w:ascii="宋体" w:hAnsi="宋体" w:cs="宋体" w:eastAsia="宋体" w:hint="default"/>
          <w:sz w:val="21"/>
          <w:szCs w:val="21"/>
        </w:rPr>
        <w:t>)</w:t>
      </w:r>
      <w:r>
        <w:rPr>
          <w:rFonts w:ascii="宋体" w:hAnsi="宋体" w:cs="宋体" w:eastAsia="宋体" w:hint="default"/>
          <w:sz w:val="21"/>
          <w:szCs w:val="21"/>
        </w:rPr>
        <w:t>、电子技术密码系统产品、计算机产品及</w:t>
      </w:r>
      <w:r>
        <w:rPr>
          <w:rFonts w:ascii="宋体" w:hAnsi="宋体" w:cs="宋体" w:eastAsia="宋体" w:hint="default"/>
          <w:w w:val="100"/>
          <w:sz w:val="21"/>
          <w:szCs w:val="21"/>
        </w:rPr>
        <w:t> </w:t>
      </w:r>
      <w:r>
        <w:rPr>
          <w:rFonts w:ascii="宋体" w:hAnsi="宋体" w:cs="宋体" w:eastAsia="宋体" w:hint="default"/>
          <w:spacing w:val="-2"/>
          <w:sz w:val="21"/>
          <w:szCs w:val="21"/>
        </w:rPr>
        <w:t>电子产品的技术开发、生产</w:t>
      </w:r>
      <w:r>
        <w:rPr>
          <w:rFonts w:ascii="宋体" w:hAnsi="宋体" w:cs="宋体" w:eastAsia="宋体" w:hint="default"/>
          <w:spacing w:val="-2"/>
          <w:sz w:val="21"/>
          <w:szCs w:val="21"/>
        </w:rPr>
        <w:t>(</w:t>
      </w:r>
      <w:r>
        <w:rPr>
          <w:rFonts w:ascii="宋体" w:hAnsi="宋体" w:cs="宋体" w:eastAsia="宋体" w:hint="default"/>
          <w:spacing w:val="-2"/>
          <w:sz w:val="21"/>
          <w:szCs w:val="21"/>
        </w:rPr>
        <w:t>生产项目由分支机构经营</w:t>
      </w:r>
      <w:r>
        <w:rPr>
          <w:rFonts w:ascii="宋体" w:hAnsi="宋体" w:cs="宋体" w:eastAsia="宋体" w:hint="default"/>
          <w:spacing w:val="-2"/>
          <w:sz w:val="21"/>
          <w:szCs w:val="21"/>
        </w:rPr>
        <w:t>)</w:t>
      </w:r>
      <w:r>
        <w:rPr>
          <w:rFonts w:ascii="宋体" w:hAnsi="宋体" w:cs="宋体" w:eastAsia="宋体" w:hint="default"/>
          <w:spacing w:val="-2"/>
          <w:sz w:val="21"/>
          <w:szCs w:val="21"/>
        </w:rPr>
        <w:t>、销售、租赁及服务</w:t>
      </w:r>
      <w:r>
        <w:rPr>
          <w:rFonts w:ascii="宋体" w:hAnsi="宋体" w:cs="宋体" w:eastAsia="宋体" w:hint="default"/>
          <w:spacing w:val="-2"/>
          <w:sz w:val="21"/>
          <w:szCs w:val="21"/>
        </w:rPr>
        <w:t>(</w:t>
      </w:r>
      <w:r>
        <w:rPr>
          <w:rFonts w:ascii="宋体" w:hAnsi="宋体" w:cs="宋体" w:eastAsia="宋体" w:hint="default"/>
          <w:spacing w:val="-2"/>
          <w:sz w:val="21"/>
          <w:szCs w:val="21"/>
        </w:rPr>
        <w:t>不含专营、专控、</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专卖商品及限制产品</w:t>
      </w:r>
      <w:r>
        <w:rPr>
          <w:rFonts w:ascii="宋体" w:hAnsi="宋体" w:cs="宋体" w:eastAsia="宋体" w:hint="default"/>
          <w:sz w:val="21"/>
          <w:szCs w:val="21"/>
        </w:rPr>
        <w:t>)</w:t>
      </w:r>
      <w:r>
        <w:rPr>
          <w:rFonts w:ascii="宋体" w:hAnsi="宋体" w:cs="宋体" w:eastAsia="宋体" w:hint="default"/>
          <w:sz w:val="21"/>
          <w:szCs w:val="21"/>
        </w:rPr>
        <w:t>；移动支付业务的技术开发运营及服务</w:t>
      </w:r>
      <w:r>
        <w:rPr>
          <w:rFonts w:ascii="宋体" w:hAnsi="宋体" w:cs="宋体" w:eastAsia="宋体" w:hint="default"/>
          <w:sz w:val="21"/>
          <w:szCs w:val="21"/>
        </w:rPr>
        <w:t>(</w:t>
      </w:r>
      <w:r>
        <w:rPr>
          <w:rFonts w:ascii="宋体" w:hAnsi="宋体" w:cs="宋体" w:eastAsia="宋体" w:hint="default"/>
          <w:sz w:val="21"/>
          <w:szCs w:val="21"/>
        </w:rPr>
        <w:t>不含生产</w:t>
      </w:r>
      <w:r>
        <w:rPr>
          <w:rFonts w:ascii="宋体" w:hAnsi="宋体" w:cs="宋体" w:eastAsia="宋体" w:hint="default"/>
          <w:sz w:val="21"/>
          <w:szCs w:val="21"/>
        </w:rPr>
        <w:t>)</w:t>
      </w:r>
      <w:r>
        <w:rPr>
          <w:rFonts w:ascii="宋体" w:hAnsi="宋体" w:cs="宋体" w:eastAsia="宋体" w:hint="default"/>
          <w:sz w:val="21"/>
          <w:szCs w:val="21"/>
        </w:rPr>
        <w:t>。</w:t>
      </w:r>
    </w:p>
    <w:p>
      <w:pPr>
        <w:spacing w:before="46"/>
        <w:ind w:left="505" w:right="0" w:firstLine="0"/>
        <w:jc w:val="left"/>
        <w:rPr>
          <w:rFonts w:ascii="宋体" w:hAnsi="宋体" w:cs="宋体" w:eastAsia="宋体" w:hint="default"/>
          <w:sz w:val="21"/>
          <w:szCs w:val="21"/>
        </w:rPr>
      </w:pPr>
      <w:r>
        <w:rPr>
          <w:rFonts w:ascii="宋体" w:hAnsi="宋体" w:cs="宋体" w:eastAsia="宋体" w:hint="default"/>
          <w:sz w:val="21"/>
          <w:szCs w:val="21"/>
        </w:rPr>
        <w:t>本公司的主营业务为生产、研发、销售、租赁银行卡电子支付终端</w:t>
      </w:r>
      <w:r>
        <w:rPr>
          <w:rFonts w:ascii="宋体" w:hAnsi="宋体" w:cs="宋体" w:eastAsia="宋体" w:hint="default"/>
          <w:sz w:val="21"/>
          <w:szCs w:val="21"/>
        </w:rPr>
        <w:t>(POS)</w:t>
      </w:r>
      <w:r>
        <w:rPr>
          <w:rFonts w:ascii="宋体" w:hAnsi="宋体" w:cs="宋体" w:eastAsia="宋体" w:hint="default"/>
          <w:sz w:val="21"/>
          <w:szCs w:val="21"/>
        </w:rPr>
        <w:t>机。</w:t>
      </w:r>
    </w:p>
    <w:p>
      <w:pPr>
        <w:spacing w:line="780" w:lineRule="atLeast" w:before="156"/>
        <w:ind w:left="524" w:right="4459" w:firstLine="0"/>
        <w:jc w:val="left"/>
        <w:rPr>
          <w:rFonts w:ascii="宋体" w:hAnsi="宋体" w:cs="宋体" w:eastAsia="宋体" w:hint="default"/>
          <w:sz w:val="21"/>
          <w:szCs w:val="21"/>
        </w:rPr>
      </w:pPr>
      <w:r>
        <w:rPr>
          <w:rFonts w:ascii="宋体" w:hAnsi="宋体" w:cs="宋体" w:eastAsia="宋体" w:hint="default"/>
          <w:b/>
          <w:bCs/>
          <w:spacing w:val="-1"/>
          <w:sz w:val="21"/>
          <w:szCs w:val="21"/>
        </w:rPr>
        <w:t>二、主要会计政策、会计估计和前期差错</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02" w:right="226" w:firstLine="419"/>
        <w:jc w:val="both"/>
        <w:rPr>
          <w:rFonts w:ascii="宋体" w:hAnsi="宋体" w:cs="宋体" w:eastAsia="宋体" w:hint="default"/>
          <w:sz w:val="21"/>
          <w:szCs w:val="21"/>
        </w:rPr>
      </w:pPr>
      <w:r>
        <w:rPr>
          <w:rFonts w:ascii="宋体" w:hAnsi="宋体" w:cs="宋体" w:eastAsia="宋体" w:hint="default"/>
          <w:spacing w:val="-2"/>
          <w:sz w:val="21"/>
          <w:szCs w:val="21"/>
        </w:rPr>
        <w:t>本公司以持续经营为基础，根据实际发生的交易和事项，按照《企业会计准则——基本准</w:t>
      </w:r>
      <w:r>
        <w:rPr>
          <w:rFonts w:ascii="宋体" w:hAnsi="宋体" w:cs="宋体" w:eastAsia="宋体" w:hint="default"/>
          <w:w w:val="100"/>
          <w:sz w:val="21"/>
          <w:szCs w:val="21"/>
        </w:rPr>
        <w:t> </w:t>
      </w:r>
      <w:r>
        <w:rPr>
          <w:rFonts w:ascii="宋体" w:hAnsi="宋体" w:cs="宋体" w:eastAsia="宋体" w:hint="default"/>
          <w:sz w:val="21"/>
          <w:szCs w:val="21"/>
        </w:rPr>
        <w:t>则》和其他各项会计准则的规定进行确认和计量，在此基础上编制</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年度财务报表。</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本公司编制的财务报表符合企业会计准则的要求，真实、完整地反映了本公司财务状况、</w:t>
      </w:r>
    </w:p>
    <w:p>
      <w:pPr>
        <w:spacing w:line="408" w:lineRule="auto" w:before="46"/>
        <w:ind w:left="524" w:right="4459" w:hanging="423"/>
        <w:jc w:val="left"/>
        <w:rPr>
          <w:rFonts w:ascii="宋体" w:hAnsi="宋体" w:cs="宋体" w:eastAsia="宋体" w:hint="default"/>
          <w:sz w:val="21"/>
          <w:szCs w:val="21"/>
        </w:rPr>
      </w:pPr>
      <w:r>
        <w:rPr>
          <w:rFonts w:ascii="宋体" w:hAnsi="宋体" w:cs="宋体" w:eastAsia="宋体" w:hint="default"/>
          <w:spacing w:val="-2"/>
          <w:sz w:val="21"/>
          <w:szCs w:val="21"/>
        </w:rPr>
        <w:t>经营成果和现金流量等有关信息。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410" w:lineRule="auto" w:before="46"/>
        <w:ind w:left="524" w:right="3772" w:hanging="3"/>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408" w:lineRule="auto" w:before="44"/>
        <w:ind w:left="524" w:right="1382" w:hanging="3"/>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同一控制下和非同一控制下企业合并的会计处理</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408" w:lineRule="auto" w:before="46"/>
        <w:ind w:left="102" w:right="172" w:firstLine="419"/>
        <w:jc w:val="both"/>
        <w:rPr>
          <w:rFonts w:ascii="宋体" w:hAnsi="宋体" w:cs="宋体" w:eastAsia="宋体" w:hint="default"/>
          <w:sz w:val="21"/>
          <w:szCs w:val="21"/>
        </w:rPr>
      </w:pPr>
      <w:r>
        <w:rPr>
          <w:rFonts w:ascii="宋体" w:hAnsi="宋体" w:cs="宋体" w:eastAsia="宋体" w:hint="default"/>
          <w:spacing w:val="-1"/>
          <w:sz w:val="21"/>
          <w:szCs w:val="21"/>
        </w:rPr>
        <w:t>本公司在企业合并中取得的资产和负债，按照合并日在被合并方的账面价值计量。在合并</w:t>
      </w:r>
      <w:r>
        <w:rPr>
          <w:rFonts w:ascii="宋体" w:hAnsi="宋体" w:cs="宋体" w:eastAsia="宋体" w:hint="default"/>
          <w:w w:val="100"/>
          <w:sz w:val="21"/>
          <w:szCs w:val="21"/>
        </w:rPr>
        <w:t> </w:t>
      </w:r>
      <w:r>
        <w:rPr>
          <w:rFonts w:ascii="宋体" w:hAnsi="宋体" w:cs="宋体" w:eastAsia="宋体" w:hint="default"/>
          <w:spacing w:val="-1"/>
          <w:sz w:val="21"/>
          <w:szCs w:val="21"/>
        </w:rPr>
        <w:t>中取得的净资产账面价值与支付的合并对价账面价值</w:t>
      </w:r>
      <w:r>
        <w:rPr>
          <w:rFonts w:ascii="宋体" w:hAnsi="宋体" w:cs="宋体" w:eastAsia="宋体" w:hint="default"/>
          <w:spacing w:val="-1"/>
          <w:sz w:val="21"/>
          <w:szCs w:val="21"/>
        </w:rPr>
        <w:t>(</w:t>
      </w:r>
      <w:r>
        <w:rPr>
          <w:rFonts w:ascii="宋体" w:hAnsi="宋体" w:cs="宋体" w:eastAsia="宋体" w:hint="default"/>
          <w:spacing w:val="-1"/>
          <w:sz w:val="21"/>
          <w:szCs w:val="21"/>
        </w:rPr>
        <w:t>或发行股份面值总额</w:t>
      </w:r>
      <w:r>
        <w:rPr>
          <w:rFonts w:ascii="宋体" w:hAnsi="宋体" w:cs="宋体" w:eastAsia="宋体" w:hint="default"/>
          <w:spacing w:val="-1"/>
          <w:sz w:val="21"/>
          <w:szCs w:val="21"/>
        </w:rPr>
        <w:t>)</w:t>
      </w:r>
      <w:r>
        <w:rPr>
          <w:rFonts w:ascii="宋体" w:hAnsi="宋体" w:cs="宋体" w:eastAsia="宋体" w:hint="default"/>
          <w:spacing w:val="-1"/>
          <w:sz w:val="21"/>
          <w:szCs w:val="21"/>
        </w:rPr>
        <w:t>的差额，调整资本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公积，资本公积不足冲减的，调整留存收益。</w:t>
      </w:r>
    </w:p>
    <w:p>
      <w:pPr>
        <w:spacing w:line="408" w:lineRule="auto" w:before="46"/>
        <w:ind w:left="102" w:right="172" w:firstLine="419"/>
        <w:jc w:val="both"/>
        <w:rPr>
          <w:rFonts w:ascii="宋体" w:hAnsi="宋体" w:cs="宋体" w:eastAsia="宋体" w:hint="default"/>
          <w:sz w:val="21"/>
          <w:szCs w:val="21"/>
        </w:rPr>
      </w:pPr>
      <w:r>
        <w:rPr>
          <w:rFonts w:ascii="宋体" w:hAnsi="宋体" w:cs="宋体" w:eastAsia="宋体" w:hint="default"/>
          <w:spacing w:val="-1"/>
          <w:sz w:val="21"/>
          <w:szCs w:val="21"/>
        </w:rPr>
        <w:t>本公司为进行企业合并而发生的各项直接相关费用，包括为进行企业合并而支付的审计费</w:t>
      </w:r>
      <w:r>
        <w:rPr>
          <w:rFonts w:ascii="宋体" w:hAnsi="宋体" w:cs="宋体" w:eastAsia="宋体" w:hint="default"/>
          <w:w w:val="100"/>
          <w:sz w:val="21"/>
          <w:szCs w:val="21"/>
        </w:rPr>
        <w:t> </w:t>
      </w:r>
      <w:r>
        <w:rPr>
          <w:rFonts w:ascii="宋体" w:hAnsi="宋体" w:cs="宋体" w:eastAsia="宋体" w:hint="default"/>
          <w:sz w:val="21"/>
          <w:szCs w:val="21"/>
        </w:rPr>
        <w:t>用、评估费用、法律服务费等，于发生时计入当期损益。</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企业合并中发行权益性证券发生的手续费、佣金等，抵减权益性证券溢价收入，溢价收入</w:t>
      </w:r>
    </w:p>
    <w:p>
      <w:pPr>
        <w:spacing w:after="0"/>
        <w:jc w:val="left"/>
        <w:rPr>
          <w:rFonts w:ascii="宋体" w:hAnsi="宋体" w:cs="宋体" w:eastAsia="宋体" w:hint="default"/>
          <w:sz w:val="21"/>
          <w:szCs w:val="21"/>
        </w:rPr>
        <w:sectPr>
          <w:footerReference w:type="default" r:id="rId57"/>
          <w:pgSz w:w="11910" w:h="16840"/>
          <w:pgMar w:footer="1195" w:header="0" w:top="1440" w:bottom="1380" w:left="1600" w:right="1380"/>
          <w:pgNumType w:start="98"/>
        </w:sectPr>
      </w:pPr>
    </w:p>
    <w:p>
      <w:pPr>
        <w:spacing w:line="408" w:lineRule="auto" w:before="24"/>
        <w:ind w:left="521" w:right="0" w:hanging="420"/>
        <w:jc w:val="left"/>
        <w:rPr>
          <w:rFonts w:ascii="宋体" w:hAnsi="宋体" w:cs="宋体" w:eastAsia="宋体" w:hint="default"/>
          <w:sz w:val="21"/>
          <w:szCs w:val="21"/>
        </w:rPr>
      </w:pPr>
      <w:r>
        <w:rPr>
          <w:rFonts w:ascii="宋体" w:hAnsi="宋体" w:cs="宋体" w:eastAsia="宋体" w:hint="default"/>
          <w:sz w:val="21"/>
          <w:szCs w:val="21"/>
        </w:rPr>
        <w:t>不足冲减的，冲减留存收益。</w:t>
      </w:r>
      <w:r>
        <w:rPr>
          <w:rFonts w:ascii="宋体" w:hAnsi="宋体" w:cs="宋体" w:eastAsia="宋体" w:hint="default"/>
          <w:w w:val="100"/>
          <w:sz w:val="21"/>
          <w:szCs w:val="21"/>
        </w:rPr>
        <w:t> </w:t>
      </w:r>
      <w:r>
        <w:rPr>
          <w:rFonts w:ascii="宋体" w:hAnsi="宋体" w:cs="宋体" w:eastAsia="宋体" w:hint="default"/>
          <w:spacing w:val="-1"/>
          <w:sz w:val="21"/>
          <w:szCs w:val="21"/>
        </w:rPr>
        <w:t>被合并各方采用的会计政策与本公司不一致的，本公司在合并日按照本公司会计政策进行</w:t>
      </w:r>
    </w:p>
    <w:p>
      <w:pPr>
        <w:spacing w:line="408" w:lineRule="auto" w:before="46"/>
        <w:ind w:left="524" w:right="2087" w:hanging="423"/>
        <w:jc w:val="left"/>
        <w:rPr>
          <w:rFonts w:ascii="宋体" w:hAnsi="宋体" w:cs="宋体" w:eastAsia="宋体" w:hint="default"/>
          <w:sz w:val="21"/>
          <w:szCs w:val="21"/>
        </w:rPr>
      </w:pPr>
      <w:r>
        <w:rPr>
          <w:rFonts w:ascii="宋体" w:hAnsi="宋体" w:cs="宋体" w:eastAsia="宋体" w:hint="default"/>
          <w:spacing w:val="-2"/>
          <w:sz w:val="21"/>
          <w:szCs w:val="21"/>
        </w:rPr>
        <w:t>调整，在此基础上按照企业会计准则规定确认。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本公司在购买日对作为企业合并对价付出的资产、发生或承担的负债按照公允价值计量。</w:t>
      </w:r>
      <w:r>
        <w:rPr>
          <w:rFonts w:ascii="宋体" w:hAnsi="宋体" w:cs="宋体" w:eastAsia="宋体" w:hint="default"/>
          <w:w w:val="100"/>
          <w:sz w:val="21"/>
          <w:szCs w:val="21"/>
        </w:rPr>
        <w:t> </w:t>
      </w:r>
      <w:r>
        <w:rPr>
          <w:rFonts w:ascii="宋体" w:hAnsi="宋体" w:cs="宋体" w:eastAsia="宋体" w:hint="default"/>
          <w:sz w:val="21"/>
          <w:szCs w:val="21"/>
        </w:rPr>
        <w:t>公允价值与其账面价值的差额，计入当期损益。</w:t>
      </w:r>
    </w:p>
    <w:p>
      <w:pPr>
        <w:spacing w:line="410"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w:t>
      </w:r>
      <w:r>
        <w:rPr>
          <w:rFonts w:ascii="宋体" w:hAnsi="宋体" w:cs="宋体" w:eastAsia="宋体" w:hint="default"/>
          <w:w w:val="100"/>
          <w:sz w:val="21"/>
          <w:szCs w:val="21"/>
        </w:rPr>
        <w:t> </w:t>
      </w:r>
      <w:r>
        <w:rPr>
          <w:rFonts w:ascii="宋体" w:hAnsi="宋体" w:cs="宋体" w:eastAsia="宋体" w:hint="default"/>
          <w:spacing w:val="-1"/>
          <w:sz w:val="21"/>
          <w:szCs w:val="21"/>
        </w:rPr>
        <w:t>本公司对合并成本大于合并中取得的被购买方可辨认净资产公允价值份额的差额，确认为</w:t>
      </w:r>
    </w:p>
    <w:p>
      <w:pPr>
        <w:spacing w:line="408" w:lineRule="auto" w:before="44"/>
        <w:ind w:left="521" w:right="0" w:hanging="420"/>
        <w:jc w:val="left"/>
        <w:rPr>
          <w:rFonts w:ascii="宋体" w:hAnsi="宋体" w:cs="宋体" w:eastAsia="宋体" w:hint="default"/>
          <w:sz w:val="21"/>
          <w:szCs w:val="21"/>
        </w:rPr>
      </w:pPr>
      <w:r>
        <w:rPr>
          <w:rFonts w:ascii="宋体" w:hAnsi="宋体" w:cs="宋体" w:eastAsia="宋体" w:hint="default"/>
          <w:spacing w:val="-4"/>
          <w:sz w:val="21"/>
          <w:szCs w:val="21"/>
        </w:rPr>
        <w:t>商誉；合并成本小于合并中取得的被购买方可辨认净资产公允价值份额的差额，计入当期损益。</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企业合并中取得的被购买方除无形资产外的其他各项资产</w:t>
      </w:r>
      <w:r>
        <w:rPr>
          <w:rFonts w:ascii="宋体" w:hAnsi="宋体" w:cs="宋体" w:eastAsia="宋体" w:hint="default"/>
          <w:sz w:val="21"/>
          <w:szCs w:val="21"/>
        </w:rPr>
        <w:t>(</w:t>
      </w:r>
      <w:r>
        <w:rPr>
          <w:rFonts w:ascii="宋体" w:hAnsi="宋体" w:cs="宋体" w:eastAsia="宋体" w:hint="default"/>
          <w:sz w:val="21"/>
          <w:szCs w:val="21"/>
        </w:rPr>
        <w:t>不仅限于被购买方原已确认的</w:t>
      </w:r>
    </w:p>
    <w:p>
      <w:pPr>
        <w:spacing w:line="408" w:lineRule="auto" w:before="46"/>
        <w:ind w:left="102" w:right="211" w:firstLine="0"/>
        <w:jc w:val="both"/>
        <w:rPr>
          <w:rFonts w:ascii="宋体" w:hAnsi="宋体" w:cs="宋体" w:eastAsia="宋体" w:hint="default"/>
          <w:sz w:val="21"/>
          <w:szCs w:val="21"/>
        </w:rPr>
      </w:pPr>
      <w:r>
        <w:rPr>
          <w:rFonts w:ascii="宋体" w:hAnsi="宋体" w:cs="宋体" w:eastAsia="宋体" w:hint="default"/>
          <w:spacing w:val="-4"/>
          <w:sz w:val="21"/>
          <w:szCs w:val="21"/>
        </w:rPr>
        <w:t>资产</w:t>
      </w:r>
      <w:r>
        <w:rPr>
          <w:rFonts w:ascii="宋体" w:hAnsi="宋体" w:cs="宋体" w:eastAsia="宋体" w:hint="default"/>
          <w:spacing w:val="-4"/>
          <w:sz w:val="21"/>
          <w:szCs w:val="21"/>
        </w:rPr>
        <w:t>)</w:t>
      </w:r>
      <w:r>
        <w:rPr>
          <w:rFonts w:ascii="宋体" w:hAnsi="宋体" w:cs="宋体" w:eastAsia="宋体" w:hint="default"/>
          <w:spacing w:val="-4"/>
          <w:sz w:val="21"/>
          <w:szCs w:val="21"/>
        </w:rPr>
        <w:t>，其所带来的经济利益很可能流入本公司且公允价值能够可靠计量的，单独确认并按公允</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1"/>
          <w:sz w:val="21"/>
          <w:szCs w:val="21"/>
        </w:rPr>
        <w:t>价值计量；公允价值能够可靠计量的无形资产，单独确认为无形资产并按公允价值计量；取得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的被购买方除或有负债以外的其他各项负债，履行有关义务很可能导致经济利益流出本公司且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公允价值能够可靠计量的，单独确认并按照公允价值计量；取得的被购买方或有负债，其公允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价值能可靠计量的，单独确认为负债并按照公允价值计量。</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所有纳入合并财务报表合并范围的子公司所采用的会计政策、会计期间与本公司一致，如</w:t>
      </w:r>
    </w:p>
    <w:p>
      <w:pPr>
        <w:spacing w:line="408" w:lineRule="auto" w:before="46"/>
        <w:ind w:left="102" w:right="216" w:firstLine="0"/>
        <w:jc w:val="both"/>
        <w:rPr>
          <w:rFonts w:ascii="宋体" w:hAnsi="宋体" w:cs="宋体" w:eastAsia="宋体" w:hint="default"/>
          <w:sz w:val="21"/>
          <w:szCs w:val="21"/>
        </w:rPr>
      </w:pPr>
      <w:r>
        <w:rPr>
          <w:rFonts w:ascii="宋体" w:hAnsi="宋体" w:cs="宋体" w:eastAsia="宋体" w:hint="default"/>
          <w:spacing w:val="-1"/>
          <w:sz w:val="21"/>
          <w:szCs w:val="21"/>
        </w:rPr>
        <w:t>子公司采用的会计政策、会计期间与本公司不一致的，在编制合并财务报表时，按本公司的会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计政策、会计期间进行必要的调整。</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合并财务报表以本公司及子公司的财务报表为基础，根据其他有关资料，按照权益法调整</w:t>
      </w:r>
      <w:r>
        <w:rPr>
          <w:rFonts w:ascii="宋体" w:hAnsi="宋体" w:cs="宋体" w:eastAsia="宋体" w:hint="default"/>
          <w:w w:val="100"/>
          <w:sz w:val="21"/>
          <w:szCs w:val="21"/>
        </w:rPr>
        <w:t> </w:t>
      </w:r>
      <w:r>
        <w:rPr>
          <w:rFonts w:ascii="宋体" w:hAnsi="宋体" w:cs="宋体" w:eastAsia="宋体" w:hint="default"/>
          <w:sz w:val="21"/>
          <w:szCs w:val="21"/>
        </w:rPr>
        <w:t>对子公司的长期股权投资后，由本公司编制。</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合并财务报表时抵销本公司与各子公司、各子公司相互之间发生的内部交易对合并资产负</w:t>
      </w:r>
      <w:r>
        <w:rPr>
          <w:rFonts w:ascii="宋体" w:hAnsi="宋体" w:cs="宋体" w:eastAsia="宋体" w:hint="default"/>
          <w:w w:val="100"/>
          <w:sz w:val="21"/>
          <w:szCs w:val="21"/>
        </w:rPr>
        <w:t> </w:t>
      </w:r>
      <w:r>
        <w:rPr>
          <w:rFonts w:ascii="宋体" w:hAnsi="宋体" w:cs="宋体" w:eastAsia="宋体" w:hint="default"/>
          <w:sz w:val="21"/>
          <w:szCs w:val="21"/>
        </w:rPr>
        <w:t>债表、合并利润表、合并现金流量表、合并所有者权益变动表的影响。</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子公司少数股东分担的当期亏损超过了少数股东在该子公司期初所有者权益中所享有的份</w:t>
      </w:r>
      <w:r>
        <w:rPr>
          <w:rFonts w:ascii="宋体" w:hAnsi="宋体" w:cs="宋体" w:eastAsia="宋体" w:hint="default"/>
          <w:w w:val="100"/>
          <w:sz w:val="21"/>
          <w:szCs w:val="21"/>
        </w:rPr>
        <w:t> </w:t>
      </w:r>
      <w:r>
        <w:rPr>
          <w:rFonts w:ascii="宋体" w:hAnsi="宋体" w:cs="宋体" w:eastAsia="宋体" w:hint="default"/>
          <w:sz w:val="21"/>
          <w:szCs w:val="21"/>
        </w:rPr>
        <w:t>额的，其余额仍应当冲减少数股东权益。</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在报告期内，若因同一控制下企业合并增加子公司的，则调整合并资产负债表的期初数；</w:t>
      </w:r>
      <w:r>
        <w:rPr>
          <w:rFonts w:ascii="宋体" w:hAnsi="宋体" w:cs="宋体" w:eastAsia="宋体" w:hint="default"/>
          <w:w w:val="100"/>
          <w:sz w:val="21"/>
          <w:szCs w:val="21"/>
        </w:rPr>
        <w:t> </w:t>
      </w:r>
      <w:r>
        <w:rPr>
          <w:rFonts w:ascii="宋体" w:hAnsi="宋体" w:cs="宋体" w:eastAsia="宋体" w:hint="default"/>
          <w:spacing w:val="-1"/>
          <w:sz w:val="21"/>
          <w:szCs w:val="21"/>
        </w:rPr>
        <w:t>将子公司合并当期期初至报告年末的收入、费用、利润纳入合并利润表；将子公司合并当期期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初至报告年末的现金流量纳入合并现金流量表。</w:t>
      </w:r>
    </w:p>
    <w:p>
      <w:pPr>
        <w:spacing w:before="46"/>
        <w:ind w:left="521" w:right="0" w:firstLine="0"/>
        <w:jc w:val="left"/>
        <w:rPr>
          <w:rFonts w:ascii="宋体" w:hAnsi="宋体" w:cs="宋体" w:eastAsia="宋体" w:hint="default"/>
          <w:sz w:val="21"/>
          <w:szCs w:val="21"/>
        </w:rPr>
      </w:pPr>
      <w:r>
        <w:rPr>
          <w:rFonts w:ascii="宋体" w:hAnsi="宋体" w:cs="宋体" w:eastAsia="宋体" w:hint="default"/>
          <w:spacing w:val="-4"/>
          <w:sz w:val="21"/>
          <w:szCs w:val="21"/>
        </w:rPr>
        <w:t>在报告期内，若因非同一控制下企业合并增加子公司的，则不调整合并资产负债表期初数；</w:t>
      </w:r>
    </w:p>
    <w:p>
      <w:pPr>
        <w:spacing w:after="0"/>
        <w:jc w:val="left"/>
        <w:rPr>
          <w:rFonts w:ascii="宋体" w:hAnsi="宋体" w:cs="宋体" w:eastAsia="宋体" w:hint="default"/>
          <w:sz w:val="21"/>
          <w:szCs w:val="21"/>
        </w:rPr>
        <w:sectPr>
          <w:footerReference w:type="default" r:id="rId58"/>
          <w:pgSz w:w="11910" w:h="16840"/>
          <w:pgMar w:footer="1195" w:header="0" w:top="1440" w:bottom="1380" w:left="1600" w:right="1340"/>
          <w:pgNumType w:start="99"/>
        </w:sectPr>
      </w:pPr>
    </w:p>
    <w:p>
      <w:pPr>
        <w:spacing w:line="408" w:lineRule="auto" w:before="24"/>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将子公司自购买日至报告年末的收入、费用、利润纳入合并利润表；该子公司自购买日至报告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年末的现金流量纳入合并现金流量表。</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在报告期内，本公司处置子公司，则该子公司期初至处置日的收入、费用、利润纳入合并</w:t>
      </w:r>
      <w:r>
        <w:rPr>
          <w:rFonts w:ascii="宋体" w:hAnsi="宋体" w:cs="宋体" w:eastAsia="宋体" w:hint="default"/>
          <w:w w:val="100"/>
          <w:sz w:val="21"/>
          <w:szCs w:val="21"/>
        </w:rPr>
        <w:t> </w:t>
      </w:r>
      <w:r>
        <w:rPr>
          <w:rFonts w:ascii="宋体" w:hAnsi="宋体" w:cs="宋体" w:eastAsia="宋体" w:hint="default"/>
          <w:sz w:val="21"/>
          <w:szCs w:val="21"/>
        </w:rPr>
        <w:t>利润表；该子公司期初至处置日的现金流量纳入合并现金流量表。</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现金等价物的确定标准</w:t>
      </w:r>
      <w:r>
        <w:rPr>
          <w:rFonts w:ascii="宋体" w:hAnsi="宋体" w:cs="宋体" w:eastAsia="宋体" w:hint="default"/>
          <w:b/>
          <w:bCs/>
          <w:w w:val="100"/>
          <w:sz w:val="21"/>
          <w:szCs w:val="21"/>
        </w:rPr>
        <w:t> </w:t>
      </w:r>
      <w:r>
        <w:rPr>
          <w:rFonts w:ascii="宋体" w:hAnsi="宋体" w:cs="宋体" w:eastAsia="宋体" w:hint="default"/>
          <w:spacing w:val="-1"/>
          <w:sz w:val="21"/>
          <w:szCs w:val="21"/>
        </w:rPr>
        <w:t>在编制现金流量表时，将同时具备期限短</w:t>
      </w:r>
      <w:r>
        <w:rPr>
          <w:rFonts w:ascii="宋体" w:hAnsi="宋体" w:cs="宋体" w:eastAsia="宋体" w:hint="default"/>
          <w:spacing w:val="-1"/>
          <w:sz w:val="21"/>
          <w:szCs w:val="21"/>
        </w:rPr>
        <w:t>(</w:t>
      </w:r>
      <w:r>
        <w:rPr>
          <w:rFonts w:ascii="宋体" w:hAnsi="宋体" w:cs="宋体" w:eastAsia="宋体" w:hint="default"/>
          <w:spacing w:val="-1"/>
          <w:sz w:val="21"/>
          <w:szCs w:val="21"/>
        </w:rPr>
        <w:t>从购买日起三个月内到期</w:t>
      </w:r>
      <w:r>
        <w:rPr>
          <w:rFonts w:ascii="宋体" w:hAnsi="宋体" w:cs="宋体" w:eastAsia="宋体" w:hint="default"/>
          <w:spacing w:val="-1"/>
          <w:sz w:val="21"/>
          <w:szCs w:val="21"/>
        </w:rPr>
        <w:t>)</w:t>
      </w:r>
      <w:r>
        <w:rPr>
          <w:rFonts w:ascii="宋体" w:hAnsi="宋体" w:cs="宋体" w:eastAsia="宋体" w:hint="default"/>
          <w:spacing w:val="-1"/>
          <w:sz w:val="21"/>
          <w:szCs w:val="21"/>
        </w:rPr>
        <w:t>、流动性强、易于转</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换为已知现金、价值变动风险很小四个条件的投资，确定为现金等价物。</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z w:val="21"/>
          <w:szCs w:val="21"/>
        </w:rPr>
        <w:t>外币业务核算方法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外币交易在初始确认时，采用交易发生日的即期汇率将外币金额折算为记账本位币金额。</w:t>
      </w:r>
    </w:p>
    <w:p>
      <w:pPr>
        <w:spacing w:line="408" w:lineRule="auto" w:before="46"/>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在资产负债表日，对外币货币性项目，采用资产负债表日即期汇率折算，因资产负债表日即期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汇率与初始确认时或者前一资产负债表日即期汇率不同而产生的汇兑差额，计入当期损益。以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历史成本计量的外币非货币性项目，仍采用交易发生日的即期汇率折算，不改变其记账本位币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金额。</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z w:val="21"/>
          <w:szCs w:val="21"/>
        </w:rPr>
        <w:t>外币财务报表的折算方法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资产负债表中的资产和负债项目，采用资产负债表日的即期汇率折算；所有者权益项目除</w:t>
      </w:r>
    </w:p>
    <w:p>
      <w:pPr>
        <w:spacing w:line="408" w:lineRule="auto" w:before="46"/>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“未分配利润”项目外，其他项目采用发生时的即期汇率折算。利润表中的收入和费用项目，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采用交易发生日的即期汇率折算。按照上述折算产生的外币财务报表折算差额，在资产负债表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所有者权益项目下单独列示。</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在处置境外经营时，将资产负债表中所有者权益项目下列示的、与该境外经营相关的外币</w:t>
      </w:r>
      <w:r>
        <w:rPr>
          <w:rFonts w:ascii="宋体" w:hAnsi="宋体" w:cs="宋体" w:eastAsia="宋体" w:hint="default"/>
          <w:w w:val="100"/>
          <w:sz w:val="21"/>
          <w:szCs w:val="21"/>
        </w:rPr>
        <w:t> </w:t>
      </w:r>
      <w:r>
        <w:rPr>
          <w:rFonts w:ascii="宋体" w:hAnsi="宋体" w:cs="宋体" w:eastAsia="宋体" w:hint="default"/>
          <w:spacing w:val="-1"/>
          <w:sz w:val="21"/>
          <w:szCs w:val="21"/>
        </w:rPr>
        <w:t>财务报表折算差额，自所有者权益项目转入处置当期损益；部分处置境外经营的，按处置的比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例计算处置部分的外币财务报表折算差额，转入处置当期损益。</w:t>
      </w:r>
    </w:p>
    <w:p>
      <w:pPr>
        <w:spacing w:line="408" w:lineRule="auto" w:before="46"/>
        <w:ind w:left="521" w:right="262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管理层按照取得持有金融资产和承担金融负债的目的，将其划分为：以公允价值计量且其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变动计入当期损益的金融资产或金融负债，包括交易性金融资产或金融负债（和直接指定为以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6"/>
          <w:w w:val="100"/>
          <w:sz w:val="21"/>
          <w:szCs w:val="21"/>
        </w:rPr>
        <w:t>公允价值计量且其变动计入当期损益的金融资产或金融负债）；持有至到期投资；应收款项；可</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供出售金融资产；其他金融负债等。</w:t>
      </w:r>
    </w:p>
    <w:p>
      <w:pPr>
        <w:spacing w:before="46"/>
        <w:ind w:left="524" w:right="26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）以公允价值计量且其变动计入当期损益的金融资产（金融负债）</w:t>
      </w:r>
    </w:p>
    <w:p>
      <w:pPr>
        <w:spacing w:after="0"/>
        <w:jc w:val="left"/>
        <w:rPr>
          <w:rFonts w:ascii="宋体" w:hAnsi="宋体" w:cs="宋体" w:eastAsia="宋体" w:hint="default"/>
          <w:sz w:val="21"/>
          <w:szCs w:val="21"/>
        </w:rPr>
        <w:sectPr>
          <w:footerReference w:type="default" r:id="rId59"/>
          <w:pgSz w:w="11910" w:h="16840"/>
          <w:pgMar w:footer="1195" w:header="0" w:top="1440" w:bottom="1380" w:left="1600" w:right="1440"/>
        </w:sectPr>
      </w:pPr>
    </w:p>
    <w:p>
      <w:pPr>
        <w:spacing w:line="408" w:lineRule="auto" w:before="24"/>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取得时以公允价值（扣除已宣告但尚未发放的现金股利或已到付息期但尚未领取的债券利</w:t>
      </w:r>
      <w:r>
        <w:rPr>
          <w:rFonts w:ascii="宋体" w:hAnsi="宋体" w:cs="宋体" w:eastAsia="宋体" w:hint="default"/>
          <w:w w:val="100"/>
          <w:sz w:val="21"/>
          <w:szCs w:val="21"/>
        </w:rPr>
        <w:t> </w:t>
      </w:r>
      <w:r>
        <w:rPr>
          <w:rFonts w:ascii="宋体" w:hAnsi="宋体" w:cs="宋体" w:eastAsia="宋体" w:hint="default"/>
          <w:sz w:val="21"/>
          <w:szCs w:val="21"/>
        </w:rPr>
        <w:t>息）作为初始确认金额，相关的交易费用计入当期损益。</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pacing w:val="-2"/>
          <w:sz w:val="21"/>
          <w:szCs w:val="21"/>
        </w:rPr>
        <w:t>持有期间将取得的利息或现金股利确认为投资收益，期末将公允价值变动计入当期损益。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处置时，其公允价值与初始入账金额之间的差额确认为投资收益，同时调整公允价值变动</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损益。</w:t>
      </w:r>
    </w:p>
    <w:p>
      <w:pPr>
        <w:spacing w:line="240" w:lineRule="auto" w:before="10"/>
        <w:rPr>
          <w:rFonts w:ascii="宋体" w:hAnsi="宋体" w:cs="宋体" w:eastAsia="宋体" w:hint="default"/>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1"/>
          <w:sz w:val="21"/>
          <w:szCs w:val="21"/>
        </w:rPr>
        <w:t>取得时按公允价值（扣除已到付息期但尚未领取的债券利息）和相关交易费用之和作为初</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始确认金额。</w:t>
      </w:r>
    </w:p>
    <w:p>
      <w:pPr>
        <w:spacing w:line="240" w:lineRule="auto" w:before="10"/>
        <w:rPr>
          <w:rFonts w:ascii="宋体" w:hAnsi="宋体" w:cs="宋体" w:eastAsia="宋体" w:hint="default"/>
          <w:sz w:val="14"/>
          <w:szCs w:val="14"/>
        </w:rPr>
      </w:pPr>
    </w:p>
    <w:p>
      <w:pPr>
        <w:spacing w:line="408" w:lineRule="auto" w:before="0"/>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持有期间按照摊余成本和实际利率计算确认利息收入，计入投资收益。实际利率在取得时</w:t>
      </w:r>
      <w:r>
        <w:rPr>
          <w:rFonts w:ascii="宋体" w:hAnsi="宋体" w:cs="宋体" w:eastAsia="宋体" w:hint="default"/>
          <w:w w:val="100"/>
          <w:sz w:val="21"/>
          <w:szCs w:val="21"/>
        </w:rPr>
        <w:t> </w:t>
      </w:r>
      <w:r>
        <w:rPr>
          <w:rFonts w:ascii="宋体" w:hAnsi="宋体" w:cs="宋体" w:eastAsia="宋体" w:hint="default"/>
          <w:sz w:val="21"/>
          <w:szCs w:val="21"/>
        </w:rPr>
        <w:t>确定，在该预期存续期间或适用的更短期间内保持不变。</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240" w:lineRule="auto" w:before="10"/>
        <w:rPr>
          <w:rFonts w:ascii="宋体" w:hAnsi="宋体" w:cs="宋体" w:eastAsia="宋体" w:hint="default"/>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1"/>
          <w:sz w:val="21"/>
          <w:szCs w:val="21"/>
        </w:rPr>
        <w:t>公司对外销售商品或提供劳务形成的应收债权，以及公司持有的其他企业的不包括在活跃</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市场上有报价的债务工具的债权，包括应收账款、其他应收款等，以向购货方应收的合同或协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议价款作为初始确认金额；具有融资性质的，按其现值进行初始确认。</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1"/>
          <w:sz w:val="21"/>
          <w:szCs w:val="21"/>
        </w:rPr>
        <w:t>取得时按公允价值（扣除已宣告但尚未发放的现金股利或已到付息期但尚未领取的债券利</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1"/>
          <w:sz w:val="21"/>
          <w:szCs w:val="21"/>
        </w:rPr>
        <w:t>持有期间将取得的利息或现金股利确认为投资收益。期末以公允价值计量且将公允价值变</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pacing w:val="-8"/>
          <w:w w:val="100"/>
          <w:sz w:val="21"/>
          <w:szCs w:val="21"/>
        </w:rPr>
        <w:t>动计入资本公积（其他资本公积）。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
          <w:sz w:val="21"/>
          <w:szCs w:val="21"/>
        </w:rPr>
        <w:t>处置时，将取得的价款与该金融资产账面价值之间的差额，计入投资损益；同时，将原直</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接计入所有者权益的公允价值变动累计额对应处置部分的金额转出，计入投资损益。</w:t>
      </w:r>
    </w:p>
    <w:p>
      <w:pPr>
        <w:spacing w:line="240" w:lineRule="auto" w:before="10"/>
        <w:rPr>
          <w:rFonts w:ascii="宋体" w:hAnsi="宋体" w:cs="宋体" w:eastAsia="宋体" w:hint="default"/>
          <w:sz w:val="14"/>
          <w:szCs w:val="14"/>
        </w:rPr>
      </w:pPr>
    </w:p>
    <w:p>
      <w:pPr>
        <w:spacing w:line="408" w:lineRule="auto" w:before="0"/>
        <w:ind w:left="521" w:right="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公司发生金融资产转移时，如已将金融资产所有权上几乎所有的风险和报酬转移给转入方，</w:t>
      </w:r>
      <w:r>
        <w:rPr>
          <w:rFonts w:ascii="宋体" w:hAnsi="宋体" w:cs="宋体" w:eastAsia="宋体" w:hint="default"/>
          <w:w w:val="100"/>
          <w:sz w:val="21"/>
          <w:szCs w:val="21"/>
        </w:rPr>
        <w:t> </w:t>
      </w:r>
      <w:r>
        <w:rPr>
          <w:rFonts w:ascii="宋体" w:hAnsi="宋体" w:cs="宋体" w:eastAsia="宋体" w:hint="default"/>
          <w:sz w:val="21"/>
          <w:szCs w:val="21"/>
        </w:rPr>
        <w:t>则终止确认该金融资产；如保留了金融资产所有权上几乎所有的风险和报酬的，则不终止确认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该金融资产。</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在判断金融资产转移是否满足上述金融资产终止确认条件时，采用实质重于形式的原则。</w:t>
      </w:r>
    </w:p>
    <w:p>
      <w:pPr>
        <w:spacing w:after="0"/>
        <w:jc w:val="left"/>
        <w:rPr>
          <w:rFonts w:ascii="宋体" w:hAnsi="宋体" w:cs="宋体" w:eastAsia="宋体" w:hint="default"/>
          <w:sz w:val="21"/>
          <w:szCs w:val="21"/>
        </w:rPr>
        <w:sectPr>
          <w:footerReference w:type="default" r:id="rId60"/>
          <w:pgSz w:w="11910" w:h="16840"/>
          <w:pgMar w:footer="1195" w:header="0" w:top="1440" w:bottom="1380" w:left="1600" w:right="1340"/>
          <w:pgNumType w:start="101"/>
        </w:sectPr>
      </w:pPr>
    </w:p>
    <w:p>
      <w:pPr>
        <w:spacing w:line="408" w:lineRule="auto" w:before="24"/>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公司将金融资产转移区分为金融资产整体转移和部分转移。金融资产整体转移满足终止确认条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件的，将下列两项金额的差额计入当期损益：</w:t>
      </w:r>
    </w:p>
    <w:p>
      <w:pPr>
        <w:spacing w:before="46"/>
        <w:ind w:left="521" w:right="26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line="240" w:lineRule="auto" w:before="10"/>
        <w:rPr>
          <w:rFonts w:ascii="宋体" w:hAnsi="宋体" w:cs="宋体" w:eastAsia="宋体" w:hint="default"/>
          <w:sz w:val="14"/>
          <w:szCs w:val="14"/>
        </w:rPr>
      </w:pPr>
    </w:p>
    <w:p>
      <w:pPr>
        <w:spacing w:line="408" w:lineRule="auto" w:before="0"/>
        <w:ind w:left="102" w:right="114"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）因转移而收到的对价，与原直接计入所有者权益的公允价值变动累计额（涉及转移的</w:t>
      </w:r>
      <w:r>
        <w:rPr>
          <w:rFonts w:ascii="宋体" w:hAnsi="宋体" w:cs="宋体" w:eastAsia="宋体" w:hint="default"/>
          <w:w w:val="100"/>
          <w:sz w:val="21"/>
          <w:szCs w:val="21"/>
        </w:rPr>
        <w:t> </w:t>
      </w:r>
      <w:r>
        <w:rPr>
          <w:rFonts w:ascii="宋体" w:hAnsi="宋体" w:cs="宋体" w:eastAsia="宋体" w:hint="default"/>
          <w:sz w:val="21"/>
          <w:szCs w:val="21"/>
        </w:rPr>
        <w:t>金融资产为可供出售金融资产的情形）之和。</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金融资产部分转移满足终止确认条件的，将所转移金融资产整体的账面价值，在终止确认</w:t>
      </w:r>
      <w:r>
        <w:rPr>
          <w:rFonts w:ascii="宋体" w:hAnsi="宋体" w:cs="宋体" w:eastAsia="宋体" w:hint="default"/>
          <w:w w:val="100"/>
          <w:sz w:val="21"/>
          <w:szCs w:val="21"/>
        </w:rPr>
        <w:t> </w:t>
      </w:r>
      <w:r>
        <w:rPr>
          <w:rFonts w:ascii="宋体" w:hAnsi="宋体" w:cs="宋体" w:eastAsia="宋体" w:hint="default"/>
          <w:spacing w:val="-1"/>
          <w:sz w:val="21"/>
          <w:szCs w:val="21"/>
        </w:rPr>
        <w:t>部分和未终止确认部分之间，按照各自的相对公允价值进行分摊，并将下列两项金额的差额计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入当期损益：</w:t>
      </w:r>
    </w:p>
    <w:p>
      <w:pPr>
        <w:spacing w:before="46"/>
        <w:ind w:left="521" w:right="26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）终止确认部分的账面价值；</w:t>
      </w:r>
    </w:p>
    <w:p>
      <w:pPr>
        <w:spacing w:line="240" w:lineRule="auto" w:before="10"/>
        <w:rPr>
          <w:rFonts w:ascii="宋体" w:hAnsi="宋体" w:cs="宋体" w:eastAsia="宋体" w:hint="default"/>
          <w:sz w:val="14"/>
          <w:szCs w:val="14"/>
        </w:rPr>
      </w:pPr>
    </w:p>
    <w:p>
      <w:pPr>
        <w:spacing w:line="408" w:lineRule="auto" w:before="0"/>
        <w:ind w:left="102" w:right="111"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）终止确认部分的对价，与原直接计入所有者权益的公允价值变动累计额中对应终止确</w:t>
      </w:r>
      <w:r>
        <w:rPr>
          <w:rFonts w:ascii="宋体" w:hAnsi="宋体" w:cs="宋体" w:eastAsia="宋体" w:hint="default"/>
          <w:w w:val="100"/>
          <w:sz w:val="21"/>
          <w:szCs w:val="21"/>
        </w:rPr>
        <w:t> </w:t>
      </w:r>
      <w:r>
        <w:rPr>
          <w:rFonts w:ascii="宋体" w:hAnsi="宋体" w:cs="宋体" w:eastAsia="宋体" w:hint="default"/>
          <w:sz w:val="21"/>
          <w:szCs w:val="21"/>
        </w:rPr>
        <w:t>认部分的金额（涉及转移的金融资产为可供出售金融资产的情形）之和。</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金融资产转移不满足终止确认条件的，继续确认该金融资产，所收到的对价确认为一项金</w:t>
      </w:r>
      <w:r>
        <w:rPr>
          <w:rFonts w:ascii="宋体" w:hAnsi="宋体" w:cs="宋体" w:eastAsia="宋体" w:hint="default"/>
          <w:w w:val="100"/>
          <w:sz w:val="21"/>
          <w:szCs w:val="21"/>
        </w:rPr>
        <w:t> </w:t>
      </w:r>
      <w:r>
        <w:rPr>
          <w:rFonts w:ascii="宋体" w:hAnsi="宋体" w:cs="宋体" w:eastAsia="宋体" w:hint="default"/>
          <w:sz w:val="21"/>
          <w:szCs w:val="21"/>
        </w:rPr>
        <w:t>融负债。</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1"/>
          <w:sz w:val="21"/>
          <w:szCs w:val="21"/>
        </w:rPr>
        <w:t>金融负债的的现时义务全部或部分已经解除的，则终止确认该金融负债或其一部分；本公</w:t>
      </w:r>
    </w:p>
    <w:p>
      <w:pPr>
        <w:spacing w:line="408" w:lineRule="auto" w:before="46"/>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司若与债权人签定协议，以承担新金融负债方式替换现存金融负债，且新金融负债与现存金融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负债的合同条款实质上不同的，则终止确认现存金融负债，并同时确认新金融负债。</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对现存金融负债全部或部分合同条款作出实质性修改的，则终止确认现存金融负债或其一</w:t>
      </w:r>
      <w:r>
        <w:rPr>
          <w:rFonts w:ascii="宋体" w:hAnsi="宋体" w:cs="宋体" w:eastAsia="宋体" w:hint="default"/>
          <w:w w:val="100"/>
          <w:sz w:val="21"/>
          <w:szCs w:val="21"/>
        </w:rPr>
        <w:t> </w:t>
      </w:r>
      <w:r>
        <w:rPr>
          <w:rFonts w:ascii="宋体" w:hAnsi="宋体" w:cs="宋体" w:eastAsia="宋体" w:hint="default"/>
          <w:sz w:val="21"/>
          <w:szCs w:val="21"/>
        </w:rPr>
        <w:t>部分，同时将修改条款后的金融负债确认为一项新金融负债。</w:t>
      </w:r>
    </w:p>
    <w:p>
      <w:pPr>
        <w:spacing w:line="410"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金融负债全部或部分终止确认时，终止确认的金融负债账面价值与支付对价（包括转出的</w:t>
      </w:r>
      <w:r>
        <w:rPr>
          <w:rFonts w:ascii="宋体" w:hAnsi="宋体" w:cs="宋体" w:eastAsia="宋体" w:hint="default"/>
          <w:w w:val="100"/>
          <w:sz w:val="21"/>
          <w:szCs w:val="21"/>
        </w:rPr>
        <w:t> </w:t>
      </w:r>
      <w:r>
        <w:rPr>
          <w:rFonts w:ascii="宋体" w:hAnsi="宋体" w:cs="宋体" w:eastAsia="宋体" w:hint="default"/>
          <w:sz w:val="21"/>
          <w:szCs w:val="21"/>
        </w:rPr>
        <w:t>非现金资产或承担的新金融负债）之间的差额，计入当期损益。</w:t>
      </w:r>
    </w:p>
    <w:p>
      <w:pPr>
        <w:spacing w:line="408" w:lineRule="auto" w:before="44"/>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本公司若回购部分金融负债的，在回购日按照继续确认部分与终止确认部分的相对公允价</w:t>
      </w:r>
      <w:r>
        <w:rPr>
          <w:rFonts w:ascii="宋体" w:hAnsi="宋体" w:cs="宋体" w:eastAsia="宋体" w:hint="default"/>
          <w:w w:val="100"/>
          <w:sz w:val="21"/>
          <w:szCs w:val="21"/>
        </w:rPr>
        <w:t> </w:t>
      </w:r>
      <w:r>
        <w:rPr>
          <w:rFonts w:ascii="宋体" w:hAnsi="宋体" w:cs="宋体" w:eastAsia="宋体" w:hint="default"/>
          <w:spacing w:val="-6"/>
          <w:sz w:val="21"/>
          <w:szCs w:val="21"/>
        </w:rPr>
        <w:t>值，将该金融负债整体的账面价值进行分配。分配给终止确认部分的账面价值与支付的对价（包</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括转出的非现金资产或承担的新金融负债）之间的差额，计入当期损益。</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本公司采用公允价值计量的金融资产和金融负债存在活跃市场的金融资产或金融负债，以</w:t>
      </w:r>
    </w:p>
    <w:p>
      <w:pPr>
        <w:spacing w:line="408" w:lineRule="auto" w:before="46"/>
        <w:ind w:left="102" w:right="117" w:firstLine="0"/>
        <w:jc w:val="both"/>
        <w:rPr>
          <w:rFonts w:ascii="宋体" w:hAnsi="宋体" w:cs="宋体" w:eastAsia="宋体" w:hint="default"/>
          <w:sz w:val="21"/>
          <w:szCs w:val="21"/>
        </w:rPr>
      </w:pPr>
      <w:r>
        <w:rPr>
          <w:rFonts w:ascii="宋体" w:hAnsi="宋体" w:cs="宋体" w:eastAsia="宋体" w:hint="default"/>
          <w:spacing w:val="-1"/>
          <w:sz w:val="21"/>
          <w:szCs w:val="21"/>
        </w:rPr>
        <w:t>活跃市场的报价确定其公允价值；不存在活跃市场的金融资产或金融负债，采用估值技术（包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括参考熟悉情况并自愿交易的各方最近进行的市场交易中使用的价格、参照实质上相同的其他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金融工具的当前公允价值、现金流量折现法和期权定价模型等）确定其公允价值；初始取得或</w:t>
      </w:r>
    </w:p>
    <w:p>
      <w:pPr>
        <w:spacing w:before="46"/>
        <w:ind w:left="102" w:right="0" w:firstLine="0"/>
        <w:jc w:val="both"/>
        <w:rPr>
          <w:rFonts w:ascii="宋体" w:hAnsi="宋体" w:cs="宋体" w:eastAsia="宋体" w:hint="default"/>
          <w:sz w:val="21"/>
          <w:szCs w:val="21"/>
        </w:rPr>
      </w:pPr>
      <w:r>
        <w:rPr>
          <w:rFonts w:ascii="宋体" w:hAnsi="宋体" w:cs="宋体" w:eastAsia="宋体" w:hint="default"/>
          <w:sz w:val="21"/>
          <w:szCs w:val="21"/>
        </w:rPr>
        <w:t>源生的金融资产或承担的金融负债，以市场交易价格作为确定其公允价值的基础。</w:t>
      </w:r>
    </w:p>
    <w:p>
      <w:pPr>
        <w:spacing w:after="0"/>
        <w:jc w:val="both"/>
        <w:rPr>
          <w:rFonts w:ascii="宋体" w:hAnsi="宋体" w:cs="宋体" w:eastAsia="宋体" w:hint="default"/>
          <w:sz w:val="21"/>
          <w:szCs w:val="21"/>
        </w:rPr>
        <w:sectPr>
          <w:pgSz w:w="11910" w:h="16840"/>
          <w:pgMar w:header="0" w:footer="1195" w:top="1440" w:bottom="1380" w:left="1600" w:right="1440"/>
        </w:sectPr>
      </w:pPr>
    </w:p>
    <w:p>
      <w:pPr>
        <w:spacing w:before="24"/>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2"/>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4"/>
          <w:sz w:val="21"/>
          <w:szCs w:val="21"/>
        </w:rPr>
        <w:t>期末如果可供出售金融资产的公允价值发生较大幅度下降，或在综合考虑各种相关因素后，</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预期这种下降趋势属于非暂时性的，就认定其已发生减值，将原直接计入所有者权益的公允价</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值下降形成的累计损失一并转出，确认减值损失。</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z w:val="21"/>
          <w:szCs w:val="21"/>
        </w:rPr>
        <w:t>持有至到期投资减值损失的计量比照应收款项减值损失计量方法处理。</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w:t>
      </w:r>
      <w:r>
        <w:rPr>
          <w:rFonts w:ascii="宋体" w:hAnsi="宋体" w:cs="宋体" w:eastAsia="宋体" w:hint="default"/>
          <w:b/>
          <w:bCs/>
          <w:sz w:val="21"/>
          <w:szCs w:val="21"/>
        </w:rPr>
        <w:t>应收款项坏账准备的确认标准和计提方法</w:t>
      </w:r>
      <w:r>
        <w:rPr>
          <w:rFonts w:ascii="宋体" w:hAnsi="宋体" w:cs="宋体" w:eastAsia="宋体" w:hint="default"/>
          <w:b/>
          <w:bCs/>
          <w:spacing w:val="-3"/>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、单项金额重大并单项计提坏账准备的应收款项：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单项金额重大并单项计提坏账准备的应收款项的确认标准：</w:t>
      </w:r>
      <w:r>
        <w:rPr>
          <w:rFonts w:ascii="宋体" w:hAnsi="宋体" w:cs="宋体" w:eastAsia="宋体" w:hint="default"/>
          <w:w w:val="100"/>
          <w:sz w:val="21"/>
          <w:szCs w:val="21"/>
        </w:rPr>
        <w:t> </w:t>
      </w:r>
      <w:r>
        <w:rPr>
          <w:rFonts w:ascii="宋体" w:hAnsi="宋体" w:cs="宋体" w:eastAsia="宋体" w:hint="default"/>
          <w:sz w:val="21"/>
          <w:szCs w:val="21"/>
        </w:rPr>
        <w:t>单项金额重大的具体标准为：金额在</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万元以上。</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1"/>
          <w:sz w:val="21"/>
          <w:szCs w:val="21"/>
        </w:rPr>
        <w:t>单独进行减值测试，按预计未来现金流量现值低于其账面价值的差额计提坏账准备，计入</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当期损益。</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、采用账龄分析法计提坏账准备的应收款项：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590"/>
        <w:gridCol w:w="3445"/>
        <w:gridCol w:w="2578"/>
      </w:tblGrid>
      <w:tr>
        <w:trPr>
          <w:trHeight w:val="294"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4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445"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77" w:right="0"/>
              <w:jc w:val="center"/>
              <w:rPr>
                <w:rFonts w:ascii="宋体" w:hAnsi="宋体" w:cs="宋体" w:eastAsia="宋体" w:hint="default"/>
                <w:sz w:val="18"/>
                <w:szCs w:val="18"/>
              </w:rPr>
            </w:pPr>
            <w:r>
              <w:rPr>
                <w:rFonts w:ascii="宋体"/>
                <w:sz w:val="18"/>
              </w:rPr>
              <w:t>5%</w:t>
            </w:r>
          </w:p>
        </w:tc>
      </w:tr>
      <w:tr>
        <w:trPr>
          <w:trHeight w:val="396"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44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20%</w:t>
            </w:r>
          </w:p>
        </w:tc>
      </w:tr>
      <w:tr>
        <w:trPr>
          <w:trHeight w:val="398"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344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50%</w:t>
            </w:r>
          </w:p>
        </w:tc>
      </w:tr>
      <w:tr>
        <w:trPr>
          <w:trHeight w:val="29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44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408" w:lineRule="auto" w:before="36"/>
        <w:ind w:left="52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．单项金额虽不重大但单项计提坏账准备的应收账款的计提方法</w:t>
      </w:r>
      <w:r>
        <w:rPr>
          <w:rFonts w:ascii="宋体" w:hAnsi="宋体" w:cs="宋体" w:eastAsia="宋体" w:hint="default"/>
          <w:w w:val="100"/>
          <w:sz w:val="21"/>
          <w:szCs w:val="21"/>
        </w:rPr>
        <w:t> </w:t>
      </w:r>
      <w:r>
        <w:rPr>
          <w:rFonts w:ascii="宋体" w:hAnsi="宋体" w:cs="宋体" w:eastAsia="宋体" w:hint="default"/>
          <w:spacing w:val="-1"/>
          <w:sz w:val="21"/>
          <w:szCs w:val="21"/>
        </w:rPr>
        <w:t>单独进行减值测试，按预计未来现金流量现值低于其账面价值的差额计提坏账准备，计入</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当期损益。</w:t>
      </w:r>
    </w:p>
    <w:p>
      <w:pPr>
        <w:spacing w:line="240" w:lineRule="auto" w:before="10"/>
        <w:rPr>
          <w:rFonts w:ascii="宋体" w:hAnsi="宋体" w:cs="宋体" w:eastAsia="宋体" w:hint="default"/>
          <w:sz w:val="14"/>
          <w:szCs w:val="14"/>
        </w:rPr>
      </w:pPr>
    </w:p>
    <w:p>
      <w:pPr>
        <w:spacing w:line="408" w:lineRule="auto" w:before="0"/>
        <w:ind w:left="524" w:right="705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408" w:lineRule="auto" w:before="46"/>
        <w:ind w:left="524" w:right="2087" w:hanging="3"/>
        <w:jc w:val="left"/>
        <w:rPr>
          <w:rFonts w:ascii="宋体" w:hAnsi="宋体" w:cs="宋体" w:eastAsia="宋体" w:hint="default"/>
          <w:sz w:val="21"/>
          <w:szCs w:val="21"/>
        </w:rPr>
      </w:pPr>
      <w:r>
        <w:rPr>
          <w:rFonts w:ascii="宋体" w:hAnsi="宋体" w:cs="宋体" w:eastAsia="宋体" w:hint="default"/>
          <w:spacing w:val="-2"/>
          <w:sz w:val="21"/>
          <w:szCs w:val="21"/>
        </w:rPr>
        <w:t>存货分类为：原材料、包装物、周转材料、在产品、库存商品等。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．存货的计价方法</w:t>
      </w:r>
      <w:r>
        <w:rPr>
          <w:rFonts w:ascii="宋体" w:hAnsi="宋体" w:cs="宋体" w:eastAsia="宋体" w:hint="default"/>
          <w:sz w:val="21"/>
          <w:szCs w:val="21"/>
        </w:rPr>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产成品和在产品成本包括原材料、直接人工、其他直接成本以及按正常生产能力下适当</w:t>
      </w:r>
      <w:r>
        <w:rPr>
          <w:rFonts w:ascii="宋体" w:hAnsi="宋体" w:cs="宋体" w:eastAsia="宋体" w:hint="default"/>
          <w:w w:val="100"/>
          <w:sz w:val="21"/>
          <w:szCs w:val="21"/>
        </w:rPr>
        <w:t> </w:t>
      </w:r>
      <w:r>
        <w:rPr>
          <w:rFonts w:ascii="宋体" w:hAnsi="宋体" w:cs="宋体" w:eastAsia="宋体" w:hint="default"/>
          <w:sz w:val="21"/>
          <w:szCs w:val="21"/>
        </w:rPr>
        <w:t>比例分摊的间接生产成本。各类存货的购入与入库按实际成本计价</w:t>
      </w:r>
      <w:r>
        <w:rPr>
          <w:rFonts w:ascii="宋体" w:hAnsi="宋体" w:cs="宋体" w:eastAsia="宋体" w:hint="default"/>
          <w:sz w:val="21"/>
          <w:szCs w:val="21"/>
        </w:rPr>
        <w:t>,</w:t>
      </w:r>
      <w:r>
        <w:rPr>
          <w:rFonts w:ascii="宋体" w:hAnsi="宋体" w:cs="宋体" w:eastAsia="宋体" w:hint="default"/>
          <w:sz w:val="21"/>
          <w:szCs w:val="21"/>
        </w:rPr>
        <w:t>发出按加权平均法计价。</w:t>
      </w:r>
    </w:p>
    <w:p>
      <w:pPr>
        <w:spacing w:after="0" w:line="408" w:lineRule="auto"/>
        <w:jc w:val="left"/>
        <w:rPr>
          <w:rFonts w:ascii="宋体" w:hAnsi="宋体" w:cs="宋体" w:eastAsia="宋体" w:hint="default"/>
          <w:sz w:val="21"/>
          <w:szCs w:val="21"/>
        </w:rPr>
        <w:sectPr>
          <w:footerReference w:type="default" r:id="rId61"/>
          <w:pgSz w:w="11910" w:h="16840"/>
          <w:pgMar w:footer="1195" w:header="0" w:top="1440" w:bottom="1380" w:left="1600" w:right="1340"/>
          <w:pgNumType w:start="103"/>
        </w:sectPr>
      </w:pPr>
    </w:p>
    <w:p>
      <w:pPr>
        <w:spacing w:line="408" w:lineRule="auto" w:before="24"/>
        <w:ind w:left="524" w:right="2624" w:hanging="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周转材料</w:t>
      </w:r>
      <w:r>
        <w:rPr>
          <w:rFonts w:ascii="宋体" w:hAnsi="宋体" w:cs="宋体" w:eastAsia="宋体" w:hint="default"/>
          <w:spacing w:val="-2"/>
          <w:sz w:val="21"/>
          <w:szCs w:val="21"/>
        </w:rPr>
        <w:t>--</w:t>
      </w:r>
      <w:r>
        <w:rPr>
          <w:rFonts w:ascii="宋体" w:hAnsi="宋体" w:cs="宋体" w:eastAsia="宋体" w:hint="default"/>
          <w:spacing w:val="-2"/>
          <w:sz w:val="21"/>
          <w:szCs w:val="21"/>
        </w:rPr>
        <w:t>低值易耗品采用一次摊销法。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408" w:lineRule="auto" w:before="46"/>
        <w:ind w:left="524" w:right="5699" w:hanging="3"/>
        <w:jc w:val="left"/>
        <w:rPr>
          <w:rFonts w:ascii="宋体" w:hAnsi="宋体" w:cs="宋体" w:eastAsia="宋体" w:hint="default"/>
          <w:sz w:val="21"/>
          <w:szCs w:val="21"/>
        </w:rPr>
      </w:pP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．存货跌价准备的计提方法</w:t>
      </w:r>
      <w:r>
        <w:rPr>
          <w:rFonts w:ascii="宋体" w:hAnsi="宋体" w:cs="宋体" w:eastAsia="宋体" w:hint="default"/>
          <w:spacing w:val="-1"/>
          <w:sz w:val="21"/>
          <w:szCs w:val="21"/>
        </w:rPr>
      </w:r>
    </w:p>
    <w:p>
      <w:pPr>
        <w:spacing w:line="408" w:lineRule="auto" w:before="46"/>
        <w:ind w:left="102" w:right="111" w:firstLine="419"/>
        <w:jc w:val="right"/>
        <w:rPr>
          <w:rFonts w:ascii="宋体" w:hAnsi="宋体" w:cs="宋体" w:eastAsia="宋体" w:hint="default"/>
          <w:sz w:val="21"/>
          <w:szCs w:val="21"/>
        </w:rPr>
      </w:pPr>
      <w:r>
        <w:rPr>
          <w:rFonts w:ascii="宋体" w:hAnsi="宋体" w:cs="宋体" w:eastAsia="宋体" w:hint="default"/>
          <w:spacing w:val="-2"/>
          <w:sz w:val="21"/>
          <w:szCs w:val="21"/>
        </w:rPr>
        <w:t>年末对存货进行全面清查后，按存货的成本与可变现净值孰低提取或调整存货跌价准备。</w:t>
      </w:r>
      <w:r>
        <w:rPr>
          <w:rFonts w:ascii="宋体" w:hAnsi="宋体" w:cs="宋体" w:eastAsia="宋体" w:hint="default"/>
          <w:w w:val="100"/>
          <w:sz w:val="21"/>
          <w:szCs w:val="21"/>
        </w:rPr>
        <w:t> </w:t>
      </w:r>
      <w:r>
        <w:rPr>
          <w:rFonts w:ascii="宋体" w:hAnsi="宋体" w:cs="宋体" w:eastAsia="宋体" w:hint="default"/>
          <w:spacing w:val="-1"/>
          <w:sz w:val="21"/>
          <w:szCs w:val="21"/>
        </w:rPr>
        <w:t>库存商品和用于出售的材料等直接用于出售的商品存货，在正常生产经营过程中，以该存</w:t>
      </w:r>
      <w:r>
        <w:rPr>
          <w:rFonts w:ascii="宋体" w:hAnsi="宋体" w:cs="宋体" w:eastAsia="宋体" w:hint="default"/>
          <w:w w:val="100"/>
          <w:sz w:val="21"/>
          <w:szCs w:val="21"/>
        </w:rPr>
        <w:t> </w:t>
      </w:r>
      <w:r>
        <w:rPr>
          <w:rFonts w:ascii="宋体" w:hAnsi="宋体" w:cs="宋体" w:eastAsia="宋体" w:hint="default"/>
          <w:spacing w:val="-1"/>
          <w:sz w:val="21"/>
          <w:szCs w:val="21"/>
        </w:rPr>
        <w:t>货的估计售价减去估计的销售费用和相关税费后的金额，确定其可变现净值；需要经过加工的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
          <w:sz w:val="21"/>
          <w:szCs w:val="21"/>
        </w:rPr>
        <w:t>材料存货，在正常生产经营过程中，以所生产的产成品的估计售价减去至完工时估计将要发生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
          <w:sz w:val="21"/>
          <w:szCs w:val="21"/>
        </w:rPr>
        <w:t>的成本、估计的销售费用和相关税费后的金额，确定其可变现净值；为执行销售合同或者劳务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
          <w:sz w:val="21"/>
          <w:szCs w:val="21"/>
        </w:rPr>
        <w:t>合同而持有的存货，其可变现净值以合同价格为基础计算，若持有存货的数量多于销售合同订</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购数量的，超出部分的存货的可变现净值以一般销售价格为基础计算。</w:t>
      </w:r>
      <w:r>
        <w:rPr>
          <w:rFonts w:ascii="宋体" w:hAnsi="宋体" w:cs="宋体" w:eastAsia="宋体" w:hint="default"/>
          <w:w w:val="100"/>
          <w:sz w:val="21"/>
          <w:szCs w:val="21"/>
        </w:rPr>
        <w:t> </w:t>
      </w:r>
      <w:r>
        <w:rPr>
          <w:rFonts w:ascii="宋体" w:hAnsi="宋体" w:cs="宋体" w:eastAsia="宋体" w:hint="default"/>
          <w:spacing w:val="-1"/>
          <w:sz w:val="21"/>
          <w:szCs w:val="21"/>
        </w:rPr>
        <w:t>年末按照单个存货项目计提存货跌价准备；但对于数量繁多、单价较低的存货，按照存货</w:t>
      </w:r>
    </w:p>
    <w:p>
      <w:pPr>
        <w:spacing w:line="408" w:lineRule="auto" w:before="46"/>
        <w:ind w:left="102" w:right="116" w:firstLine="0"/>
        <w:jc w:val="both"/>
        <w:rPr>
          <w:rFonts w:ascii="宋体" w:hAnsi="宋体" w:cs="宋体" w:eastAsia="宋体" w:hint="default"/>
          <w:sz w:val="21"/>
          <w:szCs w:val="21"/>
        </w:rPr>
      </w:pPr>
      <w:r>
        <w:rPr>
          <w:rFonts w:ascii="宋体" w:hAnsi="宋体" w:cs="宋体" w:eastAsia="宋体" w:hint="default"/>
          <w:spacing w:val="-1"/>
          <w:sz w:val="21"/>
          <w:szCs w:val="21"/>
        </w:rPr>
        <w:t>类别计提存货跌价准备；与在同一地区生产和销售的产品系列相关、具有相同或类似最终用途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或目的，且难以与其他项目分开计量的存货，则合并计提存货跌价准备。</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以前减记存货价值的影响因素已经消失的，减记的金额予以恢复，并在原已计提的存货跌</w:t>
      </w:r>
      <w:r>
        <w:rPr>
          <w:rFonts w:ascii="宋体" w:hAnsi="宋体" w:cs="宋体" w:eastAsia="宋体" w:hint="default"/>
          <w:w w:val="100"/>
          <w:sz w:val="21"/>
          <w:szCs w:val="21"/>
        </w:rPr>
        <w:t> </w:t>
      </w:r>
      <w:r>
        <w:rPr>
          <w:rFonts w:ascii="宋体" w:hAnsi="宋体" w:cs="宋体" w:eastAsia="宋体" w:hint="default"/>
          <w:sz w:val="21"/>
          <w:szCs w:val="21"/>
        </w:rPr>
        <w:t>价准备金额内转回，转回的金额计入当期损益。</w:t>
      </w:r>
    </w:p>
    <w:p>
      <w:pPr>
        <w:spacing w:line="408" w:lineRule="auto" w:before="46"/>
        <w:ind w:left="524" w:right="57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z w:val="21"/>
          <w:szCs w:val="21"/>
        </w:rPr>
        <w:t>长期股权投资的核算</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1"/>
          <w:sz w:val="21"/>
          <w:szCs w:val="21"/>
        </w:rPr>
        <w:t>同一控制下的企业合并：公司以支付现金、转让非现金资产或承担债务方式以及以发行权</w:t>
      </w:r>
    </w:p>
    <w:p>
      <w:pPr>
        <w:spacing w:line="408" w:lineRule="auto" w:before="46"/>
        <w:ind w:left="102" w:right="115" w:firstLine="0"/>
        <w:jc w:val="both"/>
        <w:rPr>
          <w:rFonts w:ascii="宋体" w:hAnsi="宋体" w:cs="宋体" w:eastAsia="宋体" w:hint="default"/>
          <w:sz w:val="21"/>
          <w:szCs w:val="21"/>
        </w:rPr>
      </w:pPr>
      <w:r>
        <w:rPr>
          <w:rFonts w:ascii="宋体" w:hAnsi="宋体" w:cs="宋体" w:eastAsia="宋体" w:hint="default"/>
          <w:spacing w:val="-1"/>
          <w:sz w:val="21"/>
          <w:szCs w:val="21"/>
        </w:rPr>
        <w:t>益性证券作为合并对价的，在合并日按照取得被合并方所有者权益账面价值的份额作为长期股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权投资的初始投资成本。长期股权投资初始投资成本与支付合并对价之间的差额，调整资本公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积；资本公积不足冲减的，调整留存收益。合并发生的各项直接相关费用，包括为进行合并而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支付的审计费用、评估费用、法律服务费用等，于发生时计入当期损益。被合并方存在合并财</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1"/>
          <w:sz w:val="21"/>
          <w:szCs w:val="21"/>
        </w:rPr>
        <w:t>务报表，则以合并日被合并方合并财务报表所有者权益为基础确定长期股权投资的初始投资成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本。</w:t>
      </w:r>
    </w:p>
    <w:p>
      <w:pPr>
        <w:spacing w:line="408" w:lineRule="auto" w:before="46"/>
        <w:ind w:left="102" w:right="112" w:firstLine="419"/>
        <w:jc w:val="both"/>
        <w:rPr>
          <w:rFonts w:ascii="宋体" w:hAnsi="宋体" w:cs="宋体" w:eastAsia="宋体" w:hint="default"/>
          <w:sz w:val="21"/>
          <w:szCs w:val="21"/>
        </w:rPr>
      </w:pPr>
      <w:r>
        <w:rPr>
          <w:rFonts w:ascii="宋体" w:hAnsi="宋体" w:cs="宋体" w:eastAsia="宋体" w:hint="default"/>
          <w:spacing w:val="-1"/>
          <w:sz w:val="21"/>
          <w:szCs w:val="21"/>
        </w:rPr>
        <w:t>非同一控制下的企业合并：合并成本为购买日购买方为取得对被购买方的控制权而付出的</w:t>
      </w:r>
      <w:r>
        <w:rPr>
          <w:rFonts w:ascii="宋体" w:hAnsi="宋体" w:cs="宋体" w:eastAsia="宋体" w:hint="default"/>
          <w:w w:val="100"/>
          <w:sz w:val="21"/>
          <w:szCs w:val="21"/>
        </w:rPr>
        <w:t> </w:t>
      </w:r>
      <w:r>
        <w:rPr>
          <w:rFonts w:ascii="宋体" w:hAnsi="宋体" w:cs="宋体" w:eastAsia="宋体" w:hint="default"/>
          <w:spacing w:val="-1"/>
          <w:sz w:val="21"/>
          <w:szCs w:val="21"/>
        </w:rPr>
        <w:t>资产、发生或承担的负债以及发行的权益性证券的公允价值，本公司为进行企业合并而发生的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各项直接相关费用，包括为进行企业合并而支付的审计、法律服务、评估咨询等中介费用以及</w:t>
      </w:r>
    </w:p>
    <w:p>
      <w:pPr>
        <w:spacing w:before="46"/>
        <w:ind w:left="102" w:right="0" w:firstLine="0"/>
        <w:jc w:val="both"/>
        <w:rPr>
          <w:rFonts w:ascii="宋体" w:hAnsi="宋体" w:cs="宋体" w:eastAsia="宋体" w:hint="default"/>
          <w:sz w:val="21"/>
          <w:szCs w:val="21"/>
        </w:rPr>
      </w:pPr>
      <w:r>
        <w:rPr>
          <w:rFonts w:ascii="宋体" w:hAnsi="宋体" w:cs="宋体" w:eastAsia="宋体" w:hint="default"/>
          <w:sz w:val="21"/>
          <w:szCs w:val="21"/>
        </w:rPr>
        <w:t>其他相关管理费用于发生时计入当期损益，作为合并对价发行的权益性证券或债务性证券的交</w:t>
      </w:r>
    </w:p>
    <w:p>
      <w:pPr>
        <w:spacing w:after="0"/>
        <w:jc w:val="both"/>
        <w:rPr>
          <w:rFonts w:ascii="宋体" w:hAnsi="宋体" w:cs="宋体" w:eastAsia="宋体" w:hint="default"/>
          <w:sz w:val="21"/>
          <w:szCs w:val="21"/>
        </w:rPr>
        <w:sectPr>
          <w:footerReference w:type="default" r:id="rId62"/>
          <w:pgSz w:w="11910" w:h="16840"/>
          <w:pgMar w:footer="1195" w:header="0" w:top="1440" w:bottom="1380" w:left="1600" w:right="1440"/>
          <w:pgNumType w:start="104"/>
        </w:sectPr>
      </w:pPr>
    </w:p>
    <w:p>
      <w:pPr>
        <w:spacing w:line="408" w:lineRule="auto" w:before="24"/>
        <w:ind w:left="521" w:right="0" w:hanging="420"/>
        <w:jc w:val="left"/>
        <w:rPr>
          <w:rFonts w:ascii="宋体" w:hAnsi="宋体" w:cs="宋体" w:eastAsia="宋体" w:hint="default"/>
          <w:sz w:val="21"/>
          <w:szCs w:val="21"/>
        </w:rPr>
      </w:pPr>
      <w:r>
        <w:rPr>
          <w:rFonts w:ascii="宋体" w:hAnsi="宋体" w:cs="宋体" w:eastAsia="宋体" w:hint="default"/>
          <w:sz w:val="21"/>
          <w:szCs w:val="21"/>
        </w:rPr>
        <w:t>易费用，计入权益性证券或债务性证券的初始确认金额。</w:t>
      </w:r>
      <w:r>
        <w:rPr>
          <w:rFonts w:ascii="宋体" w:hAnsi="宋体" w:cs="宋体" w:eastAsia="宋体" w:hint="default"/>
          <w:w w:val="100"/>
          <w:sz w:val="21"/>
          <w:szCs w:val="21"/>
        </w:rPr>
        <w:t> </w:t>
      </w:r>
      <w:r>
        <w:rPr>
          <w:rFonts w:ascii="宋体" w:hAnsi="宋体" w:cs="宋体" w:eastAsia="宋体" w:hint="default"/>
          <w:spacing w:val="-1"/>
          <w:sz w:val="21"/>
          <w:szCs w:val="21"/>
        </w:rPr>
        <w:t>企业通过多次交易分步实现非同一控制下企业合并的，应当区分个别财务报表和合并财务</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报表进行相关会计处理</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08" w:lineRule="auto" w:before="0"/>
        <w:ind w:left="102" w:right="210" w:firstLine="419"/>
        <w:jc w:val="both"/>
        <w:rPr>
          <w:rFonts w:ascii="宋体" w:hAnsi="宋体" w:cs="宋体" w:eastAsia="宋体" w:hint="default"/>
          <w:sz w:val="21"/>
          <w:szCs w:val="21"/>
        </w:rPr>
      </w:pPr>
      <w:r>
        <w:rPr>
          <w:rFonts w:ascii="宋体" w:hAnsi="宋体" w:cs="宋体" w:eastAsia="宋体" w:hint="default"/>
          <w:spacing w:val="-1"/>
          <w:sz w:val="21"/>
          <w:szCs w:val="21"/>
        </w:rPr>
        <w:t>①在个别财务报表中，应当以购买日之前所持被购买方的股权投资的账面价值与购买日新</w:t>
      </w:r>
      <w:r>
        <w:rPr>
          <w:rFonts w:ascii="宋体" w:hAnsi="宋体" w:cs="宋体" w:eastAsia="宋体" w:hint="default"/>
          <w:w w:val="100"/>
          <w:sz w:val="21"/>
          <w:szCs w:val="21"/>
        </w:rPr>
        <w:t> </w:t>
      </w:r>
      <w:r>
        <w:rPr>
          <w:rFonts w:ascii="宋体" w:hAnsi="宋体" w:cs="宋体" w:eastAsia="宋体" w:hint="default"/>
          <w:spacing w:val="-1"/>
          <w:sz w:val="21"/>
          <w:szCs w:val="21"/>
        </w:rPr>
        <w:t>增投资成本之和，作为该项投资的初始投资成本，购买日之前持有的被购买方的股权涉及其他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综合收益的，应当在处置该项投资时将与其相关的其他综合收益</w:t>
      </w:r>
      <w:r>
        <w:rPr>
          <w:rFonts w:ascii="宋体" w:hAnsi="宋体" w:cs="宋体" w:eastAsia="宋体" w:hint="default"/>
          <w:spacing w:val="-3"/>
          <w:sz w:val="21"/>
          <w:szCs w:val="21"/>
        </w:rPr>
        <w:t>(</w:t>
      </w:r>
      <w:r>
        <w:rPr>
          <w:rFonts w:ascii="宋体" w:hAnsi="宋体" w:cs="宋体" w:eastAsia="宋体" w:hint="default"/>
          <w:spacing w:val="-3"/>
          <w:sz w:val="21"/>
          <w:szCs w:val="21"/>
        </w:rPr>
        <w:t>例如，可供出售金融资产公允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价值变动计入资本公积的部分，下同</w:t>
      </w:r>
      <w:r>
        <w:rPr>
          <w:rFonts w:ascii="宋体" w:hAnsi="宋体" w:cs="宋体" w:eastAsia="宋体" w:hint="default"/>
          <w:sz w:val="21"/>
          <w:szCs w:val="21"/>
        </w:rPr>
        <w:t>)</w:t>
      </w:r>
      <w:r>
        <w:rPr>
          <w:rFonts w:ascii="宋体" w:hAnsi="宋体" w:cs="宋体" w:eastAsia="宋体" w:hint="default"/>
          <w:sz w:val="21"/>
          <w:szCs w:val="21"/>
        </w:rPr>
        <w:t>转入当期投资收益。</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②在合并财务报表中，对于购买日之前持有的被购买方的股权，应当按照该股权在购买日</w:t>
      </w:r>
      <w:r>
        <w:rPr>
          <w:rFonts w:ascii="宋体" w:hAnsi="宋体" w:cs="宋体" w:eastAsia="宋体" w:hint="default"/>
          <w:w w:val="100"/>
          <w:sz w:val="21"/>
          <w:szCs w:val="21"/>
        </w:rPr>
        <w:t> </w:t>
      </w:r>
      <w:r>
        <w:rPr>
          <w:rFonts w:ascii="宋体" w:hAnsi="宋体" w:cs="宋体" w:eastAsia="宋体" w:hint="default"/>
          <w:spacing w:val="-1"/>
          <w:sz w:val="21"/>
          <w:szCs w:val="21"/>
        </w:rPr>
        <w:t>的公允价值进行重新计量，公允价值与其账面价值的差额计入当期投资收益。购买日之前持有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的被购买方的股权涉及其他综合收益的，与其相关的其他综合收益应当转为购买日所属当期投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资收益。在合并合同中对可能影响合并成本的未来事项作出约定的，购买日如果估计未来事项</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很可能发生并且对合并成本的影响金额能够可靠计量的，也计入合并成本。</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1"/>
          <w:sz w:val="21"/>
          <w:szCs w:val="21"/>
        </w:rPr>
        <w:t>以发行权益性证券取得的长期股权投资，按照发行权益性证券的公允价值作为初始投资成</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本。</w:t>
      </w:r>
    </w:p>
    <w:p>
      <w:pPr>
        <w:spacing w:line="240" w:lineRule="auto" w:before="10"/>
        <w:rPr>
          <w:rFonts w:ascii="宋体" w:hAnsi="宋体" w:cs="宋体" w:eastAsia="宋体" w:hint="default"/>
          <w:sz w:val="14"/>
          <w:szCs w:val="14"/>
        </w:rPr>
      </w:pPr>
    </w:p>
    <w:p>
      <w:pPr>
        <w:spacing w:line="408" w:lineRule="auto" w:before="0"/>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投资者投入的长期股权投资，按照投资合同或协议约定的价值（扣除已宣告但尚未发放的</w:t>
      </w:r>
      <w:r>
        <w:rPr>
          <w:rFonts w:ascii="宋体" w:hAnsi="宋体" w:cs="宋体" w:eastAsia="宋体" w:hint="default"/>
          <w:w w:val="100"/>
          <w:sz w:val="21"/>
          <w:szCs w:val="21"/>
        </w:rPr>
        <w:t> </w:t>
      </w:r>
      <w:r>
        <w:rPr>
          <w:rFonts w:ascii="宋体" w:hAnsi="宋体" w:cs="宋体" w:eastAsia="宋体" w:hint="default"/>
          <w:sz w:val="21"/>
          <w:szCs w:val="21"/>
        </w:rPr>
        <w:t>现金股利或利润）作为初始投资成本，但合同或协议约定价值不公允的除外。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在非货币性资产交换具备商业实质和换入资产或换出资产的公允价值能够可靠计量的前提</w:t>
      </w:r>
      <w:r>
        <w:rPr>
          <w:rFonts w:ascii="宋体" w:hAnsi="宋体" w:cs="宋体" w:eastAsia="宋体" w:hint="default"/>
          <w:w w:val="100"/>
          <w:sz w:val="21"/>
          <w:szCs w:val="21"/>
        </w:rPr>
        <w:t> </w:t>
      </w:r>
      <w:r>
        <w:rPr>
          <w:rFonts w:ascii="宋体" w:hAnsi="宋体" w:cs="宋体" w:eastAsia="宋体" w:hint="default"/>
          <w:spacing w:val="-4"/>
          <w:sz w:val="21"/>
          <w:szCs w:val="21"/>
        </w:rPr>
        <w:t>下，非货币性资产交换换入的长期股权投资以换出资产的公允价值为基础确定其初始投资成本，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除非有确凿证据表明换入资产的公允价值更加可靠；不满足上述前提的非货币性资产交换，以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换出资产的账面价值和应支付的相关税费作为换入长期股权投资的初始投资成本。</w:t>
      </w:r>
    </w:p>
    <w:p>
      <w:pPr>
        <w:spacing w:line="408" w:lineRule="auto" w:before="46"/>
        <w:ind w:left="524" w:right="977" w:hanging="3"/>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1"/>
          <w:sz w:val="21"/>
          <w:szCs w:val="21"/>
        </w:rPr>
        <w:t>公司对子公司的长期股权投资，采用成本法核算，编制合并财务报表时按照权益法进行调</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整。</w:t>
      </w:r>
    </w:p>
    <w:p>
      <w:pPr>
        <w:spacing w:line="240" w:lineRule="auto" w:before="10"/>
        <w:rPr>
          <w:rFonts w:ascii="宋体" w:hAnsi="宋体" w:cs="宋体" w:eastAsia="宋体" w:hint="default"/>
          <w:sz w:val="14"/>
          <w:szCs w:val="14"/>
        </w:rPr>
      </w:pPr>
    </w:p>
    <w:p>
      <w:pPr>
        <w:spacing w:line="408" w:lineRule="auto" w:before="0"/>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对被投资单位不具有共同控制或重大影响，并且在活跃市场中没有报价、公允价值不能可</w:t>
      </w:r>
      <w:r>
        <w:rPr>
          <w:rFonts w:ascii="宋体" w:hAnsi="宋体" w:cs="宋体" w:eastAsia="宋体" w:hint="default"/>
          <w:w w:val="100"/>
          <w:sz w:val="21"/>
          <w:szCs w:val="21"/>
        </w:rPr>
        <w:t> </w:t>
      </w:r>
      <w:r>
        <w:rPr>
          <w:rFonts w:ascii="宋体" w:hAnsi="宋体" w:cs="宋体" w:eastAsia="宋体" w:hint="default"/>
          <w:sz w:val="21"/>
          <w:szCs w:val="21"/>
        </w:rPr>
        <w:t>靠计量的长期股权投资，采用成本法核算。</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对被投资单位具有共同控制或重大影响的长期股权投资，采用权益法核算。初始投资成本</w:t>
      </w:r>
    </w:p>
    <w:p>
      <w:pPr>
        <w:spacing w:after="0"/>
        <w:jc w:val="left"/>
        <w:rPr>
          <w:rFonts w:ascii="宋体" w:hAnsi="宋体" w:cs="宋体" w:eastAsia="宋体" w:hint="default"/>
          <w:sz w:val="21"/>
          <w:szCs w:val="21"/>
        </w:rPr>
        <w:sectPr>
          <w:footerReference w:type="default" r:id="rId63"/>
          <w:pgSz w:w="11910" w:h="16840"/>
          <w:pgMar w:footer="1195" w:header="0" w:top="1440" w:bottom="1380" w:left="1600" w:right="1340"/>
          <w:pgNumType w:start="105"/>
        </w:sectPr>
      </w:pPr>
    </w:p>
    <w:p>
      <w:pPr>
        <w:spacing w:line="408" w:lineRule="auto" w:before="24"/>
        <w:ind w:left="102" w:right="217" w:firstLine="0"/>
        <w:jc w:val="both"/>
        <w:rPr>
          <w:rFonts w:ascii="宋体" w:hAnsi="宋体" w:cs="宋体" w:eastAsia="宋体" w:hint="default"/>
          <w:sz w:val="21"/>
          <w:szCs w:val="21"/>
        </w:rPr>
      </w:pPr>
      <w:r>
        <w:rPr>
          <w:rFonts w:ascii="宋体" w:hAnsi="宋体" w:cs="宋体" w:eastAsia="宋体" w:hint="default"/>
          <w:spacing w:val="-1"/>
          <w:sz w:val="21"/>
          <w:szCs w:val="21"/>
        </w:rPr>
        <w:t>大于投资时应享有被投资单位可辨认净资产公允价值份额的差额，不调整长期股权投资的初始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投资成本；初始投资成本小于投资时应享有被投资单位可辨认净资产公允价值份额的差额，计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入当期损益。</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被投资单位除净损益以外所有者权益其他变动的处理：对于被投资单位除净损益以外所有</w:t>
      </w:r>
      <w:r>
        <w:rPr>
          <w:rFonts w:ascii="宋体" w:hAnsi="宋体" w:cs="宋体" w:eastAsia="宋体" w:hint="default"/>
          <w:w w:val="100"/>
          <w:sz w:val="21"/>
          <w:szCs w:val="21"/>
        </w:rPr>
        <w:t> </w:t>
      </w:r>
      <w:r>
        <w:rPr>
          <w:rFonts w:ascii="宋体" w:hAnsi="宋体" w:cs="宋体" w:eastAsia="宋体" w:hint="default"/>
          <w:sz w:val="21"/>
          <w:szCs w:val="21"/>
        </w:rPr>
        <w:t>者权益的其他变动，在持股比例不变的情况下，公司按照持股比例计算应享有或承担的部分，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w w:val="100"/>
          <w:sz w:val="21"/>
          <w:szCs w:val="21"/>
        </w:rPr>
        <w:t>调整长期股权投资的账面价值，同时增加或减少资本公积（其他资本公积）。在持有投资期间，</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被投资单位能够提供合并财务报表的，应当以合并财务报表，净利润和其他投资变动为基础进</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行核算。</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1"/>
          <w:sz w:val="21"/>
          <w:szCs w:val="21"/>
        </w:rPr>
        <w:t>成本法下，除取得投资时实际支付的价款或对价中包含的已宣告但尚未发放的现金股利或</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利润外，公司按照享有被投资单位宣告发放的现金股利或利润确认投资收益。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pacing w:val="-1"/>
          <w:sz w:val="21"/>
          <w:szCs w:val="21"/>
        </w:rPr>
        <w:t>权益法下，投资企业在确认应享有被投资单位的净利润或净亏损时，以取得投资时被投资</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单位各项可辨认资产等的公允价值为基础，对被投资单位的净利润进行调整后确认，投资企业</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与联营企业及合营企业之间发生的内部交易损益按照持股比例计算归属于投资企业的部分，应</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当予以抵销，在此基础上确认投资损益；在公司确认应分担被投资单位发生的亏损时，按照以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下顺序进行处理：首先，冲减长期股权投资的账面价值。其次，长期股权投资的账面价值不足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以冲减的，以其他实质上构成对被投资单位净投资的长期权益账面价值为限继续确认投资损失，</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冲减长期应收项目等的账面价值。最后，经过上述处理，按照投资合同或协议约定企业仍承担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额外义务的，按预计承担的义务确认预计负债，计入当期投资损失。</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被投资单位以后期间实现盈利的，公司在扣除未确认的亏损分担额后，按与上述相反的顺</w:t>
      </w:r>
      <w:r>
        <w:rPr>
          <w:rFonts w:ascii="宋体" w:hAnsi="宋体" w:cs="宋体" w:eastAsia="宋体" w:hint="default"/>
          <w:w w:val="100"/>
          <w:sz w:val="21"/>
          <w:szCs w:val="21"/>
        </w:rPr>
        <w:t> </w:t>
      </w:r>
      <w:r>
        <w:rPr>
          <w:rFonts w:ascii="宋体" w:hAnsi="宋体" w:cs="宋体" w:eastAsia="宋体" w:hint="default"/>
          <w:spacing w:val="-1"/>
          <w:sz w:val="21"/>
          <w:szCs w:val="21"/>
        </w:rPr>
        <w:t>序处理，减记已确认预计负债的账面余额、恢复其他实质上构成对被投资单位净投资的长期权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益及长期股权投资的账面价值，同时确认投资收益。</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1"/>
          <w:sz w:val="21"/>
          <w:szCs w:val="21"/>
        </w:rPr>
        <w:t>按照合同约定对某项经济活动所共有的控制，仅在与该项经济活动相关的重要财务和经营</w:t>
      </w:r>
    </w:p>
    <w:p>
      <w:pPr>
        <w:spacing w:line="408" w:lineRule="auto" w:before="46"/>
        <w:ind w:left="102" w:right="217" w:firstLine="0"/>
        <w:jc w:val="both"/>
        <w:rPr>
          <w:rFonts w:ascii="宋体" w:hAnsi="宋体" w:cs="宋体" w:eastAsia="宋体" w:hint="default"/>
          <w:sz w:val="21"/>
          <w:szCs w:val="21"/>
        </w:rPr>
      </w:pPr>
      <w:r>
        <w:rPr>
          <w:rFonts w:ascii="宋体" w:hAnsi="宋体" w:cs="宋体" w:eastAsia="宋体" w:hint="default"/>
          <w:spacing w:val="-1"/>
          <w:sz w:val="21"/>
          <w:szCs w:val="21"/>
        </w:rPr>
        <w:t>决策需要分享控制权的投资方一致同意时存在，则视为与其他方对被投资单位实施共同控制；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对一个企业的财务和经营决策有参与决策的权力，但并不能够控制或者与其他方一起共同控制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这些政策的制定，则视为投资企业能够对被投资单位施加重大影响。</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重大影响以下的、在活跃市场中没有报价、公允价值不能可靠计量的长期股权投资，其减</w:t>
      </w:r>
    </w:p>
    <w:p>
      <w:pPr>
        <w:spacing w:before="46"/>
        <w:ind w:left="102" w:right="0" w:firstLine="0"/>
        <w:jc w:val="both"/>
        <w:rPr>
          <w:rFonts w:ascii="宋体" w:hAnsi="宋体" w:cs="宋体" w:eastAsia="宋体" w:hint="default"/>
          <w:sz w:val="21"/>
          <w:szCs w:val="21"/>
        </w:rPr>
      </w:pPr>
      <w:r>
        <w:rPr>
          <w:rFonts w:ascii="宋体" w:hAnsi="宋体" w:cs="宋体" w:eastAsia="宋体" w:hint="default"/>
          <w:sz w:val="21"/>
          <w:szCs w:val="21"/>
        </w:rPr>
        <w:t>值损失是根据其账面价值与按类似金融资产当时市场收益率对未来现金流量折现确定的现值之</w:t>
      </w:r>
    </w:p>
    <w:p>
      <w:pPr>
        <w:spacing w:after="0"/>
        <w:jc w:val="both"/>
        <w:rPr>
          <w:rFonts w:ascii="宋体" w:hAnsi="宋体" w:cs="宋体" w:eastAsia="宋体" w:hint="default"/>
          <w:sz w:val="21"/>
          <w:szCs w:val="21"/>
        </w:rPr>
        <w:sectPr>
          <w:footerReference w:type="default" r:id="rId64"/>
          <w:pgSz w:w="11910" w:h="16840"/>
          <w:pgMar w:footer="1195" w:header="0" w:top="1440" w:bottom="1380" w:left="1600" w:right="1340"/>
          <w:pgNumType w:start="106"/>
        </w:sectPr>
      </w:pPr>
    </w:p>
    <w:p>
      <w:pPr>
        <w:spacing w:line="408" w:lineRule="auto" w:before="24"/>
        <w:ind w:left="521" w:right="0" w:hanging="420"/>
        <w:jc w:val="left"/>
        <w:rPr>
          <w:rFonts w:ascii="宋体" w:hAnsi="宋体" w:cs="宋体" w:eastAsia="宋体" w:hint="default"/>
          <w:sz w:val="21"/>
          <w:szCs w:val="21"/>
        </w:rPr>
      </w:pPr>
      <w:r>
        <w:rPr>
          <w:rFonts w:ascii="宋体" w:hAnsi="宋体" w:cs="宋体" w:eastAsia="宋体" w:hint="default"/>
          <w:sz w:val="21"/>
          <w:szCs w:val="21"/>
        </w:rPr>
        <w:t>间的差额进行确定。</w:t>
      </w:r>
      <w:r>
        <w:rPr>
          <w:rFonts w:ascii="宋体" w:hAnsi="宋体" w:cs="宋体" w:eastAsia="宋体" w:hint="default"/>
          <w:w w:val="100"/>
          <w:sz w:val="21"/>
          <w:szCs w:val="21"/>
        </w:rPr>
        <w:t> </w:t>
      </w:r>
      <w:r>
        <w:rPr>
          <w:rFonts w:ascii="宋体" w:hAnsi="宋体" w:cs="宋体" w:eastAsia="宋体" w:hint="default"/>
          <w:spacing w:val="-1"/>
          <w:sz w:val="21"/>
          <w:szCs w:val="21"/>
        </w:rPr>
        <w:t>除因企业合并形成的商誉以外的存在减值迹象的其他长期股权投资，如果可收回金额的计</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量结果表明，该长期股权投资的可收回金额低于其账面价值的，将差额确认为减值损失。</w:t>
      </w:r>
      <w:r>
        <w:rPr>
          <w:rFonts w:ascii="宋体" w:hAnsi="宋体" w:cs="宋体" w:eastAsia="宋体" w:hint="default"/>
          <w:w w:val="100"/>
          <w:sz w:val="21"/>
          <w:szCs w:val="21"/>
        </w:rPr>
        <w:t> </w:t>
      </w:r>
      <w:r>
        <w:rPr>
          <w:rFonts w:ascii="宋体" w:hAnsi="宋体" w:cs="宋体" w:eastAsia="宋体" w:hint="default"/>
          <w:spacing w:val="-4"/>
          <w:sz w:val="21"/>
          <w:szCs w:val="21"/>
        </w:rPr>
        <w:t>采用成本法核算的长期股权投资，因被投资单位宣告分派现金股利或利润确认投资收益后，</w:t>
      </w:r>
    </w:p>
    <w:p>
      <w:pPr>
        <w:spacing w:line="408" w:lineRule="auto" w:before="46"/>
        <w:ind w:left="521" w:right="1313" w:hanging="420"/>
        <w:jc w:val="left"/>
        <w:rPr>
          <w:rFonts w:ascii="宋体" w:hAnsi="宋体" w:cs="宋体" w:eastAsia="宋体" w:hint="default"/>
          <w:sz w:val="21"/>
          <w:szCs w:val="21"/>
        </w:rPr>
      </w:pPr>
      <w:r>
        <w:rPr>
          <w:rFonts w:ascii="宋体" w:hAnsi="宋体" w:cs="宋体" w:eastAsia="宋体" w:hint="default"/>
          <w:sz w:val="21"/>
          <w:szCs w:val="21"/>
        </w:rPr>
        <w:t>考虑长期股权投资是否发生减值。</w:t>
      </w:r>
      <w:r>
        <w:rPr>
          <w:rFonts w:ascii="宋体" w:hAnsi="宋体" w:cs="宋体" w:eastAsia="宋体" w:hint="default"/>
          <w:w w:val="100"/>
          <w:sz w:val="21"/>
          <w:szCs w:val="21"/>
        </w:rPr>
        <w:t> </w:t>
      </w: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w w:val="100"/>
          <w:sz w:val="21"/>
          <w:szCs w:val="21"/>
        </w:rPr>
        <w:t> </w:t>
      </w:r>
      <w:r>
        <w:rPr>
          <w:rFonts w:ascii="宋体" w:hAnsi="宋体" w:cs="宋体" w:eastAsia="宋体" w:hint="default"/>
          <w:sz w:val="21"/>
          <w:szCs w:val="21"/>
        </w:rPr>
        <w:t>长期股权投资减值损失一经确认，不再转回。</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z w:val="21"/>
          <w:szCs w:val="21"/>
        </w:rPr>
        <w:t>固定资产计价和折旧方法</w:t>
      </w:r>
      <w:r>
        <w:rPr>
          <w:rFonts w:ascii="宋体" w:hAnsi="宋体" w:cs="宋体" w:eastAsia="宋体" w:hint="default"/>
          <w:sz w:val="21"/>
          <w:szCs w:val="21"/>
        </w:rPr>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1"/>
          <w:sz w:val="21"/>
          <w:szCs w:val="21"/>
        </w:rPr>
        <w:t>固定资产指为生产商品、提供劳务、出租或经营管理而持有，并且使用寿命超过一个会计</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年度的有形资产。固定资产在同时满足下列条件时予以确认：</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10"/>
        <w:rPr>
          <w:rFonts w:ascii="宋体" w:hAnsi="宋体" w:cs="宋体" w:eastAsia="宋体" w:hint="default"/>
          <w:sz w:val="14"/>
          <w:szCs w:val="14"/>
        </w:rPr>
      </w:pPr>
    </w:p>
    <w:p>
      <w:pPr>
        <w:spacing w:line="408" w:lineRule="auto" w:before="0"/>
        <w:ind w:left="524" w:right="2087"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固定资产折旧采用年限平均法分类计提，根据固定资产类别、预计使用寿命和预计净残值</w:t>
      </w:r>
      <w:r>
        <w:rPr>
          <w:rFonts w:ascii="宋体" w:hAnsi="宋体" w:cs="宋体" w:eastAsia="宋体" w:hint="default"/>
          <w:w w:val="100"/>
          <w:sz w:val="21"/>
          <w:szCs w:val="21"/>
        </w:rPr>
        <w:t> </w:t>
      </w:r>
      <w:r>
        <w:rPr>
          <w:rFonts w:ascii="宋体" w:hAnsi="宋体" w:cs="宋体" w:eastAsia="宋体" w:hint="default"/>
          <w:sz w:val="21"/>
          <w:szCs w:val="21"/>
        </w:rPr>
        <w:t>率确定折旧率。</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融资租赁方式租入的固定资产，能合理确定租赁期届满时将会取得租赁资产所有权的，在</w:t>
      </w:r>
      <w:r>
        <w:rPr>
          <w:rFonts w:ascii="宋体" w:hAnsi="宋体" w:cs="宋体" w:eastAsia="宋体" w:hint="default"/>
          <w:w w:val="100"/>
          <w:sz w:val="21"/>
          <w:szCs w:val="21"/>
        </w:rPr>
        <w:t> </w:t>
      </w:r>
      <w:r>
        <w:rPr>
          <w:rFonts w:ascii="宋体" w:hAnsi="宋体" w:cs="宋体" w:eastAsia="宋体" w:hint="default"/>
          <w:spacing w:val="-1"/>
          <w:sz w:val="21"/>
          <w:szCs w:val="21"/>
        </w:rPr>
        <w:t>租赁资产尚可使用年限内计提折旧；无法合理确定租赁期届满时能够取得租赁资产所有权的，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在租赁期与租赁资产尚可使用年限两者中较短的期间内计提折旧。</w:t>
      </w:r>
    </w:p>
    <w:p>
      <w:pPr>
        <w:spacing w:line="410"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利用专项储备支出形成的固定资产，按照形成固定资产的成本冲减专项储备，并确认相同</w:t>
      </w:r>
      <w:r>
        <w:rPr>
          <w:rFonts w:ascii="宋体" w:hAnsi="宋体" w:cs="宋体" w:eastAsia="宋体" w:hint="default"/>
          <w:w w:val="100"/>
          <w:sz w:val="21"/>
          <w:szCs w:val="21"/>
        </w:rPr>
        <w:t> </w:t>
      </w:r>
      <w:r>
        <w:rPr>
          <w:rFonts w:ascii="宋体" w:hAnsi="宋体" w:cs="宋体" w:eastAsia="宋体" w:hint="default"/>
          <w:sz w:val="21"/>
          <w:szCs w:val="21"/>
        </w:rPr>
        <w:t>金额的累计折旧。该固定资产在以后期间不再计提折旧。</w:t>
      </w:r>
    </w:p>
    <w:p>
      <w:pPr>
        <w:spacing w:before="44"/>
        <w:ind w:left="521" w:right="0"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016"/>
        <w:gridCol w:w="516"/>
        <w:gridCol w:w="1776"/>
        <w:gridCol w:w="420"/>
        <w:gridCol w:w="1678"/>
        <w:gridCol w:w="420"/>
        <w:gridCol w:w="1786"/>
      </w:tblGrid>
      <w:tr>
        <w:trPr>
          <w:trHeight w:val="282"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64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使用年限</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72"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pacing w:val="-1"/>
                <w:sz w:val="18"/>
              </w:rPr>
              <w:t>4.75%</w:t>
            </w:r>
          </w:p>
        </w:tc>
      </w:tr>
      <w:tr>
        <w:trPr>
          <w:trHeight w:val="368"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19.00%</w:t>
            </w:r>
          </w:p>
        </w:tc>
      </w:tr>
      <w:tr>
        <w:trPr>
          <w:trHeight w:val="37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8"/>
                <w:szCs w:val="18"/>
              </w:rPr>
            </w:pP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19.00%</w:t>
            </w:r>
          </w:p>
        </w:tc>
      </w:tr>
      <w:tr>
        <w:trPr>
          <w:trHeight w:val="369"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z w:val="18"/>
                <w:szCs w:val="18"/>
              </w:rPr>
              <w:t>POS</w:t>
            </w:r>
            <w:r>
              <w:rPr>
                <w:rFonts w:ascii="宋体" w:hAnsi="宋体" w:cs="宋体" w:eastAsia="宋体" w:hint="default"/>
                <w:sz w:val="18"/>
                <w:szCs w:val="18"/>
              </w:rPr>
              <w:t>机</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19.00%</w:t>
            </w:r>
          </w:p>
        </w:tc>
      </w:tr>
      <w:tr>
        <w:trPr>
          <w:trHeight w:val="275"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51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19.00%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440" w:bottom="1380" w:left="1600" w:right="1340"/>
        </w:sectPr>
      </w:pPr>
    </w:p>
    <w:p>
      <w:pPr>
        <w:spacing w:line="408" w:lineRule="auto" w:before="24"/>
        <w:ind w:left="521" w:right="0" w:firstLine="0"/>
        <w:jc w:val="left"/>
        <w:rPr>
          <w:rFonts w:ascii="宋体" w:hAnsi="宋体" w:cs="宋体" w:eastAsia="宋体" w:hint="default"/>
          <w:sz w:val="21"/>
          <w:szCs w:val="21"/>
        </w:rPr>
      </w:pP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1"/>
          <w:sz w:val="21"/>
          <w:szCs w:val="21"/>
        </w:rPr>
        <w:t>固定资产存在减值迹象的，估计其可收回金额。可收回金额根据固定资产的公允价值减去</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处置费用后的净额与固定资产预计未来现金流量的现值两者之间较高者确定。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1"/>
          <w:sz w:val="21"/>
          <w:szCs w:val="21"/>
        </w:rPr>
        <w:t>当固定资产的可收回金额低于其账面价值的，将固定资产的账面价值减记至可收回金额，</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减记的金额确认为固定资产减值损失，计入当期损益，同时计提相应的固定资产减值准备。</w:t>
      </w:r>
      <w:r>
        <w:rPr>
          <w:rFonts w:ascii="宋体" w:hAnsi="宋体" w:cs="宋体" w:eastAsia="宋体" w:hint="default"/>
          <w:w w:val="100"/>
          <w:sz w:val="21"/>
          <w:szCs w:val="21"/>
        </w:rPr>
        <w:t> </w:t>
      </w:r>
      <w:r>
        <w:rPr>
          <w:rFonts w:ascii="宋体" w:hAnsi="宋体" w:cs="宋体" w:eastAsia="宋体" w:hint="default"/>
          <w:spacing w:val="-1"/>
          <w:sz w:val="21"/>
          <w:szCs w:val="21"/>
        </w:rPr>
        <w:t>固定资产减值损失确认后，减值固定资产的折旧在未来期间作相应调整，以使该固定资产</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pacing w:val="-5"/>
          <w:w w:val="100"/>
          <w:sz w:val="21"/>
          <w:szCs w:val="21"/>
        </w:rPr>
        <w:t>在剩余使用寿命内，系统地分摊调整后的固定资产账面价值（扣除预计净残值）。</w:t>
      </w:r>
      <w:r>
        <w:rPr>
          <w:rFonts w:ascii="宋体" w:hAnsi="宋体" w:cs="宋体" w:eastAsia="宋体" w:hint="default"/>
          <w:spacing w:val="-76"/>
          <w:w w:val="100"/>
          <w:sz w:val="21"/>
          <w:szCs w:val="21"/>
        </w:rPr>
        <w:t> </w:t>
      </w:r>
      <w:r>
        <w:rPr>
          <w:rFonts w:ascii="宋体" w:hAnsi="宋体" w:cs="宋体" w:eastAsia="宋体" w:hint="default"/>
          <w:spacing w:val="-76"/>
          <w:w w:val="100"/>
          <w:sz w:val="21"/>
          <w:szCs w:val="21"/>
        </w:rPr>
      </w: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sz w:val="21"/>
          <w:szCs w:val="21"/>
        </w:rPr>
        <w:t>有迹象表明一项固定资产可能发生减值的，企业以单项固定资产为基础估计其可收回金额。</w:t>
      </w:r>
    </w:p>
    <w:p>
      <w:pPr>
        <w:spacing w:line="408" w:lineRule="auto" w:before="46"/>
        <w:ind w:left="102" w:right="217" w:firstLine="0"/>
        <w:jc w:val="both"/>
        <w:rPr>
          <w:rFonts w:ascii="宋体" w:hAnsi="宋体" w:cs="宋体" w:eastAsia="宋体" w:hint="default"/>
          <w:sz w:val="21"/>
          <w:szCs w:val="21"/>
        </w:rPr>
      </w:pPr>
      <w:r>
        <w:rPr>
          <w:rFonts w:ascii="宋体" w:hAnsi="宋体" w:cs="宋体" w:eastAsia="宋体" w:hint="default"/>
          <w:spacing w:val="-1"/>
          <w:sz w:val="21"/>
          <w:szCs w:val="21"/>
        </w:rPr>
        <w:t>企业难以对单项固定资产的可收回金额进行估计的，以该固定资产所属的资产组为基础确定资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产组的可收回金额。</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）租赁期满后租赁资产的所有权归属于本公司；</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）公司具有购买资产的选择权，购买价款远低于行使选择权时该资产的公允价值；</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）租赁期占所租赁资产使用寿命的大部分；</w:t>
      </w:r>
    </w:p>
    <w:p>
      <w:pPr>
        <w:spacing w:line="240" w:lineRule="auto" w:before="10"/>
        <w:rPr>
          <w:rFonts w:ascii="宋体" w:hAnsi="宋体" w:cs="宋体" w:eastAsia="宋体" w:hint="default"/>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）租赁开始日的最低租赁付款额现值，与该资产的公允价值不存在较大的差异。</w:t>
      </w:r>
      <w:r>
        <w:rPr>
          <w:rFonts w:ascii="宋体" w:hAnsi="宋体" w:cs="宋体" w:eastAsia="宋体" w:hint="default"/>
          <w:w w:val="100"/>
          <w:sz w:val="21"/>
          <w:szCs w:val="21"/>
        </w:rPr>
        <w:t> </w:t>
      </w:r>
      <w:r>
        <w:rPr>
          <w:rFonts w:ascii="宋体" w:hAnsi="宋体" w:cs="宋体" w:eastAsia="宋体" w:hint="default"/>
          <w:spacing w:val="-1"/>
          <w:sz w:val="21"/>
          <w:szCs w:val="21"/>
        </w:rPr>
        <w:t>公司在承租开始日，将租赁资产公允价值与最低租赁付款额现值两者中较低者作为租入资</w:t>
      </w:r>
    </w:p>
    <w:p>
      <w:pPr>
        <w:spacing w:line="408" w:lineRule="auto" w:before="46"/>
        <w:ind w:left="524" w:right="0" w:hanging="423"/>
        <w:jc w:val="left"/>
        <w:rPr>
          <w:rFonts w:ascii="宋体" w:hAnsi="宋体" w:cs="宋体" w:eastAsia="宋体" w:hint="default"/>
          <w:sz w:val="21"/>
          <w:szCs w:val="21"/>
        </w:rPr>
      </w:pPr>
      <w:r>
        <w:rPr>
          <w:rFonts w:ascii="宋体" w:hAnsi="宋体" w:cs="宋体" w:eastAsia="宋体" w:hint="default"/>
          <w:spacing w:val="-2"/>
          <w:sz w:val="21"/>
          <w:szCs w:val="21"/>
        </w:rPr>
        <w:t>产的入账价值，将最低租赁付款额作为长期应付款的入账价值，其差额作为未确认的融资费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r>
      <w:r>
        <w:rPr>
          <w:rFonts w:ascii="宋体" w:hAnsi="宋体" w:cs="宋体" w:eastAsia="宋体" w:hint="default"/>
          <w:b/>
          <w:bCs/>
          <w:sz w:val="21"/>
          <w:szCs w:val="21"/>
        </w:rPr>
        <w:t>在建工程核算方法</w:t>
      </w:r>
      <w:r>
        <w:rPr>
          <w:rFonts w:ascii="宋体" w:hAnsi="宋体" w:cs="宋体" w:eastAsia="宋体" w:hint="default"/>
          <w:sz w:val="21"/>
          <w:szCs w:val="21"/>
        </w:rPr>
      </w:r>
    </w:p>
    <w:p>
      <w:pPr>
        <w:spacing w:line="408" w:lineRule="auto" w:before="46"/>
        <w:ind w:left="521" w:right="4205"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1"/>
          <w:sz w:val="21"/>
          <w:szCs w:val="21"/>
        </w:rPr>
        <w:t>在建工程项目按建造该项资产达到预定可使用状态前所发生的全部支出，作为固定资产的</w:t>
      </w:r>
    </w:p>
    <w:p>
      <w:pPr>
        <w:spacing w:line="408" w:lineRule="auto" w:before="46"/>
        <w:ind w:left="102" w:right="216" w:firstLine="0"/>
        <w:jc w:val="both"/>
        <w:rPr>
          <w:rFonts w:ascii="宋体" w:hAnsi="宋体" w:cs="宋体" w:eastAsia="宋体" w:hint="default"/>
          <w:sz w:val="21"/>
          <w:szCs w:val="21"/>
        </w:rPr>
      </w:pPr>
      <w:r>
        <w:rPr>
          <w:rFonts w:ascii="宋体" w:hAnsi="宋体" w:cs="宋体" w:eastAsia="宋体" w:hint="default"/>
          <w:spacing w:val="-1"/>
          <w:sz w:val="21"/>
          <w:szCs w:val="21"/>
        </w:rPr>
        <w:t>入账价值。所建造的固定资产在建工程已达到预定可使用状态，但尚未办理竣工决算的，自达</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到预定可使用状态之日起，根据工程预算、造价或者工程实际成本等，按估计的价值转入固定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资产，并按本公司固定资产折旧政策计提固定资产的折旧，待办理竣工决算后，再按实际成本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调整原来的暂估价值，但不调整原已计提的折旧额。</w:t>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公司在每期末判断在建工程是否存在可能发生减值的迹象。</w:t>
      </w:r>
    </w:p>
    <w:p>
      <w:pPr>
        <w:spacing w:after="0"/>
        <w:jc w:val="left"/>
        <w:rPr>
          <w:rFonts w:ascii="宋体" w:hAnsi="宋体" w:cs="宋体" w:eastAsia="宋体" w:hint="default"/>
          <w:sz w:val="21"/>
          <w:szCs w:val="21"/>
        </w:rPr>
        <w:sectPr>
          <w:pgSz w:w="11910" w:h="16840"/>
          <w:pgMar w:header="0" w:footer="1195" w:top="1440" w:bottom="1380" w:left="1600" w:right="1340"/>
        </w:sectPr>
      </w:pPr>
    </w:p>
    <w:p>
      <w:pPr>
        <w:spacing w:line="408" w:lineRule="auto" w:before="24"/>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在建工程存在减值迹象的，估计其可收回金额。可收回金额根据在建工程的公允价值减去</w:t>
      </w:r>
      <w:r>
        <w:rPr>
          <w:rFonts w:ascii="宋体" w:hAnsi="宋体" w:cs="宋体" w:eastAsia="宋体" w:hint="default"/>
          <w:w w:val="100"/>
          <w:sz w:val="21"/>
          <w:szCs w:val="21"/>
        </w:rPr>
        <w:t> </w:t>
      </w:r>
      <w:r>
        <w:rPr>
          <w:rFonts w:ascii="宋体" w:hAnsi="宋体" w:cs="宋体" w:eastAsia="宋体" w:hint="default"/>
          <w:sz w:val="21"/>
          <w:szCs w:val="21"/>
        </w:rPr>
        <w:t>处置费用后的净额与在建工程预计未来现金流量的现值两者之间较高者确定。</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当在建工程的可收回金额低于其账面价值的，将在建工程的账面价值减记至可收回金额，</w:t>
      </w:r>
      <w:r>
        <w:rPr>
          <w:rFonts w:ascii="宋体" w:hAnsi="宋体" w:cs="宋体" w:eastAsia="宋体" w:hint="default"/>
          <w:w w:val="100"/>
          <w:sz w:val="21"/>
          <w:szCs w:val="21"/>
        </w:rPr>
        <w:t> </w:t>
      </w:r>
      <w:r>
        <w:rPr>
          <w:rFonts w:ascii="宋体" w:hAnsi="宋体" w:cs="宋体" w:eastAsia="宋体" w:hint="default"/>
          <w:sz w:val="21"/>
          <w:szCs w:val="21"/>
        </w:rPr>
        <w:t>减记的金额确认为在建工程减值损失，计入当期损益，同时计提相应的在建工程减值准备。</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sz w:val="21"/>
          <w:szCs w:val="21"/>
        </w:rPr>
        <w:t>有迹象表明一项在建工程可能发生减值的，企业以单项在建工程为基础估计其可收回金额。</w:t>
      </w:r>
    </w:p>
    <w:p>
      <w:pPr>
        <w:spacing w:line="410"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企业难以对单项在建工程的可收回金额进行估计的，以该在建工程所属的资产组为基础确定资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产组的可收回金额。</w:t>
      </w:r>
    </w:p>
    <w:p>
      <w:pPr>
        <w:spacing w:line="408" w:lineRule="auto" w:before="44"/>
        <w:ind w:left="524" w:right="6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1"/>
          <w:sz w:val="21"/>
          <w:szCs w:val="21"/>
        </w:rPr>
        <w:t>外购无形资产的成本，包括购买价款、相关税费以及直接归属于使该项资产达到预定用途</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3"/>
          <w:sz w:val="21"/>
          <w:szCs w:val="21"/>
        </w:rPr>
        <w:t>所发生的其他支出。购买无形资产的价款超过正常信用条件延期支付，实质上具有融资性质的，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无形资产的成本以购买价款的现值为基础确定。</w:t>
      </w:r>
    </w:p>
    <w:p>
      <w:pPr>
        <w:spacing w:line="408" w:lineRule="auto" w:before="46"/>
        <w:ind w:left="102" w:right="212" w:firstLine="419"/>
        <w:jc w:val="right"/>
        <w:rPr>
          <w:rFonts w:ascii="宋体" w:hAnsi="宋体" w:cs="宋体" w:eastAsia="宋体" w:hint="default"/>
          <w:sz w:val="21"/>
          <w:szCs w:val="21"/>
        </w:rPr>
      </w:pPr>
      <w:r>
        <w:rPr>
          <w:rFonts w:ascii="宋体" w:hAnsi="宋体" w:cs="宋体" w:eastAsia="宋体" w:hint="default"/>
          <w:spacing w:val="-1"/>
          <w:sz w:val="21"/>
          <w:szCs w:val="21"/>
        </w:rPr>
        <w:t>债务重组取得债务人用以抵债的无形资产，以该无形资产的公允价值为基础确定其入账价</w:t>
      </w:r>
      <w:r>
        <w:rPr>
          <w:rFonts w:ascii="宋体" w:hAnsi="宋体" w:cs="宋体" w:eastAsia="宋体" w:hint="default"/>
          <w:w w:val="100"/>
          <w:sz w:val="21"/>
          <w:szCs w:val="21"/>
        </w:rPr>
        <w:t> </w:t>
      </w:r>
      <w:r>
        <w:rPr>
          <w:rFonts w:ascii="宋体" w:hAnsi="宋体" w:cs="宋体" w:eastAsia="宋体" w:hint="default"/>
          <w:spacing w:val="-2"/>
          <w:sz w:val="21"/>
          <w:szCs w:val="21"/>
        </w:rPr>
        <w:t>值，并将重组债务的账面价值与该用以抵债的无形资产公允价值之间的差额，计入当期损益；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
          <w:sz w:val="21"/>
          <w:szCs w:val="21"/>
        </w:rPr>
        <w:t>在非货币性资产交换具备商业实质且换入资产或换出资产的公允价值能够可靠计量的前提</w:t>
      </w:r>
      <w:r>
        <w:rPr>
          <w:rFonts w:ascii="宋体" w:hAnsi="宋体" w:cs="宋体" w:eastAsia="宋体" w:hint="default"/>
          <w:w w:val="100"/>
          <w:sz w:val="21"/>
          <w:szCs w:val="21"/>
        </w:rPr>
        <w:t> </w:t>
      </w:r>
      <w:r>
        <w:rPr>
          <w:rFonts w:ascii="宋体" w:hAnsi="宋体" w:cs="宋体" w:eastAsia="宋体" w:hint="default"/>
          <w:spacing w:val="-1"/>
          <w:sz w:val="21"/>
          <w:szCs w:val="21"/>
        </w:rPr>
        <w:t>下，非货币性资产交换换入的无形资产以换出资产的公允价值为基础确定其入账价值，除非有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
          <w:sz w:val="21"/>
          <w:szCs w:val="21"/>
        </w:rPr>
        <w:t>确凿证据表明换入资产的公允价值更加可靠；不满足上述前提的非货币性资产交换，以换出资</w:t>
      </w:r>
    </w:p>
    <w:p>
      <w:pPr>
        <w:spacing w:line="410"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产的账面价值和应支付的相关税费作为换入无形资产的成本，不确认损益。</w:t>
      </w:r>
      <w:r>
        <w:rPr>
          <w:rFonts w:ascii="宋体" w:hAnsi="宋体" w:cs="宋体" w:eastAsia="宋体" w:hint="default"/>
          <w:w w:val="100"/>
          <w:sz w:val="21"/>
          <w:szCs w:val="21"/>
        </w:rPr>
        <w:t> </w:t>
      </w:r>
      <w:r>
        <w:rPr>
          <w:rFonts w:ascii="宋体" w:hAnsi="宋体" w:cs="宋体" w:eastAsia="宋体" w:hint="default"/>
          <w:spacing w:val="3"/>
          <w:sz w:val="21"/>
          <w:szCs w:val="21"/>
        </w:rPr>
        <w:t>以同一控制下的企业吸收合并方式取得的无形资产按被合并方的账面价值确定其入账价</w:t>
      </w:r>
    </w:p>
    <w:p>
      <w:pPr>
        <w:spacing w:line="408" w:lineRule="auto" w:before="44"/>
        <w:ind w:left="521" w:right="0" w:hanging="420"/>
        <w:jc w:val="left"/>
        <w:rPr>
          <w:rFonts w:ascii="宋体" w:hAnsi="宋体" w:cs="宋体" w:eastAsia="宋体" w:hint="default"/>
          <w:sz w:val="21"/>
          <w:szCs w:val="21"/>
        </w:rPr>
      </w:pPr>
      <w:r>
        <w:rPr>
          <w:rFonts w:ascii="宋体" w:hAnsi="宋体" w:cs="宋体" w:eastAsia="宋体" w:hint="default"/>
          <w:sz w:val="21"/>
          <w:szCs w:val="21"/>
        </w:rPr>
        <w:t>值；以非同一控制下的企业吸收合并方式取得的无形资产按公允价值确定其入账价值。</w:t>
      </w:r>
      <w:r>
        <w:rPr>
          <w:rFonts w:ascii="宋体" w:hAnsi="宋体" w:cs="宋体" w:eastAsia="宋体" w:hint="default"/>
          <w:w w:val="100"/>
          <w:sz w:val="21"/>
          <w:szCs w:val="21"/>
        </w:rPr>
        <w:t> </w:t>
      </w:r>
      <w:r>
        <w:rPr>
          <w:rFonts w:ascii="宋体" w:hAnsi="宋体" w:cs="宋体" w:eastAsia="宋体" w:hint="default"/>
          <w:spacing w:val="-1"/>
          <w:sz w:val="21"/>
          <w:szCs w:val="21"/>
        </w:rPr>
        <w:t>内部自行开发的无形资产，其成本包括：开发该无形资产时耗用的材料、劳务成本、注册</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费、在开发过程中使用的其他专利权和特许权的摊销以及满足资本化条件的利息费用，以及为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使该无形资产达到预定用途前所发生的其他直接费用。</w:t>
      </w:r>
    </w:p>
    <w:p>
      <w:pPr>
        <w:spacing w:line="408" w:lineRule="auto" w:before="46"/>
        <w:ind w:left="521" w:right="42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对于使用寿命有限的无形资产，在为企业带来经济利益的期限内按直线法摊销；无法预见</w:t>
      </w:r>
      <w:r>
        <w:rPr>
          <w:rFonts w:ascii="宋体" w:hAnsi="宋体" w:cs="宋体" w:eastAsia="宋体" w:hint="default"/>
          <w:w w:val="100"/>
          <w:sz w:val="21"/>
          <w:szCs w:val="21"/>
        </w:rPr>
        <w:t> </w:t>
      </w:r>
      <w:r>
        <w:rPr>
          <w:rFonts w:ascii="宋体" w:hAnsi="宋体" w:cs="宋体" w:eastAsia="宋体" w:hint="default"/>
          <w:sz w:val="21"/>
          <w:szCs w:val="21"/>
        </w:rPr>
        <w:t>无形资产为企业带来经济利益期限的，视为使用寿命不确定的无形资产，不予摊销。</w:t>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．无形资产使用寿命及摊销</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65"/>
          <w:pgSz w:w="11910" w:h="16840"/>
          <w:pgMar w:footer="1195" w:header="0" w:top="1440" w:bottom="1380" w:left="1600" w:right="1340"/>
          <w:pgNumType w:start="109"/>
        </w:sectPr>
      </w:pPr>
    </w:p>
    <w:p>
      <w:pPr>
        <w:spacing w:line="408" w:lineRule="auto" w:before="24"/>
        <w:ind w:left="521" w:right="0"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经复核，本年年末无形资产的使用寿命及摊销方法与以前估计未有不同。</w:t>
      </w:r>
      <w:r>
        <w:rPr>
          <w:rFonts w:ascii="宋体" w:hAnsi="宋体" w:cs="宋体" w:eastAsia="宋体" w:hint="default"/>
          <w:w w:val="100"/>
          <w:sz w:val="21"/>
          <w:szCs w:val="21"/>
        </w:rPr>
        <w:t> </w:t>
      </w:r>
      <w:r>
        <w:rPr>
          <w:rFonts w:ascii="宋体" w:hAnsi="宋体" w:cs="宋体" w:eastAsia="宋体" w:hint="default"/>
          <w:spacing w:val="-1"/>
          <w:sz w:val="21"/>
          <w:szCs w:val="21"/>
        </w:rPr>
        <w:t>对于使用寿命有限的无形资产，在为企业带来经济利益的期限内按直线法摊销；无法预见</w:t>
      </w:r>
    </w:p>
    <w:p>
      <w:pPr>
        <w:spacing w:line="408" w:lineRule="auto" w:before="46"/>
        <w:ind w:left="521" w:right="977" w:hanging="420"/>
        <w:jc w:val="left"/>
        <w:rPr>
          <w:rFonts w:ascii="宋体" w:hAnsi="宋体" w:cs="宋体" w:eastAsia="宋体" w:hint="default"/>
          <w:sz w:val="21"/>
          <w:szCs w:val="21"/>
        </w:rPr>
      </w:pPr>
      <w:r>
        <w:rPr>
          <w:rFonts w:ascii="宋体" w:hAnsi="宋体" w:cs="宋体" w:eastAsia="宋体" w:hint="default"/>
          <w:spacing w:val="-2"/>
          <w:sz w:val="21"/>
          <w:szCs w:val="21"/>
        </w:rPr>
        <w:t>无形资产为企业带来经济利益期限的，视为使用寿命不确定的无形资产，不予摊销。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对无形资产进行减值测试，估计其可收回金额。可收回金额根据无形资产的公允价值减去</w:t>
      </w:r>
      <w:r>
        <w:rPr>
          <w:rFonts w:ascii="宋体" w:hAnsi="宋体" w:cs="宋体" w:eastAsia="宋体" w:hint="default"/>
          <w:w w:val="100"/>
          <w:sz w:val="21"/>
          <w:szCs w:val="21"/>
        </w:rPr>
        <w:t> </w:t>
      </w:r>
      <w:r>
        <w:rPr>
          <w:rFonts w:ascii="宋体" w:hAnsi="宋体" w:cs="宋体" w:eastAsia="宋体" w:hint="default"/>
          <w:sz w:val="21"/>
          <w:szCs w:val="21"/>
        </w:rPr>
        <w:t>处置费用后的净额与无形资产预计未来现金流量的现值两者之间较高者确定。</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当无形资产的可收回金额低于其账面价值的，将无形资产的账面价值减记至可收回金额，</w:t>
      </w:r>
      <w:r>
        <w:rPr>
          <w:rFonts w:ascii="宋体" w:hAnsi="宋体" w:cs="宋体" w:eastAsia="宋体" w:hint="default"/>
          <w:w w:val="100"/>
          <w:sz w:val="21"/>
          <w:szCs w:val="21"/>
        </w:rPr>
        <w:t> </w:t>
      </w:r>
      <w:r>
        <w:rPr>
          <w:rFonts w:ascii="宋体" w:hAnsi="宋体" w:cs="宋体" w:eastAsia="宋体" w:hint="default"/>
          <w:sz w:val="21"/>
          <w:szCs w:val="21"/>
        </w:rPr>
        <w:t>减记的金额确认为无形资产减值损失，计入当期损益，同时计提相应的无形资产减值准备。</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无形资产减值损失确认后，减值无形资产的折耗或者摊销费用在未来期间作相应调整，以</w:t>
      </w:r>
      <w:r>
        <w:rPr>
          <w:rFonts w:ascii="宋体" w:hAnsi="宋体" w:cs="宋体" w:eastAsia="宋体" w:hint="default"/>
          <w:w w:val="100"/>
          <w:sz w:val="21"/>
          <w:szCs w:val="21"/>
        </w:rPr>
        <w:t> </w:t>
      </w:r>
      <w:r>
        <w:rPr>
          <w:rFonts w:ascii="宋体" w:hAnsi="宋体" w:cs="宋体" w:eastAsia="宋体" w:hint="default"/>
          <w:spacing w:val="-4"/>
          <w:w w:val="100"/>
          <w:sz w:val="21"/>
          <w:szCs w:val="21"/>
        </w:rPr>
        <w:t>使该无形资产在剩余使用寿命内，系统地分摊调整后的无形资产账面价值（扣除预计净残值）。</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sz w:val="21"/>
          <w:szCs w:val="21"/>
        </w:rPr>
        <w:t>有迹象表明一项无形资产可能发生减值的，公司以单项无形资产为基础估计其可收回金额。</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公司难以对单项资产的可收回金额进行估计的，以该无形资产所属的资产组为基础确定无形资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产组的可收回金额。</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1"/>
          <w:sz w:val="21"/>
          <w:szCs w:val="21"/>
        </w:rPr>
        <w:t>研究阶段：为获取并理解新的科学或技术知识等而进行的独创性的有计划调查、研究活动</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的阶段。</w:t>
      </w:r>
    </w:p>
    <w:p>
      <w:pPr>
        <w:spacing w:line="240" w:lineRule="auto" w:before="11"/>
        <w:rPr>
          <w:rFonts w:ascii="宋体" w:hAnsi="宋体" w:cs="宋体" w:eastAsia="宋体" w:hint="default"/>
          <w:sz w:val="14"/>
          <w:szCs w:val="14"/>
        </w:rPr>
      </w:pPr>
    </w:p>
    <w:p>
      <w:pPr>
        <w:spacing w:line="408" w:lineRule="auto" w:before="0"/>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开发阶段：在进行商业性生产或使用前，将研究成果或其他知识应用于某项计划或设计，</w:t>
      </w:r>
      <w:r>
        <w:rPr>
          <w:rFonts w:ascii="宋体" w:hAnsi="宋体" w:cs="宋体" w:eastAsia="宋体" w:hint="default"/>
          <w:w w:val="100"/>
          <w:sz w:val="21"/>
          <w:szCs w:val="21"/>
        </w:rPr>
        <w:t> </w:t>
      </w:r>
      <w:r>
        <w:rPr>
          <w:rFonts w:ascii="宋体" w:hAnsi="宋体" w:cs="宋体" w:eastAsia="宋体" w:hint="default"/>
          <w:sz w:val="21"/>
          <w:szCs w:val="21"/>
        </w:rPr>
        <w:t>以生产出新的或具有实质性改进的材料、装置、产品等活动的阶段。</w:t>
      </w:r>
    </w:p>
    <w:p>
      <w:pPr>
        <w:spacing w:line="408" w:lineRule="auto" w:before="46"/>
        <w:ind w:left="524" w:right="2637" w:hanging="3"/>
        <w:jc w:val="left"/>
        <w:rPr>
          <w:rFonts w:ascii="宋体" w:hAnsi="宋体" w:cs="宋体" w:eastAsia="宋体" w:hint="default"/>
          <w:sz w:val="21"/>
          <w:szCs w:val="21"/>
        </w:rPr>
      </w:pPr>
      <w:r>
        <w:rPr>
          <w:rFonts w:ascii="宋体" w:hAnsi="宋体" w:cs="宋体" w:eastAsia="宋体" w:hint="default"/>
          <w:spacing w:val="-2"/>
          <w:sz w:val="21"/>
          <w:szCs w:val="21"/>
        </w:rPr>
        <w:t>内部研究开发项目研究阶段的支出，在发生时计入当期损益。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sz w:val="21"/>
          <w:szCs w:val="21"/>
        </w:rPr>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240" w:lineRule="auto" w:before="10"/>
        <w:rPr>
          <w:rFonts w:ascii="宋体" w:hAnsi="宋体" w:cs="宋体" w:eastAsia="宋体" w:hint="default"/>
          <w:sz w:val="14"/>
          <w:szCs w:val="14"/>
        </w:rPr>
      </w:pPr>
    </w:p>
    <w:p>
      <w:pPr>
        <w:spacing w:line="408" w:lineRule="auto" w:before="0"/>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）无形资产产生经济利益的方式，包括能够证明运用该无形资产生产的产品存在市场或</w:t>
      </w:r>
      <w:r>
        <w:rPr>
          <w:rFonts w:ascii="宋体" w:hAnsi="宋体" w:cs="宋体" w:eastAsia="宋体" w:hint="default"/>
          <w:w w:val="100"/>
          <w:sz w:val="21"/>
          <w:szCs w:val="21"/>
        </w:rPr>
        <w:t> </w:t>
      </w:r>
      <w:r>
        <w:rPr>
          <w:rFonts w:ascii="宋体" w:hAnsi="宋体" w:cs="宋体" w:eastAsia="宋体" w:hint="default"/>
          <w:sz w:val="21"/>
          <w:szCs w:val="21"/>
        </w:rPr>
        <w:t>无形资产自身存在市场，无形资产将在内部使用的，能够证明其有用性；</w:t>
      </w:r>
    </w:p>
    <w:p>
      <w:pPr>
        <w:spacing w:before="46"/>
        <w:ind w:left="521"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）有足够的技术、财务资源和其他资源支持，以完成该无形资产的开发，并有能力使用</w:t>
      </w:r>
    </w:p>
    <w:p>
      <w:pPr>
        <w:spacing w:after="0"/>
        <w:jc w:val="left"/>
        <w:rPr>
          <w:rFonts w:ascii="宋体" w:hAnsi="宋体" w:cs="宋体" w:eastAsia="宋体" w:hint="default"/>
          <w:sz w:val="21"/>
          <w:szCs w:val="21"/>
        </w:rPr>
        <w:sectPr>
          <w:footerReference w:type="default" r:id="rId66"/>
          <w:pgSz w:w="11910" w:h="16840"/>
          <w:pgMar w:footer="1195" w:header="0" w:top="1440" w:bottom="1380" w:left="1600" w:right="1340"/>
        </w:sectPr>
      </w:pPr>
    </w:p>
    <w:p>
      <w:pPr>
        <w:spacing w:before="24"/>
        <w:ind w:left="102" w:right="0" w:firstLine="0"/>
        <w:jc w:val="left"/>
        <w:rPr>
          <w:rFonts w:ascii="宋体" w:hAnsi="宋体" w:cs="宋体" w:eastAsia="宋体" w:hint="default"/>
          <w:sz w:val="21"/>
          <w:szCs w:val="21"/>
        </w:rPr>
      </w:pPr>
      <w:r>
        <w:rPr>
          <w:rFonts w:ascii="宋体" w:hAnsi="宋体" w:cs="宋体" w:eastAsia="宋体" w:hint="default"/>
          <w:sz w:val="21"/>
          <w:szCs w:val="21"/>
        </w:rPr>
        <w:t>或出售该无形资产；</w:t>
      </w:r>
    </w:p>
    <w:p>
      <w:pPr>
        <w:spacing w:line="240" w:lineRule="auto" w:before="10"/>
        <w:rPr>
          <w:rFonts w:ascii="宋体" w:hAnsi="宋体" w:cs="宋体" w:eastAsia="宋体" w:hint="default"/>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）归属于该无形资产开发阶段的支出能够可靠地计量。</w:t>
      </w:r>
    </w:p>
    <w:p>
      <w:pPr>
        <w:spacing w:line="240" w:lineRule="auto" w:before="10"/>
        <w:rPr>
          <w:rFonts w:ascii="宋体" w:hAnsi="宋体" w:cs="宋体" w:eastAsia="宋体" w:hint="default"/>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6</w:t>
      </w:r>
      <w:r>
        <w:rPr>
          <w:rFonts w:ascii="宋体" w:hAnsi="宋体" w:cs="宋体" w:eastAsia="宋体" w:hint="default"/>
          <w:spacing w:val="-6"/>
          <w:w w:val="100"/>
          <w:sz w:val="21"/>
          <w:szCs w:val="21"/>
        </w:rPr>
        <w:t>）本公司未区分研究支出与开发支出，因此内部研究开发项目支出全部予以当期费用化。</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z w:val="21"/>
          <w:szCs w:val="21"/>
        </w:rPr>
        <w:t>长期待摊费用的摊销方法及摊销年限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本公司以经营租赁方式租入的固定资产发生的改良支出，以及对实际发生的但由本期和以</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后各期负担的分摊期限在一年以上的各项费用，作为长期待摊费用，按照项目的预计受益期平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均摊销；筹备期间的开办费在开始生产经营当月一次性摊入当期费用。</w:t>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本公司发生的借款费用，可直接归属于符合资本化条件的资产的购建或者生产的，予以资</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pacing w:val="-4"/>
          <w:sz w:val="21"/>
          <w:szCs w:val="21"/>
        </w:rPr>
        <w:t>本化，计入相关资产成本；其他借款费用，在发生时根据其发生额确认为费用，计入当期损益。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符合资本化条件的资产，是指需要经过相当长时间的购建或者生产活动才能达到预定可使</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pacing w:val="-2"/>
          <w:sz w:val="21"/>
          <w:szCs w:val="21"/>
        </w:rPr>
        <w:t>用或者可销售状态的固定资产、投资性房地产和存货等资产。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借款费用同时满足下列条件时开始资本化：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）资产支出已经发生，资产支出包括为购建或者生产符合资本化条件的资产而以支付现</w:t>
      </w:r>
      <w:r>
        <w:rPr>
          <w:rFonts w:ascii="宋体" w:hAnsi="宋体" w:cs="宋体" w:eastAsia="宋体" w:hint="default"/>
          <w:w w:val="100"/>
          <w:sz w:val="21"/>
          <w:szCs w:val="21"/>
        </w:rPr>
        <w:t> </w:t>
      </w:r>
      <w:r>
        <w:rPr>
          <w:rFonts w:ascii="宋体" w:hAnsi="宋体" w:cs="宋体" w:eastAsia="宋体" w:hint="default"/>
          <w:sz w:val="21"/>
          <w:szCs w:val="21"/>
        </w:rPr>
        <w:t>金、转移非现金资产或者承担带息债务形式发生的支出；</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line="240" w:lineRule="auto" w:before="10"/>
        <w:rPr>
          <w:rFonts w:ascii="宋体" w:hAnsi="宋体" w:cs="宋体" w:eastAsia="宋体" w:hint="default"/>
          <w:sz w:val="14"/>
          <w:szCs w:val="14"/>
        </w:rPr>
      </w:pPr>
    </w:p>
    <w:p>
      <w:pPr>
        <w:spacing w:line="408" w:lineRule="auto" w:before="0"/>
        <w:ind w:left="524" w:right="557"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）为使资产达到预定可使用或者可销售状态所必要的购建或者生产活动已经开始。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410"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资本化期间，指从借款费用开始资本化时点到停止资本化时点的期间，借款费用暂停资本</w:t>
      </w:r>
      <w:r>
        <w:rPr>
          <w:rFonts w:ascii="宋体" w:hAnsi="宋体" w:cs="宋体" w:eastAsia="宋体" w:hint="default"/>
          <w:w w:val="100"/>
          <w:sz w:val="21"/>
          <w:szCs w:val="21"/>
        </w:rPr>
        <w:t> </w:t>
      </w:r>
      <w:r>
        <w:rPr>
          <w:rFonts w:ascii="宋体" w:hAnsi="宋体" w:cs="宋体" w:eastAsia="宋体" w:hint="default"/>
          <w:sz w:val="21"/>
          <w:szCs w:val="21"/>
        </w:rPr>
        <w:t>化的期间不包括在内。</w:t>
      </w:r>
    </w:p>
    <w:p>
      <w:pPr>
        <w:spacing w:line="408" w:lineRule="auto" w:before="44"/>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当购建或者生产符合资本化条件的资产达到预定可使用或者可销售状态时，借款费用停止</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1"/>
          <w:sz w:val="21"/>
          <w:szCs w:val="21"/>
        </w:rPr>
        <w:t>当购建或者生产符合资本化条件的资产中部分项目分别完工且可单独使用时，该部分资产</w:t>
      </w:r>
      <w:r>
        <w:rPr>
          <w:rFonts w:ascii="宋体" w:hAnsi="宋体" w:cs="宋体" w:eastAsia="宋体" w:hint="default"/>
          <w:w w:val="100"/>
          <w:sz w:val="21"/>
          <w:szCs w:val="21"/>
        </w:rPr>
        <w:t> </w:t>
      </w:r>
      <w:r>
        <w:rPr>
          <w:rFonts w:ascii="宋体" w:hAnsi="宋体" w:cs="宋体" w:eastAsia="宋体" w:hint="default"/>
          <w:sz w:val="21"/>
          <w:szCs w:val="21"/>
        </w:rPr>
        <w:t>借款费用停止资本化。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购建或者生产的资产的各部分分别完工，但必须等到整体完工后才可使用或可对外销售的，</w:t>
      </w:r>
      <w:r>
        <w:rPr>
          <w:rFonts w:ascii="宋体" w:hAnsi="宋体" w:cs="宋体" w:eastAsia="宋体" w:hint="default"/>
          <w:w w:val="100"/>
          <w:sz w:val="21"/>
          <w:szCs w:val="21"/>
        </w:rPr>
        <w:t> </w:t>
      </w:r>
      <w:r>
        <w:rPr>
          <w:rFonts w:ascii="宋体" w:hAnsi="宋体" w:cs="宋体" w:eastAsia="宋体" w:hint="default"/>
          <w:sz w:val="21"/>
          <w:szCs w:val="21"/>
        </w:rPr>
        <w:t>在该资产整体完工时停止借款费用资本化。</w:t>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460" w:lineRule="atLeast" w:before="8"/>
        <w:ind w:left="102" w:right="205" w:firstLine="419"/>
        <w:jc w:val="left"/>
        <w:rPr>
          <w:rFonts w:ascii="宋体" w:hAnsi="宋体" w:cs="宋体" w:eastAsia="宋体" w:hint="default"/>
          <w:sz w:val="21"/>
          <w:szCs w:val="21"/>
        </w:rPr>
      </w:pPr>
      <w:r>
        <w:rPr>
          <w:rFonts w:ascii="宋体" w:hAnsi="宋体" w:cs="宋体" w:eastAsia="宋体" w:hint="default"/>
          <w:sz w:val="21"/>
          <w:szCs w:val="21"/>
        </w:rPr>
        <w:t>符合资本化条件的资产在购建或生产过程中发生的非正常中断、且中断时间连续超过 </w:t>
      </w:r>
      <w:r>
        <w:rPr>
          <w:rFonts w:ascii="宋体" w:hAnsi="宋体" w:cs="宋体" w:eastAsia="宋体" w:hint="default"/>
          <w:sz w:val="21"/>
          <w:szCs w:val="21"/>
        </w:rPr>
        <w:t>3</w:t>
      </w:r>
      <w:r>
        <w:rPr>
          <w:rFonts w:ascii="宋体" w:hAnsi="宋体" w:cs="宋体" w:eastAsia="宋体" w:hint="default"/>
          <w:spacing w:val="-7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pacing w:val="-1"/>
          <w:sz w:val="21"/>
          <w:szCs w:val="21"/>
        </w:rPr>
        <w:t>月的，则借款费用暂停资本化；该项中断如是所购建或生产的符合资本化条件的资产达到预定</w:t>
      </w:r>
    </w:p>
    <w:p>
      <w:pPr>
        <w:spacing w:after="0" w:line="460" w:lineRule="atLeast"/>
        <w:jc w:val="left"/>
        <w:rPr>
          <w:rFonts w:ascii="宋体" w:hAnsi="宋体" w:cs="宋体" w:eastAsia="宋体" w:hint="default"/>
          <w:sz w:val="21"/>
          <w:szCs w:val="21"/>
        </w:rPr>
        <w:sectPr>
          <w:footerReference w:type="default" r:id="rId67"/>
          <w:pgSz w:w="11910" w:h="16840"/>
          <w:pgMar w:footer="1195" w:header="0" w:top="1440" w:bottom="1380" w:left="1600" w:right="1340"/>
        </w:sectPr>
      </w:pPr>
    </w:p>
    <w:p>
      <w:pPr>
        <w:spacing w:line="408" w:lineRule="auto" w:before="24"/>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可使用状态或者可销售状态必要的程序，则借款费用继续资本化。在中断期间发生的借款费用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确认为当期损益，直至资产的购建或者生产活动重新开始后借款费用继续资本化。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投资取得的投资收益）及其辅助费用在所购建或者生产的符合资本化条件的资产达到预定可使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用或者可销售状态前，予以资本化。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根据累计资产支出超过专门借款部分的资产支出加权平均数乘以所占用一般借款的资本化</w:t>
      </w:r>
      <w:r>
        <w:rPr>
          <w:rFonts w:ascii="宋体" w:hAnsi="宋体" w:cs="宋体" w:eastAsia="宋体" w:hint="default"/>
          <w:w w:val="100"/>
          <w:sz w:val="21"/>
          <w:szCs w:val="21"/>
        </w:rPr>
        <w:t> </w:t>
      </w:r>
      <w:r>
        <w:rPr>
          <w:rFonts w:ascii="宋体" w:hAnsi="宋体" w:cs="宋体" w:eastAsia="宋体" w:hint="default"/>
          <w:spacing w:val="-4"/>
          <w:sz w:val="21"/>
          <w:szCs w:val="21"/>
        </w:rPr>
        <w:t>率，计算确定一般借款应予资本化的利息金额。资本化率根据一般借款加权平均利率计算确定。</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借款存在折价或者溢价的，按照实际利率法确定每一会计期间应摊销的折价或者溢价金额，</w:t>
      </w:r>
      <w:r>
        <w:rPr>
          <w:rFonts w:ascii="宋体" w:hAnsi="宋体" w:cs="宋体" w:eastAsia="宋体" w:hint="default"/>
          <w:w w:val="100"/>
          <w:sz w:val="21"/>
          <w:szCs w:val="21"/>
        </w:rPr>
        <w:t> </w:t>
      </w:r>
      <w:r>
        <w:rPr>
          <w:rFonts w:ascii="宋体" w:hAnsi="宋体" w:cs="宋体" w:eastAsia="宋体" w:hint="default"/>
          <w:sz w:val="21"/>
          <w:szCs w:val="21"/>
        </w:rPr>
        <w:t>调整每期利息金额。</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z w:val="21"/>
          <w:szCs w:val="21"/>
        </w:rPr>
        <w:t>商誉</w:t>
      </w:r>
      <w:r>
        <w:rPr>
          <w:rFonts w:ascii="宋体" w:hAnsi="宋体" w:cs="宋体" w:eastAsia="宋体" w:hint="default"/>
          <w:b/>
          <w:bCs/>
          <w:w w:val="100"/>
          <w:sz w:val="21"/>
          <w:szCs w:val="21"/>
        </w:rPr>
        <w:t> </w:t>
      </w:r>
      <w:r>
        <w:rPr>
          <w:rFonts w:ascii="宋体" w:hAnsi="宋体" w:cs="宋体" w:eastAsia="宋体" w:hint="default"/>
          <w:spacing w:val="-1"/>
          <w:sz w:val="21"/>
          <w:szCs w:val="21"/>
        </w:rPr>
        <w:t>在非同一控制下企业合并时，支付的合并成本大于合并中取得的被购买方可辨认净资产公</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允价值份额的差额，确认为商誉。</w:t>
      </w:r>
      <w:r>
        <w:rPr>
          <w:rFonts w:ascii="宋体" w:hAnsi="宋体" w:cs="宋体" w:eastAsia="宋体" w:hint="default"/>
          <w:w w:val="100"/>
          <w:sz w:val="21"/>
          <w:szCs w:val="21"/>
        </w:rPr>
        <w:t> </w:t>
      </w:r>
      <w:r>
        <w:rPr>
          <w:rFonts w:ascii="宋体" w:hAnsi="宋体" w:cs="宋体" w:eastAsia="宋体" w:hint="default"/>
          <w:spacing w:val="-4"/>
          <w:sz w:val="21"/>
          <w:szCs w:val="21"/>
        </w:rPr>
        <w:t>本公司于年末，将商誉分摊至相关的资产组进行减值测试，计提的减值准备计入当期损益，</w:t>
      </w:r>
    </w:p>
    <w:p>
      <w:pPr>
        <w:spacing w:line="408" w:lineRule="auto" w:before="46"/>
        <w:ind w:left="521" w:right="4205" w:hanging="420"/>
        <w:jc w:val="left"/>
        <w:rPr>
          <w:rFonts w:ascii="宋体" w:hAnsi="宋体" w:cs="宋体" w:eastAsia="宋体" w:hint="default"/>
          <w:sz w:val="21"/>
          <w:szCs w:val="21"/>
        </w:rPr>
      </w:pPr>
      <w:r>
        <w:rPr>
          <w:rFonts w:ascii="宋体" w:hAnsi="宋体" w:cs="宋体" w:eastAsia="宋体" w:hint="default"/>
          <w:spacing w:val="-2"/>
          <w:sz w:val="21"/>
          <w:szCs w:val="21"/>
        </w:rPr>
        <w:t>减值准备一经计提，在以后的会计期间不再转回。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pacing w:val="-4"/>
          <w:sz w:val="21"/>
          <w:szCs w:val="21"/>
        </w:rPr>
        <w:t>在每一会计期间内，将应付的职工薪酬确认为负债，按受益对象分别计入产品或劳务成本、</w:t>
      </w:r>
      <w:r>
        <w:rPr>
          <w:rFonts w:ascii="宋体" w:hAnsi="宋体" w:cs="宋体" w:eastAsia="宋体" w:hint="default"/>
          <w:w w:val="100"/>
          <w:sz w:val="21"/>
          <w:szCs w:val="21"/>
        </w:rPr>
        <w:t> </w:t>
      </w:r>
      <w:r>
        <w:rPr>
          <w:rFonts w:ascii="宋体" w:hAnsi="宋体" w:cs="宋体" w:eastAsia="宋体" w:hint="default"/>
          <w:sz w:val="21"/>
          <w:szCs w:val="21"/>
        </w:rPr>
        <w:t>当期费用或固定资产或无形资产成本。根据有关规定，本公司按照月工资额的一定比例提取保</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险费和公积金，并按月向劳动和社会保障机构缴纳，相应的支出计入当期成本或费用。</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z w:val="21"/>
          <w:szCs w:val="21"/>
        </w:rPr>
        <w:t>预计负债的确认</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本公司将同时符合以下条件与或有事项相关的义务确认为负债：该义务是企业承担的现时</w:t>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义务；履行该义务很可能导致经济利益流出企业；该义务的金额能够可靠地计量。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待执行合同变成亏损合同的，该亏损合同产生的义务满足上述条件的，确认为预计负债。</w:t>
      </w:r>
      <w:r>
        <w:rPr>
          <w:rFonts w:ascii="宋体" w:hAnsi="宋体" w:cs="宋体" w:eastAsia="宋体" w:hint="default"/>
          <w:w w:val="100"/>
          <w:sz w:val="21"/>
          <w:szCs w:val="21"/>
        </w:rPr>
        <w:t> </w:t>
      </w:r>
      <w:r>
        <w:rPr>
          <w:rFonts w:ascii="宋体" w:hAnsi="宋体" w:cs="宋体" w:eastAsia="宋体" w:hint="default"/>
          <w:spacing w:val="-1"/>
          <w:sz w:val="21"/>
          <w:szCs w:val="21"/>
        </w:rPr>
        <w:t>本公司承担的其他义务</w:t>
      </w:r>
      <w:r>
        <w:rPr>
          <w:rFonts w:ascii="宋体" w:hAnsi="宋体" w:cs="宋体" w:eastAsia="宋体" w:hint="default"/>
          <w:spacing w:val="-1"/>
          <w:sz w:val="21"/>
          <w:szCs w:val="21"/>
        </w:rPr>
        <w:t>(</w:t>
      </w:r>
      <w:r>
        <w:rPr>
          <w:rFonts w:ascii="宋体" w:hAnsi="宋体" w:cs="宋体" w:eastAsia="宋体" w:hint="default"/>
          <w:spacing w:val="-1"/>
          <w:sz w:val="21"/>
          <w:szCs w:val="21"/>
        </w:rPr>
        <w:t>如承担超额亏损、重组义务、弃置费用等</w:t>
      </w:r>
      <w:r>
        <w:rPr>
          <w:rFonts w:ascii="宋体" w:hAnsi="宋体" w:cs="宋体" w:eastAsia="宋体" w:hint="default"/>
          <w:spacing w:val="-1"/>
          <w:sz w:val="21"/>
          <w:szCs w:val="21"/>
        </w:rPr>
        <w:t>)</w:t>
      </w:r>
      <w:r>
        <w:rPr>
          <w:rFonts w:ascii="宋体" w:hAnsi="宋体" w:cs="宋体" w:eastAsia="宋体" w:hint="default"/>
          <w:spacing w:val="-1"/>
          <w:sz w:val="21"/>
          <w:szCs w:val="21"/>
        </w:rPr>
        <w:t>满足上述条件，确认为</w:t>
      </w:r>
    </w:p>
    <w:p>
      <w:pPr>
        <w:spacing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预计负债。</w:t>
      </w:r>
    </w:p>
    <w:p>
      <w:pPr>
        <w:spacing w:line="240" w:lineRule="auto" w:before="10"/>
        <w:rPr>
          <w:rFonts w:ascii="宋体" w:hAnsi="宋体" w:cs="宋体" w:eastAsia="宋体" w:hint="default"/>
          <w:sz w:val="14"/>
          <w:szCs w:val="14"/>
        </w:rPr>
      </w:pPr>
    </w:p>
    <w:p>
      <w:pPr>
        <w:spacing w:line="408" w:lineRule="auto" w:before="0"/>
        <w:ind w:left="524" w:right="63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b/>
          <w:bCs/>
          <w:sz w:val="21"/>
          <w:szCs w:val="21"/>
        </w:rPr>
        <w:t>收入确认原则</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．销售商品</w:t>
      </w:r>
      <w:r>
        <w:rPr>
          <w:rFonts w:ascii="宋体" w:hAnsi="宋体" w:cs="宋体" w:eastAsia="宋体" w:hint="default"/>
          <w:sz w:val="21"/>
          <w:szCs w:val="21"/>
        </w:rPr>
      </w:r>
    </w:p>
    <w:p>
      <w:pPr>
        <w:spacing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本公司已将商品所有权上的主要风险和报酬转移给购买方；本公司既没有保留与所有权相</w:t>
      </w:r>
    </w:p>
    <w:p>
      <w:pPr>
        <w:spacing w:line="240" w:lineRule="auto" w:before="10"/>
        <w:rPr>
          <w:rFonts w:ascii="宋体" w:hAnsi="宋体" w:cs="宋体" w:eastAsia="宋体" w:hint="default"/>
          <w:sz w:val="14"/>
          <w:szCs w:val="14"/>
        </w:rPr>
      </w:pPr>
    </w:p>
    <w:p>
      <w:pPr>
        <w:spacing w:before="0"/>
        <w:ind w:left="102" w:right="0" w:firstLine="0"/>
        <w:jc w:val="left"/>
        <w:rPr>
          <w:rFonts w:ascii="宋体" w:hAnsi="宋体" w:cs="宋体" w:eastAsia="宋体" w:hint="default"/>
          <w:sz w:val="21"/>
          <w:szCs w:val="21"/>
        </w:rPr>
      </w:pPr>
      <w:r>
        <w:rPr>
          <w:rFonts w:ascii="宋体" w:hAnsi="宋体" w:cs="宋体" w:eastAsia="宋体" w:hint="default"/>
          <w:sz w:val="21"/>
          <w:szCs w:val="21"/>
        </w:rPr>
        <w:t>联系的继续管理权，也没有对已售出的商品实施有效控制；收入的金额能够可靠地计量；相关</w:t>
      </w:r>
    </w:p>
    <w:p>
      <w:pPr>
        <w:spacing w:after="0"/>
        <w:jc w:val="left"/>
        <w:rPr>
          <w:rFonts w:ascii="宋体" w:hAnsi="宋体" w:cs="宋体" w:eastAsia="宋体" w:hint="default"/>
          <w:sz w:val="21"/>
          <w:szCs w:val="21"/>
        </w:rPr>
        <w:sectPr>
          <w:footerReference w:type="default" r:id="rId68"/>
          <w:pgSz w:w="11910" w:h="16840"/>
          <w:pgMar w:footer="1195" w:header="0" w:top="1440" w:bottom="1380" w:left="1600" w:right="1340"/>
          <w:pgNumType w:start="112"/>
        </w:sectPr>
      </w:pPr>
    </w:p>
    <w:p>
      <w:pPr>
        <w:spacing w:line="408" w:lineRule="auto" w:before="24"/>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的经济利益很可能流入企业；相关的已发生或将发生的成本能够可靠地计量时，确认商品销售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收入实现。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．提供劳务</w:t>
      </w:r>
      <w:r>
        <w:rPr>
          <w:rFonts w:ascii="宋体" w:hAnsi="宋体" w:cs="宋体" w:eastAsia="宋体" w:hint="default"/>
          <w:b/>
          <w:bCs/>
          <w:w w:val="100"/>
          <w:sz w:val="21"/>
          <w:szCs w:val="21"/>
        </w:rPr>
        <w:t> </w:t>
      </w:r>
      <w:r>
        <w:rPr>
          <w:rFonts w:ascii="宋体" w:hAnsi="宋体" w:cs="宋体" w:eastAsia="宋体" w:hint="default"/>
          <w:spacing w:val="-1"/>
          <w:sz w:val="21"/>
          <w:szCs w:val="21"/>
        </w:rPr>
        <w:t>以劳务的收入、劳务的完工程度能够可靠地确定，与交易相关的价款能够流入，相关的成</w:t>
      </w:r>
    </w:p>
    <w:p>
      <w:pPr>
        <w:spacing w:line="408" w:lineRule="auto" w:before="46"/>
        <w:ind w:left="524" w:right="6208" w:hanging="423"/>
        <w:jc w:val="left"/>
        <w:rPr>
          <w:rFonts w:ascii="宋体" w:hAnsi="宋体" w:cs="宋体" w:eastAsia="宋体" w:hint="default"/>
          <w:sz w:val="21"/>
          <w:szCs w:val="21"/>
        </w:rPr>
      </w:pPr>
      <w:r>
        <w:rPr>
          <w:rFonts w:ascii="宋体" w:hAnsi="宋体" w:cs="宋体" w:eastAsia="宋体" w:hint="default"/>
          <w:spacing w:val="-2"/>
          <w:sz w:val="21"/>
          <w:szCs w:val="21"/>
        </w:rPr>
        <w:t>本能够可靠地计量为前提。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sz w:val="21"/>
          <w:szCs w:val="21"/>
        </w:rPr>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与交易相关的经济利益很可能流入企业，收入的金额能够可靠地计量时。分别下列情况确</w:t>
      </w:r>
      <w:r>
        <w:rPr>
          <w:rFonts w:ascii="宋体" w:hAnsi="宋体" w:cs="宋体" w:eastAsia="宋体" w:hint="default"/>
          <w:w w:val="100"/>
          <w:sz w:val="21"/>
          <w:szCs w:val="21"/>
        </w:rPr>
        <w:t> </w:t>
      </w:r>
      <w:r>
        <w:rPr>
          <w:rFonts w:ascii="宋体" w:hAnsi="宋体" w:cs="宋体" w:eastAsia="宋体" w:hint="default"/>
          <w:sz w:val="21"/>
          <w:szCs w:val="21"/>
        </w:rPr>
        <w:t>定让渡资产使用权收入金额：</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利息收入金额，按照他人使用本企业货币资金的时间和实际利率计算确定。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(2)</w:t>
      </w:r>
      <w:r>
        <w:rPr>
          <w:rFonts w:ascii="宋体" w:hAnsi="宋体" w:cs="宋体" w:eastAsia="宋体" w:hint="default"/>
          <w:sz w:val="21"/>
          <w:szCs w:val="21"/>
        </w:rPr>
        <w:t>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t>确认递延所得税资产的依据</w:t>
      </w:r>
      <w:r>
        <w:rPr>
          <w:rFonts w:ascii="宋体" w:hAnsi="宋体" w:cs="宋体" w:eastAsia="宋体" w:hint="default"/>
          <w:w w:val="100"/>
          <w:sz w:val="21"/>
          <w:szCs w:val="21"/>
        </w:rPr>
        <w:t> </w:t>
      </w:r>
      <w:r>
        <w:rPr>
          <w:rFonts w:ascii="宋体" w:hAnsi="宋体" w:cs="宋体" w:eastAsia="宋体" w:hint="default"/>
          <w:spacing w:val="-1"/>
          <w:sz w:val="21"/>
          <w:szCs w:val="21"/>
        </w:rPr>
        <w:t>公司以很可能取得用来抵扣可抵扣暂时性差异的应纳税所得额为限，确认由可抵扣暂时性</w:t>
      </w:r>
    </w:p>
    <w:p>
      <w:pPr>
        <w:spacing w:line="408" w:lineRule="auto" w:before="46"/>
        <w:ind w:left="524" w:right="4205" w:hanging="423"/>
        <w:jc w:val="left"/>
        <w:rPr>
          <w:rFonts w:ascii="宋体" w:hAnsi="宋体" w:cs="宋体" w:eastAsia="宋体" w:hint="default"/>
          <w:sz w:val="21"/>
          <w:szCs w:val="21"/>
        </w:rPr>
      </w:pPr>
      <w:r>
        <w:rPr>
          <w:rFonts w:ascii="宋体" w:hAnsi="宋体" w:cs="宋体" w:eastAsia="宋体" w:hint="default"/>
          <w:sz w:val="21"/>
          <w:szCs w:val="21"/>
        </w:rPr>
        <w:t>差异产生的递延所得税资产。</w:t>
      </w:r>
      <w:r>
        <w:rPr>
          <w:rFonts w:ascii="宋体" w:hAnsi="宋体" w:cs="宋体" w:eastAsia="宋体" w:hint="default"/>
          <w:w w:val="100"/>
          <w:sz w:val="21"/>
          <w:szCs w:val="21"/>
        </w:rPr>
        <w:t> </w:t>
      </w:r>
      <w:r>
        <w:rPr>
          <w:rFonts w:ascii="宋体" w:hAnsi="宋体" w:cs="宋体" w:eastAsia="宋体" w:hint="default"/>
          <w:b/>
          <w:bCs/>
          <w:spacing w:val="-2"/>
          <w:sz w:val="21"/>
          <w:szCs w:val="21"/>
        </w:rPr>
        <w:t>2</w:t>
      </w:r>
      <w:r>
        <w:rPr>
          <w:rFonts w:ascii="宋体" w:hAnsi="宋体" w:cs="宋体" w:eastAsia="宋体" w:hint="default"/>
          <w:b/>
          <w:bCs/>
          <w:spacing w:val="-2"/>
          <w:sz w:val="21"/>
          <w:szCs w:val="21"/>
        </w:rPr>
        <w:t>．</w:t>
      </w:r>
      <w:r>
        <w:rPr>
          <w:rFonts w:ascii="宋体" w:hAnsi="宋体" w:cs="宋体" w:eastAsia="宋体" w:hint="default"/>
          <w:spacing w:val="-2"/>
          <w:sz w:val="21"/>
          <w:szCs w:val="21"/>
        </w:rPr>
        <w:t>确认递延所得税负债的依据</w:t>
      </w:r>
    </w:p>
    <w:p>
      <w:pPr>
        <w:spacing w:line="408" w:lineRule="auto" w:before="46"/>
        <w:ind w:left="102" w:right="212" w:firstLine="419"/>
        <w:jc w:val="both"/>
        <w:rPr>
          <w:rFonts w:ascii="宋体" w:hAnsi="宋体" w:cs="宋体" w:eastAsia="宋体" w:hint="default"/>
          <w:sz w:val="21"/>
          <w:szCs w:val="21"/>
        </w:rPr>
      </w:pPr>
      <w:r>
        <w:rPr>
          <w:rFonts w:ascii="宋体" w:hAnsi="宋体" w:cs="宋体" w:eastAsia="宋体" w:hint="default"/>
          <w:spacing w:val="-1"/>
          <w:sz w:val="21"/>
          <w:szCs w:val="21"/>
        </w:rPr>
        <w:t>公司将当期与以前期间应交未交的应纳税暂时性差异确认为递延所得税负债。但不包括商</w:t>
      </w:r>
      <w:r>
        <w:rPr>
          <w:rFonts w:ascii="宋体" w:hAnsi="宋体" w:cs="宋体" w:eastAsia="宋体" w:hint="default"/>
          <w:w w:val="100"/>
          <w:sz w:val="21"/>
          <w:szCs w:val="21"/>
        </w:rPr>
        <w:t> </w:t>
      </w:r>
      <w:r>
        <w:rPr>
          <w:rFonts w:ascii="宋体" w:hAnsi="宋体" w:cs="宋体" w:eastAsia="宋体" w:hint="default"/>
          <w:spacing w:val="-1"/>
          <w:sz w:val="21"/>
          <w:szCs w:val="21"/>
        </w:rPr>
        <w:t>誉、非企业合并形成的交易且该交易发生时既不影响会计利润也不影响应纳税所得额所形成的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暂时性差异。</w:t>
      </w:r>
    </w:p>
    <w:p>
      <w:pPr>
        <w:spacing w:line="410" w:lineRule="auto" w:before="46"/>
        <w:ind w:left="524" w:right="42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z w:val="21"/>
          <w:szCs w:val="21"/>
        </w:rPr>
        <w:t>经营租赁、融资租赁的会计处理方法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408" w:lineRule="auto" w:before="44"/>
        <w:ind w:left="102" w:right="141" w:firstLine="419"/>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公司租入资产所支付的租赁费，在不扣除免租期的整个租赁期内，按直线法进行分摊，</w:t>
      </w:r>
      <w:r>
        <w:rPr>
          <w:rFonts w:ascii="宋体" w:hAnsi="宋体" w:cs="宋体" w:eastAsia="宋体" w:hint="default"/>
          <w:w w:val="100"/>
          <w:sz w:val="21"/>
          <w:szCs w:val="21"/>
        </w:rPr>
        <w:t> </w:t>
      </w:r>
      <w:r>
        <w:rPr>
          <w:rFonts w:ascii="宋体" w:hAnsi="宋体" w:cs="宋体" w:eastAsia="宋体" w:hint="default"/>
          <w:sz w:val="21"/>
          <w:szCs w:val="21"/>
        </w:rPr>
        <w:t>计入当期费用。公司支付的与租赁交易相关的初始直接费用，计入当期费用。</w:t>
      </w:r>
    </w:p>
    <w:p>
      <w:pPr>
        <w:spacing w:line="408" w:lineRule="auto" w:before="46"/>
        <w:ind w:left="102" w:right="211" w:firstLine="419"/>
        <w:jc w:val="both"/>
        <w:rPr>
          <w:rFonts w:ascii="宋体" w:hAnsi="宋体" w:cs="宋体" w:eastAsia="宋体" w:hint="default"/>
          <w:sz w:val="21"/>
          <w:szCs w:val="21"/>
        </w:rPr>
      </w:pPr>
      <w:r>
        <w:rPr>
          <w:rFonts w:ascii="宋体" w:hAnsi="宋体" w:cs="宋体" w:eastAsia="宋体" w:hint="default"/>
          <w:spacing w:val="-1"/>
          <w:sz w:val="21"/>
          <w:szCs w:val="21"/>
        </w:rPr>
        <w:t>资产出租方承担了应由公司承担的与租赁相关的费用时，公司将该部分费用从租金总额中</w:t>
      </w:r>
      <w:r>
        <w:rPr>
          <w:rFonts w:ascii="宋体" w:hAnsi="宋体" w:cs="宋体" w:eastAsia="宋体" w:hint="default"/>
          <w:w w:val="100"/>
          <w:sz w:val="21"/>
          <w:szCs w:val="21"/>
        </w:rPr>
        <w:t> </w:t>
      </w:r>
      <w:r>
        <w:rPr>
          <w:rFonts w:ascii="宋体" w:hAnsi="宋体" w:cs="宋体" w:eastAsia="宋体" w:hint="default"/>
          <w:sz w:val="21"/>
          <w:szCs w:val="21"/>
        </w:rPr>
        <w:t>扣除，按扣除后的租金费用在租赁期内分摊，计入当期费用。</w:t>
      </w:r>
    </w:p>
    <w:p>
      <w:pPr>
        <w:spacing w:line="408" w:lineRule="auto" w:before="46"/>
        <w:ind w:left="102" w:right="105" w:firstLine="422"/>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公司出租资产所收取的租赁费，在不扣除免租期的整个租赁期内，按直线法进行分摊，</w:t>
      </w:r>
      <w:r>
        <w:rPr>
          <w:rFonts w:ascii="宋体" w:hAnsi="宋体" w:cs="宋体" w:eastAsia="宋体" w:hint="default"/>
          <w:w w:val="100"/>
          <w:sz w:val="21"/>
          <w:szCs w:val="21"/>
        </w:rPr>
        <w:t> </w:t>
      </w:r>
      <w:r>
        <w:rPr>
          <w:rFonts w:ascii="宋体" w:hAnsi="宋体" w:cs="宋体" w:eastAsia="宋体" w:hint="default"/>
          <w:spacing w:val="-4"/>
          <w:sz w:val="21"/>
          <w:szCs w:val="21"/>
        </w:rPr>
        <w:t>确认为租赁收入。公司支付的与租赁交易相关的初始直接费用，计入当期费用；如金额较大的，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则予以资本化，在整个租赁期间内按照与租赁收入确认相同的基础分期计入当期收益。</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公司承担了应由承租方承担的与租赁相关的费用时，公司将该部分费用从租金收入总额中</w:t>
      </w:r>
    </w:p>
    <w:p>
      <w:pPr>
        <w:spacing w:line="240" w:lineRule="auto" w:before="10"/>
        <w:rPr>
          <w:rFonts w:ascii="宋体" w:hAnsi="宋体" w:cs="宋体" w:eastAsia="宋体" w:hint="default"/>
          <w:sz w:val="14"/>
          <w:szCs w:val="14"/>
        </w:rPr>
      </w:pPr>
    </w:p>
    <w:p>
      <w:pPr>
        <w:spacing w:before="0"/>
        <w:ind w:left="102" w:right="0" w:firstLine="0"/>
        <w:jc w:val="left"/>
        <w:rPr>
          <w:rFonts w:ascii="宋体" w:hAnsi="宋体" w:cs="宋体" w:eastAsia="宋体" w:hint="default"/>
          <w:sz w:val="21"/>
          <w:szCs w:val="21"/>
        </w:rPr>
      </w:pPr>
      <w:r>
        <w:rPr>
          <w:rFonts w:ascii="宋体" w:hAnsi="宋体" w:cs="宋体" w:eastAsia="宋体" w:hint="default"/>
          <w:sz w:val="21"/>
          <w:szCs w:val="21"/>
        </w:rPr>
        <w:t>扣除，按扣除后的租金费用在租赁期内分配。</w:t>
      </w:r>
    </w:p>
    <w:p>
      <w:pPr>
        <w:spacing w:after="0"/>
        <w:jc w:val="left"/>
        <w:rPr>
          <w:rFonts w:ascii="宋体" w:hAnsi="宋体" w:cs="宋体" w:eastAsia="宋体" w:hint="default"/>
          <w:sz w:val="21"/>
          <w:szCs w:val="21"/>
        </w:rPr>
        <w:sectPr>
          <w:footerReference w:type="default" r:id="rId69"/>
          <w:pgSz w:w="11910" w:h="16840"/>
          <w:pgMar w:footer="1195" w:header="0" w:top="1440" w:bottom="1380" w:left="1600" w:right="1340"/>
          <w:pgNumType w:start="113"/>
        </w:sectPr>
      </w:pPr>
    </w:p>
    <w:p>
      <w:pPr>
        <w:spacing w:line="408" w:lineRule="auto" w:before="24"/>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融资租入资产：公司在承租开始日，将租赁资产公允价值与最低租赁付款额现值两者中</w:t>
      </w:r>
    </w:p>
    <w:p>
      <w:pPr>
        <w:spacing w:line="408" w:lineRule="auto" w:before="46"/>
        <w:ind w:left="102" w:right="0" w:firstLine="0"/>
        <w:jc w:val="left"/>
        <w:rPr>
          <w:rFonts w:ascii="宋体" w:hAnsi="宋体" w:cs="宋体" w:eastAsia="宋体" w:hint="default"/>
          <w:sz w:val="21"/>
          <w:szCs w:val="21"/>
        </w:rPr>
      </w:pPr>
      <w:r>
        <w:rPr>
          <w:rFonts w:ascii="宋体" w:hAnsi="宋体" w:cs="宋体" w:eastAsia="宋体" w:hint="default"/>
          <w:spacing w:val="-1"/>
          <w:sz w:val="21"/>
          <w:szCs w:val="21"/>
        </w:rPr>
        <w:t>较低者作为租入资产的入账价值，将最低租赁付款额作为长期应付款的入账价值，其差额作为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未确认的融资费用。</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融资租出资产：公司在租赁开始日，将应收融资租赁款，未担保余值之和与其现值的差</w:t>
      </w:r>
    </w:p>
    <w:p>
      <w:pPr>
        <w:spacing w:line="410" w:lineRule="auto" w:before="46"/>
        <w:ind w:left="102" w:right="0" w:firstLine="0"/>
        <w:jc w:val="left"/>
        <w:rPr>
          <w:rFonts w:ascii="宋体" w:hAnsi="宋体" w:cs="宋体" w:eastAsia="宋体" w:hint="default"/>
          <w:sz w:val="21"/>
          <w:szCs w:val="21"/>
        </w:rPr>
      </w:pPr>
      <w:r>
        <w:rPr>
          <w:rFonts w:ascii="宋体" w:hAnsi="宋体" w:cs="宋体" w:eastAsia="宋体" w:hint="default"/>
          <w:sz w:val="21"/>
          <w:szCs w:val="21"/>
        </w:rPr>
        <w:t>额确认为未实现融资收益，在将来受到租赁的各期间内确认为租赁收入，公司发生的与出租交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易相关的初始直接费用，计入应收融资租赁款的初始计量中，并减少租赁期内确认的收益金额。</w:t>
      </w:r>
    </w:p>
    <w:p>
      <w:pPr>
        <w:spacing w:line="408" w:lineRule="auto" w:before="44"/>
        <w:ind w:left="521" w:right="46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主要会计政策变更</w:t>
      </w:r>
      <w:r>
        <w:rPr>
          <w:rFonts w:ascii="宋体" w:hAnsi="宋体" w:cs="宋体" w:eastAsia="宋体" w:hint="default"/>
          <w:b/>
          <w:bCs/>
          <w:spacing w:val="-104"/>
          <w:sz w:val="21"/>
          <w:szCs w:val="21"/>
        </w:rPr>
        <w:t> </w:t>
      </w:r>
      <w:r>
        <w:rPr>
          <w:rFonts w:ascii="宋体" w:hAnsi="宋体" w:cs="宋体" w:eastAsia="宋体" w:hint="default"/>
          <w:sz w:val="21"/>
          <w:szCs w:val="21"/>
        </w:rPr>
        <w:t>本年度不存在主要会计政策变更。</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主要会计估计变更</w:t>
      </w:r>
      <w:r>
        <w:rPr>
          <w:rFonts w:ascii="宋体" w:hAnsi="宋体" w:cs="宋体" w:eastAsia="宋体" w:hint="default"/>
          <w:b/>
          <w:bCs/>
          <w:spacing w:val="-104"/>
          <w:sz w:val="21"/>
          <w:szCs w:val="21"/>
        </w:rPr>
        <w:t> </w:t>
      </w:r>
      <w:r>
        <w:rPr>
          <w:rFonts w:ascii="宋体" w:hAnsi="宋体" w:cs="宋体" w:eastAsia="宋体" w:hint="default"/>
          <w:sz w:val="21"/>
          <w:szCs w:val="21"/>
        </w:rPr>
        <w:t>本年度不存在主要会计估计变更。</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z w:val="21"/>
          <w:szCs w:val="21"/>
        </w:rPr>
        <w:t>本年度无前期差错更正。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681" w:lineRule="auto" w:before="137"/>
        <w:ind w:left="521" w:right="0" w:firstLine="0"/>
        <w:jc w:val="left"/>
        <w:rPr>
          <w:rFonts w:ascii="宋体" w:hAnsi="宋体" w:cs="宋体" w:eastAsia="宋体" w:hint="default"/>
          <w:sz w:val="21"/>
          <w:szCs w:val="21"/>
        </w:rPr>
      </w:pPr>
      <w:r>
        <w:rPr>
          <w:rFonts w:ascii="宋体" w:hAnsi="宋体" w:cs="宋体" w:eastAsia="宋体" w:hint="default"/>
          <w:spacing w:val="-2"/>
          <w:sz w:val="21"/>
          <w:szCs w:val="21"/>
        </w:rPr>
        <w:t>新国都技术适用主要税种包括：增值税、营业税、城市维护建设税、企业所得税等。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流转税税率如下表：</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2801"/>
        <w:gridCol w:w="504"/>
        <w:gridCol w:w="1498"/>
        <w:gridCol w:w="449"/>
        <w:gridCol w:w="1539"/>
        <w:gridCol w:w="363"/>
        <w:gridCol w:w="1527"/>
      </w:tblGrid>
      <w:tr>
        <w:trPr>
          <w:trHeight w:val="296" w:hRule="exact"/>
        </w:trPr>
        <w:tc>
          <w:tcPr>
            <w:tcW w:w="280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营业税</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城建税</w:t>
            </w:r>
          </w:p>
        </w:tc>
      </w:tr>
      <w:tr>
        <w:trPr>
          <w:trHeight w:val="400"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7%</w:t>
            </w:r>
          </w:p>
        </w:tc>
      </w:tr>
      <w:tr>
        <w:trPr>
          <w:trHeight w:val="397"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17%</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 w:right="0"/>
              <w:jc w:val="center"/>
              <w:rPr>
                <w:rFonts w:ascii="宋体" w:hAnsi="宋体" w:cs="宋体" w:eastAsia="宋体" w:hint="default"/>
                <w:sz w:val="18"/>
                <w:szCs w:val="18"/>
              </w:rPr>
            </w:pPr>
            <w:r>
              <w:rPr>
                <w:rFonts w:ascii="宋体"/>
                <w:sz w:val="18"/>
              </w:rPr>
              <w:t>7%</w:t>
            </w:r>
          </w:p>
        </w:tc>
      </w:tr>
      <w:tr>
        <w:trPr>
          <w:trHeight w:val="397"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7%</w:t>
            </w:r>
          </w:p>
        </w:tc>
      </w:tr>
      <w:tr>
        <w:trPr>
          <w:trHeight w:val="397"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7%</w:t>
            </w:r>
          </w:p>
        </w:tc>
      </w:tr>
      <w:tr>
        <w:trPr>
          <w:trHeight w:val="28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50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w:t>
            </w:r>
          </w:p>
        </w:tc>
        <w:tc>
          <w:tcPr>
            <w:tcW w:w="44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w:t>
            </w:r>
          </w:p>
        </w:tc>
        <w:tc>
          <w:tcPr>
            <w:tcW w:w="36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7%</w:t>
            </w:r>
          </w:p>
        </w:tc>
      </w:tr>
    </w:tbl>
    <w:p>
      <w:pPr>
        <w:spacing w:after="0" w:line="240" w:lineRule="auto"/>
        <w:jc w:val="center"/>
        <w:rPr>
          <w:rFonts w:ascii="宋体" w:hAnsi="宋体" w:cs="宋体" w:eastAsia="宋体" w:hint="default"/>
          <w:sz w:val="18"/>
          <w:szCs w:val="18"/>
        </w:rPr>
        <w:sectPr>
          <w:pgSz w:w="11910" w:h="16840"/>
          <w:pgMar w:header="0" w:footer="1195" w:top="1440" w:bottom="1380" w:left="1600" w:right="13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36"/>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各年度企业所得税法定税率如下表：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068"/>
        <w:gridCol w:w="3301"/>
        <w:gridCol w:w="2266"/>
      </w:tblGrid>
      <w:tr>
        <w:trPr>
          <w:trHeight w:val="294" w:hRule="exact"/>
        </w:trPr>
        <w:tc>
          <w:tcPr>
            <w:tcW w:w="306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本期法定税率</w:t>
            </w:r>
          </w:p>
        </w:tc>
      </w:tr>
      <w:tr>
        <w:trPr>
          <w:trHeight w:val="401" w:hRule="exact"/>
        </w:trPr>
        <w:tc>
          <w:tcPr>
            <w:tcW w:w="30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w:t>
            </w:r>
          </w:p>
        </w:tc>
      </w:tr>
      <w:tr>
        <w:trPr>
          <w:trHeight w:val="39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25%</w:t>
            </w:r>
          </w:p>
        </w:tc>
      </w:tr>
      <w:tr>
        <w:trPr>
          <w:trHeight w:val="39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25%</w:t>
            </w:r>
          </w:p>
        </w:tc>
      </w:tr>
      <w:tr>
        <w:trPr>
          <w:trHeight w:val="397"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25%</w:t>
            </w:r>
          </w:p>
        </w:tc>
      </w:tr>
      <w:tr>
        <w:trPr>
          <w:trHeight w:val="289"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330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25%</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08" w:lineRule="auto" w:before="36"/>
        <w:ind w:left="521" w:right="735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税收优惠</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增值税</w:t>
      </w:r>
    </w:p>
    <w:p>
      <w:pPr>
        <w:spacing w:line="408" w:lineRule="auto" w:before="46"/>
        <w:ind w:left="102" w:right="219" w:firstLine="419"/>
        <w:jc w:val="both"/>
        <w:rPr>
          <w:rFonts w:ascii="宋体" w:hAnsi="宋体" w:cs="宋体" w:eastAsia="宋体" w:hint="default"/>
          <w:sz w:val="21"/>
          <w:szCs w:val="21"/>
        </w:rPr>
      </w:pPr>
      <w:r>
        <w:rPr>
          <w:rFonts w:ascii="宋体" w:hAnsi="宋体" w:cs="宋体" w:eastAsia="宋体" w:hint="default"/>
          <w:sz w:val="21"/>
          <w:szCs w:val="21"/>
        </w:rPr>
        <w:t>根据国发</w:t>
      </w:r>
      <w:r>
        <w:rPr>
          <w:rFonts w:ascii="宋体" w:hAnsi="宋体" w:cs="宋体" w:eastAsia="宋体" w:hint="default"/>
          <w:sz w:val="21"/>
          <w:szCs w:val="21"/>
        </w:rPr>
        <w:t>[2011]4</w:t>
      </w:r>
      <w:r>
        <w:rPr>
          <w:rFonts w:ascii="宋体" w:hAnsi="宋体" w:cs="宋体" w:eastAsia="宋体" w:hint="default"/>
          <w:spacing w:val="-4"/>
          <w:sz w:val="21"/>
          <w:szCs w:val="21"/>
        </w:rPr>
        <w:t> </w:t>
      </w:r>
      <w:r>
        <w:rPr>
          <w:rFonts w:ascii="宋体" w:hAnsi="宋体" w:cs="宋体" w:eastAsia="宋体" w:hint="default"/>
          <w:sz w:val="21"/>
          <w:szCs w:val="21"/>
        </w:rPr>
        <w:t>号《国务院关于印发进一步鼓励软件产业和集成电路产业发展若干政策</w:t>
      </w:r>
      <w:r>
        <w:rPr>
          <w:rFonts w:ascii="宋体" w:hAnsi="宋体" w:cs="宋体" w:eastAsia="宋体" w:hint="default"/>
          <w:w w:val="100"/>
          <w:sz w:val="21"/>
          <w:szCs w:val="21"/>
        </w:rPr>
        <w:t> </w:t>
      </w:r>
      <w:r>
        <w:rPr>
          <w:rFonts w:ascii="宋体" w:hAnsi="宋体" w:cs="宋体" w:eastAsia="宋体" w:hint="default"/>
          <w:spacing w:val="-3"/>
          <w:sz w:val="21"/>
          <w:szCs w:val="21"/>
        </w:rPr>
        <w:t>的通知》的规定，对增值税一般纳税人销售其自行开发的软件产品，按</w:t>
      </w:r>
      <w:r>
        <w:rPr>
          <w:rFonts w:ascii="宋体" w:hAnsi="宋体" w:cs="宋体" w:eastAsia="宋体" w:hint="default"/>
          <w:spacing w:val="-24"/>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％的法定税率征收增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值税，对其增值税实际税负超过</w:t>
      </w:r>
      <w:r>
        <w:rPr>
          <w:rFonts w:ascii="宋体" w:hAnsi="宋体" w:cs="宋体" w:eastAsia="宋体" w:hint="default"/>
          <w:spacing w:val="-2"/>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％的部分即征即退，由企业用于研究开发软件产品和扩大再</w:t>
      </w:r>
      <w:r>
        <w:rPr>
          <w:rFonts w:ascii="宋体" w:hAnsi="宋体" w:cs="宋体" w:eastAsia="宋体" w:hint="default"/>
          <w:w w:val="100"/>
          <w:sz w:val="21"/>
          <w:szCs w:val="21"/>
        </w:rPr>
        <w:t> </w:t>
      </w:r>
      <w:r>
        <w:rPr>
          <w:rFonts w:ascii="宋体" w:hAnsi="宋体" w:cs="宋体" w:eastAsia="宋体" w:hint="default"/>
          <w:sz w:val="21"/>
          <w:szCs w:val="21"/>
        </w:rPr>
        <w:t>生产，不作为企业所得税应征收入，不予征收企业所得税。</w:t>
      </w:r>
    </w:p>
    <w:p>
      <w:pPr>
        <w:spacing w:line="408" w:lineRule="auto" w:before="46"/>
        <w:ind w:left="102" w:right="208" w:firstLine="419"/>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7"/>
          <w:sz w:val="21"/>
          <w:szCs w:val="21"/>
        </w:rPr>
        <w:t> </w:t>
      </w:r>
      <w:r>
        <w:rPr>
          <w:rFonts w:ascii="宋体" w:hAnsi="宋体" w:cs="宋体" w:eastAsia="宋体" w:hint="default"/>
          <w:sz w:val="21"/>
          <w:szCs w:val="21"/>
        </w:rPr>
        <w:t>2001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月通过软件企业认证</w:t>
      </w:r>
      <w:r>
        <w:rPr>
          <w:rFonts w:ascii="宋体" w:hAnsi="宋体" w:cs="宋体" w:eastAsia="宋体" w:hint="default"/>
          <w:sz w:val="21"/>
          <w:szCs w:val="21"/>
        </w:rPr>
        <w:t>(</w:t>
      </w:r>
      <w:r>
        <w:rPr>
          <w:rFonts w:ascii="宋体" w:hAnsi="宋体" w:cs="宋体" w:eastAsia="宋体" w:hint="default"/>
          <w:sz w:val="21"/>
          <w:szCs w:val="21"/>
        </w:rPr>
        <w:t>证书号码深</w:t>
      </w:r>
      <w:r>
        <w:rPr>
          <w:rFonts w:ascii="宋体" w:hAnsi="宋体" w:cs="宋体" w:eastAsia="宋体" w:hint="default"/>
          <w:spacing w:val="-47"/>
          <w:sz w:val="21"/>
          <w:szCs w:val="21"/>
        </w:rPr>
        <w:t> </w:t>
      </w:r>
      <w:r>
        <w:rPr>
          <w:rFonts w:ascii="宋体" w:hAnsi="宋体" w:cs="宋体" w:eastAsia="宋体" w:hint="default"/>
          <w:spacing w:val="-4"/>
          <w:sz w:val="21"/>
          <w:szCs w:val="21"/>
        </w:rPr>
        <w:t>R-2001-0043)</w:t>
      </w:r>
      <w:r>
        <w:rPr>
          <w:rFonts w:ascii="宋体" w:hAnsi="宋体" w:cs="宋体" w:eastAsia="宋体" w:hint="default"/>
          <w:spacing w:val="-4"/>
          <w:sz w:val="21"/>
          <w:szCs w:val="21"/>
        </w:rPr>
        <w:t>，本公司的软件产品新</w:t>
      </w:r>
      <w:r>
        <w:rPr>
          <w:rFonts w:ascii="宋体" w:hAnsi="宋体" w:cs="宋体" w:eastAsia="宋体" w:hint="default"/>
          <w:w w:val="100"/>
          <w:sz w:val="21"/>
          <w:szCs w:val="21"/>
        </w:rPr>
        <w:t> </w:t>
      </w:r>
      <w:r>
        <w:rPr>
          <w:rFonts w:ascii="宋体" w:hAnsi="宋体" w:cs="宋体" w:eastAsia="宋体" w:hint="default"/>
          <w:spacing w:val="6"/>
          <w:sz w:val="21"/>
          <w:szCs w:val="21"/>
        </w:rPr>
        <w:t>国都 </w:t>
      </w:r>
      <w:r>
        <w:rPr>
          <w:rFonts w:ascii="宋体" w:hAnsi="宋体" w:cs="宋体" w:eastAsia="宋体" w:hint="default"/>
          <w:sz w:val="21"/>
          <w:szCs w:val="21"/>
        </w:rPr>
        <w:t>POS </w:t>
      </w:r>
      <w:r>
        <w:rPr>
          <w:rFonts w:ascii="宋体" w:hAnsi="宋体" w:cs="宋体" w:eastAsia="宋体" w:hint="default"/>
          <w:spacing w:val="5"/>
          <w:sz w:val="21"/>
          <w:szCs w:val="21"/>
        </w:rPr>
        <w:t>软件 </w:t>
      </w:r>
      <w:r>
        <w:rPr>
          <w:rFonts w:ascii="宋体" w:hAnsi="宋体" w:cs="宋体" w:eastAsia="宋体" w:hint="default"/>
          <w:sz w:val="21"/>
          <w:szCs w:val="21"/>
        </w:rPr>
        <w:t>V2.0 </w:t>
      </w:r>
      <w:r>
        <w:rPr>
          <w:rFonts w:ascii="宋体" w:hAnsi="宋体" w:cs="宋体" w:eastAsia="宋体" w:hint="default"/>
          <w:sz w:val="21"/>
          <w:szCs w:val="21"/>
        </w:rPr>
        <w:t>于 </w:t>
      </w:r>
      <w:r>
        <w:rPr>
          <w:rFonts w:ascii="宋体" w:hAnsi="宋体" w:cs="宋体" w:eastAsia="宋体" w:hint="default"/>
          <w:sz w:val="21"/>
          <w:szCs w:val="21"/>
        </w:rPr>
        <w:t>2007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pacing w:val="11"/>
          <w:sz w:val="21"/>
          <w:szCs w:val="21"/>
        </w:rPr>
        <w:t>月通过了深圳市科技局的软件产品认证</w:t>
      </w:r>
      <w:r>
        <w:rPr>
          <w:rFonts w:ascii="宋体" w:hAnsi="宋体" w:cs="宋体" w:eastAsia="宋体" w:hint="default"/>
          <w:spacing w:val="11"/>
          <w:sz w:val="21"/>
          <w:szCs w:val="21"/>
        </w:rPr>
        <w:t>(</w:t>
      </w:r>
      <w:r>
        <w:rPr>
          <w:rFonts w:ascii="宋体" w:hAnsi="宋体" w:cs="宋体" w:eastAsia="宋体" w:hint="default"/>
          <w:spacing w:val="11"/>
          <w:sz w:val="21"/>
          <w:szCs w:val="21"/>
        </w:rPr>
        <w:t>证书号码深</w:t>
      </w:r>
      <w:r>
        <w:rPr>
          <w:rFonts w:ascii="宋体" w:hAnsi="宋体" w:cs="宋体" w:eastAsia="宋体" w:hint="default"/>
          <w:spacing w:val="12"/>
          <w:w w:val="100"/>
          <w:sz w:val="21"/>
          <w:szCs w:val="21"/>
        </w:rPr>
        <w:t> </w:t>
      </w:r>
      <w:r>
        <w:rPr>
          <w:rFonts w:ascii="宋体" w:hAnsi="宋体" w:cs="宋体" w:eastAsia="宋体" w:hint="default"/>
          <w:spacing w:val="-7"/>
          <w:w w:val="100"/>
          <w:sz w:val="21"/>
          <w:szCs w:val="21"/>
        </w:rPr>
        <w:t>DGY-2007-1230)</w:t>
      </w:r>
      <w:r>
        <w:rPr>
          <w:rFonts w:ascii="宋体" w:hAnsi="宋体" w:cs="宋体" w:eastAsia="宋体" w:hint="default"/>
          <w:spacing w:val="-7"/>
          <w:w w:val="100"/>
          <w:sz w:val="21"/>
          <w:szCs w:val="21"/>
        </w:rPr>
        <w:t>。本公司自</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47"/>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4</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月起对于销售的产品实行软硬件产品价格在合同中单独列</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示，并分别开具销售发票，单独核算软硬件产品收入</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并开始享受软件产品的增值税税收优惠</w:t>
      </w:r>
      <w:r>
        <w:rPr>
          <w:rFonts w:ascii="宋体" w:hAnsi="宋体" w:cs="宋体" w:eastAsia="宋体" w:hint="default"/>
          <w:w w:val="100"/>
          <w:sz w:val="21"/>
          <w:szCs w:val="21"/>
        </w:rPr>
        <w:t> </w:t>
      </w:r>
      <w:r>
        <w:rPr>
          <w:rFonts w:ascii="宋体" w:hAnsi="宋体" w:cs="宋体" w:eastAsia="宋体" w:hint="default"/>
          <w:sz w:val="21"/>
          <w:szCs w:val="21"/>
        </w:rPr>
        <w:t>政策。</w:t>
      </w:r>
    </w:p>
    <w:p>
      <w:pPr>
        <w:spacing w:line="408" w:lineRule="auto" w:before="46"/>
        <w:ind w:left="102" w:right="0" w:firstLine="419"/>
        <w:jc w:val="left"/>
        <w:rPr>
          <w:rFonts w:ascii="宋体" w:hAnsi="宋体" w:cs="宋体" w:eastAsia="宋体" w:hint="default"/>
          <w:sz w:val="21"/>
          <w:szCs w:val="21"/>
        </w:rPr>
      </w:pPr>
      <w:r>
        <w:rPr>
          <w:rFonts w:ascii="宋体" w:hAnsi="宋体" w:cs="宋体" w:eastAsia="宋体" w:hint="default"/>
          <w:sz w:val="21"/>
          <w:szCs w:val="21"/>
        </w:rPr>
        <w:t>深圳市易联技术有限公司的软件产品</w:t>
      </w:r>
      <w:r>
        <w:rPr>
          <w:rFonts w:ascii="宋体" w:hAnsi="宋体" w:cs="宋体" w:eastAsia="宋体" w:hint="default"/>
          <w:sz w:val="21"/>
          <w:szCs w:val="21"/>
        </w:rPr>
        <w:t>(</w:t>
      </w:r>
      <w:r>
        <w:rPr>
          <w:rFonts w:ascii="宋体" w:hAnsi="宋体" w:cs="宋体" w:eastAsia="宋体" w:hint="default"/>
          <w:sz w:val="21"/>
          <w:szCs w:val="21"/>
        </w:rPr>
        <w:t>该公司由原深圳市新国都软件技术有限公司更名而</w:t>
      </w:r>
      <w:r>
        <w:rPr>
          <w:rFonts w:ascii="宋体" w:hAnsi="宋体" w:cs="宋体" w:eastAsia="宋体" w:hint="default"/>
          <w:w w:val="100"/>
          <w:sz w:val="21"/>
          <w:szCs w:val="21"/>
        </w:rPr>
        <w:t> </w:t>
      </w:r>
      <w:r>
        <w:rPr>
          <w:rFonts w:ascii="宋体" w:hAnsi="宋体" w:cs="宋体" w:eastAsia="宋体" w:hint="default"/>
          <w:spacing w:val="-7"/>
          <w:w w:val="100"/>
          <w:sz w:val="21"/>
          <w:szCs w:val="21"/>
        </w:rPr>
        <w:t>来，以下简称“易联技术”</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：“新国都移动终端应用软件</w:t>
      </w:r>
      <w:r>
        <w:rPr>
          <w:rFonts w:ascii="宋体" w:hAnsi="宋体" w:cs="宋体" w:eastAsia="宋体" w:hint="default"/>
          <w:spacing w:val="-51"/>
          <w:w w:val="100"/>
          <w:sz w:val="21"/>
          <w:szCs w:val="21"/>
        </w:rPr>
        <w:t> </w:t>
      </w:r>
      <w:r>
        <w:rPr>
          <w:rFonts w:ascii="宋体" w:hAnsi="宋体" w:cs="宋体" w:eastAsia="宋体" w:hint="default"/>
          <w:spacing w:val="-3"/>
          <w:w w:val="100"/>
          <w:sz w:val="21"/>
          <w:szCs w:val="21"/>
        </w:rPr>
        <w:t>V1.0</w:t>
      </w:r>
      <w:r>
        <w:rPr>
          <w:rFonts w:ascii="宋体" w:hAnsi="宋体" w:cs="宋体" w:eastAsia="宋体" w:hint="default"/>
          <w:spacing w:val="-3"/>
          <w:w w:val="100"/>
          <w:sz w:val="21"/>
          <w:szCs w:val="21"/>
        </w:rPr>
        <w:t>”和“新国都</w:t>
      </w:r>
      <w:r>
        <w:rPr>
          <w:rFonts w:ascii="宋体" w:hAnsi="宋体" w:cs="宋体" w:eastAsia="宋体" w:hint="default"/>
          <w:spacing w:val="-54"/>
          <w:w w:val="100"/>
          <w:sz w:val="21"/>
          <w:szCs w:val="21"/>
        </w:rPr>
        <w:t> </w:t>
      </w:r>
      <w:r>
        <w:rPr>
          <w:rFonts w:ascii="宋体" w:hAnsi="宋体" w:cs="宋体" w:eastAsia="宋体" w:hint="default"/>
          <w:w w:val="100"/>
          <w:sz w:val="21"/>
          <w:szCs w:val="21"/>
        </w:rPr>
        <w:t>SZM11</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电子支付密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码软件 </w:t>
      </w:r>
      <w:r>
        <w:rPr>
          <w:rFonts w:ascii="宋体" w:hAnsi="宋体" w:cs="宋体" w:eastAsia="宋体" w:hint="default"/>
          <w:spacing w:val="-3"/>
          <w:sz w:val="21"/>
          <w:szCs w:val="21"/>
        </w:rPr>
        <w:t>V4.0</w:t>
      </w:r>
      <w:r>
        <w:rPr>
          <w:rFonts w:ascii="宋体" w:hAnsi="宋体" w:cs="宋体" w:eastAsia="宋体" w:hint="default"/>
          <w:spacing w:val="-3"/>
          <w:sz w:val="21"/>
          <w:szCs w:val="21"/>
        </w:rPr>
        <w:t>”符合深圳市人民政府《关于鼓励软件产业发展的若干政策》</w:t>
      </w:r>
      <w:r>
        <w:rPr>
          <w:rFonts w:ascii="宋体" w:hAnsi="宋体" w:cs="宋体" w:eastAsia="宋体" w:hint="default"/>
          <w:spacing w:val="-3"/>
          <w:sz w:val="21"/>
          <w:szCs w:val="21"/>
        </w:rPr>
        <w:t>(2001-1-19)</w:t>
      </w:r>
      <w:r>
        <w:rPr>
          <w:rFonts w:ascii="宋体" w:hAnsi="宋体" w:cs="宋体" w:eastAsia="宋体" w:hint="default"/>
          <w:spacing w:val="-3"/>
          <w:sz w:val="21"/>
          <w:szCs w:val="21"/>
        </w:rPr>
        <w:t>的规定，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并于 </w:t>
      </w:r>
      <w:r>
        <w:rPr>
          <w:rFonts w:ascii="宋体" w:hAnsi="宋体" w:cs="宋体" w:eastAsia="宋体" w:hint="default"/>
          <w:sz w:val="21"/>
          <w:szCs w:val="21"/>
        </w:rPr>
        <w:t>2008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pacing w:val="8"/>
          <w:sz w:val="21"/>
          <w:szCs w:val="21"/>
        </w:rPr>
        <w:t>日获得上述两款软件的登记证书</w:t>
      </w:r>
      <w:r>
        <w:rPr>
          <w:rFonts w:ascii="宋体" w:hAnsi="宋体" w:cs="宋体" w:eastAsia="宋体" w:hint="default"/>
          <w:spacing w:val="8"/>
          <w:sz w:val="21"/>
          <w:szCs w:val="21"/>
        </w:rPr>
        <w:t>(</w:t>
      </w:r>
      <w:r>
        <w:rPr>
          <w:rFonts w:ascii="宋体" w:hAnsi="宋体" w:cs="宋体" w:eastAsia="宋体" w:hint="default"/>
          <w:spacing w:val="8"/>
          <w:sz w:val="21"/>
          <w:szCs w:val="21"/>
        </w:rPr>
        <w:t>证书号码深 </w:t>
      </w:r>
      <w:r>
        <w:rPr>
          <w:rFonts w:ascii="宋体" w:hAnsi="宋体" w:cs="宋体" w:eastAsia="宋体" w:hint="default"/>
          <w:sz w:val="21"/>
          <w:szCs w:val="21"/>
        </w:rPr>
        <w:t>DGY-2008-0172 </w:t>
      </w:r>
      <w:r>
        <w:rPr>
          <w:rFonts w:ascii="宋体" w:hAnsi="宋体" w:cs="宋体" w:eastAsia="宋体" w:hint="default"/>
          <w:spacing w:val="13"/>
          <w:sz w:val="21"/>
          <w:szCs w:val="21"/>
        </w:rPr>
        <w:t> </w:t>
      </w:r>
      <w:r>
        <w:rPr>
          <w:rFonts w:ascii="宋体" w:hAnsi="宋体" w:cs="宋体" w:eastAsia="宋体" w:hint="default"/>
          <w:spacing w:val="11"/>
          <w:sz w:val="21"/>
          <w:szCs w:val="21"/>
        </w:rPr>
        <w:t>和深</w:t>
      </w:r>
      <w:r>
        <w:rPr>
          <w:rFonts w:ascii="宋体" w:hAnsi="宋体" w:cs="宋体" w:eastAsia="宋体" w:hint="default"/>
          <w:sz w:val="21"/>
          <w:szCs w:val="21"/>
        </w:rPr>
      </w:r>
    </w:p>
    <w:p>
      <w:pPr>
        <w:spacing w:line="408" w:lineRule="auto" w:before="46"/>
        <w:ind w:left="521" w:right="0" w:hanging="420"/>
        <w:jc w:val="left"/>
        <w:rPr>
          <w:rFonts w:ascii="宋体" w:hAnsi="宋体" w:cs="宋体" w:eastAsia="宋体" w:hint="default"/>
          <w:sz w:val="21"/>
          <w:szCs w:val="21"/>
        </w:rPr>
      </w:pPr>
      <w:r>
        <w:rPr>
          <w:rFonts w:ascii="宋体" w:hAnsi="宋体" w:cs="宋体" w:eastAsia="宋体" w:hint="default"/>
          <w:sz w:val="21"/>
          <w:szCs w:val="21"/>
        </w:rPr>
        <w:t>DGY-2008-0173)</w:t>
      </w:r>
      <w:r>
        <w:rPr>
          <w:rFonts w:ascii="宋体" w:hAnsi="宋体" w:cs="宋体" w:eastAsia="宋体" w:hint="default"/>
          <w:sz w:val="21"/>
          <w:szCs w:val="21"/>
        </w:rPr>
        <w:t>，易联技术公司自</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月开始享受软件产品的增值税税收优惠政策。</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企业所得税</w:t>
      </w:r>
    </w:p>
    <w:p>
      <w:pPr>
        <w:spacing w:before="46"/>
        <w:ind w:left="521"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5"/>
          <w:sz w:val="21"/>
          <w:szCs w:val="21"/>
        </w:rPr>
        <w:t>日取得国家级高新技术企业证书，证书编号：</w:t>
      </w:r>
      <w:r>
        <w:rPr>
          <w:rFonts w:ascii="宋体" w:hAnsi="宋体" w:cs="宋体" w:eastAsia="宋体" w:hint="default"/>
          <w:spacing w:val="-5"/>
          <w:sz w:val="21"/>
          <w:szCs w:val="21"/>
        </w:rPr>
        <w:t>GF201144200147</w:t>
      </w:r>
      <w:r>
        <w:rPr>
          <w:rFonts w:ascii="宋体" w:hAnsi="宋体" w:cs="宋体" w:eastAsia="宋体" w:hint="default"/>
          <w:spacing w:val="-5"/>
          <w:sz w:val="21"/>
          <w:szCs w:val="21"/>
        </w:rPr>
        <w:t>，有</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580" w:bottom="1380" w:left="1600" w:right="1360"/>
        </w:sectPr>
      </w:pPr>
    </w:p>
    <w:p>
      <w:pPr>
        <w:spacing w:before="24"/>
        <w:ind w:left="402" w:right="1633" w:firstLine="0"/>
        <w:jc w:val="left"/>
        <w:rPr>
          <w:rFonts w:ascii="宋体" w:hAnsi="宋体" w:cs="宋体" w:eastAsia="宋体" w:hint="default"/>
          <w:sz w:val="21"/>
          <w:szCs w:val="21"/>
        </w:rPr>
      </w:pPr>
      <w:r>
        <w:rPr>
          <w:rFonts w:ascii="宋体" w:hAnsi="宋体" w:cs="宋体" w:eastAsia="宋体" w:hint="default"/>
          <w:spacing w:val="-2"/>
          <w:sz w:val="21"/>
          <w:szCs w:val="21"/>
        </w:rPr>
        <w:t>效期三年，本年度新国都技术公司企业所得税税率减按</w:t>
      </w:r>
      <w:r>
        <w:rPr>
          <w:rFonts w:ascii="宋体" w:hAnsi="宋体" w:cs="宋体" w:eastAsia="宋体" w:hint="default"/>
          <w:spacing w:val="4"/>
          <w:sz w:val="21"/>
          <w:szCs w:val="21"/>
        </w:rPr>
        <w:t> </w:t>
      </w:r>
      <w:r>
        <w:rPr>
          <w:rFonts w:ascii="宋体" w:hAnsi="宋体" w:cs="宋体" w:eastAsia="宋体" w:hint="default"/>
          <w:spacing w:val="-2"/>
          <w:sz w:val="21"/>
          <w:szCs w:val="21"/>
        </w:rPr>
        <w:t>15%</w:t>
      </w:r>
      <w:r>
        <w:rPr>
          <w:rFonts w:ascii="宋体" w:hAnsi="宋体" w:cs="宋体" w:eastAsia="宋体" w:hint="default"/>
          <w:spacing w:val="-2"/>
          <w:sz w:val="21"/>
          <w:szCs w:val="21"/>
        </w:rPr>
        <w:t>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408" w:lineRule="auto" w:before="0"/>
        <w:ind w:left="402" w:right="1039" w:firstLine="419"/>
        <w:jc w:val="both"/>
        <w:rPr>
          <w:rFonts w:ascii="宋体" w:hAnsi="宋体" w:cs="宋体" w:eastAsia="宋体" w:hint="default"/>
          <w:sz w:val="21"/>
          <w:szCs w:val="21"/>
        </w:rPr>
      </w:pPr>
      <w:r>
        <w:rPr>
          <w:rFonts w:ascii="宋体" w:hAnsi="宋体" w:cs="宋体" w:eastAsia="宋体" w:hint="default"/>
          <w:sz w:val="21"/>
          <w:szCs w:val="21"/>
        </w:rPr>
        <w:t>根据财税</w:t>
      </w:r>
      <w:r>
        <w:rPr>
          <w:rFonts w:ascii="宋体" w:hAnsi="宋体" w:cs="宋体" w:eastAsia="宋体" w:hint="default"/>
          <w:sz w:val="21"/>
          <w:szCs w:val="21"/>
        </w:rPr>
        <w:t>[2008]1</w:t>
      </w:r>
      <w:r>
        <w:rPr>
          <w:rFonts w:ascii="宋体" w:hAnsi="宋体" w:cs="宋体" w:eastAsia="宋体" w:hint="default"/>
          <w:spacing w:val="-4"/>
          <w:sz w:val="21"/>
          <w:szCs w:val="21"/>
        </w:rPr>
        <w:t> </w:t>
      </w:r>
      <w:r>
        <w:rPr>
          <w:rFonts w:ascii="宋体" w:hAnsi="宋体" w:cs="宋体" w:eastAsia="宋体" w:hint="default"/>
          <w:sz w:val="21"/>
          <w:szCs w:val="21"/>
        </w:rPr>
        <w:t>号《财政部、国家税务总局关于企业所得税若干优惠政策的通知》中关</w:t>
      </w:r>
      <w:r>
        <w:rPr>
          <w:rFonts w:ascii="宋体" w:hAnsi="宋体" w:cs="宋体" w:eastAsia="宋体" w:hint="default"/>
          <w:w w:val="100"/>
          <w:sz w:val="21"/>
          <w:szCs w:val="21"/>
        </w:rPr>
        <w:t> </w:t>
      </w:r>
      <w:r>
        <w:rPr>
          <w:rFonts w:ascii="宋体" w:hAnsi="宋体" w:cs="宋体" w:eastAsia="宋体" w:hint="default"/>
          <w:sz w:val="21"/>
          <w:szCs w:val="21"/>
        </w:rPr>
        <w:t>于鼓励软件产业和集成电路产业发展的优惠政策的规定和</w:t>
      </w:r>
      <w:r>
        <w:rPr>
          <w:rFonts w:ascii="宋体" w:hAnsi="宋体" w:cs="宋体" w:eastAsia="宋体" w:hint="default"/>
          <w:spacing w:val="-72"/>
          <w:sz w:val="21"/>
          <w:szCs w:val="21"/>
        </w:rPr>
        <w:t> </w:t>
      </w: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69"/>
          <w:sz w:val="21"/>
          <w:szCs w:val="21"/>
        </w:rPr>
        <w:t> </w:t>
      </w:r>
      <w:r>
        <w:rPr>
          <w:rFonts w:ascii="宋体" w:hAnsi="宋体" w:cs="宋体" w:eastAsia="宋体" w:hint="default"/>
          <w:sz w:val="21"/>
          <w:szCs w:val="21"/>
        </w:rPr>
        <w:t>日深圳市南山区国家税</w:t>
      </w:r>
      <w:r>
        <w:rPr>
          <w:rFonts w:ascii="宋体" w:hAnsi="宋体" w:cs="宋体" w:eastAsia="宋体" w:hint="default"/>
          <w:w w:val="100"/>
          <w:sz w:val="21"/>
          <w:szCs w:val="21"/>
        </w:rPr>
        <w:t> </w:t>
      </w:r>
      <w:r>
        <w:rPr>
          <w:rFonts w:ascii="宋体" w:hAnsi="宋体" w:cs="宋体" w:eastAsia="宋体" w:hint="default"/>
          <w:spacing w:val="-1"/>
          <w:w w:val="100"/>
          <w:sz w:val="21"/>
          <w:szCs w:val="21"/>
        </w:rPr>
        <w:t>务局深国税南</w:t>
      </w:r>
      <w:r>
        <w:rPr>
          <w:rFonts w:ascii="宋体" w:hAnsi="宋体" w:cs="宋体" w:eastAsia="宋体" w:hint="default"/>
          <w:w w:val="100"/>
          <w:sz w:val="21"/>
          <w:szCs w:val="21"/>
        </w:rPr>
        <w:t> </w:t>
      </w:r>
      <w:r>
        <w:rPr>
          <w:rFonts w:ascii="宋体" w:hAnsi="宋体" w:cs="宋体" w:eastAsia="宋体" w:hint="default"/>
          <w:spacing w:val="-1"/>
          <w:w w:val="100"/>
          <w:sz w:val="21"/>
          <w:szCs w:val="21"/>
        </w:rPr>
        <w:t>减免备案</w:t>
      </w:r>
      <w:r>
        <w:rPr>
          <w:rFonts w:ascii="宋体" w:hAnsi="宋体" w:cs="宋体" w:eastAsia="宋体" w:hint="default"/>
          <w:spacing w:val="-1"/>
          <w:w w:val="100"/>
          <w:sz w:val="21"/>
          <w:szCs w:val="21"/>
        </w:rPr>
        <w:t>[2009]131</w:t>
      </w:r>
      <w:r>
        <w:rPr>
          <w:rFonts w:ascii="宋体" w:hAnsi="宋体" w:cs="宋体" w:eastAsia="宋体" w:hint="default"/>
          <w:spacing w:val="17"/>
          <w:w w:val="100"/>
          <w:sz w:val="21"/>
          <w:szCs w:val="21"/>
        </w:rPr>
        <w:t> </w:t>
      </w:r>
      <w:r>
        <w:rPr>
          <w:rFonts w:ascii="宋体" w:hAnsi="宋体" w:cs="宋体" w:eastAsia="宋体" w:hint="default"/>
          <w:spacing w:val="-6"/>
          <w:w w:val="100"/>
          <w:sz w:val="21"/>
          <w:szCs w:val="21"/>
        </w:rPr>
        <w:t>号文件《税收优惠登记备案通知书》，易联技术公司符合软</w:t>
      </w:r>
      <w:r>
        <w:rPr>
          <w:rFonts w:ascii="宋体" w:hAnsi="宋体" w:cs="宋体" w:eastAsia="宋体" w:hint="default"/>
          <w:w w:val="100"/>
          <w:sz w:val="21"/>
          <w:szCs w:val="21"/>
        </w:rPr>
        <w:t> </w:t>
      </w:r>
      <w:r>
        <w:rPr>
          <w:rFonts w:ascii="宋体" w:hAnsi="宋体" w:cs="宋体" w:eastAsia="宋体" w:hint="default"/>
          <w:spacing w:val="-2"/>
          <w:sz w:val="21"/>
          <w:szCs w:val="21"/>
        </w:rPr>
        <w:t>件及集成电路设计企业的税收优惠有关规定，易联技术公司自开始获利年度起，两年免征企业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所得税，三年减半征收企业所得税，</w:t>
      </w:r>
      <w:r>
        <w:rPr>
          <w:rFonts w:ascii="宋体" w:hAnsi="宋体" w:cs="宋体" w:eastAsia="宋体" w:hint="default"/>
          <w:spacing w:val="-2"/>
          <w:sz w:val="21"/>
          <w:szCs w:val="21"/>
        </w:rPr>
        <w:t>2009</w:t>
      </w:r>
      <w:r>
        <w:rPr>
          <w:rFonts w:ascii="宋体" w:hAnsi="宋体" w:cs="宋体" w:eastAsia="宋体" w:hint="default"/>
          <w:spacing w:val="2"/>
          <w:sz w:val="21"/>
          <w:szCs w:val="21"/>
        </w:rPr>
        <w:t> </w:t>
      </w:r>
      <w:r>
        <w:rPr>
          <w:rFonts w:ascii="宋体" w:hAnsi="宋体" w:cs="宋体" w:eastAsia="宋体" w:hint="default"/>
          <w:spacing w:val="-2"/>
          <w:sz w:val="21"/>
          <w:szCs w:val="21"/>
        </w:rPr>
        <w:t>年度为首个获利年度。</w:t>
      </w:r>
    </w:p>
    <w:p>
      <w:pPr>
        <w:spacing w:before="46"/>
        <w:ind w:left="821" w:right="1633" w:firstLine="0"/>
        <w:jc w:val="left"/>
        <w:rPr>
          <w:rFonts w:ascii="宋体" w:hAnsi="宋体" w:cs="宋体" w:eastAsia="宋体" w:hint="default"/>
          <w:sz w:val="21"/>
          <w:szCs w:val="21"/>
        </w:rPr>
      </w:pPr>
      <w:r>
        <w:rPr>
          <w:rFonts w:ascii="宋体" w:hAnsi="宋体" w:cs="宋体" w:eastAsia="宋体" w:hint="default"/>
          <w:sz w:val="21"/>
          <w:szCs w:val="21"/>
        </w:rPr>
        <w:t>根据上述企业所得税优惠政策本年度各公司企业所得税执行税率如下表：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763"/>
        <w:gridCol w:w="1167"/>
        <w:gridCol w:w="2062"/>
        <w:gridCol w:w="610"/>
        <w:gridCol w:w="1995"/>
      </w:tblGrid>
      <w:tr>
        <w:trPr>
          <w:trHeight w:val="294" w:hRule="exact"/>
        </w:trPr>
        <w:tc>
          <w:tcPr>
            <w:tcW w:w="276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single" w:sz="4" w:space="0" w:color="000000"/>
              <w:right w:val="nil" w:sz="6" w:space="0" w:color="auto"/>
            </w:tcBorders>
          </w:tcPr>
          <w:p>
            <w:pPr>
              <w:pStyle w:val="TableParagraph"/>
              <w:spacing w:line="180" w:lineRule="exact"/>
              <w:ind w:left="489" w:right="0"/>
              <w:jc w:val="left"/>
              <w:rPr>
                <w:rFonts w:ascii="宋体" w:hAnsi="宋体" w:cs="宋体" w:eastAsia="宋体" w:hint="default"/>
                <w:sz w:val="18"/>
                <w:szCs w:val="18"/>
              </w:rPr>
            </w:pPr>
            <w:r>
              <w:rPr>
                <w:rFonts w:ascii="宋体" w:hAnsi="宋体" w:cs="宋体" w:eastAsia="宋体" w:hint="default"/>
                <w:sz w:val="18"/>
                <w:szCs w:val="18"/>
              </w:rPr>
              <w:t>本期执行税率</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458" w:right="0"/>
              <w:jc w:val="left"/>
              <w:rPr>
                <w:rFonts w:ascii="宋体" w:hAnsi="宋体" w:cs="宋体" w:eastAsia="宋体" w:hint="default"/>
                <w:sz w:val="18"/>
                <w:szCs w:val="18"/>
              </w:rPr>
            </w:pPr>
            <w:r>
              <w:rPr>
                <w:rFonts w:ascii="宋体" w:hAnsi="宋体" w:cs="宋体" w:eastAsia="宋体" w:hint="default"/>
                <w:sz w:val="18"/>
                <w:szCs w:val="18"/>
              </w:rPr>
              <w:t>上期执行税率</w:t>
            </w:r>
          </w:p>
        </w:tc>
      </w:tr>
      <w:tr>
        <w:trPr>
          <w:trHeight w:val="401" w:hRule="exact"/>
        </w:trPr>
        <w:tc>
          <w:tcPr>
            <w:tcW w:w="27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15%</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11%</w:t>
            </w:r>
          </w:p>
        </w:tc>
      </w:tr>
      <w:tr>
        <w:trPr>
          <w:trHeight w:val="397"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12.5%</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0%</w:t>
            </w:r>
          </w:p>
        </w:tc>
      </w:tr>
      <w:tr>
        <w:trPr>
          <w:trHeight w:val="396"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25%</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25%</w:t>
            </w:r>
          </w:p>
        </w:tc>
      </w:tr>
      <w:tr>
        <w:trPr>
          <w:trHeight w:val="397"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25%</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25%</w:t>
            </w:r>
          </w:p>
        </w:tc>
      </w:tr>
      <w:tr>
        <w:trPr>
          <w:trHeight w:val="289"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116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25%</w:t>
            </w:r>
          </w:p>
        </w:tc>
        <w:tc>
          <w:tcPr>
            <w:tcW w:w="61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6"/>
        <w:ind w:left="821" w:right="1633"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7"/>
          <w:sz w:val="21"/>
          <w:szCs w:val="21"/>
        </w:rPr>
        <w:t> </w:t>
      </w:r>
      <w:r>
        <w:rPr>
          <w:rFonts w:ascii="宋体" w:hAnsi="宋体" w:cs="宋体" w:eastAsia="宋体" w:hint="default"/>
          <w:b/>
          <w:bCs/>
          <w:sz w:val="21"/>
          <w:szCs w:val="21"/>
        </w:rPr>
        <w:t>企业合并及合并财务报表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821" w:right="16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1277"/>
        <w:gridCol w:w="918"/>
        <w:gridCol w:w="826"/>
        <w:gridCol w:w="1166"/>
        <w:gridCol w:w="1061"/>
        <w:gridCol w:w="139"/>
        <w:gridCol w:w="1136"/>
        <w:gridCol w:w="142"/>
        <w:gridCol w:w="566"/>
        <w:gridCol w:w="142"/>
        <w:gridCol w:w="569"/>
        <w:gridCol w:w="142"/>
        <w:gridCol w:w="1761"/>
      </w:tblGrid>
      <w:tr>
        <w:trPr>
          <w:trHeight w:val="599" w:hRule="exact"/>
        </w:trPr>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95" w:right="0"/>
              <w:jc w:val="left"/>
              <w:rPr>
                <w:rFonts w:ascii="宋体" w:hAnsi="宋体" w:cs="宋体" w:eastAsia="宋体" w:hint="default"/>
                <w:sz w:val="18"/>
                <w:szCs w:val="18"/>
              </w:rPr>
            </w:pPr>
            <w:r>
              <w:rPr>
                <w:rFonts w:ascii="宋体" w:hAnsi="宋体" w:cs="宋体" w:eastAsia="宋体" w:hint="default"/>
                <w:sz w:val="18"/>
                <w:szCs w:val="18"/>
              </w:rPr>
              <w:t>控股公司名称</w:t>
            </w:r>
          </w:p>
        </w:tc>
        <w:tc>
          <w:tcPr>
            <w:tcW w:w="918" w:type="dxa"/>
            <w:tcBorders>
              <w:top w:val="nil" w:sz="6" w:space="0" w:color="auto"/>
              <w:left w:val="nil" w:sz="6" w:space="0" w:color="auto"/>
              <w:bottom w:val="nil" w:sz="6" w:space="0" w:color="auto"/>
              <w:right w:val="nil" w:sz="6" w:space="0" w:color="auto"/>
            </w:tcBorders>
          </w:tcPr>
          <w:p>
            <w:pPr>
              <w:pStyle w:val="TableParagraph"/>
              <w:spacing w:line="188" w:lineRule="exact" w:before="146"/>
              <w:ind w:left="223" w:right="0"/>
              <w:jc w:val="left"/>
              <w:rPr>
                <w:rFonts w:ascii="宋体" w:hAnsi="宋体" w:cs="宋体" w:eastAsia="宋体" w:hint="default"/>
                <w:sz w:val="18"/>
                <w:szCs w:val="18"/>
              </w:rPr>
            </w:pPr>
            <w:r>
              <w:rPr>
                <w:rFonts w:ascii="宋体" w:hAnsi="宋体" w:cs="宋体" w:eastAsia="宋体" w:hint="default"/>
                <w:sz w:val="18"/>
                <w:szCs w:val="18"/>
              </w:rPr>
              <w:t>注册地</w:t>
            </w:r>
          </w:p>
          <w:p>
            <w:pPr>
              <w:pStyle w:val="TableParagraph"/>
              <w:tabs>
                <w:tab w:pos="889" w:val="left" w:leader="none"/>
              </w:tabs>
              <w:spacing w:line="160" w:lineRule="exact"/>
              <w:ind w:left="1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17" w:lineRule="exact" w:before="45"/>
              <w:ind w:left="26"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tabs>
                <w:tab w:pos="741" w:val="left" w:leader="none"/>
              </w:tabs>
              <w:spacing w:line="217" w:lineRule="exact"/>
              <w:ind w:left="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性质</w:t>
              <w:tab/>
            </w:r>
            <w:r>
              <w:rPr>
                <w:rFonts w:ascii="宋体" w:hAnsi="宋体" w:cs="宋体" w:eastAsia="宋体" w:hint="default"/>
                <w:sz w:val="18"/>
                <w:szCs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188" w:lineRule="exact" w:before="146"/>
              <w:ind w:right="4"/>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tabs>
                <w:tab w:pos="1034" w:val="left" w:leader="none"/>
              </w:tabs>
              <w:spacing w:line="160" w:lineRule="exact"/>
              <w:ind w:left="3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00" w:lineRule="exact" w:before="95"/>
              <w:ind w:left="348" w:right="79" w:hanging="269"/>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163" w:lineRule="exact"/>
              <w:ind w:left="115" w:right="0"/>
              <w:jc w:val="left"/>
              <w:rPr>
                <w:rFonts w:ascii="宋体" w:hAnsi="宋体" w:cs="宋体" w:eastAsia="宋体" w:hint="default"/>
                <w:sz w:val="18"/>
                <w:szCs w:val="18"/>
              </w:rPr>
            </w:pPr>
            <w:r>
              <w:rPr>
                <w:rFonts w:ascii="宋体" w:hAnsi="宋体" w:cs="宋体" w:eastAsia="宋体" w:hint="default"/>
                <w:sz w:val="18"/>
                <w:szCs w:val="18"/>
              </w:rPr>
              <w:t>实质上构成</w:t>
            </w:r>
          </w:p>
          <w:p>
            <w:pPr>
              <w:pStyle w:val="TableParagraph"/>
              <w:spacing w:line="200" w:lineRule="exact" w:before="33"/>
              <w:ind w:left="115" w:right="118"/>
              <w:jc w:val="left"/>
              <w:rPr>
                <w:rFonts w:ascii="宋体" w:hAnsi="宋体" w:cs="宋体" w:eastAsia="宋体" w:hint="default"/>
                <w:sz w:val="18"/>
                <w:szCs w:val="18"/>
              </w:rPr>
            </w:pPr>
            <w:r>
              <w:rPr>
                <w:rFonts w:ascii="宋体" w:hAnsi="宋体" w:cs="宋体" w:eastAsia="宋体" w:hint="default"/>
                <w:sz w:val="18"/>
                <w:szCs w:val="18"/>
              </w:rPr>
              <w:t>对子公司的 净投资余额</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00" w:lineRule="exact" w:before="95"/>
              <w:ind w:left="100" w:right="10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Style w:val="TableParagraph"/>
              <w:spacing w:line="163"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w:t>
            </w:r>
          </w:p>
          <w:p>
            <w:pPr>
              <w:pStyle w:val="TableParagraph"/>
              <w:spacing w:line="200" w:lineRule="exact" w:before="33"/>
              <w:ind w:left="194" w:right="103" w:hanging="92"/>
              <w:jc w:val="left"/>
              <w:rPr>
                <w:rFonts w:ascii="宋体" w:hAnsi="宋体" w:cs="宋体" w:eastAsia="宋体" w:hint="default"/>
                <w:sz w:val="18"/>
                <w:szCs w:val="18"/>
              </w:rPr>
            </w:pPr>
            <w:r>
              <w:rPr>
                <w:rFonts w:ascii="宋体" w:hAnsi="宋体" w:cs="宋体" w:eastAsia="宋体" w:hint="default"/>
                <w:sz w:val="18"/>
                <w:szCs w:val="18"/>
              </w:rPr>
              <w:t>权比 例</w:t>
            </w:r>
          </w:p>
        </w:tc>
        <w:tc>
          <w:tcPr>
            <w:tcW w:w="142"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309" w:right="0"/>
              <w:jc w:val="left"/>
              <w:rPr>
                <w:rFonts w:ascii="宋体" w:hAnsi="宋体" w:cs="宋体" w:eastAsia="宋体" w:hint="default"/>
                <w:sz w:val="18"/>
                <w:szCs w:val="18"/>
              </w:rPr>
            </w:pPr>
            <w:r>
              <w:rPr>
                <w:rFonts w:ascii="宋体" w:hAnsi="宋体" w:cs="宋体" w:eastAsia="宋体" w:hint="default"/>
                <w:sz w:val="18"/>
                <w:szCs w:val="18"/>
              </w:rPr>
              <w:t>主营业务范围</w:t>
            </w:r>
          </w:p>
        </w:tc>
      </w:tr>
      <w:tr>
        <w:trPr>
          <w:trHeight w:val="941"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8" w:right="5"/>
              <w:jc w:val="left"/>
              <w:rPr>
                <w:rFonts w:ascii="宋体" w:hAnsi="宋体" w:cs="宋体" w:eastAsia="宋体" w:hint="default"/>
                <w:sz w:val="18"/>
                <w:szCs w:val="18"/>
              </w:rPr>
            </w:pPr>
            <w:r>
              <w:rPr>
                <w:rFonts w:ascii="宋体" w:hAnsi="宋体" w:cs="宋体" w:eastAsia="宋体" w:hint="default"/>
                <w:spacing w:val="17"/>
                <w:sz w:val="18"/>
                <w:szCs w:val="18"/>
              </w:rPr>
              <w:t>深圳市</w:t>
            </w:r>
            <w:r>
              <w:rPr>
                <w:rFonts w:ascii="宋体" w:hAnsi="宋体" w:cs="宋体" w:eastAsia="宋体" w:hint="default"/>
                <w:spacing w:val="-62"/>
                <w:sz w:val="18"/>
                <w:szCs w:val="18"/>
              </w:rPr>
              <w:t> </w:t>
            </w:r>
            <w:r>
              <w:rPr>
                <w:rFonts w:ascii="宋体" w:hAnsi="宋体" w:cs="宋体" w:eastAsia="宋体" w:hint="default"/>
                <w:spacing w:val="17"/>
                <w:sz w:val="18"/>
                <w:szCs w:val="18"/>
              </w:rPr>
              <w:t>易联技</w:t>
            </w:r>
            <w:r>
              <w:rPr>
                <w:rFonts w:ascii="宋体" w:hAnsi="宋体" w:cs="宋体" w:eastAsia="宋体" w:hint="default"/>
                <w:spacing w:val="-64"/>
                <w:sz w:val="18"/>
                <w:szCs w:val="18"/>
              </w:rPr>
              <w:t> </w:t>
            </w:r>
            <w:r>
              <w:rPr>
                <w:rFonts w:ascii="宋体" w:hAnsi="宋体" w:cs="宋体" w:eastAsia="宋体" w:hint="default"/>
                <w:sz w:val="18"/>
                <w:szCs w:val="18"/>
              </w:rPr>
              <w:t>术有限公司</w:t>
            </w:r>
            <w:r>
              <w:rPr>
                <w:rFonts w:ascii="宋体" w:hAnsi="宋体" w:cs="宋体" w:eastAsia="宋体" w:hint="default"/>
                <w:sz w:val="18"/>
                <w:szCs w:val="18"/>
              </w:rPr>
              <w:t>*1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软件业</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z w:val="18"/>
                <w:szCs w:val="18"/>
              </w:rPr>
              <w:t>万元</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z w:val="18"/>
                <w:szCs w:val="18"/>
              </w:rPr>
              <w:t>万元</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z w:val="18"/>
                <w:szCs w:val="18"/>
              </w:rPr>
              <w:t>万元</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1761"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28" w:right="60"/>
              <w:jc w:val="both"/>
              <w:rPr>
                <w:rFonts w:ascii="宋体" w:hAnsi="宋体" w:cs="宋体" w:eastAsia="宋体" w:hint="default"/>
                <w:sz w:val="18"/>
                <w:szCs w:val="18"/>
              </w:rPr>
            </w:pPr>
            <w:r>
              <w:rPr>
                <w:rFonts w:ascii="宋体" w:hAnsi="宋体" w:cs="宋体" w:eastAsia="宋体" w:hint="default"/>
                <w:spacing w:val="24"/>
                <w:sz w:val="18"/>
                <w:szCs w:val="18"/>
              </w:rPr>
              <w:t>软件技术开发与销</w:t>
            </w:r>
            <w:r>
              <w:rPr>
                <w:rFonts w:ascii="宋体" w:hAnsi="宋体" w:cs="宋体" w:eastAsia="宋体" w:hint="default"/>
                <w:spacing w:val="-87"/>
                <w:sz w:val="18"/>
                <w:szCs w:val="18"/>
              </w:rPr>
              <w:t> </w:t>
            </w:r>
            <w:r>
              <w:rPr>
                <w:rFonts w:ascii="宋体" w:hAnsi="宋体" w:cs="宋体" w:eastAsia="宋体" w:hint="default"/>
                <w:sz w:val="18"/>
                <w:szCs w:val="18"/>
              </w:rPr>
              <w:t>售，软件技术咨询，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计算机系统集成。</w:t>
            </w:r>
          </w:p>
        </w:tc>
      </w:tr>
      <w:tr>
        <w:trPr>
          <w:trHeight w:val="211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9" w:lineRule="auto"/>
              <w:ind w:left="28" w:right="32"/>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都</w:t>
            </w:r>
            <w:r>
              <w:rPr>
                <w:rFonts w:ascii="宋体" w:hAnsi="宋体" w:cs="宋体" w:eastAsia="宋体" w:hint="default"/>
                <w:sz w:val="18"/>
                <w:szCs w:val="18"/>
              </w:rPr>
              <w:t> 技</w:t>
            </w:r>
            <w:r>
              <w:rPr>
                <w:rFonts w:ascii="宋体" w:hAnsi="宋体" w:cs="宋体" w:eastAsia="宋体" w:hint="default"/>
                <w:spacing w:val="-64"/>
                <w:sz w:val="18"/>
                <w:szCs w:val="18"/>
              </w:rPr>
              <w:t> </w:t>
            </w:r>
            <w:r>
              <w:rPr>
                <w:rFonts w:ascii="宋体" w:hAnsi="宋体" w:cs="宋体" w:eastAsia="宋体" w:hint="default"/>
                <w:sz w:val="18"/>
                <w:szCs w:val="18"/>
              </w:rPr>
              <w:t>术</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p>
          <w:p>
            <w:pPr>
              <w:pStyle w:val="TableParagraph"/>
              <w:spacing w:line="240" w:lineRule="auto" w:before="17"/>
              <w:ind w:left="28" w:right="0"/>
              <w:jc w:val="left"/>
              <w:rPr>
                <w:rFonts w:ascii="宋体" w:hAnsi="宋体" w:cs="宋体" w:eastAsia="宋体" w:hint="default"/>
                <w:sz w:val="18"/>
                <w:szCs w:val="18"/>
              </w:rPr>
            </w:pPr>
            <w:r>
              <w:rPr>
                <w:rFonts w:ascii="宋体"/>
                <w:sz w:val="18"/>
              </w:rPr>
              <w:t>*2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软件业</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1,300</w:t>
            </w:r>
            <w:r>
              <w:rPr>
                <w:rFonts w:ascii="宋体" w:hAnsi="宋体" w:cs="宋体" w:eastAsia="宋体" w:hint="default"/>
                <w:sz w:val="18"/>
                <w:szCs w:val="18"/>
              </w:rPr>
              <w:t>万元</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1,300</w:t>
            </w:r>
            <w:r>
              <w:rPr>
                <w:rFonts w:ascii="宋体" w:hAnsi="宋体" w:cs="宋体" w:eastAsia="宋体" w:hint="default"/>
                <w:sz w:val="18"/>
                <w:szCs w:val="18"/>
              </w:rPr>
              <w:t>万元</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1,300</w:t>
            </w:r>
            <w:r>
              <w:rPr>
                <w:rFonts w:ascii="宋体" w:hAnsi="宋体" w:cs="宋体" w:eastAsia="宋体" w:hint="default"/>
                <w:sz w:val="18"/>
                <w:szCs w:val="18"/>
              </w:rPr>
              <w:t>万元</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0"/>
              <w:jc w:val="left"/>
              <w:rPr>
                <w:rFonts w:ascii="宋体" w:hAnsi="宋体" w:cs="宋体" w:eastAsia="宋体" w:hint="default"/>
                <w:sz w:val="18"/>
                <w:szCs w:val="18"/>
              </w:rPr>
            </w:pPr>
            <w:r>
              <w:rPr>
                <w:rFonts w:ascii="宋体" w:hAnsi="宋体" w:cs="宋体" w:eastAsia="宋体" w:hint="default"/>
                <w:spacing w:val="24"/>
                <w:sz w:val="18"/>
                <w:szCs w:val="18"/>
              </w:rPr>
              <w:t>软件技术开发与销</w:t>
            </w:r>
            <w:r>
              <w:rPr>
                <w:rFonts w:ascii="宋体" w:hAnsi="宋体" w:cs="宋体" w:eastAsia="宋体" w:hint="default"/>
                <w:spacing w:val="-87"/>
                <w:sz w:val="18"/>
                <w:szCs w:val="18"/>
              </w:rPr>
              <w:t> </w:t>
            </w:r>
            <w:r>
              <w:rPr>
                <w:rFonts w:ascii="宋体" w:hAnsi="宋体" w:cs="宋体" w:eastAsia="宋体" w:hint="default"/>
                <w:spacing w:val="-7"/>
                <w:sz w:val="18"/>
                <w:szCs w:val="18"/>
              </w:rPr>
              <w:t>售、技术咨询和服务；</w:t>
            </w:r>
            <w:r>
              <w:rPr>
                <w:rFonts w:ascii="宋体" w:hAnsi="宋体" w:cs="宋体" w:eastAsia="宋体" w:hint="default"/>
                <w:sz w:val="18"/>
                <w:szCs w:val="18"/>
              </w:rPr>
              <w:t> 计算机系统集成；投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资咨询服务；计算机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产品及电子产品的技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术开发、生产、销售、</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租赁及技术服务。</w:t>
            </w:r>
          </w:p>
        </w:tc>
      </w:tr>
    </w:tbl>
    <w:p>
      <w:pPr>
        <w:spacing w:after="0" w:line="240" w:lineRule="auto"/>
        <w:jc w:val="left"/>
        <w:rPr>
          <w:rFonts w:ascii="宋体" w:hAnsi="宋体" w:cs="宋体" w:eastAsia="宋体" w:hint="default"/>
          <w:sz w:val="18"/>
          <w:szCs w:val="18"/>
        </w:rPr>
        <w:sectPr>
          <w:pgSz w:w="11910" w:h="16840"/>
          <w:pgMar w:header="0" w:footer="1195" w:top="1440" w:bottom="1380" w:left="1300" w:right="540"/>
        </w:sectPr>
      </w:pPr>
    </w:p>
    <w:p>
      <w:pPr>
        <w:spacing w:line="240" w:lineRule="auto" w:before="8"/>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1277"/>
        <w:gridCol w:w="918"/>
        <w:gridCol w:w="870"/>
        <w:gridCol w:w="1121"/>
        <w:gridCol w:w="1061"/>
        <w:gridCol w:w="139"/>
        <w:gridCol w:w="1136"/>
        <w:gridCol w:w="142"/>
        <w:gridCol w:w="566"/>
        <w:gridCol w:w="142"/>
        <w:gridCol w:w="569"/>
        <w:gridCol w:w="142"/>
        <w:gridCol w:w="1702"/>
      </w:tblGrid>
      <w:tr>
        <w:trPr>
          <w:trHeight w:val="599" w:hRule="exact"/>
        </w:trPr>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95" w:right="0"/>
              <w:jc w:val="left"/>
              <w:rPr>
                <w:rFonts w:ascii="宋体" w:hAnsi="宋体" w:cs="宋体" w:eastAsia="宋体" w:hint="default"/>
                <w:sz w:val="18"/>
                <w:szCs w:val="18"/>
              </w:rPr>
            </w:pPr>
            <w:r>
              <w:rPr>
                <w:rFonts w:ascii="宋体" w:hAnsi="宋体" w:cs="宋体" w:eastAsia="宋体" w:hint="default"/>
                <w:sz w:val="18"/>
                <w:szCs w:val="18"/>
              </w:rPr>
              <w:t>控股公司名称</w:t>
            </w:r>
          </w:p>
        </w:tc>
        <w:tc>
          <w:tcPr>
            <w:tcW w:w="918" w:type="dxa"/>
            <w:tcBorders>
              <w:top w:val="nil" w:sz="6" w:space="0" w:color="auto"/>
              <w:left w:val="nil" w:sz="6" w:space="0" w:color="auto"/>
              <w:bottom w:val="nil" w:sz="6" w:space="0" w:color="auto"/>
              <w:right w:val="nil" w:sz="6" w:space="0" w:color="auto"/>
            </w:tcBorders>
          </w:tcPr>
          <w:p>
            <w:pPr>
              <w:pStyle w:val="TableParagraph"/>
              <w:spacing w:line="189" w:lineRule="exact" w:before="143"/>
              <w:ind w:left="223" w:right="0"/>
              <w:jc w:val="left"/>
              <w:rPr>
                <w:rFonts w:ascii="宋体" w:hAnsi="宋体" w:cs="宋体" w:eastAsia="宋体" w:hint="default"/>
                <w:sz w:val="18"/>
                <w:szCs w:val="18"/>
              </w:rPr>
            </w:pPr>
            <w:r>
              <w:rPr>
                <w:rFonts w:ascii="宋体" w:hAnsi="宋体" w:cs="宋体" w:eastAsia="宋体" w:hint="default"/>
                <w:sz w:val="18"/>
                <w:szCs w:val="18"/>
              </w:rPr>
              <w:t>注册地</w:t>
            </w:r>
          </w:p>
          <w:p>
            <w:pPr>
              <w:pStyle w:val="TableParagraph"/>
              <w:tabs>
                <w:tab w:pos="889" w:val="left" w:leader="none"/>
              </w:tabs>
              <w:spacing w:line="161" w:lineRule="exact"/>
              <w:ind w:left="1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19" w:lineRule="exact" w:before="43"/>
              <w:ind w:right="15"/>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tabs>
                <w:tab w:pos="710" w:val="left" w:leader="none"/>
              </w:tabs>
              <w:spacing w:line="219" w:lineRule="exact"/>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性质</w:t>
              <w:tab/>
            </w:r>
            <w:r>
              <w:rPr>
                <w:rFonts w:ascii="宋体" w:hAnsi="宋体" w:cs="宋体" w:eastAsia="宋体" w:hint="default"/>
                <w:sz w:val="18"/>
                <w:szCs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189" w:lineRule="exact" w:before="143"/>
              <w:ind w:right="48"/>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tabs>
                <w:tab w:pos="1002" w:val="left" w:leader="none"/>
              </w:tabs>
              <w:spacing w:line="161" w:lineRule="exact"/>
              <w:ind w:right="1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02" w:lineRule="exact" w:before="91"/>
              <w:ind w:left="348" w:right="79" w:hanging="269"/>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162" w:lineRule="exact"/>
              <w:ind w:left="115" w:right="0"/>
              <w:jc w:val="left"/>
              <w:rPr>
                <w:rFonts w:ascii="宋体" w:hAnsi="宋体" w:cs="宋体" w:eastAsia="宋体" w:hint="default"/>
                <w:sz w:val="18"/>
                <w:szCs w:val="18"/>
              </w:rPr>
            </w:pPr>
            <w:r>
              <w:rPr>
                <w:rFonts w:ascii="宋体" w:hAnsi="宋体" w:cs="宋体" w:eastAsia="宋体" w:hint="default"/>
                <w:sz w:val="18"/>
                <w:szCs w:val="18"/>
              </w:rPr>
              <w:t>实质上构成</w:t>
            </w:r>
          </w:p>
          <w:p>
            <w:pPr>
              <w:pStyle w:val="TableParagraph"/>
              <w:spacing w:line="200" w:lineRule="exact" w:before="32"/>
              <w:ind w:left="115" w:right="118"/>
              <w:jc w:val="left"/>
              <w:rPr>
                <w:rFonts w:ascii="宋体" w:hAnsi="宋体" w:cs="宋体" w:eastAsia="宋体" w:hint="default"/>
                <w:sz w:val="18"/>
                <w:szCs w:val="18"/>
              </w:rPr>
            </w:pPr>
            <w:r>
              <w:rPr>
                <w:rFonts w:ascii="宋体" w:hAnsi="宋体" w:cs="宋体" w:eastAsia="宋体" w:hint="default"/>
                <w:sz w:val="18"/>
                <w:szCs w:val="18"/>
              </w:rPr>
              <w:t>对子公司的 净投资余额</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02" w:lineRule="exact" w:before="91"/>
              <w:ind w:left="100" w:right="10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Style w:val="TableParagraph"/>
              <w:spacing w:line="162"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w:t>
            </w:r>
          </w:p>
          <w:p>
            <w:pPr>
              <w:pStyle w:val="TableParagraph"/>
              <w:spacing w:line="200" w:lineRule="exact" w:before="32"/>
              <w:ind w:left="194" w:right="103" w:hanging="92"/>
              <w:jc w:val="left"/>
              <w:rPr>
                <w:rFonts w:ascii="宋体" w:hAnsi="宋体" w:cs="宋体" w:eastAsia="宋体" w:hint="default"/>
                <w:sz w:val="18"/>
                <w:szCs w:val="18"/>
              </w:rPr>
            </w:pPr>
            <w:r>
              <w:rPr>
                <w:rFonts w:ascii="宋体" w:hAnsi="宋体" w:cs="宋体" w:eastAsia="宋体" w:hint="default"/>
                <w:sz w:val="18"/>
                <w:szCs w:val="18"/>
              </w:rPr>
              <w:t>权比 例</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09" w:right="0"/>
              <w:jc w:val="left"/>
              <w:rPr>
                <w:rFonts w:ascii="宋体" w:hAnsi="宋体" w:cs="宋体" w:eastAsia="宋体" w:hint="default"/>
                <w:sz w:val="18"/>
                <w:szCs w:val="18"/>
              </w:rPr>
            </w:pPr>
            <w:r>
              <w:rPr>
                <w:rFonts w:ascii="宋体" w:hAnsi="宋体" w:cs="宋体" w:eastAsia="宋体" w:hint="default"/>
                <w:sz w:val="18"/>
                <w:szCs w:val="18"/>
              </w:rPr>
              <w:t>主营业务范围</w:t>
            </w:r>
          </w:p>
        </w:tc>
      </w:tr>
      <w:tr>
        <w:trPr>
          <w:trHeight w:val="1563"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8" w:right="32"/>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都</w:t>
            </w:r>
            <w:r>
              <w:rPr>
                <w:rFonts w:ascii="宋体" w:hAnsi="宋体" w:cs="宋体" w:eastAsia="宋体" w:hint="default"/>
                <w:sz w:val="18"/>
                <w:szCs w:val="18"/>
              </w:rPr>
              <w:t> 信</w:t>
            </w:r>
            <w:r>
              <w:rPr>
                <w:rFonts w:ascii="宋体" w:hAnsi="宋体" w:cs="宋体" w:eastAsia="宋体" w:hint="default"/>
                <w:spacing w:val="-64"/>
                <w:sz w:val="18"/>
                <w:szCs w:val="18"/>
              </w:rPr>
              <w:t> </w:t>
            </w:r>
            <w:r>
              <w:rPr>
                <w:rFonts w:ascii="宋体" w:hAnsi="宋体" w:cs="宋体" w:eastAsia="宋体" w:hint="default"/>
                <w:sz w:val="18"/>
                <w:szCs w:val="18"/>
              </w:rPr>
              <w:t>息</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2"/>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宋体" w:hAnsi="宋体" w:cs="宋体" w:eastAsia="宋体" w:hint="default"/>
                <w:sz w:val="18"/>
                <w:szCs w:val="18"/>
              </w:rPr>
              <w:t>*3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万元</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6"/>
              <w:jc w:val="righ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万元</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9"/>
              <w:jc w:val="righ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万元</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8"/>
              <w:jc w:val="right"/>
              <w:rPr>
                <w:rFonts w:ascii="宋体" w:hAnsi="宋体" w:cs="宋体" w:eastAsia="宋体" w:hint="default"/>
                <w:sz w:val="18"/>
                <w:szCs w:val="18"/>
              </w:rPr>
            </w:pPr>
            <w:r>
              <w:rPr>
                <w:rFonts w:ascii="宋体"/>
                <w:sz w:val="18"/>
              </w:rPr>
              <w:t>100%</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29"/>
              <w:jc w:val="both"/>
              <w:rPr>
                <w:rFonts w:ascii="宋体" w:hAnsi="宋体" w:cs="宋体" w:eastAsia="宋体" w:hint="default"/>
                <w:sz w:val="18"/>
                <w:szCs w:val="18"/>
              </w:rPr>
            </w:pPr>
            <w:r>
              <w:rPr>
                <w:rFonts w:ascii="宋体" w:hAnsi="宋体" w:cs="宋体" w:eastAsia="宋体" w:hint="default"/>
                <w:sz w:val="18"/>
                <w:szCs w:val="18"/>
              </w:rPr>
              <w:t>计算机软件、智能设</w:t>
            </w:r>
            <w:r>
              <w:rPr>
                <w:rFonts w:ascii="宋体" w:hAnsi="宋体" w:cs="宋体" w:eastAsia="宋体" w:hint="default"/>
                <w:spacing w:val="-73"/>
                <w:sz w:val="18"/>
                <w:szCs w:val="18"/>
              </w:rPr>
              <w:t> </w:t>
            </w:r>
            <w:r>
              <w:rPr>
                <w:rFonts w:ascii="宋体" w:hAnsi="宋体" w:cs="宋体" w:eastAsia="宋体" w:hint="default"/>
                <w:sz w:val="18"/>
                <w:szCs w:val="18"/>
              </w:rPr>
              <w:t>备的研究、开发、销</w:t>
            </w:r>
            <w:r>
              <w:rPr>
                <w:rFonts w:ascii="宋体" w:hAnsi="宋体" w:cs="宋体" w:eastAsia="宋体" w:hint="default"/>
                <w:spacing w:val="-73"/>
                <w:sz w:val="18"/>
                <w:szCs w:val="18"/>
              </w:rPr>
              <w:t> </w:t>
            </w:r>
            <w:r>
              <w:rPr>
                <w:rFonts w:ascii="宋体" w:hAnsi="宋体" w:cs="宋体" w:eastAsia="宋体" w:hint="default"/>
                <w:sz w:val="18"/>
                <w:szCs w:val="18"/>
              </w:rPr>
              <w:t>售、技术咨询、技术</w:t>
            </w:r>
            <w:r>
              <w:rPr>
                <w:rFonts w:ascii="宋体" w:hAnsi="宋体" w:cs="宋体" w:eastAsia="宋体" w:hint="default"/>
                <w:spacing w:val="-73"/>
                <w:sz w:val="18"/>
                <w:szCs w:val="18"/>
              </w:rPr>
              <w:t> </w:t>
            </w:r>
            <w:r>
              <w:rPr>
                <w:rFonts w:ascii="宋体" w:hAnsi="宋体" w:cs="宋体" w:eastAsia="宋体" w:hint="default"/>
                <w:sz w:val="18"/>
                <w:szCs w:val="18"/>
              </w:rPr>
              <w:t>服务；计算机系统集</w:t>
            </w:r>
            <w:r>
              <w:rPr>
                <w:rFonts w:ascii="宋体" w:hAnsi="宋体" w:cs="宋体" w:eastAsia="宋体" w:hint="default"/>
                <w:spacing w:val="-73"/>
                <w:sz w:val="18"/>
                <w:szCs w:val="18"/>
              </w:rPr>
              <w:t> </w:t>
            </w:r>
            <w:r>
              <w:rPr>
                <w:rFonts w:ascii="宋体" w:hAnsi="宋体" w:cs="宋体" w:eastAsia="宋体" w:hint="default"/>
                <w:sz w:val="18"/>
                <w:szCs w:val="18"/>
              </w:rPr>
              <w:t>成技术服务。</w:t>
            </w:r>
          </w:p>
        </w:tc>
      </w:tr>
      <w:tr>
        <w:trPr>
          <w:trHeight w:val="2119"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9" w:lineRule="auto"/>
              <w:ind w:left="28" w:right="32"/>
              <w:jc w:val="both"/>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都</w:t>
            </w:r>
            <w:r>
              <w:rPr>
                <w:rFonts w:ascii="宋体" w:hAnsi="宋体" w:cs="宋体" w:eastAsia="宋体" w:hint="default"/>
                <w:spacing w:val="-64"/>
                <w:sz w:val="18"/>
                <w:szCs w:val="18"/>
              </w:rPr>
              <w:t> </w:t>
            </w:r>
            <w:r>
              <w:rPr>
                <w:rFonts w:ascii="宋体" w:hAnsi="宋体" w:cs="宋体" w:eastAsia="宋体" w:hint="default"/>
                <w:sz w:val="18"/>
                <w:szCs w:val="18"/>
              </w:rPr>
              <w:t>电</w:t>
            </w:r>
            <w:r>
              <w:rPr>
                <w:rFonts w:ascii="宋体" w:hAnsi="宋体" w:cs="宋体" w:eastAsia="宋体" w:hint="default"/>
                <w:sz w:val="18"/>
                <w:szCs w:val="18"/>
              </w:rPr>
              <w:t> 子</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术</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18"/>
                <w:szCs w:val="18"/>
              </w:rPr>
              <w:t>*4</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万元</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2,700</w:t>
            </w:r>
            <w:r>
              <w:rPr>
                <w:rFonts w:ascii="宋体" w:hAnsi="宋体" w:cs="宋体" w:eastAsia="宋体" w:hint="default"/>
                <w:sz w:val="18"/>
                <w:szCs w:val="18"/>
              </w:rPr>
              <w:t>万元</w:t>
            </w: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2,700</w:t>
            </w:r>
            <w:r>
              <w:rPr>
                <w:rFonts w:ascii="宋体" w:hAnsi="宋体" w:cs="宋体" w:eastAsia="宋体" w:hint="default"/>
                <w:sz w:val="18"/>
                <w:szCs w:val="18"/>
              </w:rPr>
              <w:t>万元</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90%</w:t>
            </w:r>
          </w:p>
        </w:tc>
        <w:tc>
          <w:tcPr>
            <w:tcW w:w="14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90%</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29"/>
              <w:jc w:val="both"/>
              <w:rPr>
                <w:rFonts w:ascii="宋体" w:hAnsi="宋体" w:cs="宋体" w:eastAsia="宋体" w:hint="default"/>
                <w:sz w:val="18"/>
                <w:szCs w:val="18"/>
              </w:rPr>
            </w:pPr>
            <w:r>
              <w:rPr>
                <w:rFonts w:ascii="宋体" w:hAnsi="宋体" w:cs="宋体" w:eastAsia="宋体" w:hint="default"/>
                <w:sz w:val="18"/>
                <w:szCs w:val="18"/>
              </w:rPr>
              <w:t>电子产品及计算机产</w:t>
            </w:r>
            <w:r>
              <w:rPr>
                <w:rFonts w:ascii="宋体" w:hAnsi="宋体" w:cs="宋体" w:eastAsia="宋体" w:hint="default"/>
                <w:spacing w:val="-73"/>
                <w:sz w:val="18"/>
                <w:szCs w:val="18"/>
              </w:rPr>
              <w:t> </w:t>
            </w:r>
            <w:r>
              <w:rPr>
                <w:rFonts w:ascii="宋体" w:hAnsi="宋体" w:cs="宋体" w:eastAsia="宋体" w:hint="default"/>
                <w:sz w:val="18"/>
                <w:szCs w:val="18"/>
              </w:rPr>
              <w:t>品的开发、销售、租</w:t>
            </w:r>
            <w:r>
              <w:rPr>
                <w:rFonts w:ascii="宋体" w:hAnsi="宋体" w:cs="宋体" w:eastAsia="宋体" w:hint="default"/>
                <w:spacing w:val="-73"/>
                <w:sz w:val="18"/>
                <w:szCs w:val="18"/>
              </w:rPr>
              <w:t> </w:t>
            </w:r>
            <w:r>
              <w:rPr>
                <w:rFonts w:ascii="宋体" w:hAnsi="宋体" w:cs="宋体" w:eastAsia="宋体" w:hint="default"/>
                <w:sz w:val="18"/>
                <w:szCs w:val="18"/>
              </w:rPr>
              <w:t>赁及技术服务；软件</w:t>
            </w:r>
            <w:r>
              <w:rPr>
                <w:rFonts w:ascii="宋体" w:hAnsi="宋体" w:cs="宋体" w:eastAsia="宋体" w:hint="default"/>
                <w:spacing w:val="-73"/>
                <w:sz w:val="18"/>
                <w:szCs w:val="18"/>
              </w:rPr>
              <w:t> </w:t>
            </w:r>
            <w:r>
              <w:rPr>
                <w:rFonts w:ascii="宋体" w:hAnsi="宋体" w:cs="宋体" w:eastAsia="宋体" w:hint="default"/>
                <w:sz w:val="18"/>
                <w:szCs w:val="18"/>
              </w:rPr>
              <w:t>技术开发、销售、技</w:t>
            </w:r>
            <w:r>
              <w:rPr>
                <w:rFonts w:ascii="宋体" w:hAnsi="宋体" w:cs="宋体" w:eastAsia="宋体" w:hint="default"/>
                <w:spacing w:val="-73"/>
                <w:sz w:val="18"/>
                <w:szCs w:val="18"/>
              </w:rPr>
              <w:t> </w:t>
            </w:r>
            <w:r>
              <w:rPr>
                <w:rFonts w:ascii="宋体" w:hAnsi="宋体" w:cs="宋体" w:eastAsia="宋体" w:hint="default"/>
                <w:sz w:val="18"/>
                <w:szCs w:val="18"/>
              </w:rPr>
              <w:t>术咨询及技术服务；</w:t>
            </w:r>
            <w:r>
              <w:rPr>
                <w:rFonts w:ascii="宋体" w:hAnsi="宋体" w:cs="宋体" w:eastAsia="宋体" w:hint="default"/>
                <w:spacing w:val="-73"/>
                <w:sz w:val="18"/>
                <w:szCs w:val="18"/>
              </w:rPr>
              <w:t> </w:t>
            </w:r>
            <w:r>
              <w:rPr>
                <w:rFonts w:ascii="宋体" w:hAnsi="宋体" w:cs="宋体" w:eastAsia="宋体" w:hint="default"/>
                <w:sz w:val="18"/>
                <w:szCs w:val="18"/>
              </w:rPr>
              <w:t>计算机系统集成；投</w:t>
            </w:r>
          </w:p>
          <w:p>
            <w:pPr>
              <w:pStyle w:val="TableParagraph"/>
              <w:spacing w:line="240" w:lineRule="auto" w:before="17"/>
              <w:ind w:left="28" w:right="0"/>
              <w:jc w:val="both"/>
              <w:rPr>
                <w:rFonts w:ascii="宋体" w:hAnsi="宋体" w:cs="宋体" w:eastAsia="宋体" w:hint="default"/>
                <w:sz w:val="18"/>
                <w:szCs w:val="18"/>
              </w:rPr>
            </w:pPr>
            <w:r>
              <w:rPr>
                <w:rFonts w:ascii="宋体" w:hAnsi="宋体" w:cs="宋体" w:eastAsia="宋体" w:hint="default"/>
                <w:sz w:val="18"/>
                <w:szCs w:val="18"/>
              </w:rPr>
              <w:t>资咨询服务。</w:t>
            </w:r>
          </w:p>
        </w:tc>
      </w:tr>
    </w:tbl>
    <w:p>
      <w:pPr>
        <w:spacing w:line="316" w:lineRule="auto" w:before="76"/>
        <w:ind w:left="402" w:right="982" w:firstLine="359"/>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pacing w:val="-3"/>
          <w:sz w:val="18"/>
          <w:szCs w:val="18"/>
        </w:rPr>
        <w:t>深圳市易联技术有限公司原名深圳市新国都软件技术有限公司（以下简称“新国都软件公司），由本公</w:t>
      </w:r>
      <w:r>
        <w:rPr>
          <w:rFonts w:ascii="宋体" w:hAnsi="宋体" w:cs="宋体" w:eastAsia="宋体" w:hint="default"/>
          <w:sz w:val="18"/>
          <w:szCs w:val="18"/>
        </w:rPr>
        <w:t> 司 </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月出资 </w:t>
      </w:r>
      <w:r>
        <w:rPr>
          <w:rFonts w:ascii="宋体" w:hAnsi="宋体" w:cs="宋体" w:eastAsia="宋体" w:hint="default"/>
          <w:sz w:val="18"/>
          <w:szCs w:val="18"/>
        </w:rPr>
        <w:t>50 </w:t>
      </w:r>
      <w:r>
        <w:rPr>
          <w:rFonts w:ascii="宋体" w:hAnsi="宋体" w:cs="宋体" w:eastAsia="宋体" w:hint="default"/>
          <w:sz w:val="18"/>
          <w:szCs w:val="18"/>
        </w:rPr>
        <w:t>万元设立，投资比例</w:t>
      </w:r>
      <w:r>
        <w:rPr>
          <w:rFonts w:ascii="宋体" w:hAnsi="宋体" w:cs="宋体" w:eastAsia="宋体" w:hint="default"/>
          <w:spacing w:val="55"/>
          <w:sz w:val="18"/>
          <w:szCs w:val="18"/>
        </w:rPr>
        <w:t> </w:t>
      </w:r>
      <w:r>
        <w:rPr>
          <w:rFonts w:ascii="宋体" w:hAnsi="宋体" w:cs="宋体" w:eastAsia="宋体" w:hint="default"/>
          <w:sz w:val="18"/>
          <w:szCs w:val="18"/>
        </w:rPr>
        <w:t>100%</w:t>
      </w:r>
      <w:r>
        <w:rPr>
          <w:rFonts w:ascii="宋体" w:hAnsi="宋体" w:cs="宋体" w:eastAsia="宋体" w:hint="default"/>
          <w:sz w:val="18"/>
          <w:szCs w:val="18"/>
        </w:rPr>
        <w:t>。该出资业经深圳恒平会计师事务所深恒平所</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w:t>
      </w:r>
      <w:r>
        <w:rPr>
          <w:rFonts w:ascii="宋体" w:hAnsi="宋体" w:cs="宋体" w:eastAsia="宋体" w:hint="default"/>
          <w:sz w:val="18"/>
          <w:szCs w:val="18"/>
        </w:rPr>
        <w:t>验字</w:t>
      </w:r>
    </w:p>
    <w:p>
      <w:pPr>
        <w:spacing w:before="19"/>
        <w:ind w:left="402" w:right="145" w:firstLine="0"/>
        <w:jc w:val="left"/>
        <w:rPr>
          <w:rFonts w:ascii="宋体" w:hAnsi="宋体" w:cs="宋体" w:eastAsia="宋体" w:hint="default"/>
          <w:sz w:val="18"/>
          <w:szCs w:val="18"/>
        </w:rPr>
      </w:pPr>
      <w:r>
        <w:rPr>
          <w:rFonts w:ascii="宋体" w:hAnsi="宋体" w:cs="宋体" w:eastAsia="宋体" w:hint="default"/>
          <w:sz w:val="18"/>
          <w:szCs w:val="18"/>
        </w:rPr>
        <w:t>[2007]165</w:t>
      </w:r>
      <w:r>
        <w:rPr>
          <w:rFonts w:ascii="宋体" w:hAnsi="宋体" w:cs="宋体" w:eastAsia="宋体" w:hint="default"/>
          <w:spacing w:val="-47"/>
          <w:sz w:val="18"/>
          <w:szCs w:val="18"/>
        </w:rPr>
        <w:t> </w:t>
      </w:r>
      <w:r>
        <w:rPr>
          <w:rFonts w:ascii="宋体" w:hAnsi="宋体" w:cs="宋体" w:eastAsia="宋体" w:hint="default"/>
          <w:sz w:val="18"/>
          <w:szCs w:val="18"/>
        </w:rPr>
        <w:t>号验资报告验证。</w:t>
      </w:r>
    </w:p>
    <w:p>
      <w:pPr>
        <w:spacing w:before="76"/>
        <w:ind w:left="761" w:right="145" w:firstLine="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日以货币资金向新国都软件公司增资</w:t>
      </w:r>
      <w:r>
        <w:rPr>
          <w:rFonts w:ascii="宋体" w:hAnsi="宋体" w:cs="宋体" w:eastAsia="宋体" w:hint="default"/>
          <w:spacing w:val="-50"/>
          <w:sz w:val="18"/>
          <w:szCs w:val="18"/>
        </w:rPr>
        <w:t> </w:t>
      </w:r>
      <w:r>
        <w:rPr>
          <w:rFonts w:ascii="宋体" w:hAnsi="宋体" w:cs="宋体" w:eastAsia="宋体" w:hint="default"/>
          <w:sz w:val="18"/>
          <w:szCs w:val="18"/>
        </w:rPr>
        <w:t>950</w:t>
      </w:r>
      <w:r>
        <w:rPr>
          <w:rFonts w:ascii="宋体" w:hAnsi="宋体" w:cs="宋体" w:eastAsia="宋体" w:hint="default"/>
          <w:spacing w:val="-49"/>
          <w:sz w:val="18"/>
          <w:szCs w:val="18"/>
        </w:rPr>
        <w:t> </w:t>
      </w:r>
      <w:r>
        <w:rPr>
          <w:rFonts w:ascii="宋体" w:hAnsi="宋体" w:cs="宋体" w:eastAsia="宋体" w:hint="default"/>
          <w:sz w:val="18"/>
          <w:szCs w:val="18"/>
        </w:rPr>
        <w:t>万元，此次增资业经深圳恒平会计师事</w:t>
      </w:r>
    </w:p>
    <w:p>
      <w:pPr>
        <w:spacing w:line="316" w:lineRule="auto" w:before="76"/>
        <w:ind w:left="402" w:right="978" w:firstLine="0"/>
        <w:jc w:val="left"/>
        <w:rPr>
          <w:rFonts w:ascii="宋体" w:hAnsi="宋体" w:cs="宋体" w:eastAsia="宋体" w:hint="default"/>
          <w:sz w:val="18"/>
          <w:szCs w:val="18"/>
        </w:rPr>
      </w:pPr>
      <w:r>
        <w:rPr>
          <w:rFonts w:ascii="宋体" w:hAnsi="宋体" w:cs="宋体" w:eastAsia="宋体" w:hint="default"/>
          <w:sz w:val="18"/>
          <w:szCs w:val="18"/>
        </w:rPr>
        <w:t>务所深恒平所</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w:t>
      </w:r>
      <w:r>
        <w:rPr>
          <w:rFonts w:ascii="宋体" w:hAnsi="宋体" w:cs="宋体" w:eastAsia="宋体" w:hint="default"/>
          <w:sz w:val="18"/>
          <w:szCs w:val="18"/>
        </w:rPr>
        <w:t>验字</w:t>
      </w:r>
      <w:r>
        <w:rPr>
          <w:rFonts w:ascii="宋体" w:hAnsi="宋体" w:cs="宋体" w:eastAsia="宋体" w:hint="default"/>
          <w:sz w:val="18"/>
          <w:szCs w:val="18"/>
        </w:rPr>
        <w:t>[2009]22</w:t>
      </w:r>
      <w:r>
        <w:rPr>
          <w:rFonts w:ascii="宋体" w:hAnsi="宋体" w:cs="宋体" w:eastAsia="宋体" w:hint="default"/>
          <w:spacing w:val="-42"/>
          <w:sz w:val="18"/>
          <w:szCs w:val="18"/>
        </w:rPr>
        <w:t> </w:t>
      </w:r>
      <w:r>
        <w:rPr>
          <w:rFonts w:ascii="宋体" w:hAnsi="宋体" w:cs="宋体" w:eastAsia="宋体" w:hint="default"/>
          <w:sz w:val="18"/>
          <w:szCs w:val="18"/>
        </w:rPr>
        <w:t>号验资报告验证，并于</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日完成工商变更手续，增资完成后本公 司对新国都软件公司投资额为</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万元，持股比例</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316" w:lineRule="auto" w:before="19"/>
        <w:ind w:left="402" w:right="987" w:firstLine="359"/>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0"/>
          <w:sz w:val="18"/>
          <w:szCs w:val="18"/>
        </w:rPr>
        <w:t> </w:t>
      </w: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日以货币资金向新国都软件公司增资</w:t>
      </w:r>
      <w:r>
        <w:rPr>
          <w:rFonts w:ascii="宋体" w:hAnsi="宋体" w:cs="宋体" w:eastAsia="宋体" w:hint="default"/>
          <w:spacing w:val="-50"/>
          <w:sz w:val="18"/>
          <w:szCs w:val="18"/>
        </w:rPr>
        <w:t> </w:t>
      </w:r>
      <w:r>
        <w:rPr>
          <w:rFonts w:ascii="宋体" w:hAnsi="宋体" w:cs="宋体" w:eastAsia="宋体" w:hint="default"/>
          <w:sz w:val="18"/>
          <w:szCs w:val="18"/>
        </w:rPr>
        <w:t>10,000</w:t>
      </w:r>
      <w:r>
        <w:rPr>
          <w:rFonts w:ascii="宋体" w:hAnsi="宋体" w:cs="宋体" w:eastAsia="宋体" w:hint="default"/>
          <w:spacing w:val="-48"/>
          <w:sz w:val="18"/>
          <w:szCs w:val="18"/>
        </w:rPr>
        <w:t> </w:t>
      </w:r>
      <w:r>
        <w:rPr>
          <w:rFonts w:ascii="宋体" w:hAnsi="宋体" w:cs="宋体" w:eastAsia="宋体" w:hint="default"/>
          <w:sz w:val="18"/>
          <w:szCs w:val="18"/>
        </w:rPr>
        <w:t>万元，此次增资业经立信大华会计师 </w:t>
      </w:r>
      <w:r>
        <w:rPr>
          <w:rFonts w:ascii="宋体" w:hAnsi="宋体" w:cs="宋体" w:eastAsia="宋体" w:hint="default"/>
          <w:spacing w:val="4"/>
          <w:sz w:val="18"/>
          <w:szCs w:val="18"/>
        </w:rPr>
        <w:t>事务所有限公司立信大华验字</w:t>
      </w:r>
      <w:r>
        <w:rPr>
          <w:rFonts w:ascii="宋体" w:hAnsi="宋体" w:cs="宋体" w:eastAsia="宋体" w:hint="default"/>
          <w:spacing w:val="4"/>
          <w:sz w:val="18"/>
          <w:szCs w:val="18"/>
        </w:rPr>
        <w:t>[2011]121</w:t>
      </w:r>
      <w:r>
        <w:rPr>
          <w:rFonts w:ascii="宋体" w:hAnsi="宋体" w:cs="宋体" w:eastAsia="宋体" w:hint="default"/>
          <w:spacing w:val="26"/>
          <w:sz w:val="18"/>
          <w:szCs w:val="18"/>
        </w:rPr>
        <w:t> </w:t>
      </w:r>
      <w:r>
        <w:rPr>
          <w:rFonts w:ascii="宋体" w:hAnsi="宋体" w:cs="宋体" w:eastAsia="宋体" w:hint="default"/>
          <w:spacing w:val="7"/>
          <w:sz w:val="18"/>
          <w:szCs w:val="18"/>
        </w:rPr>
        <w:t>号验资报告验证，增资完成后本公司对新国都软件公司投资额为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11,000</w:t>
      </w:r>
      <w:r>
        <w:rPr>
          <w:rFonts w:ascii="宋体" w:hAnsi="宋体" w:cs="宋体" w:eastAsia="宋体" w:hint="default"/>
          <w:spacing w:val="-43"/>
          <w:sz w:val="18"/>
          <w:szCs w:val="18"/>
        </w:rPr>
        <w:t> </w:t>
      </w:r>
      <w:r>
        <w:rPr>
          <w:rFonts w:ascii="宋体" w:hAnsi="宋体" w:cs="宋体" w:eastAsia="宋体" w:hint="default"/>
          <w:sz w:val="18"/>
          <w:szCs w:val="18"/>
        </w:rPr>
        <w:t>万元，持股比例</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before="19"/>
        <w:ind w:left="761" w:right="145"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日新国都软件公司更名为深圳市易联技术有限公司，已办理完毕工商变更。</w:t>
      </w:r>
    </w:p>
    <w:p>
      <w:pPr>
        <w:spacing w:line="316" w:lineRule="auto" w:before="76"/>
        <w:ind w:left="402" w:right="958" w:firstLine="35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pacing w:val="-3"/>
          <w:sz w:val="18"/>
          <w:szCs w:val="18"/>
        </w:rPr>
        <w:t>南京市新国都技术有限公司</w:t>
      </w:r>
      <w:r>
        <w:rPr>
          <w:rFonts w:ascii="宋体" w:hAnsi="宋体" w:cs="宋体" w:eastAsia="宋体" w:hint="default"/>
          <w:spacing w:val="-3"/>
          <w:sz w:val="18"/>
          <w:szCs w:val="18"/>
        </w:rPr>
        <w:t>(</w:t>
      </w:r>
      <w:r>
        <w:rPr>
          <w:rFonts w:ascii="宋体" w:hAnsi="宋体" w:cs="宋体" w:eastAsia="宋体" w:hint="default"/>
          <w:spacing w:val="-3"/>
          <w:sz w:val="18"/>
          <w:szCs w:val="18"/>
        </w:rPr>
        <w:t>以下简称“南京新国都公司”</w:t>
      </w:r>
      <w:r>
        <w:rPr>
          <w:rFonts w:ascii="宋体" w:hAnsi="宋体" w:cs="宋体" w:eastAsia="宋体" w:hint="default"/>
          <w:spacing w:val="-3"/>
          <w:sz w:val="18"/>
          <w:szCs w:val="18"/>
        </w:rPr>
        <w:t>)</w:t>
      </w:r>
      <w:r>
        <w:rPr>
          <w:rFonts w:ascii="宋体" w:hAnsi="宋体" w:cs="宋体" w:eastAsia="宋体" w:hint="default"/>
          <w:spacing w:val="-3"/>
          <w:sz w:val="18"/>
          <w:szCs w:val="18"/>
        </w:rPr>
        <w:t>由本公司于</w:t>
      </w:r>
      <w:r>
        <w:rPr>
          <w:rFonts w:ascii="宋体" w:hAnsi="宋体" w:cs="宋体" w:eastAsia="宋体" w:hint="default"/>
          <w:spacing w:val="-43"/>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日出资</w:t>
      </w:r>
      <w:r>
        <w:rPr>
          <w:rFonts w:ascii="宋体" w:hAnsi="宋体" w:cs="宋体" w:eastAsia="宋体" w:hint="default"/>
          <w:spacing w:val="-44"/>
          <w:sz w:val="18"/>
          <w:szCs w:val="18"/>
        </w:rPr>
        <w:t> </w:t>
      </w:r>
      <w:r>
        <w:rPr>
          <w:rFonts w:ascii="宋体" w:hAnsi="宋体" w:cs="宋体" w:eastAsia="宋体" w:hint="default"/>
          <w:sz w:val="18"/>
          <w:szCs w:val="18"/>
        </w:rPr>
        <w:t>300</w:t>
      </w:r>
      <w:r>
        <w:rPr>
          <w:rFonts w:ascii="宋体" w:hAnsi="宋体" w:cs="宋体" w:eastAsia="宋体" w:hint="default"/>
          <w:spacing w:val="-42"/>
          <w:sz w:val="18"/>
          <w:szCs w:val="18"/>
        </w:rPr>
        <w:t> </w:t>
      </w:r>
      <w:r>
        <w:rPr>
          <w:rFonts w:ascii="宋体" w:hAnsi="宋体" w:cs="宋体" w:eastAsia="宋体" w:hint="default"/>
          <w:sz w:val="18"/>
          <w:szCs w:val="18"/>
        </w:rPr>
        <w:t>万元 设立，投资比例</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z w:val="18"/>
          <w:szCs w:val="18"/>
        </w:rPr>
        <w:t>，该出资业经南京天正会计师事务所有限公司天正内资验</w:t>
      </w:r>
      <w:r>
        <w:rPr>
          <w:rFonts w:ascii="宋体" w:hAnsi="宋体" w:cs="宋体" w:eastAsia="宋体" w:hint="default"/>
          <w:sz w:val="18"/>
          <w:szCs w:val="18"/>
        </w:rPr>
        <w:t>(2009)5-024</w:t>
      </w:r>
      <w:r>
        <w:rPr>
          <w:rFonts w:ascii="宋体" w:hAnsi="宋体" w:cs="宋体" w:eastAsia="宋体" w:hint="default"/>
          <w:spacing w:val="-47"/>
          <w:sz w:val="18"/>
          <w:szCs w:val="18"/>
        </w:rPr>
        <w:t> </w:t>
      </w:r>
      <w:r>
        <w:rPr>
          <w:rFonts w:ascii="宋体" w:hAnsi="宋体" w:cs="宋体" w:eastAsia="宋体" w:hint="default"/>
          <w:sz w:val="18"/>
          <w:szCs w:val="18"/>
        </w:rPr>
        <w:t>号验资报告验证。 本公司于</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日以货币资金向南京新国都公司增资</w:t>
      </w:r>
      <w:r>
        <w:rPr>
          <w:rFonts w:ascii="宋体" w:hAnsi="宋体" w:cs="宋体" w:eastAsia="宋体" w:hint="default"/>
          <w:spacing w:val="-49"/>
          <w:sz w:val="18"/>
          <w:szCs w:val="18"/>
        </w:rPr>
        <w:t> </w:t>
      </w:r>
      <w:r>
        <w:rPr>
          <w:rFonts w:ascii="宋体" w:hAnsi="宋体" w:cs="宋体" w:eastAsia="宋体" w:hint="default"/>
          <w:sz w:val="18"/>
          <w:szCs w:val="18"/>
        </w:rPr>
        <w:t>1,000</w:t>
      </w:r>
      <w:r>
        <w:rPr>
          <w:rFonts w:ascii="宋体" w:hAnsi="宋体" w:cs="宋体" w:eastAsia="宋体" w:hint="default"/>
          <w:spacing w:val="-49"/>
          <w:sz w:val="18"/>
          <w:szCs w:val="18"/>
        </w:rPr>
        <w:t> </w:t>
      </w:r>
      <w:r>
        <w:rPr>
          <w:rFonts w:ascii="宋体" w:hAnsi="宋体" w:cs="宋体" w:eastAsia="宋体" w:hint="default"/>
          <w:sz w:val="18"/>
          <w:szCs w:val="18"/>
        </w:rPr>
        <w:t>万元，此次增资业经江苏鼎信会计师</w:t>
      </w:r>
    </w:p>
    <w:p>
      <w:pPr>
        <w:spacing w:line="316" w:lineRule="auto" w:before="19"/>
        <w:ind w:left="402" w:right="989" w:firstLine="0"/>
        <w:jc w:val="left"/>
        <w:rPr>
          <w:rFonts w:ascii="宋体" w:hAnsi="宋体" w:cs="宋体" w:eastAsia="宋体" w:hint="default"/>
          <w:sz w:val="18"/>
          <w:szCs w:val="18"/>
        </w:rPr>
      </w:pPr>
      <w:r>
        <w:rPr>
          <w:rFonts w:ascii="宋体" w:hAnsi="宋体" w:cs="宋体" w:eastAsia="宋体" w:hint="default"/>
          <w:sz w:val="18"/>
          <w:szCs w:val="18"/>
        </w:rPr>
        <w:t>事务所苏鼎验</w:t>
      </w:r>
      <w:r>
        <w:rPr>
          <w:rFonts w:ascii="宋体" w:hAnsi="宋体" w:cs="宋体" w:eastAsia="宋体" w:hint="default"/>
          <w:sz w:val="18"/>
          <w:szCs w:val="18"/>
        </w:rPr>
        <w:t>(2009)196</w:t>
      </w:r>
      <w:r>
        <w:rPr>
          <w:rFonts w:ascii="宋体" w:hAnsi="宋体" w:cs="宋体" w:eastAsia="宋体" w:hint="default"/>
          <w:spacing w:val="-44"/>
          <w:sz w:val="18"/>
          <w:szCs w:val="18"/>
        </w:rPr>
        <w:t> </w:t>
      </w:r>
      <w:r>
        <w:rPr>
          <w:rFonts w:ascii="宋体" w:hAnsi="宋体" w:cs="宋体" w:eastAsia="宋体" w:hint="default"/>
          <w:sz w:val="18"/>
          <w:szCs w:val="18"/>
        </w:rPr>
        <w:t>号验资报告验证，并于</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号完成工商变更手续，此次增资完成后本公司 对南京新国都公司投资额为</w:t>
      </w:r>
      <w:r>
        <w:rPr>
          <w:rFonts w:ascii="宋体" w:hAnsi="宋体" w:cs="宋体" w:eastAsia="宋体" w:hint="default"/>
          <w:spacing w:val="-46"/>
          <w:sz w:val="18"/>
          <w:szCs w:val="18"/>
        </w:rPr>
        <w:t>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万元，持股比例</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319" w:lineRule="auto" w:before="19"/>
        <w:ind w:left="402" w:right="985" w:firstLine="359"/>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7"/>
          <w:sz w:val="18"/>
          <w:szCs w:val="18"/>
        </w:rPr>
        <w:t> </w:t>
      </w:r>
      <w:r>
        <w:rPr>
          <w:rFonts w:ascii="宋体" w:hAnsi="宋体" w:cs="宋体" w:eastAsia="宋体" w:hint="default"/>
          <w:sz w:val="18"/>
          <w:szCs w:val="18"/>
        </w:rPr>
        <w:t>广州市新国都信息科技有限公司</w:t>
      </w:r>
      <w:r>
        <w:rPr>
          <w:rFonts w:ascii="宋体" w:hAnsi="宋体" w:cs="宋体" w:eastAsia="宋体" w:hint="default"/>
          <w:sz w:val="18"/>
          <w:szCs w:val="18"/>
        </w:rPr>
        <w:t>(</w:t>
      </w:r>
      <w:r>
        <w:rPr>
          <w:rFonts w:ascii="宋体" w:hAnsi="宋体" w:cs="宋体" w:eastAsia="宋体" w:hint="default"/>
          <w:sz w:val="18"/>
          <w:szCs w:val="18"/>
        </w:rPr>
        <w:t>以下简称“广州新国都公司”</w:t>
      </w:r>
      <w:r>
        <w:rPr>
          <w:rFonts w:ascii="宋体" w:hAnsi="宋体" w:cs="宋体" w:eastAsia="宋体" w:hint="default"/>
          <w:sz w:val="18"/>
          <w:szCs w:val="18"/>
        </w:rPr>
        <w:t>)</w:t>
      </w:r>
      <w:r>
        <w:rPr>
          <w:rFonts w:ascii="宋体" w:hAnsi="宋体" w:cs="宋体" w:eastAsia="宋体" w:hint="default"/>
          <w:sz w:val="18"/>
          <w:szCs w:val="18"/>
        </w:rPr>
        <w:t>由本公司于</w:t>
      </w:r>
      <w:r>
        <w:rPr>
          <w:rFonts w:ascii="宋体" w:hAnsi="宋体" w:cs="宋体" w:eastAsia="宋体" w:hint="default"/>
          <w:spacing w:val="-38"/>
          <w:sz w:val="18"/>
          <w:szCs w:val="18"/>
        </w:rPr>
        <w:t> </w:t>
      </w:r>
      <w:r>
        <w:rPr>
          <w:rFonts w:ascii="宋体" w:hAnsi="宋体" w:cs="宋体" w:eastAsia="宋体" w:hint="default"/>
          <w:sz w:val="18"/>
          <w:szCs w:val="18"/>
        </w:rPr>
        <w:t>2009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7</w:t>
      </w:r>
      <w:r>
        <w:rPr>
          <w:rFonts w:ascii="宋体" w:hAnsi="宋体" w:cs="宋体" w:eastAsia="宋体" w:hint="default"/>
          <w:spacing w:val="-37"/>
          <w:sz w:val="18"/>
          <w:szCs w:val="18"/>
        </w:rPr>
        <w:t> </w:t>
      </w:r>
      <w:r>
        <w:rPr>
          <w:rFonts w:ascii="宋体" w:hAnsi="宋体" w:cs="宋体" w:eastAsia="宋体" w:hint="default"/>
          <w:sz w:val="18"/>
          <w:szCs w:val="18"/>
        </w:rPr>
        <w:t>日出资</w:t>
      </w:r>
      <w:r>
        <w:rPr>
          <w:rFonts w:ascii="宋体" w:hAnsi="宋体" w:cs="宋体" w:eastAsia="宋体" w:hint="default"/>
          <w:spacing w:val="-38"/>
          <w:sz w:val="18"/>
          <w:szCs w:val="18"/>
        </w:rPr>
        <w:t> </w:t>
      </w:r>
      <w:r>
        <w:rPr>
          <w:rFonts w:ascii="宋体" w:hAnsi="宋体" w:cs="宋体" w:eastAsia="宋体" w:hint="default"/>
          <w:sz w:val="18"/>
          <w:szCs w:val="18"/>
        </w:rPr>
        <w:t>300 </w:t>
      </w:r>
      <w:r>
        <w:rPr>
          <w:rFonts w:ascii="宋体" w:hAnsi="宋体" w:cs="宋体" w:eastAsia="宋体" w:hint="default"/>
          <w:sz w:val="18"/>
          <w:szCs w:val="18"/>
        </w:rPr>
        <w:t>万元设立，投资比例</w:t>
      </w:r>
      <w:r>
        <w:rPr>
          <w:rFonts w:ascii="宋体" w:hAnsi="宋体" w:cs="宋体" w:eastAsia="宋体" w:hint="default"/>
          <w:spacing w:val="-41"/>
          <w:sz w:val="18"/>
          <w:szCs w:val="18"/>
        </w:rPr>
        <w:t> </w:t>
      </w:r>
      <w:r>
        <w:rPr>
          <w:rFonts w:ascii="宋体" w:hAnsi="宋体" w:cs="宋体" w:eastAsia="宋体" w:hint="default"/>
          <w:sz w:val="18"/>
          <w:szCs w:val="18"/>
        </w:rPr>
        <w:t>100%</w:t>
      </w:r>
      <w:r>
        <w:rPr>
          <w:rFonts w:ascii="宋体" w:hAnsi="宋体" w:cs="宋体" w:eastAsia="宋体" w:hint="default"/>
          <w:sz w:val="18"/>
          <w:szCs w:val="18"/>
        </w:rPr>
        <w:t>，该出资业经广州海正会计师事务所有限公司海会验字</w:t>
      </w:r>
      <w:r>
        <w:rPr>
          <w:rFonts w:ascii="宋体" w:hAnsi="宋体" w:cs="宋体" w:eastAsia="宋体" w:hint="default"/>
          <w:sz w:val="18"/>
          <w:szCs w:val="18"/>
        </w:rPr>
        <w:t>(2009)</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宋体" w:hAnsi="宋体" w:cs="宋体" w:eastAsia="宋体" w:hint="default"/>
          <w:sz w:val="18"/>
          <w:szCs w:val="18"/>
        </w:rPr>
        <w:t>X044</w:t>
      </w:r>
      <w:r>
        <w:rPr>
          <w:rFonts w:ascii="宋体" w:hAnsi="宋体" w:cs="宋体" w:eastAsia="宋体" w:hint="default"/>
          <w:spacing w:val="-40"/>
          <w:sz w:val="18"/>
          <w:szCs w:val="18"/>
        </w:rPr>
        <w:t> </w:t>
      </w:r>
      <w:r>
        <w:rPr>
          <w:rFonts w:ascii="宋体" w:hAnsi="宋体" w:cs="宋体" w:eastAsia="宋体" w:hint="default"/>
          <w:sz w:val="18"/>
          <w:szCs w:val="18"/>
        </w:rPr>
        <w:t>号验资报告验 证。</w:t>
      </w:r>
    </w:p>
    <w:p>
      <w:pPr>
        <w:spacing w:before="17"/>
        <w:ind w:left="761" w:right="145"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pacing w:val="-3"/>
          <w:sz w:val="18"/>
          <w:szCs w:val="18"/>
        </w:rPr>
        <w:t>苏州新国都电子技术有限公司</w:t>
      </w:r>
      <w:r>
        <w:rPr>
          <w:rFonts w:ascii="宋体" w:hAnsi="宋体" w:cs="宋体" w:eastAsia="宋体" w:hint="default"/>
          <w:spacing w:val="-3"/>
          <w:sz w:val="18"/>
          <w:szCs w:val="18"/>
        </w:rPr>
        <w:t>(</w:t>
      </w:r>
      <w:r>
        <w:rPr>
          <w:rFonts w:ascii="宋体" w:hAnsi="宋体" w:cs="宋体" w:eastAsia="宋体" w:hint="default"/>
          <w:spacing w:val="-3"/>
          <w:sz w:val="18"/>
          <w:szCs w:val="18"/>
        </w:rPr>
        <w:t>以下简称“苏州新国都公司”</w:t>
      </w:r>
      <w:r>
        <w:rPr>
          <w:rFonts w:ascii="宋体" w:hAnsi="宋体" w:cs="宋体" w:eastAsia="宋体" w:hint="default"/>
          <w:spacing w:val="-3"/>
          <w:sz w:val="18"/>
          <w:szCs w:val="18"/>
        </w:rPr>
        <w:t>)</w:t>
      </w:r>
      <w:r>
        <w:rPr>
          <w:rFonts w:ascii="宋体" w:hAnsi="宋体" w:cs="宋体" w:eastAsia="宋体" w:hint="default"/>
          <w:spacing w:val="-3"/>
          <w:sz w:val="18"/>
          <w:szCs w:val="18"/>
        </w:rPr>
        <w:t>由本公司于</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日与苏州君宝</w:t>
      </w:r>
    </w:p>
    <w:p>
      <w:pPr>
        <w:spacing w:line="316" w:lineRule="auto" w:before="76"/>
        <w:ind w:left="402" w:right="981" w:firstLine="0"/>
        <w:jc w:val="left"/>
        <w:rPr>
          <w:rFonts w:ascii="宋体" w:hAnsi="宋体" w:cs="宋体" w:eastAsia="宋体" w:hint="default"/>
          <w:sz w:val="18"/>
          <w:szCs w:val="18"/>
        </w:rPr>
      </w:pPr>
      <w:r>
        <w:rPr>
          <w:rFonts w:ascii="宋体" w:hAnsi="宋体" w:cs="宋体" w:eastAsia="宋体" w:hint="default"/>
          <w:sz w:val="18"/>
          <w:szCs w:val="18"/>
        </w:rPr>
        <w:t>投资有限公司共同出资设立，注册资本</w:t>
      </w:r>
      <w:r>
        <w:rPr>
          <w:rFonts w:ascii="宋体" w:hAnsi="宋体" w:cs="宋体" w:eastAsia="宋体" w:hint="default"/>
          <w:spacing w:val="-51"/>
          <w:sz w:val="18"/>
          <w:szCs w:val="18"/>
        </w:rPr>
        <w:t> </w:t>
      </w:r>
      <w:r>
        <w:rPr>
          <w:rFonts w:ascii="宋体" w:hAnsi="宋体" w:cs="宋体" w:eastAsia="宋体" w:hint="default"/>
          <w:sz w:val="18"/>
          <w:szCs w:val="18"/>
        </w:rPr>
        <w:t>1.5</w:t>
      </w:r>
      <w:r>
        <w:rPr>
          <w:rFonts w:ascii="宋体" w:hAnsi="宋体" w:cs="宋体" w:eastAsia="宋体" w:hint="default"/>
          <w:spacing w:val="-51"/>
          <w:sz w:val="18"/>
          <w:szCs w:val="18"/>
        </w:rPr>
        <w:t> </w:t>
      </w:r>
      <w:r>
        <w:rPr>
          <w:rFonts w:ascii="宋体" w:hAnsi="宋体" w:cs="宋体" w:eastAsia="宋体" w:hint="default"/>
          <w:sz w:val="18"/>
          <w:szCs w:val="18"/>
        </w:rPr>
        <w:t>亿，实收资本人民币</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50"/>
          <w:sz w:val="18"/>
          <w:szCs w:val="18"/>
        </w:rPr>
        <w:t> </w:t>
      </w:r>
      <w:r>
        <w:rPr>
          <w:rFonts w:ascii="宋体" w:hAnsi="宋体" w:cs="宋体" w:eastAsia="宋体" w:hint="default"/>
          <w:sz w:val="18"/>
          <w:szCs w:val="18"/>
        </w:rPr>
        <w:t>万元，本公司出资</w:t>
      </w:r>
      <w:r>
        <w:rPr>
          <w:rFonts w:ascii="宋体" w:hAnsi="宋体" w:cs="宋体" w:eastAsia="宋体" w:hint="default"/>
          <w:spacing w:val="-53"/>
          <w:sz w:val="18"/>
          <w:szCs w:val="18"/>
        </w:rPr>
        <w:t> </w:t>
      </w:r>
      <w:r>
        <w:rPr>
          <w:rFonts w:ascii="宋体" w:hAnsi="宋体" w:cs="宋体" w:eastAsia="宋体" w:hint="default"/>
          <w:sz w:val="18"/>
          <w:szCs w:val="18"/>
        </w:rPr>
        <w:t>2,700</w:t>
      </w:r>
      <w:r>
        <w:rPr>
          <w:rFonts w:ascii="宋体" w:hAnsi="宋体" w:cs="宋体" w:eastAsia="宋体" w:hint="default"/>
          <w:spacing w:val="-50"/>
          <w:sz w:val="18"/>
          <w:szCs w:val="18"/>
        </w:rPr>
        <w:t> </w:t>
      </w:r>
      <w:r>
        <w:rPr>
          <w:rFonts w:ascii="宋体" w:hAnsi="宋体" w:cs="宋体" w:eastAsia="宋体" w:hint="default"/>
          <w:sz w:val="18"/>
          <w:szCs w:val="18"/>
        </w:rPr>
        <w:t>万元，持股比 例</w:t>
      </w:r>
      <w:r>
        <w:rPr>
          <w:rFonts w:ascii="宋体" w:hAnsi="宋体" w:cs="宋体" w:eastAsia="宋体" w:hint="default"/>
          <w:spacing w:val="-49"/>
          <w:sz w:val="18"/>
          <w:szCs w:val="18"/>
        </w:rPr>
        <w:t> </w:t>
      </w:r>
      <w:r>
        <w:rPr>
          <w:rFonts w:ascii="宋体" w:hAnsi="宋体" w:cs="宋体" w:eastAsia="宋体" w:hint="default"/>
          <w:sz w:val="18"/>
          <w:szCs w:val="18"/>
        </w:rPr>
        <w:t>90%</w:t>
      </w:r>
      <w:r>
        <w:rPr>
          <w:rFonts w:ascii="宋体" w:hAnsi="宋体" w:cs="宋体" w:eastAsia="宋体" w:hint="default"/>
          <w:sz w:val="18"/>
          <w:szCs w:val="18"/>
        </w:rPr>
        <w:t>，该出资业经江苏鼎信会计师事务所苏鼎验</w:t>
      </w:r>
      <w:r>
        <w:rPr>
          <w:rFonts w:ascii="宋体" w:hAnsi="宋体" w:cs="宋体" w:eastAsia="宋体" w:hint="default"/>
          <w:sz w:val="18"/>
          <w:szCs w:val="18"/>
        </w:rPr>
        <w:t>(2011)303</w:t>
      </w:r>
      <w:r>
        <w:rPr>
          <w:rFonts w:ascii="宋体" w:hAnsi="宋体" w:cs="宋体" w:eastAsia="宋体" w:hint="default"/>
          <w:spacing w:val="-47"/>
          <w:sz w:val="18"/>
          <w:szCs w:val="18"/>
        </w:rPr>
        <w:t> </w:t>
      </w:r>
      <w:r>
        <w:rPr>
          <w:rFonts w:ascii="宋体" w:hAnsi="宋体" w:cs="宋体" w:eastAsia="宋体" w:hint="default"/>
          <w:sz w:val="18"/>
          <w:szCs w:val="18"/>
        </w:rPr>
        <w:t>号验资报告验证。</w:t>
      </w:r>
    </w:p>
    <w:p>
      <w:pPr>
        <w:spacing w:line="240" w:lineRule="auto" w:before="0"/>
        <w:rPr>
          <w:rFonts w:ascii="宋体" w:hAnsi="宋体" w:cs="宋体" w:eastAsia="宋体" w:hint="default"/>
          <w:sz w:val="18"/>
          <w:szCs w:val="18"/>
        </w:rPr>
      </w:pPr>
    </w:p>
    <w:p>
      <w:pPr>
        <w:spacing w:before="149"/>
        <w:ind w:left="824" w:right="1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821" w:right="145" w:firstLine="0"/>
        <w:jc w:val="left"/>
        <w:rPr>
          <w:rFonts w:ascii="宋体" w:hAnsi="宋体" w:cs="宋体" w:eastAsia="宋体" w:hint="default"/>
          <w:sz w:val="21"/>
          <w:szCs w:val="21"/>
        </w:rPr>
      </w:pPr>
      <w:r>
        <w:rPr>
          <w:rFonts w:ascii="宋体" w:hAnsi="宋体" w:cs="宋体" w:eastAsia="宋体" w:hint="default"/>
          <w:sz w:val="21"/>
          <w:szCs w:val="21"/>
        </w:rPr>
        <w:t>与上年相比本年新增合并单位</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家，原因为：本公司于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日与苏州君宝投资</w:t>
      </w:r>
    </w:p>
    <w:p>
      <w:pPr>
        <w:spacing w:line="355" w:lineRule="auto" w:before="133"/>
        <w:ind w:left="402" w:right="145" w:firstLine="0"/>
        <w:jc w:val="left"/>
        <w:rPr>
          <w:rFonts w:ascii="宋体" w:hAnsi="宋体" w:cs="宋体" w:eastAsia="宋体" w:hint="default"/>
          <w:sz w:val="21"/>
          <w:szCs w:val="21"/>
        </w:rPr>
      </w:pPr>
      <w:r>
        <w:rPr>
          <w:rFonts w:ascii="宋体" w:hAnsi="宋体" w:cs="宋体" w:eastAsia="宋体" w:hint="default"/>
          <w:spacing w:val="-3"/>
          <w:sz w:val="21"/>
          <w:szCs w:val="21"/>
        </w:rPr>
        <w:t>有限公司共同出资设立苏州新国都电子技术有限公司，注册资本</w:t>
      </w:r>
      <w:r>
        <w:rPr>
          <w:rFonts w:ascii="宋体" w:hAnsi="宋体" w:cs="宋体" w:eastAsia="宋体" w:hint="default"/>
          <w:spacing w:val="-33"/>
          <w:sz w:val="21"/>
          <w:szCs w:val="21"/>
        </w:rPr>
        <w:t> </w:t>
      </w:r>
      <w:r>
        <w:rPr>
          <w:rFonts w:ascii="宋体" w:hAnsi="宋体" w:cs="宋体" w:eastAsia="宋体" w:hint="default"/>
          <w:sz w:val="21"/>
          <w:szCs w:val="21"/>
        </w:rPr>
        <w:t>1.5</w:t>
      </w:r>
      <w:r>
        <w:rPr>
          <w:rFonts w:ascii="宋体" w:hAnsi="宋体" w:cs="宋体" w:eastAsia="宋体" w:hint="default"/>
          <w:spacing w:val="-34"/>
          <w:sz w:val="21"/>
          <w:szCs w:val="21"/>
        </w:rPr>
        <w:t> </w:t>
      </w:r>
      <w:r>
        <w:rPr>
          <w:rFonts w:ascii="宋体" w:hAnsi="宋体" w:cs="宋体" w:eastAsia="宋体" w:hint="default"/>
          <w:spacing w:val="-4"/>
          <w:sz w:val="21"/>
          <w:szCs w:val="21"/>
        </w:rPr>
        <w:t>亿，第一期到位资本</w:t>
      </w:r>
      <w:r>
        <w:rPr>
          <w:rFonts w:ascii="宋体" w:hAnsi="宋体" w:cs="宋体" w:eastAsia="宋体" w:hint="default"/>
          <w:spacing w:val="-33"/>
          <w:sz w:val="21"/>
          <w:szCs w:val="21"/>
        </w:rPr>
        <w:t> </w:t>
      </w:r>
      <w:r>
        <w:rPr>
          <w:rFonts w:ascii="宋体" w:hAnsi="宋体" w:cs="宋体" w:eastAsia="宋体" w:hint="default"/>
          <w:sz w:val="21"/>
          <w:szCs w:val="21"/>
        </w:rPr>
        <w:t>3000</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万元，本公司持股比例</w:t>
      </w:r>
      <w:r>
        <w:rPr>
          <w:rFonts w:ascii="宋体" w:hAnsi="宋体" w:cs="宋体" w:eastAsia="宋体" w:hint="default"/>
          <w:spacing w:val="-55"/>
          <w:sz w:val="21"/>
          <w:szCs w:val="21"/>
        </w:rPr>
        <w:t> </w:t>
      </w:r>
      <w:r>
        <w:rPr>
          <w:rFonts w:ascii="宋体" w:hAnsi="宋体" w:cs="宋体" w:eastAsia="宋体" w:hint="default"/>
          <w:sz w:val="21"/>
          <w:szCs w:val="21"/>
        </w:rPr>
        <w:t>90%</w:t>
      </w:r>
      <w:r>
        <w:rPr>
          <w:rFonts w:ascii="宋体" w:hAnsi="宋体" w:cs="宋体" w:eastAsia="宋体" w:hint="default"/>
          <w:sz w:val="21"/>
          <w:szCs w:val="21"/>
        </w:rPr>
        <w:t>。</w:t>
      </w:r>
    </w:p>
    <w:p>
      <w:pPr>
        <w:spacing w:after="0" w:line="355" w:lineRule="auto"/>
        <w:jc w:val="left"/>
        <w:rPr>
          <w:rFonts w:ascii="宋体" w:hAnsi="宋体" w:cs="宋体" w:eastAsia="宋体" w:hint="default"/>
          <w:sz w:val="21"/>
          <w:szCs w:val="21"/>
        </w:rPr>
        <w:sectPr>
          <w:pgSz w:w="11910" w:h="16840"/>
          <w:pgMar w:header="0" w:footer="1195" w:top="1320" w:bottom="1380" w:left="130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36"/>
        <w:ind w:left="521" w:right="0" w:firstLine="0"/>
        <w:jc w:val="left"/>
        <w:rPr>
          <w:rFonts w:ascii="宋体" w:hAnsi="宋体" w:cs="宋体" w:eastAsia="宋体" w:hint="default"/>
          <w:sz w:val="21"/>
          <w:szCs w:val="21"/>
        </w:rPr>
      </w:pPr>
      <w:r>
        <w:rPr>
          <w:rFonts w:ascii="宋体" w:hAnsi="宋体" w:cs="宋体" w:eastAsia="宋体" w:hint="default"/>
          <w:sz w:val="21"/>
          <w:szCs w:val="21"/>
        </w:rPr>
        <w:t>五、合并财务报表主要项目注释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995"/>
        <w:gridCol w:w="526"/>
        <w:gridCol w:w="1154"/>
        <w:gridCol w:w="665"/>
        <w:gridCol w:w="1884"/>
        <w:gridCol w:w="537"/>
        <w:gridCol w:w="1893"/>
      </w:tblGrid>
      <w:tr>
        <w:trPr>
          <w:trHeight w:val="282" w:hRule="exact"/>
        </w:trPr>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right="816"/>
              <w:jc w:val="right"/>
              <w:rPr>
                <w:rFonts w:ascii="宋体" w:hAnsi="宋体" w:cs="宋体" w:eastAsia="宋体" w:hint="default"/>
                <w:sz w:val="18"/>
                <w:szCs w:val="18"/>
              </w:rPr>
            </w:pPr>
            <w:r>
              <w:rPr>
                <w:rFonts w:ascii="宋体" w:hAnsi="宋体" w:cs="宋体" w:eastAsia="宋体" w:hint="default"/>
                <w:sz w:val="18"/>
                <w:szCs w:val="18"/>
              </w:rPr>
              <w:t>种类</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3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2"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39,850.69</w:t>
            </w:r>
          </w:p>
        </w:tc>
        <w:tc>
          <w:tcPr>
            <w:tcW w:w="537" w:type="dxa"/>
            <w:tcBorders>
              <w:top w:val="nil" w:sz="6" w:space="0" w:color="auto"/>
              <w:left w:val="nil" w:sz="6" w:space="0" w:color="auto"/>
              <w:bottom w:val="nil" w:sz="6" w:space="0" w:color="auto"/>
              <w:right w:val="nil" w:sz="6" w:space="0" w:color="auto"/>
            </w:tcBorders>
          </w:tcPr>
          <w:p>
            <w:pPr/>
          </w:p>
        </w:tc>
        <w:tc>
          <w:tcPr>
            <w:tcW w:w="1893"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142,237.09</w:t>
            </w:r>
          </w:p>
        </w:tc>
      </w:tr>
      <w:tr>
        <w:trPr>
          <w:trHeight w:val="370"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742,421,845.87</w:t>
            </w:r>
          </w:p>
        </w:tc>
        <w:tc>
          <w:tcPr>
            <w:tcW w:w="53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729,272,024.97</w:t>
            </w:r>
          </w:p>
        </w:tc>
      </w:tr>
      <w:tr>
        <w:trPr>
          <w:trHeight w:val="37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12,453,349.10</w:t>
            </w:r>
          </w:p>
        </w:tc>
        <w:tc>
          <w:tcPr>
            <w:tcW w:w="53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4,878,274.20</w:t>
            </w:r>
          </w:p>
        </w:tc>
      </w:tr>
      <w:tr>
        <w:trPr>
          <w:trHeight w:val="39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16"/>
              <w:jc w:val="right"/>
              <w:rPr>
                <w:rFonts w:ascii="宋体" w:hAnsi="宋体" w:cs="宋体" w:eastAsia="宋体" w:hint="default"/>
                <w:sz w:val="18"/>
                <w:szCs w:val="18"/>
              </w:rPr>
            </w:pPr>
            <w:r>
              <w:rPr>
                <w:rFonts w:ascii="宋体" w:hAnsi="宋体" w:cs="宋体" w:eastAsia="宋体" w:hint="default"/>
                <w:sz w:val="18"/>
                <w:szCs w:val="18"/>
              </w:rPr>
              <w:t>合计</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2148" cy="9144"/>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70" cstate="print"/>
                          <a:stretch>
                            <a:fillRect/>
                          </a:stretch>
                        </pic:blipFill>
                        <pic:spPr>
                          <a:xfrm>
                            <a:off x="0" y="0"/>
                            <a:ext cx="119214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3"/>
              <w:ind w:right="29"/>
              <w:jc w:val="right"/>
              <w:rPr>
                <w:rFonts w:ascii="宋体" w:hAnsi="宋体" w:cs="宋体" w:eastAsia="宋体" w:hint="default"/>
                <w:sz w:val="18"/>
                <w:szCs w:val="18"/>
              </w:rPr>
            </w:pPr>
            <w:r>
              <w:rPr>
                <w:rFonts w:ascii="宋体"/>
                <w:spacing w:val="-1"/>
                <w:sz w:val="18"/>
              </w:rPr>
              <w:t>754,915,045.66</w:t>
            </w:r>
          </w:p>
        </w:tc>
        <w:tc>
          <w:tcPr>
            <w:tcW w:w="537" w:type="dxa"/>
            <w:tcBorders>
              <w:top w:val="nil" w:sz="6" w:space="0" w:color="auto"/>
              <w:left w:val="nil" w:sz="6" w:space="0" w:color="auto"/>
              <w:bottom w:val="nil" w:sz="6" w:space="0" w:color="auto"/>
              <w:right w:val="nil" w:sz="6" w:space="0" w:color="auto"/>
            </w:tcBorders>
          </w:tcPr>
          <w:p>
            <w:pPr/>
          </w:p>
        </w:tc>
        <w:tc>
          <w:tcPr>
            <w:tcW w:w="1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right="32"/>
              <w:jc w:val="right"/>
              <w:rPr>
                <w:rFonts w:ascii="宋体" w:hAnsi="宋体" w:cs="宋体" w:eastAsia="宋体" w:hint="default"/>
                <w:sz w:val="18"/>
                <w:szCs w:val="18"/>
              </w:rPr>
            </w:pPr>
            <w:r>
              <w:rPr>
                <w:rFonts w:ascii="宋体"/>
                <w:spacing w:val="-1"/>
                <w:sz w:val="18"/>
              </w:rPr>
              <w:t>734,292,536.26</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410" w:lineRule="auto" w:before="36"/>
        <w:ind w:left="102" w:right="0" w:firstLine="422"/>
        <w:jc w:val="left"/>
        <w:rPr>
          <w:rFonts w:ascii="宋体" w:hAnsi="宋体" w:cs="宋体" w:eastAsia="宋体" w:hint="default"/>
          <w:sz w:val="21"/>
          <w:szCs w:val="21"/>
        </w:rPr>
      </w:pP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期末其他货币资金为银行承兑汇票保证金，在编制现金流量时已将其从期末现金及现金</w:t>
      </w:r>
      <w:r>
        <w:rPr>
          <w:rFonts w:ascii="宋体" w:hAnsi="宋体" w:cs="宋体" w:eastAsia="宋体" w:hint="default"/>
          <w:b/>
          <w:bCs/>
          <w:w w:val="100"/>
          <w:sz w:val="21"/>
          <w:szCs w:val="21"/>
        </w:rPr>
        <w:t> </w:t>
      </w:r>
      <w:r>
        <w:rPr>
          <w:rFonts w:ascii="宋体" w:hAnsi="宋体" w:cs="宋体" w:eastAsia="宋体" w:hint="default"/>
          <w:b/>
          <w:bCs/>
          <w:sz w:val="21"/>
          <w:szCs w:val="21"/>
        </w:rPr>
        <w:t>等价物中扣除。</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2240"/>
        <w:gridCol w:w="1135"/>
        <w:gridCol w:w="2050"/>
        <w:gridCol w:w="1121"/>
        <w:gridCol w:w="2108"/>
      </w:tblGrid>
      <w:tr>
        <w:trPr>
          <w:trHeight w:val="282" w:hRule="exact"/>
        </w:trPr>
        <w:tc>
          <w:tcPr>
            <w:tcW w:w="224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2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135"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12,453,349.10</w:t>
            </w:r>
          </w:p>
        </w:tc>
        <w:tc>
          <w:tcPr>
            <w:tcW w:w="112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31"/>
              <w:jc w:val="right"/>
              <w:rPr>
                <w:rFonts w:ascii="宋体" w:hAnsi="宋体" w:cs="宋体" w:eastAsia="宋体" w:hint="default"/>
                <w:sz w:val="18"/>
                <w:szCs w:val="18"/>
              </w:rPr>
            </w:pPr>
            <w:r>
              <w:rPr>
                <w:rFonts w:ascii="宋体"/>
                <w:spacing w:val="-1"/>
                <w:sz w:val="18"/>
              </w:rPr>
              <w:t>4,878,274.20</w:t>
            </w:r>
          </w:p>
        </w:tc>
      </w:tr>
      <w:tr>
        <w:trPr>
          <w:trHeight w:val="398"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12,453,349.10</w:t>
            </w:r>
          </w:p>
        </w:tc>
        <w:tc>
          <w:tcPr>
            <w:tcW w:w="112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1"/>
              <w:jc w:val="right"/>
              <w:rPr>
                <w:rFonts w:ascii="宋体" w:hAnsi="宋体" w:cs="宋体" w:eastAsia="宋体" w:hint="default"/>
                <w:sz w:val="18"/>
                <w:szCs w:val="18"/>
              </w:rPr>
            </w:pPr>
            <w:r>
              <w:rPr>
                <w:rFonts w:ascii="宋体"/>
                <w:spacing w:val="-1"/>
                <w:sz w:val="18"/>
              </w:rPr>
              <w:t>4,878,274.20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2228"/>
        <w:gridCol w:w="1140"/>
        <w:gridCol w:w="2064"/>
        <w:gridCol w:w="1114"/>
        <w:gridCol w:w="2120"/>
      </w:tblGrid>
      <w:tr>
        <w:trPr>
          <w:trHeight w:val="282" w:hRule="exact"/>
        </w:trPr>
        <w:tc>
          <w:tcPr>
            <w:tcW w:w="222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140"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2" w:hRule="exact"/>
        </w:trPr>
        <w:tc>
          <w:tcPr>
            <w:tcW w:w="222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140"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43,390,886.80</w:t>
            </w:r>
          </w:p>
        </w:tc>
        <w:tc>
          <w:tcPr>
            <w:tcW w:w="1114"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pacing w:val="-1"/>
                <w:sz w:val="18"/>
              </w:rPr>
              <w:t>29,405,693.80</w:t>
            </w:r>
          </w:p>
        </w:tc>
      </w:tr>
      <w:tr>
        <w:trPr>
          <w:trHeight w:val="377" w:hRule="exact"/>
        </w:trPr>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140"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11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1195" w:top="1580" w:bottom="1380" w:left="1600" w:right="1420"/>
        </w:sectPr>
      </w:pPr>
    </w:p>
    <w:p>
      <w:pPr>
        <w:spacing w:line="240" w:lineRule="auto" w:before="1"/>
        <w:rPr>
          <w:rFonts w:ascii="宋体" w:hAnsi="宋体" w:cs="宋体" w:eastAsia="宋体" w:hint="default"/>
          <w:b/>
          <w:bCs/>
          <w:sz w:val="6"/>
          <w:szCs w:val="6"/>
        </w:rPr>
      </w:pPr>
    </w:p>
    <w:tbl>
      <w:tblPr>
        <w:tblW w:w="0" w:type="auto"/>
        <w:jc w:val="left"/>
        <w:tblInd w:w="953" w:type="dxa"/>
        <w:tblLayout w:type="fixed"/>
        <w:tblCellMar>
          <w:top w:w="0" w:type="dxa"/>
          <w:left w:w="0" w:type="dxa"/>
          <w:bottom w:w="0" w:type="dxa"/>
          <w:right w:w="0" w:type="dxa"/>
        </w:tblCellMar>
        <w:tblLook w:val="01E0"/>
      </w:tblPr>
      <w:tblGrid>
        <w:gridCol w:w="2644"/>
        <w:gridCol w:w="2055"/>
        <w:gridCol w:w="1117"/>
        <w:gridCol w:w="2120"/>
      </w:tblGrid>
      <w:tr>
        <w:trPr>
          <w:trHeight w:val="396"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854" w:right="0"/>
              <w:jc w:val="left"/>
              <w:rPr>
                <w:rFonts w:ascii="宋体" w:hAnsi="宋体" w:cs="宋体" w:eastAsia="宋体" w:hint="default"/>
                <w:sz w:val="18"/>
                <w:szCs w:val="18"/>
              </w:rPr>
            </w:pPr>
            <w:r>
              <w:rPr>
                <w:rFonts w:ascii="宋体"/>
                <w:sz w:val="18"/>
              </w:rPr>
              <w:t>43,390,886.80</w:t>
            </w:r>
          </w:p>
        </w:tc>
        <w:tc>
          <w:tcPr>
            <w:tcW w:w="1117"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919" w:right="0"/>
              <w:jc w:val="left"/>
              <w:rPr>
                <w:rFonts w:ascii="宋体" w:hAnsi="宋体" w:cs="宋体" w:eastAsia="宋体" w:hint="default"/>
                <w:sz w:val="18"/>
                <w:szCs w:val="18"/>
              </w:rPr>
            </w:pPr>
            <w:r>
              <w:rPr>
                <w:rFonts w:ascii="宋体"/>
                <w:sz w:val="18"/>
              </w:rPr>
              <w:t>29,405,693.80</w:t>
            </w:r>
          </w:p>
        </w:tc>
      </w:tr>
    </w:tbl>
    <w:p>
      <w:pPr>
        <w:spacing w:line="240" w:lineRule="auto" w:before="13"/>
        <w:rPr>
          <w:rFonts w:ascii="宋体" w:hAnsi="宋体" w:cs="宋体" w:eastAsia="宋体" w:hint="default"/>
          <w:b/>
          <w:bCs/>
          <w:sz w:val="25"/>
          <w:szCs w:val="25"/>
        </w:rPr>
      </w:pPr>
    </w:p>
    <w:p>
      <w:pPr>
        <w:spacing w:before="36"/>
        <w:ind w:left="644" w:right="14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应收票据期末数中无持本公司</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44" w:right="1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期末无质押及背书的应收票据。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22" w:right="145" w:firstLine="422"/>
        <w:jc w:val="left"/>
        <w:rPr>
          <w:rFonts w:ascii="宋体" w:hAnsi="宋体" w:cs="宋体" w:eastAsia="宋体" w:hint="default"/>
          <w:sz w:val="21"/>
          <w:szCs w:val="21"/>
        </w:rPr>
      </w:pPr>
      <w:r>
        <w:rPr>
          <w:rFonts w:ascii="宋体" w:hAnsi="宋体" w:cs="宋体" w:eastAsia="宋体" w:hint="default"/>
          <w:b/>
          <w:bCs/>
          <w:spacing w:val="-1"/>
          <w:sz w:val="21"/>
          <w:szCs w:val="21"/>
        </w:rPr>
        <w:t>3.</w:t>
      </w:r>
      <w:r>
        <w:rPr>
          <w:rFonts w:ascii="宋体" w:hAnsi="宋体" w:cs="宋体" w:eastAsia="宋体" w:hint="default"/>
          <w:b/>
          <w:bCs/>
          <w:spacing w:val="-1"/>
          <w:sz w:val="21"/>
          <w:szCs w:val="21"/>
        </w:rPr>
        <w:t>本期无因出票人无力履约而将票据转为应收账款的票据，以及已经背书给他方但尚未到</w:t>
      </w:r>
      <w:r>
        <w:rPr>
          <w:rFonts w:ascii="宋体" w:hAnsi="宋体" w:cs="宋体" w:eastAsia="宋体" w:hint="default"/>
          <w:b/>
          <w:bCs/>
          <w:w w:val="100"/>
          <w:sz w:val="21"/>
          <w:szCs w:val="21"/>
        </w:rPr>
        <w:t> </w:t>
      </w:r>
      <w:r>
        <w:rPr>
          <w:rFonts w:ascii="宋体" w:hAnsi="宋体" w:cs="宋体" w:eastAsia="宋体" w:hint="default"/>
          <w:b/>
          <w:bCs/>
          <w:sz w:val="21"/>
          <w:szCs w:val="21"/>
        </w:rPr>
        <w:t>期的票据。</w:t>
      </w:r>
      <w:r>
        <w:rPr>
          <w:rFonts w:ascii="宋体" w:hAnsi="宋体" w:cs="宋体" w:eastAsia="宋体" w:hint="default"/>
          <w:sz w:val="21"/>
          <w:szCs w:val="21"/>
        </w:rPr>
      </w:r>
    </w:p>
    <w:p>
      <w:pPr>
        <w:spacing w:before="46"/>
        <w:ind w:left="644" w:right="14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本期无未到期已贴现的应收票据。</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line="408" w:lineRule="auto" w:before="0"/>
        <w:ind w:left="222" w:right="1121" w:firstLine="42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．应收票据期末数比期初数增加</w:t>
      </w:r>
      <w:r>
        <w:rPr>
          <w:rFonts w:ascii="宋体" w:hAnsi="宋体" w:cs="宋体" w:eastAsia="宋体" w:hint="default"/>
          <w:b/>
          <w:bCs/>
          <w:spacing w:val="-39"/>
          <w:sz w:val="21"/>
          <w:szCs w:val="21"/>
        </w:rPr>
        <w:t> </w:t>
      </w:r>
      <w:r>
        <w:rPr>
          <w:rFonts w:ascii="宋体" w:hAnsi="宋体" w:cs="宋体" w:eastAsia="宋体" w:hint="default"/>
          <w:b/>
          <w:bCs/>
          <w:sz w:val="21"/>
          <w:szCs w:val="21"/>
        </w:rPr>
        <w:t>13,985,193.00</w:t>
      </w:r>
      <w:r>
        <w:rPr>
          <w:rFonts w:ascii="宋体" w:hAnsi="宋体" w:cs="宋体" w:eastAsia="宋体" w:hint="default"/>
          <w:b/>
          <w:bCs/>
          <w:spacing w:val="-38"/>
          <w:sz w:val="21"/>
          <w:szCs w:val="21"/>
        </w:rPr>
        <w:t> </w:t>
      </w:r>
      <w:r>
        <w:rPr>
          <w:rFonts w:ascii="宋体" w:hAnsi="宋体" w:cs="宋体" w:eastAsia="宋体" w:hint="default"/>
          <w:b/>
          <w:bCs/>
          <w:sz w:val="21"/>
          <w:szCs w:val="21"/>
        </w:rPr>
        <w:t>元，增幅为</w:t>
      </w:r>
      <w:r>
        <w:rPr>
          <w:rFonts w:ascii="宋体" w:hAnsi="宋体" w:cs="宋体" w:eastAsia="宋体" w:hint="default"/>
          <w:b/>
          <w:bCs/>
          <w:spacing w:val="-39"/>
          <w:sz w:val="21"/>
          <w:szCs w:val="21"/>
        </w:rPr>
        <w:t> </w:t>
      </w:r>
      <w:r>
        <w:rPr>
          <w:rFonts w:ascii="宋体" w:hAnsi="宋体" w:cs="宋体" w:eastAsia="宋体" w:hint="default"/>
          <w:b/>
          <w:bCs/>
          <w:sz w:val="21"/>
          <w:szCs w:val="21"/>
        </w:rPr>
        <w:t>47.56%</w:t>
      </w:r>
      <w:r>
        <w:rPr>
          <w:rFonts w:ascii="宋体" w:hAnsi="宋体" w:cs="宋体" w:eastAsia="宋体" w:hint="default"/>
          <w:b/>
          <w:bCs/>
          <w:sz w:val="21"/>
          <w:szCs w:val="21"/>
        </w:rPr>
        <w:t>，增加原因主要为本</w:t>
      </w:r>
      <w:r>
        <w:rPr>
          <w:rFonts w:ascii="宋体" w:hAnsi="宋体" w:cs="宋体" w:eastAsia="宋体" w:hint="default"/>
          <w:b/>
          <w:bCs/>
          <w:w w:val="100"/>
          <w:sz w:val="21"/>
          <w:szCs w:val="21"/>
        </w:rPr>
        <w:t> </w:t>
      </w:r>
      <w:r>
        <w:rPr>
          <w:rFonts w:ascii="宋体" w:hAnsi="宋体" w:cs="宋体" w:eastAsia="宋体" w:hint="default"/>
          <w:b/>
          <w:bCs/>
          <w:sz w:val="21"/>
          <w:szCs w:val="21"/>
        </w:rPr>
        <w:t>期与银联商务有限公司以票据方式结算的货款增加。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before="0"/>
        <w:ind w:left="644" w:right="1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tbl>
      <w:tblPr>
        <w:tblW w:w="0" w:type="auto"/>
        <w:jc w:val="left"/>
        <w:tblInd w:w="222" w:type="dxa"/>
        <w:tblLayout w:type="fixed"/>
        <w:tblCellMar>
          <w:top w:w="0" w:type="dxa"/>
          <w:left w:w="0" w:type="dxa"/>
          <w:bottom w:w="0" w:type="dxa"/>
          <w:right w:w="0" w:type="dxa"/>
        </w:tblCellMar>
        <w:tblLook w:val="01E0"/>
      </w:tblPr>
      <w:tblGrid>
        <w:gridCol w:w="1995"/>
        <w:gridCol w:w="1768"/>
        <w:gridCol w:w="2224"/>
        <w:gridCol w:w="1392"/>
        <w:gridCol w:w="2283"/>
      </w:tblGrid>
      <w:tr>
        <w:trPr>
          <w:trHeight w:val="282" w:hRule="exact"/>
        </w:trPr>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right="816"/>
              <w:jc w:val="right"/>
              <w:rPr>
                <w:rFonts w:ascii="宋体" w:hAnsi="宋体" w:cs="宋体" w:eastAsia="宋体" w:hint="default"/>
                <w:sz w:val="18"/>
                <w:szCs w:val="18"/>
              </w:rPr>
            </w:pPr>
            <w:r>
              <w:rPr>
                <w:rFonts w:ascii="宋体" w:hAnsi="宋体" w:cs="宋体" w:eastAsia="宋体" w:hint="default"/>
                <w:sz w:val="18"/>
                <w:szCs w:val="18"/>
              </w:rPr>
              <w:t>项目</w:t>
            </w:r>
          </w:p>
        </w:tc>
        <w:tc>
          <w:tcPr>
            <w:tcW w:w="176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92"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0"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884"/>
              <w:jc w:val="right"/>
              <w:rPr>
                <w:rFonts w:ascii="宋体" w:hAnsi="宋体" w:cs="宋体" w:eastAsia="宋体" w:hint="default"/>
                <w:sz w:val="18"/>
                <w:szCs w:val="18"/>
              </w:rPr>
            </w:pPr>
            <w:r>
              <w:rPr>
                <w:rFonts w:ascii="宋体" w:hAnsi="宋体" w:cs="宋体" w:eastAsia="宋体" w:hint="default"/>
                <w:sz w:val="18"/>
                <w:szCs w:val="18"/>
              </w:rPr>
              <w:t>定期存款利息</w:t>
            </w:r>
          </w:p>
        </w:tc>
        <w:tc>
          <w:tcPr>
            <w:tcW w:w="1768"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1,978,055.64</w:t>
            </w:r>
          </w:p>
        </w:tc>
        <w:tc>
          <w:tcPr>
            <w:tcW w:w="1392" w:type="dxa"/>
            <w:tcBorders>
              <w:top w:val="nil" w:sz="6" w:space="0" w:color="auto"/>
              <w:left w:val="nil" w:sz="6" w:space="0" w:color="auto"/>
              <w:bottom w:val="nil" w:sz="6" w:space="0" w:color="auto"/>
              <w:right w:val="nil" w:sz="6" w:space="0" w:color="auto"/>
            </w:tcBorders>
          </w:tcPr>
          <w:p>
            <w:pP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31"/>
              <w:jc w:val="right"/>
              <w:rPr>
                <w:rFonts w:ascii="宋体" w:hAnsi="宋体" w:cs="宋体" w:eastAsia="宋体" w:hint="default"/>
                <w:sz w:val="18"/>
                <w:szCs w:val="18"/>
              </w:rPr>
            </w:pPr>
            <w:r>
              <w:rPr>
                <w:rFonts w:ascii="宋体"/>
                <w:spacing w:val="-1"/>
                <w:sz w:val="18"/>
              </w:rPr>
              <w:t>2,601,026.47</w:t>
            </w:r>
          </w:p>
        </w:tc>
      </w:tr>
      <w:tr>
        <w:trPr>
          <w:trHeight w:val="398"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16"/>
              <w:jc w:val="right"/>
              <w:rPr>
                <w:rFonts w:ascii="宋体" w:hAnsi="宋体" w:cs="宋体" w:eastAsia="宋体" w:hint="default"/>
                <w:sz w:val="18"/>
                <w:szCs w:val="18"/>
              </w:rPr>
            </w:pPr>
            <w:r>
              <w:rPr>
                <w:rFonts w:ascii="宋体" w:hAnsi="宋体" w:cs="宋体" w:eastAsia="宋体" w:hint="default"/>
                <w:sz w:val="18"/>
                <w:szCs w:val="18"/>
              </w:rPr>
              <w:t>合计</w:t>
            </w:r>
          </w:p>
        </w:tc>
        <w:tc>
          <w:tcPr>
            <w:tcW w:w="1768"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1,978,055.64</w:t>
            </w:r>
          </w:p>
        </w:tc>
        <w:tc>
          <w:tcPr>
            <w:tcW w:w="1392" w:type="dxa"/>
            <w:tcBorders>
              <w:top w:val="nil" w:sz="6" w:space="0" w:color="auto"/>
              <w:left w:val="nil" w:sz="6" w:space="0" w:color="auto"/>
              <w:bottom w:val="nil" w:sz="6" w:space="0" w:color="auto"/>
              <w:right w:val="nil" w:sz="6" w:space="0" w:color="auto"/>
            </w:tcBorders>
          </w:tcPr>
          <w:p>
            <w:pPr/>
          </w:p>
        </w:tc>
        <w:tc>
          <w:tcPr>
            <w:tcW w:w="228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0"/>
              <w:jc w:val="right"/>
              <w:rPr>
                <w:rFonts w:ascii="宋体" w:hAnsi="宋体" w:cs="宋体" w:eastAsia="宋体" w:hint="default"/>
                <w:sz w:val="18"/>
                <w:szCs w:val="18"/>
              </w:rPr>
            </w:pPr>
            <w:r>
              <w:rPr>
                <w:rFonts w:ascii="宋体"/>
                <w:spacing w:val="-1"/>
                <w:sz w:val="18"/>
              </w:rPr>
              <w:t>2,601,026.47</w:t>
            </w:r>
          </w:p>
        </w:tc>
      </w:tr>
    </w:tbl>
    <w:p>
      <w:pPr>
        <w:spacing w:line="240" w:lineRule="auto" w:before="2"/>
        <w:rPr>
          <w:rFonts w:ascii="宋体" w:hAnsi="宋体" w:cs="宋体" w:eastAsia="宋体" w:hint="default"/>
          <w:b/>
          <w:bCs/>
          <w:sz w:val="20"/>
          <w:szCs w:val="20"/>
        </w:rPr>
      </w:pPr>
    </w:p>
    <w:p>
      <w:pPr>
        <w:spacing w:line="544" w:lineRule="auto" w:before="36"/>
        <w:ind w:left="644" w:right="71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tbl>
      <w:tblPr>
        <w:tblW w:w="0" w:type="auto"/>
        <w:jc w:val="left"/>
        <w:tblInd w:w="116" w:type="dxa"/>
        <w:tblLayout w:type="fixed"/>
        <w:tblCellMar>
          <w:top w:w="0" w:type="dxa"/>
          <w:left w:w="0" w:type="dxa"/>
          <w:bottom w:w="0" w:type="dxa"/>
          <w:right w:w="0" w:type="dxa"/>
        </w:tblCellMar>
        <w:tblLook w:val="01E0"/>
      </w:tblPr>
      <w:tblGrid>
        <w:gridCol w:w="1786"/>
        <w:gridCol w:w="142"/>
        <w:gridCol w:w="1224"/>
        <w:gridCol w:w="134"/>
        <w:gridCol w:w="888"/>
        <w:gridCol w:w="972"/>
        <w:gridCol w:w="134"/>
        <w:gridCol w:w="600"/>
        <w:gridCol w:w="106"/>
        <w:gridCol w:w="1155"/>
        <w:gridCol w:w="118"/>
        <w:gridCol w:w="564"/>
        <w:gridCol w:w="1104"/>
        <w:gridCol w:w="134"/>
        <w:gridCol w:w="706"/>
      </w:tblGrid>
      <w:tr>
        <w:trPr>
          <w:trHeight w:val="267" w:hRule="exact"/>
        </w:trPr>
        <w:tc>
          <w:tcPr>
            <w:tcW w:w="178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151" w:lineRule="exact"/>
              <w:ind w:left="391"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972"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60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
        </w:tc>
        <w:tc>
          <w:tcPr>
            <w:tcW w:w="1786" w:type="dxa"/>
            <w:gridSpan w:val="3"/>
            <w:tcBorders>
              <w:top w:val="nil" w:sz="6" w:space="0" w:color="auto"/>
              <w:left w:val="nil" w:sz="6" w:space="0" w:color="auto"/>
              <w:bottom w:val="single" w:sz="4" w:space="0" w:color="000000"/>
              <w:right w:val="nil" w:sz="6" w:space="0" w:color="auto"/>
            </w:tcBorders>
          </w:tcPr>
          <w:p>
            <w:pPr>
              <w:pStyle w:val="TableParagraph"/>
              <w:spacing w:line="151" w:lineRule="exact"/>
              <w:ind w:left="50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34" w:type="dxa"/>
            <w:tcBorders>
              <w:top w:val="nil" w:sz="6" w:space="0" w:color="auto"/>
              <w:left w:val="nil" w:sz="6" w:space="0" w:color="auto"/>
              <w:bottom w:val="single" w:sz="4" w:space="0" w:color="000000"/>
              <w:right w:val="nil" w:sz="6" w:space="0" w:color="auto"/>
            </w:tcBorders>
          </w:tcPr>
          <w:p>
            <w:pPr/>
          </w:p>
        </w:tc>
        <w:tc>
          <w:tcPr>
            <w:tcW w:w="706" w:type="dxa"/>
            <w:tcBorders>
              <w:top w:val="nil" w:sz="6" w:space="0" w:color="auto"/>
              <w:left w:val="nil" w:sz="6" w:space="0" w:color="auto"/>
              <w:bottom w:val="single" w:sz="4" w:space="0" w:color="000000"/>
              <w:right w:val="nil" w:sz="6" w:space="0" w:color="auto"/>
            </w:tcBorders>
          </w:tcPr>
          <w:p>
            <w:pPr/>
          </w:p>
        </w:tc>
      </w:tr>
      <w:tr>
        <w:trPr>
          <w:trHeight w:val="377"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34" w:type="dxa"/>
            <w:tcBorders>
              <w:top w:val="single" w:sz="4" w:space="0" w:color="000000"/>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3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1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4" w:type="dxa"/>
            <w:tcBorders>
              <w:top w:val="single" w:sz="4" w:space="0" w:color="000000"/>
              <w:left w:val="nil" w:sz="6" w:space="0" w:color="auto"/>
              <w:bottom w:val="nil" w:sz="6" w:space="0" w:color="auto"/>
              <w:right w:val="nil" w:sz="6" w:space="0" w:color="auto"/>
            </w:tcBorders>
          </w:tcPr>
          <w:p>
            <w:pP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6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118" w:type="dxa"/>
            <w:tcBorders>
              <w:top w:val="single" w:sz="4" w:space="0" w:color="000000"/>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3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0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2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4" w:type="dxa"/>
            <w:tcBorders>
              <w:top w:val="single" w:sz="4" w:space="0" w:color="000000"/>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39"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437"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00" w:lineRule="exact" w:before="3"/>
              <w:ind w:left="31" w:right="24"/>
              <w:jc w:val="left"/>
              <w:rPr>
                <w:rFonts w:ascii="宋体" w:hAnsi="宋体" w:cs="宋体" w:eastAsia="宋体" w:hint="default"/>
                <w:sz w:val="15"/>
                <w:szCs w:val="15"/>
              </w:rPr>
            </w:pPr>
            <w:r>
              <w:rPr>
                <w:rFonts w:ascii="宋体" w:hAnsi="宋体" w:cs="宋体" w:eastAsia="宋体" w:hint="default"/>
                <w:spacing w:val="-8"/>
                <w:w w:val="100"/>
                <w:sz w:val="15"/>
                <w:szCs w:val="15"/>
              </w:rPr>
              <w:t>一、单项金额重大并单项计</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z w:val="15"/>
                <w:szCs w:val="15"/>
              </w:rPr>
              <w:t>提坏账准备的应收账款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28.85pt;height:.5pt;mso-position-horizontal-relative:char;mso-position-vertical-relative:line" coordorigin="0,0" coordsize="577,10">
                  <v:group style="position:absolute;left:5;top:5;width:567;height:2" coordorigin="5,5" coordsize="567,2">
                    <v:shape style="position:absolute;left:5;top:5;width:567;height:2" coordorigin="5,5" coordsize="567,0" path="m5,5l572,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9"/>
              <w:ind w:right="25"/>
              <w:jc w:val="center"/>
              <w:rPr>
                <w:rFonts w:ascii="宋体" w:hAnsi="宋体" w:cs="宋体" w:eastAsia="宋体" w:hint="default"/>
                <w:sz w:val="15"/>
                <w:szCs w:val="15"/>
              </w:rPr>
            </w:pPr>
            <w:r>
              <w:rPr>
                <w:rFonts w:ascii="宋体"/>
                <w:sz w:val="15"/>
              </w:rPr>
              <w:t>---</w:t>
            </w: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5"/>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60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5"/>
                <w:szCs w:val="15"/>
              </w:rPr>
            </w:pPr>
            <w:r>
              <w:rPr>
                <w:rFonts w:ascii="宋体"/>
                <w:spacing w:val="-1"/>
                <w:sz w:val="15"/>
              </w:rPr>
              <w:t>---</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5"/>
              <w:jc w:val="right"/>
              <w:rPr>
                <w:rFonts w:ascii="宋体" w:hAnsi="宋体" w:cs="宋体" w:eastAsia="宋体" w:hint="default"/>
                <w:sz w:val="15"/>
                <w:szCs w:val="15"/>
              </w:rPr>
            </w:pPr>
            <w:r>
              <w:rPr>
                <w:rFonts w:ascii="宋体"/>
                <w:spacing w:val="-1"/>
                <w:sz w:val="15"/>
              </w:rPr>
              <w:t>---</w:t>
            </w: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5"/>
                <w:szCs w:val="15"/>
              </w:rPr>
            </w:pPr>
            <w:r>
              <w:rPr>
                <w:rFonts w:ascii="宋体"/>
                <w:spacing w:val="-1"/>
                <w:sz w:val="15"/>
              </w:rPr>
              <w:t>---</w:t>
            </w:r>
          </w:p>
        </w:tc>
      </w:tr>
      <w:tr>
        <w:trPr>
          <w:trHeight w:val="59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381" w:lineRule="auto" w:before="2"/>
              <w:ind w:left="31" w:right="24"/>
              <w:jc w:val="left"/>
              <w:rPr>
                <w:rFonts w:ascii="宋体" w:hAnsi="宋体" w:cs="宋体" w:eastAsia="宋体" w:hint="default"/>
                <w:sz w:val="15"/>
                <w:szCs w:val="15"/>
              </w:rPr>
            </w:pPr>
            <w:r>
              <w:rPr>
                <w:rFonts w:ascii="宋体" w:hAnsi="宋体" w:cs="宋体" w:eastAsia="宋体" w:hint="default"/>
                <w:spacing w:val="-8"/>
                <w:w w:val="100"/>
                <w:sz w:val="15"/>
                <w:szCs w:val="15"/>
              </w:rPr>
              <w:t>二、按账龄组合计提坏账准</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z w:val="15"/>
                <w:szCs w:val="15"/>
              </w:rPr>
              <w:t>备的应收账款</w:t>
            </w: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151,727,368.58</w:t>
            </w:r>
          </w:p>
        </w:tc>
        <w:tc>
          <w:tcPr>
            <w:tcW w:w="1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242" w:right="0"/>
              <w:jc w:val="left"/>
              <w:rPr>
                <w:rFonts w:ascii="宋体" w:hAnsi="宋体" w:cs="宋体" w:eastAsia="宋体" w:hint="default"/>
                <w:sz w:val="15"/>
                <w:szCs w:val="15"/>
              </w:rPr>
            </w:pPr>
            <w:r>
              <w:rPr>
                <w:rFonts w:ascii="宋体"/>
                <w:sz w:val="15"/>
              </w:rPr>
              <w:t>100%</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8,647,889.93</w:t>
            </w:r>
          </w:p>
        </w:tc>
        <w:tc>
          <w:tcPr>
            <w:tcW w:w="134"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5.70%</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74,493,191.89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3,967,922.39</w:t>
            </w:r>
          </w:p>
        </w:tc>
        <w:tc>
          <w:tcPr>
            <w:tcW w:w="13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5.33%</w:t>
            </w:r>
          </w:p>
        </w:tc>
      </w:tr>
      <w:tr>
        <w:trPr>
          <w:trHeight w:val="958"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381" w:lineRule="auto" w:before="35"/>
              <w:ind w:left="31" w:right="24"/>
              <w:jc w:val="both"/>
              <w:rPr>
                <w:rFonts w:ascii="宋体" w:hAnsi="宋体" w:cs="宋体" w:eastAsia="宋体" w:hint="default"/>
                <w:sz w:val="15"/>
                <w:szCs w:val="15"/>
              </w:rPr>
            </w:pPr>
            <w:r>
              <w:rPr>
                <w:rFonts w:ascii="宋体" w:hAnsi="宋体" w:cs="宋体" w:eastAsia="宋体" w:hint="default"/>
                <w:spacing w:val="-8"/>
                <w:w w:val="100"/>
                <w:sz w:val="15"/>
                <w:szCs w:val="15"/>
              </w:rPr>
              <w:t>三、单项金额虽不重大但单</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pacing w:val="4"/>
                <w:sz w:val="15"/>
                <w:szCs w:val="15"/>
              </w:rPr>
              <w:t>项计提坏账准备的应收账</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款</w:t>
            </w: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7272" cy="9143"/>
                  <wp:effectExtent l="0" t="0" r="0" b="0"/>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71" cstate="print"/>
                          <a:stretch>
                            <a:fillRect/>
                          </a:stretch>
                        </pic:blipFill>
                        <pic:spPr>
                          <a:xfrm>
                            <a:off x="0" y="0"/>
                            <a:ext cx="777272" cy="9143"/>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5"/>
              <w:jc w:val="center"/>
              <w:rPr>
                <w:rFonts w:ascii="宋体" w:hAnsi="宋体" w:cs="宋体" w:eastAsia="宋体" w:hint="default"/>
                <w:sz w:val="15"/>
                <w:szCs w:val="15"/>
              </w:rPr>
            </w:pPr>
            <w:r>
              <w:rPr>
                <w:rFonts w:ascii="宋体"/>
                <w:sz w:val="15"/>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9983" cy="9143"/>
                  <wp:effectExtent l="0" t="0" r="0" b="0"/>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72" cstate="print"/>
                          <a:stretch>
                            <a:fillRect/>
                          </a:stretch>
                        </pic:blipFill>
                        <pic:spPr>
                          <a:xfrm>
                            <a:off x="0" y="0"/>
                            <a:ext cx="359983" cy="9143"/>
                          </a:xfrm>
                          <a:prstGeom prst="rect">
                            <a:avLst/>
                          </a:prstGeom>
                        </pic:spPr>
                      </pic:pic>
                    </a:graphicData>
                  </a:graphic>
                </wp:inline>
              </w:drawing>
            </w:r>
            <w:r>
              <w:rPr>
                <w:rFonts w:ascii="宋体" w:hAnsi="宋体" w:cs="宋体" w:eastAsia="宋体" w:hint="default"/>
                <w:sz w:val="2"/>
                <w:szCs w:val="2"/>
              </w:rPr>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76443" cy="9143"/>
                  <wp:effectExtent l="0" t="0" r="0" b="0"/>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73" cstate="print"/>
                          <a:stretch>
                            <a:fillRect/>
                          </a:stretch>
                        </pic:blipFill>
                        <pic:spPr>
                          <a:xfrm>
                            <a:off x="0" y="0"/>
                            <a:ext cx="376443" cy="9143"/>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9505" cy="9143"/>
                  <wp:effectExtent l="0" t="0" r="0" b="0"/>
                  <wp:docPr id="17" name="image20.png" descr=""/>
                  <wp:cNvGraphicFramePr>
                    <a:graphicFrameLocks noChangeAspect="1"/>
                  </wp:cNvGraphicFramePr>
                  <a:graphic>
                    <a:graphicData uri="http://schemas.openxmlformats.org/drawingml/2006/picture">
                      <pic:pic>
                        <pic:nvPicPr>
                          <pic:cNvPr id="18" name="image20.png"/>
                          <pic:cNvPicPr/>
                        </pic:nvPicPr>
                        <pic:blipFill>
                          <a:blip r:embed="rId74" cstate="print"/>
                          <a:stretch>
                            <a:fillRect/>
                          </a:stretch>
                        </pic:blipFill>
                        <pic:spPr>
                          <a:xfrm>
                            <a:off x="0" y="0"/>
                            <a:ext cx="649505" cy="9143"/>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3502" cy="9143"/>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75" cstate="print"/>
                          <a:stretch>
                            <a:fillRect/>
                          </a:stretch>
                        </pic:blipFill>
                        <pic:spPr>
                          <a:xfrm>
                            <a:off x="0" y="0"/>
                            <a:ext cx="443502" cy="9143"/>
                          </a:xfrm>
                          <a:prstGeom prst="rect">
                            <a:avLst/>
                          </a:prstGeom>
                        </pic:spPr>
                      </pic:pic>
                    </a:graphicData>
                  </a:graphic>
                </wp:inline>
              </w:drawing>
            </w:r>
            <w:r>
              <w:rPr>
                <w:rFonts w:ascii="宋体" w:hAnsi="宋体" w:cs="宋体" w:eastAsia="宋体" w:hint="default"/>
                <w:sz w:val="2"/>
                <w:szCs w:val="2"/>
              </w:rPr>
            </w:r>
          </w:p>
        </w:tc>
      </w:tr>
      <w:tr>
        <w:trPr>
          <w:trHeight w:val="388"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5"/>
                <w:szCs w:val="15"/>
              </w:rPr>
            </w:pPr>
            <w:r>
              <w:rPr>
                <w:rFonts w:ascii="宋体"/>
                <w:spacing w:val="-1"/>
                <w:sz w:val="15"/>
              </w:rPr>
              <w:t>151,727,368.58</w:t>
            </w:r>
          </w:p>
        </w:tc>
        <w:tc>
          <w:tcPr>
            <w:tcW w:w="1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left="242" w:right="0"/>
              <w:jc w:val="left"/>
              <w:rPr>
                <w:rFonts w:ascii="宋体" w:hAnsi="宋体" w:cs="宋体" w:eastAsia="宋体" w:hint="default"/>
                <w:sz w:val="15"/>
                <w:szCs w:val="15"/>
              </w:rPr>
            </w:pPr>
            <w:r>
              <w:rPr>
                <w:rFonts w:ascii="宋体"/>
                <w:sz w:val="15"/>
              </w:rPr>
              <w:t>100%</w:t>
            </w:r>
          </w:p>
        </w:tc>
        <w:tc>
          <w:tcPr>
            <w:tcW w:w="972"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6"/>
              <w:jc w:val="right"/>
              <w:rPr>
                <w:rFonts w:ascii="宋体" w:hAnsi="宋体" w:cs="宋体" w:eastAsia="宋体" w:hint="default"/>
                <w:sz w:val="15"/>
                <w:szCs w:val="15"/>
              </w:rPr>
            </w:pPr>
            <w:r>
              <w:rPr>
                <w:rFonts w:ascii="宋体"/>
                <w:spacing w:val="-2"/>
                <w:sz w:val="15"/>
              </w:rPr>
              <w:t>8,647,889.93</w:t>
            </w:r>
          </w:p>
        </w:tc>
        <w:tc>
          <w:tcPr>
            <w:tcW w:w="134"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5"/>
                <w:szCs w:val="15"/>
              </w:rPr>
            </w:pPr>
            <w:r>
              <w:rPr>
                <w:rFonts w:ascii="宋体"/>
                <w:spacing w:val="-1"/>
                <w:sz w:val="15"/>
              </w:rPr>
              <w:t>5.70%</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5"/>
                <w:szCs w:val="15"/>
              </w:rPr>
            </w:pPr>
            <w:r>
              <w:rPr>
                <w:rFonts w:ascii="宋体"/>
                <w:spacing w:val="-2"/>
                <w:sz w:val="15"/>
              </w:rPr>
              <w:t>74,493,191.89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5"/>
              <w:jc w:val="right"/>
              <w:rPr>
                <w:rFonts w:ascii="宋体" w:hAnsi="宋体" w:cs="宋体" w:eastAsia="宋体" w:hint="default"/>
                <w:sz w:val="15"/>
                <w:szCs w:val="15"/>
              </w:rPr>
            </w:pPr>
            <w:r>
              <w:rPr>
                <w:rFonts w:ascii="宋体"/>
                <w:spacing w:val="-1"/>
                <w:sz w:val="15"/>
              </w:rPr>
              <w:t>100%</w:t>
            </w:r>
          </w:p>
        </w:tc>
        <w:tc>
          <w:tcPr>
            <w:tcW w:w="1104"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30"/>
              <w:jc w:val="right"/>
              <w:rPr>
                <w:rFonts w:ascii="宋体" w:hAnsi="宋体" w:cs="宋体" w:eastAsia="宋体" w:hint="default"/>
                <w:sz w:val="15"/>
                <w:szCs w:val="15"/>
              </w:rPr>
            </w:pPr>
            <w:r>
              <w:rPr>
                <w:rFonts w:ascii="宋体"/>
                <w:spacing w:val="-2"/>
                <w:sz w:val="15"/>
              </w:rPr>
              <w:t>3,967,922.39</w:t>
            </w:r>
          </w:p>
        </w:tc>
        <w:tc>
          <w:tcPr>
            <w:tcW w:w="13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5"/>
                <w:szCs w:val="15"/>
              </w:rPr>
            </w:pPr>
            <w:r>
              <w:rPr>
                <w:rFonts w:ascii="宋体"/>
                <w:spacing w:val="-1"/>
                <w:sz w:val="15"/>
              </w:rPr>
              <w:t>5.33%</w:t>
            </w:r>
          </w:p>
        </w:tc>
      </w:tr>
    </w:tbl>
    <w:p>
      <w:pPr>
        <w:spacing w:line="240" w:lineRule="auto" w:before="2"/>
        <w:rPr>
          <w:rFonts w:ascii="宋体" w:hAnsi="宋体" w:cs="宋体" w:eastAsia="宋体" w:hint="default"/>
          <w:b/>
          <w:bCs/>
          <w:sz w:val="20"/>
          <w:szCs w:val="20"/>
        </w:rPr>
      </w:pPr>
    </w:p>
    <w:p>
      <w:pPr>
        <w:spacing w:before="36"/>
        <w:ind w:left="644" w:right="145" w:firstLine="0"/>
        <w:jc w:val="left"/>
        <w:rPr>
          <w:rFonts w:ascii="宋体" w:hAnsi="宋体" w:cs="宋体" w:eastAsia="宋体" w:hint="default"/>
          <w:sz w:val="21"/>
          <w:szCs w:val="21"/>
        </w:rPr>
      </w:pPr>
      <w:r>
        <w:rPr/>
        <w:pict>
          <v:shape style="position:absolute;margin-left:279.910004pt;margin-top:-34.6563pt;width:57.242385pt;height:.72pt;mso-position-horizontal-relative:page;mso-position-vertical-relative:paragraph;z-index:-646336" type="#_x0000_t75" stroked="false">
            <v:imagedata r:id="rId76" o:title=""/>
          </v:shape>
        </w:pict>
      </w:r>
      <w:r>
        <w:rPr/>
        <w:pict>
          <v:shape style="position:absolute;margin-left:379.149994pt;margin-top:-34.6563pt;width:57.752406pt;height:.72pt;mso-position-horizontal-relative:page;mso-position-vertical-relative:paragraph;z-index:-646312" type="#_x0000_t75" stroked="false">
            <v:imagedata r:id="rId77" o:title=""/>
          </v:shape>
        </w:pict>
      </w:r>
      <w:r>
        <w:rPr/>
        <w:pict>
          <v:shape style="position:absolute;margin-left:442.779999pt;margin-top:-34.6563pt;width:28.201205pt;height:.72pt;mso-position-horizontal-relative:page;mso-position-vertical-relative:paragraph;z-index:5848" type="#_x0000_t75" stroked="false">
            <v:imagedata r:id="rId78"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116" w:type="dxa"/>
        <w:tblLayout w:type="fixed"/>
        <w:tblCellMar>
          <w:top w:w="0" w:type="dxa"/>
          <w:left w:w="0" w:type="dxa"/>
          <w:bottom w:w="0" w:type="dxa"/>
          <w:right w:w="0" w:type="dxa"/>
        </w:tblCellMar>
        <w:tblLook w:val="01E0"/>
      </w:tblPr>
      <w:tblGrid>
        <w:gridCol w:w="1702"/>
        <w:gridCol w:w="142"/>
        <w:gridCol w:w="1478"/>
        <w:gridCol w:w="103"/>
        <w:gridCol w:w="1073"/>
        <w:gridCol w:w="103"/>
        <w:gridCol w:w="1277"/>
        <w:gridCol w:w="106"/>
        <w:gridCol w:w="1383"/>
        <w:gridCol w:w="106"/>
        <w:gridCol w:w="1052"/>
        <w:gridCol w:w="103"/>
        <w:gridCol w:w="1152"/>
      </w:tblGrid>
      <w:tr>
        <w:trPr>
          <w:trHeight w:val="294" w:hRule="exact"/>
        </w:trPr>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073" w:type="dxa"/>
            <w:tcBorders>
              <w:top w:val="nil" w:sz="6" w:space="0" w:color="auto"/>
              <w:left w:val="nil" w:sz="6" w:space="0" w:color="auto"/>
              <w:bottom w:val="single" w:sz="4" w:space="0" w:color="000000"/>
              <w:right w:val="nil" w:sz="6" w:space="0" w:color="auto"/>
            </w:tcBorders>
          </w:tcPr>
          <w:p>
            <w:pPr>
              <w:pStyle w:val="TableParagraph"/>
              <w:spacing w:line="180" w:lineRule="exact"/>
              <w:ind w:left="16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2"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4" w:right="0"/>
              <w:jc w:val="left"/>
              <w:rPr>
                <w:rFonts w:ascii="宋体" w:hAnsi="宋体" w:cs="宋体" w:eastAsia="宋体" w:hint="default"/>
                <w:sz w:val="18"/>
                <w:szCs w:val="18"/>
              </w:rPr>
            </w:pPr>
            <w:r>
              <w:rPr>
                <w:rFonts w:ascii="宋体"/>
                <w:sz w:val="18"/>
              </w:rPr>
              <w:t>146,988,930.57</w:t>
            </w:r>
          </w:p>
        </w:tc>
        <w:tc>
          <w:tcPr>
            <w:tcW w:w="103"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96.88%</w:t>
            </w:r>
          </w:p>
        </w:tc>
        <w:tc>
          <w:tcPr>
            <w:tcW w:w="10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67" w:right="0"/>
              <w:jc w:val="left"/>
              <w:rPr>
                <w:rFonts w:ascii="宋体" w:hAnsi="宋体" w:cs="宋体" w:eastAsia="宋体" w:hint="default"/>
                <w:sz w:val="18"/>
                <w:szCs w:val="18"/>
              </w:rPr>
            </w:pPr>
            <w:r>
              <w:rPr>
                <w:rFonts w:ascii="宋体"/>
                <w:sz w:val="18"/>
              </w:rPr>
              <w:t>7,349,446.53</w:t>
            </w:r>
          </w:p>
        </w:tc>
        <w:tc>
          <w:tcPr>
            <w:tcW w:w="106"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3" w:right="0"/>
              <w:jc w:val="left"/>
              <w:rPr>
                <w:rFonts w:ascii="宋体" w:hAnsi="宋体" w:cs="宋体" w:eastAsia="宋体" w:hint="default"/>
                <w:sz w:val="18"/>
                <w:szCs w:val="18"/>
              </w:rPr>
            </w:pPr>
            <w:r>
              <w:rPr>
                <w:rFonts w:ascii="宋体"/>
                <w:sz w:val="18"/>
              </w:rPr>
              <w:t>72,871,439.89</w:t>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97.82%</w:t>
            </w:r>
          </w:p>
        </w:tc>
        <w:tc>
          <w:tcPr>
            <w:tcW w:w="103"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sz w:val="18"/>
              </w:rPr>
              <w:t>3,643,571.99</w:t>
            </w:r>
          </w:p>
        </w:tc>
      </w:tr>
    </w:tbl>
    <w:p>
      <w:pPr>
        <w:spacing w:after="0" w:line="240" w:lineRule="auto"/>
        <w:jc w:val="center"/>
        <w:rPr>
          <w:rFonts w:ascii="宋体" w:hAnsi="宋体" w:cs="宋体" w:eastAsia="宋体" w:hint="default"/>
          <w:sz w:val="18"/>
          <w:szCs w:val="18"/>
        </w:rPr>
        <w:sectPr>
          <w:pgSz w:w="11910" w:h="16840"/>
          <w:pgMar w:header="0" w:footer="1195" w:top="1320" w:bottom="1380" w:left="1480" w:right="420"/>
        </w:sectPr>
      </w:pPr>
    </w:p>
    <w:p>
      <w:pPr>
        <w:spacing w:line="240" w:lineRule="auto" w:before="9"/>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998"/>
        <w:gridCol w:w="1824"/>
        <w:gridCol w:w="966"/>
        <w:gridCol w:w="1390"/>
        <w:gridCol w:w="1681"/>
        <w:gridCol w:w="892"/>
        <w:gridCol w:w="1197"/>
      </w:tblGrid>
      <w:tr>
        <w:trPr>
          <w:trHeight w:val="288"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824" w:type="dxa"/>
            <w:tcBorders>
              <w:top w:val="nil" w:sz="6" w:space="0" w:color="auto"/>
              <w:left w:val="nil" w:sz="6" w:space="0" w:color="auto"/>
              <w:bottom w:val="nil" w:sz="6" w:space="0" w:color="auto"/>
              <w:right w:val="nil" w:sz="6" w:space="0" w:color="auto"/>
            </w:tcBorders>
          </w:tcPr>
          <w:p>
            <w:pPr>
              <w:pStyle w:val="TableParagraph"/>
              <w:spacing w:line="180" w:lineRule="exact"/>
              <w:ind w:right="362"/>
              <w:jc w:val="right"/>
              <w:rPr>
                <w:rFonts w:ascii="宋体" w:hAnsi="宋体" w:cs="宋体" w:eastAsia="宋体" w:hint="default"/>
                <w:sz w:val="18"/>
                <w:szCs w:val="18"/>
              </w:rPr>
            </w:pPr>
            <w:r>
              <w:rPr>
                <w:rFonts w:ascii="宋体"/>
                <w:spacing w:val="-1"/>
                <w:sz w:val="18"/>
              </w:rPr>
              <w:t>3,569,252.01</w:t>
            </w:r>
          </w:p>
        </w:tc>
        <w:tc>
          <w:tcPr>
            <w:tcW w:w="966"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宋体" w:hAnsi="宋体" w:cs="宋体" w:eastAsia="宋体" w:hint="default"/>
                <w:sz w:val="18"/>
                <w:szCs w:val="18"/>
              </w:rPr>
            </w:pPr>
            <w:r>
              <w:rPr>
                <w:rFonts w:ascii="宋体"/>
                <w:sz w:val="18"/>
              </w:rPr>
              <w:t>2.35%</w:t>
            </w:r>
          </w:p>
        </w:tc>
        <w:tc>
          <w:tcPr>
            <w:tcW w:w="1390" w:type="dxa"/>
            <w:tcBorders>
              <w:top w:val="nil" w:sz="6" w:space="0" w:color="auto"/>
              <w:left w:val="nil" w:sz="6" w:space="0" w:color="auto"/>
              <w:bottom w:val="nil" w:sz="6" w:space="0" w:color="auto"/>
              <w:right w:val="nil" w:sz="6" w:space="0" w:color="auto"/>
            </w:tcBorders>
          </w:tcPr>
          <w:p>
            <w:pPr>
              <w:pStyle w:val="TableParagraph"/>
              <w:spacing w:line="180" w:lineRule="exact"/>
              <w:ind w:right="157"/>
              <w:jc w:val="right"/>
              <w:rPr>
                <w:rFonts w:ascii="宋体" w:hAnsi="宋体" w:cs="宋体" w:eastAsia="宋体" w:hint="default"/>
                <w:sz w:val="18"/>
                <w:szCs w:val="18"/>
              </w:rPr>
            </w:pPr>
            <w:r>
              <w:rPr>
                <w:rFonts w:ascii="宋体"/>
                <w:spacing w:val="-1"/>
                <w:sz w:val="18"/>
              </w:rPr>
              <w:t>713,850.40</w:t>
            </w:r>
          </w:p>
        </w:tc>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right="350"/>
              <w:jc w:val="right"/>
              <w:rPr>
                <w:rFonts w:ascii="宋体" w:hAnsi="宋体" w:cs="宋体" w:eastAsia="宋体" w:hint="default"/>
                <w:sz w:val="18"/>
                <w:szCs w:val="18"/>
              </w:rPr>
            </w:pPr>
            <w:r>
              <w:rPr>
                <w:rFonts w:ascii="宋体"/>
                <w:spacing w:val="-1"/>
                <w:sz w:val="18"/>
              </w:rPr>
              <w:t>1,621,752.00</w:t>
            </w:r>
          </w:p>
        </w:tc>
        <w:tc>
          <w:tcPr>
            <w:tcW w:w="892" w:type="dxa"/>
            <w:tcBorders>
              <w:top w:val="nil" w:sz="6" w:space="0" w:color="auto"/>
              <w:left w:val="nil" w:sz="6" w:space="0" w:color="auto"/>
              <w:bottom w:val="nil" w:sz="6" w:space="0" w:color="auto"/>
              <w:right w:val="nil" w:sz="6" w:space="0" w:color="auto"/>
            </w:tcBorders>
          </w:tcPr>
          <w:p>
            <w:pPr>
              <w:pStyle w:val="TableParagraph"/>
              <w:spacing w:line="180" w:lineRule="exact"/>
              <w:ind w:right="87"/>
              <w:jc w:val="right"/>
              <w:rPr>
                <w:rFonts w:ascii="宋体" w:hAnsi="宋体" w:cs="宋体" w:eastAsia="宋体" w:hint="default"/>
                <w:sz w:val="18"/>
                <w:szCs w:val="18"/>
              </w:rPr>
            </w:pPr>
            <w:r>
              <w:rPr>
                <w:rFonts w:ascii="宋体"/>
                <w:sz w:val="18"/>
              </w:rPr>
              <w:t>2.18%</w:t>
            </w:r>
          </w:p>
        </w:tc>
        <w:tc>
          <w:tcPr>
            <w:tcW w:w="1197"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pacing w:val="-1"/>
                <w:sz w:val="18"/>
              </w:rPr>
              <w:t>324,350.40</w:t>
            </w:r>
          </w:p>
        </w:tc>
      </w:tr>
      <w:tr>
        <w:trPr>
          <w:trHeight w:val="39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2"/>
              <w:jc w:val="right"/>
              <w:rPr>
                <w:rFonts w:ascii="宋体" w:hAnsi="宋体" w:cs="宋体" w:eastAsia="宋体" w:hint="default"/>
                <w:sz w:val="18"/>
                <w:szCs w:val="18"/>
              </w:rPr>
            </w:pPr>
            <w:r>
              <w:rPr>
                <w:rFonts w:ascii="宋体"/>
                <w:spacing w:val="-1"/>
                <w:sz w:val="18"/>
              </w:rPr>
              <w:t>1,169,186.00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t>0.77%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7"/>
              <w:jc w:val="right"/>
              <w:rPr>
                <w:rFonts w:ascii="宋体" w:hAnsi="宋体" w:cs="宋体" w:eastAsia="宋体" w:hint="default"/>
                <w:sz w:val="18"/>
                <w:szCs w:val="18"/>
              </w:rPr>
            </w:pPr>
            <w:r>
              <w:rPr>
                <w:rFonts w:ascii="宋体"/>
                <w:spacing w:val="-1"/>
                <w:sz w:val="18"/>
              </w:rPr>
              <w:t>584,593.00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宋体" w:hAnsi="宋体" w:cs="宋体" w:eastAsia="宋体" w:hint="default"/>
                <w:sz w:val="18"/>
                <w:szCs w:val="18"/>
              </w:rPr>
            </w:pPr>
            <w:r>
              <w:rPr>
                <w:rFonts w:ascii="宋体"/>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0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0"/>
              <w:jc w:val="right"/>
              <w:rPr>
                <w:rFonts w:ascii="宋体" w:hAnsi="宋体" w:cs="宋体" w:eastAsia="宋体" w:hint="default"/>
                <w:sz w:val="18"/>
                <w:szCs w:val="18"/>
              </w:rPr>
            </w:pPr>
            <w:r>
              <w:rPr>
                <w:rFonts w:ascii="宋体"/>
                <w:sz w:val="18"/>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宋体"/>
                <w:sz w:val="18"/>
              </w:rPr>
              <w:t>---</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宋体" w:hAnsi="宋体" w:cs="宋体" w:eastAsia="宋体" w:hint="default"/>
                <w:sz w:val="18"/>
                <w:szCs w:val="18"/>
              </w:rPr>
            </w:pPr>
            <w:r>
              <w:rPr>
                <w:rFonts w:ascii="宋体"/>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32"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nil" w:sz="6" w:space="0" w:color="auto"/>
              <w:left w:val="nil" w:sz="6" w:space="0" w:color="auto"/>
              <w:bottom w:val="single" w:sz="17" w:space="0" w:color="000000"/>
              <w:right w:val="nil" w:sz="6" w:space="0" w:color="auto"/>
            </w:tcBorders>
          </w:tcPr>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38744" cy="9144"/>
                  <wp:effectExtent l="0" t="0" r="0" b="0"/>
                  <wp:docPr id="21" name="image25.png" descr=""/>
                  <wp:cNvGraphicFramePr>
                    <a:graphicFrameLocks noChangeAspect="1"/>
                  </wp:cNvGraphicFramePr>
                  <a:graphic>
                    <a:graphicData uri="http://schemas.openxmlformats.org/drawingml/2006/picture">
                      <pic:pic>
                        <pic:nvPicPr>
                          <pic:cNvPr id="22" name="image25.png"/>
                          <pic:cNvPicPr/>
                        </pic:nvPicPr>
                        <pic:blipFill>
                          <a:blip r:embed="rId80" cstate="print"/>
                          <a:stretch>
                            <a:fillRect/>
                          </a:stretch>
                        </pic:blipFill>
                        <pic:spPr>
                          <a:xfrm>
                            <a:off x="0" y="0"/>
                            <a:ext cx="93874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64"/>
              <w:jc w:val="right"/>
              <w:rPr>
                <w:rFonts w:ascii="宋体" w:hAnsi="宋体" w:cs="宋体" w:eastAsia="宋体" w:hint="default"/>
                <w:sz w:val="18"/>
                <w:szCs w:val="18"/>
              </w:rPr>
            </w:pPr>
            <w:r>
              <w:rPr>
                <w:rFonts w:ascii="宋体"/>
                <w:spacing w:val="-1"/>
                <w:sz w:val="18"/>
              </w:rPr>
              <w:t>151,727,368.58</w:t>
            </w:r>
          </w:p>
        </w:tc>
        <w:tc>
          <w:tcPr>
            <w:tcW w:w="966"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149"/>
              <w:jc w:val="right"/>
              <w:rPr>
                <w:rFonts w:ascii="宋体" w:hAnsi="宋体" w:cs="宋体" w:eastAsia="宋体" w:hint="default"/>
                <w:sz w:val="18"/>
                <w:szCs w:val="18"/>
              </w:rPr>
            </w:pPr>
            <w:r>
              <w:rPr>
                <w:rFonts w:ascii="宋体"/>
                <w:sz w:val="18"/>
              </w:rPr>
              <w:t>100%</w:t>
            </w:r>
          </w:p>
        </w:tc>
        <w:tc>
          <w:tcPr>
            <w:tcW w:w="1390"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156"/>
              <w:jc w:val="right"/>
              <w:rPr>
                <w:rFonts w:ascii="宋体" w:hAnsi="宋体" w:cs="宋体" w:eastAsia="宋体" w:hint="default"/>
                <w:sz w:val="18"/>
                <w:szCs w:val="18"/>
              </w:rPr>
            </w:pPr>
            <w:r>
              <w:rPr>
                <w:rFonts w:ascii="宋体"/>
                <w:spacing w:val="-1"/>
                <w:sz w:val="18"/>
              </w:rPr>
              <w:t>8,647,889.93</w:t>
            </w:r>
          </w:p>
        </w:tc>
        <w:tc>
          <w:tcPr>
            <w:tcW w:w="1681"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350"/>
              <w:jc w:val="right"/>
              <w:rPr>
                <w:rFonts w:ascii="宋体" w:hAnsi="宋体" w:cs="宋体" w:eastAsia="宋体" w:hint="default"/>
                <w:sz w:val="18"/>
                <w:szCs w:val="18"/>
              </w:rPr>
            </w:pPr>
            <w:r>
              <w:rPr>
                <w:rFonts w:ascii="宋体"/>
                <w:spacing w:val="-1"/>
                <w:sz w:val="18"/>
              </w:rPr>
              <w:t>74,493,191.89</w:t>
            </w:r>
          </w:p>
        </w:tc>
        <w:tc>
          <w:tcPr>
            <w:tcW w:w="892"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87"/>
              <w:jc w:val="right"/>
              <w:rPr>
                <w:rFonts w:ascii="宋体" w:hAnsi="宋体" w:cs="宋体" w:eastAsia="宋体" w:hint="default"/>
                <w:sz w:val="18"/>
                <w:szCs w:val="18"/>
              </w:rPr>
            </w:pPr>
            <w:r>
              <w:rPr>
                <w:rFonts w:ascii="宋体"/>
                <w:sz w:val="18"/>
              </w:rPr>
              <w:t>100%</w:t>
            </w:r>
          </w:p>
        </w:tc>
        <w:tc>
          <w:tcPr>
            <w:tcW w:w="1197" w:type="dxa"/>
            <w:tcBorders>
              <w:top w:val="nil" w:sz="6" w:space="0" w:color="auto"/>
              <w:left w:val="nil" w:sz="6" w:space="0" w:color="auto"/>
              <w:bottom w:val="single" w:sz="17" w:space="0" w:color="000000"/>
              <w:right w:val="nil" w:sz="6" w:space="0" w:color="auto"/>
            </w:tcBorders>
          </w:tcPr>
          <w:p>
            <w:pPr>
              <w:pStyle w:val="TableParagraph"/>
              <w:spacing w:line="20" w:lineRule="exact"/>
              <w:ind w:left="44"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1489" cy="9144"/>
                  <wp:effectExtent l="0" t="0" r="0" b="0"/>
                  <wp:docPr id="23" name="image26.png" descr=""/>
                  <wp:cNvGraphicFramePr>
                    <a:graphicFrameLocks noChangeAspect="1"/>
                  </wp:cNvGraphicFramePr>
                  <a:graphic>
                    <a:graphicData uri="http://schemas.openxmlformats.org/drawingml/2006/picture">
                      <pic:pic>
                        <pic:nvPicPr>
                          <pic:cNvPr id="24" name="image26.png"/>
                          <pic:cNvPicPr/>
                        </pic:nvPicPr>
                        <pic:blipFill>
                          <a:blip r:embed="rId81" cstate="print"/>
                          <a:stretch>
                            <a:fillRect/>
                          </a:stretch>
                        </pic:blipFill>
                        <pic:spPr>
                          <a:xfrm>
                            <a:off x="0" y="0"/>
                            <a:ext cx="73148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6"/>
              <w:jc w:val="right"/>
              <w:rPr>
                <w:rFonts w:ascii="宋体" w:hAnsi="宋体" w:cs="宋体" w:eastAsia="宋体" w:hint="default"/>
                <w:sz w:val="18"/>
                <w:szCs w:val="18"/>
              </w:rPr>
            </w:pPr>
            <w:r>
              <w:rPr>
                <w:rFonts w:ascii="宋体"/>
                <w:spacing w:val="-1"/>
                <w:sz w:val="18"/>
              </w:rPr>
              <w:t>3,967,922.39</w:t>
            </w:r>
          </w:p>
        </w:tc>
      </w:tr>
    </w:tbl>
    <w:p>
      <w:pPr>
        <w:spacing w:line="240" w:lineRule="auto" w:before="13"/>
        <w:rPr>
          <w:rFonts w:ascii="宋体" w:hAnsi="宋体" w:cs="宋体" w:eastAsia="宋体" w:hint="default"/>
          <w:b/>
          <w:bCs/>
          <w:sz w:val="25"/>
          <w:szCs w:val="25"/>
        </w:rPr>
      </w:pPr>
    </w:p>
    <w:p>
      <w:pPr>
        <w:spacing w:before="36"/>
        <w:ind w:left="804" w:right="0" w:firstLine="0"/>
        <w:jc w:val="left"/>
        <w:rPr>
          <w:rFonts w:ascii="宋体" w:hAnsi="宋体" w:cs="宋体" w:eastAsia="宋体" w:hint="default"/>
          <w:sz w:val="21"/>
          <w:szCs w:val="21"/>
        </w:rPr>
      </w:pPr>
      <w:r>
        <w:rPr/>
        <w:pict>
          <v:shape style="position:absolute;margin-left:251.089996pt;margin-top:-39.936337pt;width:53.657784pt;height:.72pt;mso-position-horizontal-relative:page;mso-position-vertical-relative:paragraph;z-index:-646240" type="#_x0000_t75" stroked="false">
            <v:imagedata r:id="rId82" o:title=""/>
          </v:shape>
        </w:pict>
      </w:r>
      <w:r>
        <w:rPr/>
        <w:pict>
          <v:shape style="position:absolute;margin-left:309.910004pt;margin-top:-39.936337pt;width:63.83735pt;height:.72pt;mso-position-horizontal-relative:page;mso-position-vertical-relative:paragraph;z-index:-646216" type="#_x0000_t75" stroked="false">
            <v:imagedata r:id="rId83" o:title=""/>
          </v:shape>
        </w:pict>
      </w:r>
      <w:r>
        <w:rPr/>
        <w:pict>
          <v:shape style="position:absolute;margin-left:379.029999pt;margin-top:-39.936337pt;width:69.147119pt;height:.72pt;mso-position-horizontal-relative:page;mso-position-vertical-relative:paragraph;z-index:-646192" type="#_x0000_t75" stroked="false">
            <v:imagedata r:id="rId84" o:title=""/>
          </v:shape>
        </w:pict>
      </w:r>
      <w:r>
        <w:rPr/>
        <w:pict>
          <v:shape style="position:absolute;margin-left:453.459991pt;margin-top:-39.936337pt;width:52.577809pt;height:.72pt;mso-position-horizontal-relative:page;mso-position-vertical-relative:paragraph;z-index:-646168" type="#_x0000_t75" stroked="false">
            <v:imagedata r:id="rId85" o:title=""/>
          </v:shape>
        </w:pict>
      </w:r>
      <w:r>
        <w:rPr>
          <w:rFonts w:ascii="宋体" w:hAnsi="宋体" w:cs="宋体" w:eastAsia="宋体" w:hint="default"/>
          <w:b/>
          <w:bCs/>
          <w:sz w:val="21"/>
          <w:szCs w:val="21"/>
        </w:rPr>
        <w:t>3</w:t>
      </w:r>
      <w:r>
        <w:rPr>
          <w:rFonts w:ascii="宋体" w:hAnsi="宋体" w:cs="宋体" w:eastAsia="宋体" w:hint="default"/>
          <w:b/>
          <w:bCs/>
          <w:sz w:val="21"/>
          <w:szCs w:val="21"/>
        </w:rPr>
        <w:t>．应收账款期末数中无持本公司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表决权的股东单位款项。</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before="0"/>
        <w:ind w:left="80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．应收账款期末数中欠款金额前五名：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382" w:type="dxa"/>
        <w:tblLayout w:type="fixed"/>
        <w:tblCellMar>
          <w:top w:w="0" w:type="dxa"/>
          <w:left w:w="0" w:type="dxa"/>
          <w:bottom w:w="0" w:type="dxa"/>
          <w:right w:w="0" w:type="dxa"/>
        </w:tblCellMar>
        <w:tblLook w:val="01E0"/>
      </w:tblPr>
      <w:tblGrid>
        <w:gridCol w:w="3305"/>
        <w:gridCol w:w="154"/>
        <w:gridCol w:w="1443"/>
        <w:gridCol w:w="121"/>
        <w:gridCol w:w="1571"/>
        <w:gridCol w:w="1527"/>
        <w:gridCol w:w="132"/>
        <w:gridCol w:w="1392"/>
      </w:tblGrid>
      <w:tr>
        <w:trPr>
          <w:trHeight w:val="447" w:hRule="exact"/>
        </w:trPr>
        <w:tc>
          <w:tcPr>
            <w:tcW w:w="330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2"/>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18"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179" w:lineRule="exact"/>
              <w:ind w:left="242"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43" w:hRule="exact"/>
        </w:trPr>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银联商务有限公司</w:t>
            </w:r>
            <w:r>
              <w:rPr>
                <w:rFonts w:ascii="宋体" w:hAnsi="宋体" w:cs="宋体" w:eastAsia="宋体" w:hint="default"/>
                <w:sz w:val="18"/>
                <w:szCs w:val="18"/>
              </w:rPr>
              <w:t>(</w:t>
            </w:r>
            <w:r>
              <w:rPr>
                <w:rFonts w:ascii="宋体" w:hAnsi="宋体" w:cs="宋体" w:eastAsia="宋体" w:hint="default"/>
                <w:sz w:val="18"/>
                <w:szCs w:val="18"/>
              </w:rPr>
              <w:t>含广银联、深银联</w:t>
            </w:r>
            <w:r>
              <w:rPr>
                <w:rFonts w:ascii="宋体" w:hAnsi="宋体" w:cs="宋体" w:eastAsia="宋体" w:hint="default"/>
                <w:sz w:val="18"/>
                <w:szCs w:val="18"/>
              </w:rPr>
              <w:t>)</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92,546,689.32</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61.00%</w:t>
            </w:r>
          </w:p>
        </w:tc>
      </w:tr>
      <w:tr>
        <w:trPr>
          <w:trHeight w:val="340"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12,517,310.00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8.25%</w:t>
            </w:r>
          </w:p>
        </w:tc>
      </w:tr>
      <w:tr>
        <w:trPr>
          <w:trHeight w:val="340"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4,097,942.00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2.70%</w:t>
            </w:r>
          </w:p>
        </w:tc>
      </w:tr>
      <w:tr>
        <w:trPr>
          <w:trHeight w:val="341"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长沙卡友信息服务有限公司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4,067,600.00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2.68%</w:t>
            </w:r>
          </w:p>
        </w:tc>
      </w:tr>
      <w:tr>
        <w:trPr>
          <w:trHeight w:val="345"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3,090,429.60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2.03%</w:t>
            </w:r>
          </w:p>
        </w:tc>
      </w:tr>
      <w:tr>
        <w:trPr>
          <w:trHeight w:val="360"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116,319,970.92</w:t>
            </w:r>
          </w:p>
        </w:tc>
        <w:tc>
          <w:tcPr>
            <w:tcW w:w="152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76.66%</w:t>
            </w:r>
          </w:p>
        </w:tc>
      </w:tr>
    </w:tbl>
    <w:p>
      <w:pPr>
        <w:spacing w:line="408" w:lineRule="auto" w:before="64"/>
        <w:ind w:left="382" w:right="1164" w:firstLine="422"/>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6"/>
          <w:sz w:val="21"/>
          <w:szCs w:val="21"/>
        </w:rPr>
        <w:t> </w:t>
      </w:r>
      <w:r>
        <w:rPr>
          <w:rFonts w:ascii="宋体" w:hAnsi="宋体" w:cs="宋体" w:eastAsia="宋体" w:hint="default"/>
          <w:b/>
          <w:bCs/>
          <w:sz w:val="21"/>
          <w:szCs w:val="21"/>
        </w:rPr>
        <w:t>应收账款期末数比期初数增加</w:t>
      </w:r>
      <w:r>
        <w:rPr>
          <w:rFonts w:ascii="宋体" w:hAnsi="宋体" w:cs="宋体" w:eastAsia="宋体" w:hint="default"/>
          <w:b/>
          <w:bCs/>
          <w:spacing w:val="-50"/>
          <w:sz w:val="21"/>
          <w:szCs w:val="21"/>
        </w:rPr>
        <w:t> </w:t>
      </w:r>
      <w:r>
        <w:rPr>
          <w:rFonts w:ascii="宋体" w:hAnsi="宋体" w:cs="宋体" w:eastAsia="宋体" w:hint="default"/>
          <w:b/>
          <w:bCs/>
          <w:sz w:val="21"/>
          <w:szCs w:val="21"/>
        </w:rPr>
        <w:t>77,234,176.69</w:t>
      </w:r>
      <w:r>
        <w:rPr>
          <w:rFonts w:ascii="宋体" w:hAnsi="宋体" w:cs="宋体" w:eastAsia="宋体" w:hint="default"/>
          <w:b/>
          <w:bCs/>
          <w:spacing w:val="-50"/>
          <w:sz w:val="21"/>
          <w:szCs w:val="21"/>
        </w:rPr>
        <w:t> </w:t>
      </w:r>
      <w:r>
        <w:rPr>
          <w:rFonts w:ascii="宋体" w:hAnsi="宋体" w:cs="宋体" w:eastAsia="宋体" w:hint="default"/>
          <w:b/>
          <w:bCs/>
          <w:spacing w:val="-7"/>
          <w:sz w:val="21"/>
          <w:szCs w:val="21"/>
        </w:rPr>
        <w:t>元，增幅为</w:t>
      </w:r>
      <w:r>
        <w:rPr>
          <w:rFonts w:ascii="宋体" w:hAnsi="宋体" w:cs="宋体" w:eastAsia="宋体" w:hint="default"/>
          <w:b/>
          <w:bCs/>
          <w:spacing w:val="-50"/>
          <w:sz w:val="21"/>
          <w:szCs w:val="21"/>
        </w:rPr>
        <w:t> </w:t>
      </w:r>
      <w:r>
        <w:rPr>
          <w:rFonts w:ascii="宋体" w:hAnsi="宋体" w:cs="宋体" w:eastAsia="宋体" w:hint="default"/>
          <w:b/>
          <w:bCs/>
          <w:spacing w:val="-5"/>
          <w:sz w:val="21"/>
          <w:szCs w:val="21"/>
        </w:rPr>
        <w:t>103.68%</w:t>
      </w:r>
      <w:r>
        <w:rPr>
          <w:rFonts w:ascii="宋体" w:hAnsi="宋体" w:cs="宋体" w:eastAsia="宋体" w:hint="default"/>
          <w:b/>
          <w:bCs/>
          <w:spacing w:val="-5"/>
          <w:sz w:val="21"/>
          <w:szCs w:val="21"/>
        </w:rPr>
        <w:t>，增加原因为：本期</w:t>
      </w:r>
      <w:r>
        <w:rPr>
          <w:rFonts w:ascii="宋体" w:hAnsi="宋体" w:cs="宋体" w:eastAsia="宋体" w:hint="default"/>
          <w:b/>
          <w:bCs/>
          <w:w w:val="100"/>
          <w:sz w:val="21"/>
          <w:szCs w:val="21"/>
        </w:rPr>
        <w:t> </w:t>
      </w:r>
      <w:r>
        <w:rPr>
          <w:rFonts w:ascii="宋体" w:hAnsi="宋体" w:cs="宋体" w:eastAsia="宋体" w:hint="default"/>
          <w:b/>
          <w:bCs/>
          <w:spacing w:val="-2"/>
          <w:sz w:val="21"/>
          <w:szCs w:val="21"/>
        </w:rPr>
        <w:t>销售规模扩大；受行业主要客户招标期间的影响，本公司的销售大部分集中在下半年，同时对</w:t>
      </w:r>
      <w:r>
        <w:rPr>
          <w:rFonts w:ascii="宋体" w:hAnsi="宋体" w:cs="宋体" w:eastAsia="宋体" w:hint="default"/>
          <w:b/>
          <w:bCs/>
          <w:spacing w:val="-60"/>
          <w:sz w:val="21"/>
          <w:szCs w:val="21"/>
        </w:rPr>
        <w:t> </w:t>
      </w:r>
      <w:r>
        <w:rPr>
          <w:rFonts w:ascii="宋体" w:hAnsi="宋体" w:cs="宋体" w:eastAsia="宋体" w:hint="default"/>
          <w:b/>
          <w:bCs/>
          <w:spacing w:val="-60"/>
          <w:sz w:val="21"/>
          <w:szCs w:val="21"/>
        </w:rPr>
      </w:r>
      <w:r>
        <w:rPr>
          <w:rFonts w:ascii="宋体" w:hAnsi="宋体" w:cs="宋体" w:eastAsia="宋体" w:hint="default"/>
          <w:b/>
          <w:bCs/>
          <w:sz w:val="21"/>
          <w:szCs w:val="21"/>
        </w:rPr>
        <w:t>主要客户合同约定销售回款有</w:t>
      </w:r>
      <w:r>
        <w:rPr>
          <w:rFonts w:ascii="宋体" w:hAnsi="宋体" w:cs="宋体" w:eastAsia="宋体" w:hint="default"/>
          <w:b/>
          <w:bCs/>
          <w:spacing w:val="-56"/>
          <w:sz w:val="21"/>
          <w:szCs w:val="21"/>
        </w:rPr>
        <w:t> </w:t>
      </w:r>
      <w:r>
        <w:rPr>
          <w:rFonts w:ascii="宋体" w:hAnsi="宋体" w:cs="宋体" w:eastAsia="宋体" w:hint="default"/>
          <w:b/>
          <w:bCs/>
          <w:sz w:val="21"/>
          <w:szCs w:val="21"/>
        </w:rPr>
        <w:t>3-6</w:t>
      </w:r>
      <w:r>
        <w:rPr>
          <w:rFonts w:ascii="宋体" w:hAnsi="宋体" w:cs="宋体" w:eastAsia="宋体" w:hint="default"/>
          <w:b/>
          <w:bCs/>
          <w:spacing w:val="-57"/>
          <w:sz w:val="21"/>
          <w:szCs w:val="21"/>
        </w:rPr>
        <w:t> </w:t>
      </w:r>
      <w:r>
        <w:rPr>
          <w:rFonts w:ascii="宋体" w:hAnsi="宋体" w:cs="宋体" w:eastAsia="宋体" w:hint="default"/>
          <w:b/>
          <w:bCs/>
          <w:sz w:val="21"/>
          <w:szCs w:val="21"/>
        </w:rPr>
        <w:t>个月的账期，导致应收账款期末余额增加。</w:t>
      </w:r>
      <w:r>
        <w:rPr>
          <w:rFonts w:ascii="宋体" w:hAnsi="宋体" w:cs="宋体" w:eastAsia="宋体" w:hint="default"/>
          <w:sz w:val="21"/>
          <w:szCs w:val="21"/>
        </w:rPr>
      </w:r>
    </w:p>
    <w:p>
      <w:pPr>
        <w:spacing w:line="240" w:lineRule="auto" w:before="12"/>
        <w:rPr>
          <w:rFonts w:ascii="宋体" w:hAnsi="宋体" w:cs="宋体" w:eastAsia="宋体" w:hint="default"/>
          <w:b/>
          <w:bCs/>
          <w:sz w:val="16"/>
          <w:szCs w:val="16"/>
        </w:rPr>
      </w:pPr>
    </w:p>
    <w:p>
      <w:pPr>
        <w:spacing w:line="494" w:lineRule="auto" w:before="0"/>
        <w:ind w:left="910" w:right="8076"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预付款项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tbl>
      <w:tblPr>
        <w:tblW w:w="0" w:type="auto"/>
        <w:jc w:val="left"/>
        <w:tblInd w:w="377" w:type="dxa"/>
        <w:tblLayout w:type="fixed"/>
        <w:tblCellMar>
          <w:top w:w="0" w:type="dxa"/>
          <w:left w:w="0" w:type="dxa"/>
          <w:bottom w:w="0" w:type="dxa"/>
          <w:right w:w="0" w:type="dxa"/>
        </w:tblCellMar>
        <w:tblLook w:val="01E0"/>
      </w:tblPr>
      <w:tblGrid>
        <w:gridCol w:w="1923"/>
        <w:gridCol w:w="266"/>
        <w:gridCol w:w="2011"/>
        <w:gridCol w:w="1476"/>
        <w:gridCol w:w="356"/>
        <w:gridCol w:w="1644"/>
        <w:gridCol w:w="182"/>
        <w:gridCol w:w="1652"/>
      </w:tblGrid>
      <w:tr>
        <w:trPr>
          <w:trHeight w:val="255" w:hRule="exact"/>
        </w:trPr>
        <w:tc>
          <w:tcPr>
            <w:tcW w:w="192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nil" w:sz="6" w:space="0" w:color="auto"/>
              <w:left w:val="nil" w:sz="6" w:space="0" w:color="auto"/>
              <w:bottom w:val="single" w:sz="4" w:space="0" w:color="000000"/>
              <w:right w:val="nil" w:sz="6" w:space="0" w:color="auto"/>
            </w:tcBorders>
          </w:tcPr>
          <w:p>
            <w:pPr/>
          </w:p>
        </w:tc>
        <w:tc>
          <w:tcPr>
            <w:tcW w:w="3834"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1" w:hRule="exact"/>
        </w:trPr>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66"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76"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35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 w:type="dxa"/>
            <w:tcBorders>
              <w:top w:val="single" w:sz="4" w:space="0" w:color="000000"/>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77"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53" w:hRule="exact"/>
        </w:trPr>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45pt;height:.5pt;mso-position-horizontal-relative:char;mso-position-vertical-relative:line" coordorigin="0,0" coordsize="1789,10">
                  <v:group style="position:absolute;left:5;top:5;width:1779;height:2" coordorigin="5,5" coordsize="1779,2">
                    <v:shape style="position:absolute;left:5;top:5;width:1779;height:2" coordorigin="5,5" coordsize="1779,0" path="m5,5l178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21"/>
              <w:ind w:left="667" w:right="0"/>
              <w:jc w:val="left"/>
              <w:rPr>
                <w:rFonts w:ascii="宋体" w:hAnsi="宋体" w:cs="宋体" w:eastAsia="宋体" w:hint="default"/>
                <w:sz w:val="18"/>
                <w:szCs w:val="18"/>
              </w:rPr>
            </w:pPr>
            <w:r>
              <w:rPr>
                <w:rFonts w:ascii="宋体"/>
                <w:sz w:val="18"/>
              </w:rPr>
              <w:t>2,241,896.19</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pacing w:val="-1"/>
                <w:sz w:val="18"/>
              </w:rPr>
              <w:t>98.92%</w:t>
            </w:r>
          </w:p>
        </w:tc>
        <w:tc>
          <w:tcPr>
            <w:tcW w:w="35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2,344,727.07</w:t>
            </w:r>
          </w:p>
        </w:tc>
        <w:tc>
          <w:tcPr>
            <w:tcW w:w="182"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70.29%</w:t>
            </w:r>
          </w:p>
        </w:tc>
      </w:tr>
      <w:tr>
        <w:trPr>
          <w:trHeight w:val="348"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6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35" w:right="0"/>
              <w:jc w:val="left"/>
              <w:rPr>
                <w:rFonts w:ascii="宋体" w:hAnsi="宋体" w:cs="宋体" w:eastAsia="宋体" w:hint="default"/>
                <w:sz w:val="18"/>
                <w:szCs w:val="18"/>
              </w:rPr>
            </w:pPr>
            <w:r>
              <w:rPr>
                <w:rFonts w:ascii="宋体"/>
                <w:sz w:val="18"/>
              </w:rPr>
              <w:t>24,483.00</w:t>
            </w:r>
          </w:p>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29490" cy="9144"/>
                  <wp:effectExtent l="0" t="0" r="0" b="0"/>
                  <wp:docPr id="25" name="image31.png" descr=""/>
                  <wp:cNvGraphicFramePr>
                    <a:graphicFrameLocks noChangeAspect="1"/>
                  </wp:cNvGraphicFramePr>
                  <a:graphic>
                    <a:graphicData uri="http://schemas.openxmlformats.org/drawingml/2006/picture">
                      <pic:pic>
                        <pic:nvPicPr>
                          <pic:cNvPr id="26" name="image31.png"/>
                          <pic:cNvPicPr/>
                        </pic:nvPicPr>
                        <pic:blipFill>
                          <a:blip r:embed="rId86" cstate="print"/>
                          <a:stretch>
                            <a:fillRect/>
                          </a:stretch>
                        </pic:blipFill>
                        <pic:spPr>
                          <a:xfrm>
                            <a:off x="0" y="0"/>
                            <a:ext cx="1129490" cy="9144"/>
                          </a:xfrm>
                          <a:prstGeom prst="rect">
                            <a:avLst/>
                          </a:prstGeom>
                        </pic:spPr>
                      </pic:pic>
                    </a:graphicData>
                  </a:graphic>
                </wp:inline>
              </w:drawing>
            </w:r>
            <w:r>
              <w:rPr>
                <w:rFonts w:ascii="宋体" w:hAnsi="宋体" w:cs="宋体" w:eastAsia="宋体" w:hint="default"/>
                <w:sz w:val="2"/>
                <w:szCs w:val="2"/>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1.08%</w:t>
            </w:r>
          </w:p>
        </w:tc>
        <w:tc>
          <w:tcPr>
            <w:tcW w:w="35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990,939.85</w:t>
            </w:r>
          </w:p>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39324" cy="9144"/>
                  <wp:effectExtent l="0" t="0" r="0" b="0"/>
                  <wp:docPr id="27" name="image32.png" descr=""/>
                  <wp:cNvGraphicFramePr>
                    <a:graphicFrameLocks noChangeAspect="1"/>
                  </wp:cNvGraphicFramePr>
                  <a:graphic>
                    <a:graphicData uri="http://schemas.openxmlformats.org/drawingml/2006/picture">
                      <pic:pic>
                        <pic:nvPicPr>
                          <pic:cNvPr id="28" name="image32.png"/>
                          <pic:cNvPicPr/>
                        </pic:nvPicPr>
                        <pic:blipFill>
                          <a:blip r:embed="rId87" cstate="print"/>
                          <a:stretch>
                            <a:fillRect/>
                          </a:stretch>
                        </pic:blipFill>
                        <pic:spPr>
                          <a:xfrm>
                            <a:off x="0" y="0"/>
                            <a:ext cx="1039324" cy="9144"/>
                          </a:xfrm>
                          <a:prstGeom prst="rect">
                            <a:avLst/>
                          </a:prstGeom>
                        </pic:spPr>
                      </pic:pic>
                    </a:graphicData>
                  </a:graphic>
                </wp:inline>
              </w:drawing>
            </w:r>
            <w:r>
              <w:rPr>
                <w:rFonts w:ascii="宋体" w:hAnsi="宋体" w:cs="宋体" w:eastAsia="宋体" w:hint="default"/>
                <w:sz w:val="2"/>
                <w:szCs w:val="2"/>
              </w:rPr>
            </w:r>
          </w:p>
        </w:tc>
        <w:tc>
          <w:tcPr>
            <w:tcW w:w="18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29.71%</w:t>
            </w:r>
          </w:p>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44150" cy="9144"/>
                  <wp:effectExtent l="0" t="0" r="0" b="0"/>
                  <wp:docPr id="29" name="image33.png" descr=""/>
                  <wp:cNvGraphicFramePr>
                    <a:graphicFrameLocks noChangeAspect="1"/>
                  </wp:cNvGraphicFramePr>
                  <a:graphic>
                    <a:graphicData uri="http://schemas.openxmlformats.org/drawingml/2006/picture">
                      <pic:pic>
                        <pic:nvPicPr>
                          <pic:cNvPr id="30" name="image33.png"/>
                          <pic:cNvPicPr/>
                        </pic:nvPicPr>
                        <pic:blipFill>
                          <a:blip r:embed="rId88" cstate="print"/>
                          <a:stretch>
                            <a:fillRect/>
                          </a:stretch>
                        </pic:blipFill>
                        <pic:spPr>
                          <a:xfrm>
                            <a:off x="0" y="0"/>
                            <a:ext cx="1044150" cy="9144"/>
                          </a:xfrm>
                          <a:prstGeom prst="rect">
                            <a:avLst/>
                          </a:prstGeom>
                        </pic:spPr>
                      </pic:pic>
                    </a:graphicData>
                  </a:graphic>
                </wp:inline>
              </w:drawing>
            </w:r>
            <w:r>
              <w:rPr>
                <w:rFonts w:ascii="宋体" w:hAnsi="宋体" w:cs="宋体" w:eastAsia="宋体" w:hint="default"/>
                <w:sz w:val="2"/>
                <w:szCs w:val="2"/>
              </w:rPr>
            </w:r>
          </w:p>
        </w:tc>
      </w:tr>
      <w:tr>
        <w:trPr>
          <w:trHeight w:val="355"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left="667" w:right="0"/>
              <w:jc w:val="left"/>
              <w:rPr>
                <w:rFonts w:ascii="宋体" w:hAnsi="宋体" w:cs="宋体" w:eastAsia="宋体" w:hint="default"/>
                <w:sz w:val="18"/>
                <w:szCs w:val="18"/>
              </w:rPr>
            </w:pPr>
            <w:r>
              <w:rPr>
                <w:rFonts w:ascii="宋体"/>
                <w:sz w:val="18"/>
              </w:rPr>
              <w:t>2,266,379.19</w:t>
            </w: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100%</w:t>
            </w:r>
          </w:p>
        </w:tc>
        <w:tc>
          <w:tcPr>
            <w:tcW w:w="35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3,335,666.92</w:t>
            </w:r>
          </w:p>
        </w:tc>
        <w:tc>
          <w:tcPr>
            <w:tcW w:w="18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b/>
          <w:bCs/>
          <w:sz w:val="25"/>
          <w:szCs w:val="25"/>
        </w:rPr>
      </w:pPr>
    </w:p>
    <w:p>
      <w:pPr>
        <w:spacing w:before="36"/>
        <w:ind w:left="804" w:right="0" w:firstLine="0"/>
        <w:jc w:val="left"/>
        <w:rPr>
          <w:rFonts w:ascii="宋体" w:hAnsi="宋体" w:cs="宋体" w:eastAsia="宋体" w:hint="default"/>
          <w:sz w:val="21"/>
          <w:szCs w:val="21"/>
        </w:rPr>
      </w:pPr>
      <w:r>
        <w:rPr/>
        <w:pict>
          <v:shape style="position:absolute;margin-left:293.709991pt;margin-top:-36.216362pt;width:74.996875pt;height:.72pt;mso-position-horizontal-relative:page;mso-position-vertical-relative:paragraph;z-index:-646144" type="#_x0000_t75" stroked="false">
            <v:imagedata r:id="rId89" o:title=""/>
          </v:shape>
        </w:pic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预付款项期末数中无预付持本公司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表决权的股东单位款项。</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before="36"/>
        <w:ind w:left="80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预付款项期末数比期初数减少</w:t>
      </w:r>
      <w:r>
        <w:rPr>
          <w:rFonts w:ascii="宋体" w:hAnsi="宋体" w:cs="宋体" w:eastAsia="宋体" w:hint="default"/>
          <w:b/>
          <w:bCs/>
          <w:spacing w:val="-50"/>
          <w:sz w:val="21"/>
          <w:szCs w:val="21"/>
        </w:rPr>
        <w:t> </w:t>
      </w:r>
      <w:r>
        <w:rPr>
          <w:rFonts w:ascii="宋体" w:hAnsi="宋体" w:cs="宋体" w:eastAsia="宋体" w:hint="default"/>
          <w:b/>
          <w:bCs/>
          <w:sz w:val="21"/>
          <w:szCs w:val="21"/>
        </w:rPr>
        <w:t>1,069,287.73</w:t>
      </w:r>
      <w:r>
        <w:rPr>
          <w:rFonts w:ascii="宋体" w:hAnsi="宋体" w:cs="宋体" w:eastAsia="宋体" w:hint="default"/>
          <w:b/>
          <w:bCs/>
          <w:spacing w:val="-50"/>
          <w:sz w:val="21"/>
          <w:szCs w:val="21"/>
        </w:rPr>
        <w:t> </w:t>
      </w:r>
      <w:r>
        <w:rPr>
          <w:rFonts w:ascii="宋体" w:hAnsi="宋体" w:cs="宋体" w:eastAsia="宋体" w:hint="default"/>
          <w:b/>
          <w:bCs/>
          <w:spacing w:val="-6"/>
          <w:sz w:val="21"/>
          <w:szCs w:val="21"/>
        </w:rPr>
        <w:t>元，减幅</w:t>
      </w:r>
      <w:r>
        <w:rPr>
          <w:rFonts w:ascii="宋体" w:hAnsi="宋体" w:cs="宋体" w:eastAsia="宋体" w:hint="default"/>
          <w:b/>
          <w:bCs/>
          <w:spacing w:val="-51"/>
          <w:sz w:val="21"/>
          <w:szCs w:val="21"/>
        </w:rPr>
        <w:t> </w:t>
      </w:r>
      <w:r>
        <w:rPr>
          <w:rFonts w:ascii="宋体" w:hAnsi="宋体" w:cs="宋体" w:eastAsia="宋体" w:hint="default"/>
          <w:b/>
          <w:bCs/>
          <w:spacing w:val="-3"/>
          <w:sz w:val="21"/>
          <w:szCs w:val="21"/>
        </w:rPr>
        <w:t>32.06%</w:t>
      </w:r>
      <w:r>
        <w:rPr>
          <w:rFonts w:ascii="宋体" w:hAnsi="宋体" w:cs="宋体" w:eastAsia="宋体" w:hint="default"/>
          <w:b/>
          <w:bCs/>
          <w:spacing w:val="-3"/>
          <w:sz w:val="21"/>
          <w:szCs w:val="21"/>
        </w:rPr>
        <w:t>，减少的主要原因为：①</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14"/>
          <w:szCs w:val="14"/>
        </w:rPr>
      </w:pPr>
    </w:p>
    <w:p>
      <w:pPr>
        <w:spacing w:before="0"/>
        <w:ind w:left="382" w:right="0" w:firstLine="0"/>
        <w:jc w:val="left"/>
        <w:rPr>
          <w:rFonts w:ascii="宋体" w:hAnsi="宋体" w:cs="宋体" w:eastAsia="宋体" w:hint="default"/>
          <w:sz w:val="21"/>
          <w:szCs w:val="21"/>
        </w:rPr>
      </w:pPr>
      <w:r>
        <w:rPr>
          <w:rFonts w:ascii="宋体" w:hAnsi="宋体" w:cs="宋体" w:eastAsia="宋体" w:hint="default"/>
          <w:b/>
          <w:bCs/>
          <w:sz w:val="21"/>
          <w:szCs w:val="21"/>
        </w:rPr>
        <w:t>上期预付给深圳市九富投资顾问有限公司 </w:t>
      </w:r>
      <w:r>
        <w:rPr>
          <w:rFonts w:ascii="宋体" w:hAnsi="宋体" w:cs="宋体" w:eastAsia="宋体" w:hint="default"/>
          <w:b/>
          <w:bCs/>
          <w:sz w:val="21"/>
          <w:szCs w:val="21"/>
        </w:rPr>
        <w:t>1,490,924.40</w:t>
      </w:r>
      <w:r>
        <w:rPr>
          <w:rFonts w:ascii="宋体" w:hAnsi="宋体" w:cs="宋体" w:eastAsia="宋体" w:hint="default"/>
          <w:b/>
          <w:bCs/>
          <w:spacing w:val="-4"/>
          <w:sz w:val="21"/>
          <w:szCs w:val="21"/>
        </w:rPr>
        <w:t> </w:t>
      </w:r>
      <w:r>
        <w:rPr>
          <w:rFonts w:ascii="宋体" w:hAnsi="宋体" w:cs="宋体" w:eastAsia="宋体" w:hint="default"/>
          <w:b/>
          <w:bCs/>
          <w:sz w:val="21"/>
          <w:szCs w:val="21"/>
        </w:rPr>
        <w:t>元的款项，本期因解除合同，全部退</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804" w:right="1650" w:hanging="423"/>
        <w:jc w:val="left"/>
        <w:rPr>
          <w:rFonts w:ascii="宋体" w:hAnsi="宋体" w:cs="宋体" w:eastAsia="宋体" w:hint="default"/>
          <w:sz w:val="21"/>
          <w:szCs w:val="21"/>
        </w:rPr>
      </w:pPr>
      <w:r>
        <w:rPr/>
        <w:pict>
          <v:group style="position:absolute;margin-left:84.384003pt;margin-top:74.423676pt;width:138.65pt;height:.1pt;mso-position-horizontal-relative:page;mso-position-vertical-relative:paragraph;z-index:-646120" coordorigin="1688,1488" coordsize="2773,2">
            <v:shape style="position:absolute;left:1688;top:1488;width:2773;height:2" coordorigin="1688,1488" coordsize="2773,0" path="m1688,1488l4460,1488e" filled="false" stroked="true" strokeweight=".47998pt" strokecolor="#000000">
              <v:path arrowok="t"/>
            </v:shape>
            <w10:wrap type="none"/>
          </v:group>
        </w:pict>
      </w:r>
      <w:r>
        <w:rPr>
          <w:rFonts w:ascii="宋体" w:hAnsi="宋体" w:cs="宋体" w:eastAsia="宋体" w:hint="default"/>
          <w:b/>
          <w:bCs/>
          <w:sz w:val="21"/>
          <w:szCs w:val="21"/>
        </w:rPr>
        <w:t>回；②预付给福田区建设局的</w:t>
      </w:r>
      <w:r>
        <w:rPr>
          <w:rFonts w:ascii="宋体" w:hAnsi="宋体" w:cs="宋体" w:eastAsia="宋体" w:hint="default"/>
          <w:b/>
          <w:bCs/>
          <w:spacing w:val="-56"/>
          <w:sz w:val="21"/>
          <w:szCs w:val="21"/>
        </w:rPr>
        <w:t> </w:t>
      </w:r>
      <w:r>
        <w:rPr>
          <w:rFonts w:ascii="宋体" w:hAnsi="宋体" w:cs="宋体" w:eastAsia="宋体" w:hint="default"/>
          <w:b/>
          <w:bCs/>
          <w:sz w:val="21"/>
          <w:szCs w:val="21"/>
        </w:rPr>
        <w:t>975,939.85</w:t>
      </w:r>
      <w:r>
        <w:rPr>
          <w:rFonts w:ascii="宋体" w:hAnsi="宋体" w:cs="宋体" w:eastAsia="宋体" w:hint="default"/>
          <w:b/>
          <w:bCs/>
          <w:spacing w:val="-56"/>
          <w:sz w:val="21"/>
          <w:szCs w:val="21"/>
        </w:rPr>
        <w:t> </w:t>
      </w:r>
      <w:r>
        <w:rPr>
          <w:rFonts w:ascii="宋体" w:hAnsi="宋体" w:cs="宋体" w:eastAsia="宋体" w:hint="default"/>
          <w:b/>
          <w:bCs/>
          <w:sz w:val="21"/>
          <w:szCs w:val="21"/>
        </w:rPr>
        <w:t>房款，本期已办理入伙手续，转入固定资产。</w:t>
      </w:r>
      <w:r>
        <w:rPr>
          <w:rFonts w:ascii="宋体" w:hAnsi="宋体" w:cs="宋体" w:eastAsia="宋体" w:hint="default"/>
          <w:b/>
          <w:bCs/>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预付款项期末数中金额前五名：</w:t>
      </w:r>
      <w:r>
        <w:rPr>
          <w:rFonts w:ascii="宋体" w:hAnsi="宋体" w:cs="宋体" w:eastAsia="宋体" w:hint="default"/>
          <w:sz w:val="21"/>
          <w:szCs w:val="21"/>
        </w:rPr>
      </w:r>
    </w:p>
    <w:p>
      <w:pPr>
        <w:spacing w:line="240" w:lineRule="auto" w:before="6"/>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2039"/>
        <w:gridCol w:w="139"/>
        <w:gridCol w:w="1570"/>
        <w:gridCol w:w="110"/>
        <w:gridCol w:w="1515"/>
        <w:gridCol w:w="1363"/>
        <w:gridCol w:w="127"/>
        <w:gridCol w:w="1896"/>
      </w:tblGrid>
      <w:tr>
        <w:trPr>
          <w:trHeight w:val="265"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3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p>
        </w:tc>
      </w:tr>
    </w:tbl>
    <w:p>
      <w:pPr>
        <w:spacing w:after="0" w:line="180" w:lineRule="exact"/>
        <w:jc w:val="left"/>
        <w:rPr>
          <w:rFonts w:ascii="宋体" w:hAnsi="宋体" w:cs="宋体" w:eastAsia="宋体" w:hint="default"/>
          <w:sz w:val="18"/>
          <w:szCs w:val="18"/>
        </w:rPr>
        <w:sectPr>
          <w:footerReference w:type="default" r:id="rId79"/>
          <w:pgSz w:w="11910" w:h="16840"/>
          <w:pgMar w:footer="1195" w:header="0" w:top="1420" w:bottom="1380" w:left="1320" w:right="420"/>
        </w:sectPr>
      </w:pPr>
    </w:p>
    <w:p>
      <w:pPr>
        <w:spacing w:line="240" w:lineRule="auto" w:before="1"/>
        <w:rPr>
          <w:rFonts w:ascii="宋体" w:hAnsi="宋体" w:cs="宋体" w:eastAsia="宋体" w:hint="default"/>
          <w:b/>
          <w:bCs/>
          <w:sz w:val="6"/>
          <w:szCs w:val="6"/>
        </w:rPr>
      </w:pPr>
    </w:p>
    <w:tbl>
      <w:tblPr>
        <w:tblW w:w="0" w:type="auto"/>
        <w:jc w:val="left"/>
        <w:tblInd w:w="122" w:type="dxa"/>
        <w:tblLayout w:type="fixed"/>
        <w:tblCellMar>
          <w:top w:w="0" w:type="dxa"/>
          <w:left w:w="0" w:type="dxa"/>
          <w:bottom w:w="0" w:type="dxa"/>
          <w:right w:w="0" w:type="dxa"/>
        </w:tblCellMar>
        <w:tblLook w:val="01E0"/>
      </w:tblPr>
      <w:tblGrid>
        <w:gridCol w:w="2758"/>
        <w:gridCol w:w="154"/>
        <w:gridCol w:w="1556"/>
        <w:gridCol w:w="121"/>
        <w:gridCol w:w="1504"/>
        <w:gridCol w:w="1363"/>
        <w:gridCol w:w="134"/>
        <w:gridCol w:w="1889"/>
      </w:tblGrid>
      <w:tr>
        <w:trPr>
          <w:trHeight w:val="344"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苏州远创达科技有限公司</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0"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1,600,000.00</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pacing w:val="-1"/>
                <w:sz w:val="18"/>
              </w:rPr>
              <w:t>70.60%</w:t>
            </w:r>
          </w:p>
        </w:tc>
      </w:tr>
      <w:tr>
        <w:trPr>
          <w:trHeight w:val="341"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工业和信息化部通信计量中心</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108,860.00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z w:val="18"/>
              </w:rPr>
              <w:t>4.80%</w:t>
            </w:r>
          </w:p>
        </w:tc>
      </w:tr>
      <w:tr>
        <w:trPr>
          <w:trHeight w:val="34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深圳市立美文化用品有限公司</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68,250.00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z w:val="18"/>
              </w:rPr>
              <w:t>3.01%</w:t>
            </w:r>
          </w:p>
        </w:tc>
      </w:tr>
      <w:tr>
        <w:trPr>
          <w:trHeight w:val="34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工业和信息化部电信传输研究所</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67,540.00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z w:val="18"/>
              </w:rPr>
              <w:t>2.98%</w:t>
            </w:r>
          </w:p>
        </w:tc>
      </w:tr>
      <w:tr>
        <w:trPr>
          <w:trHeight w:val="345"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意力</w:t>
            </w:r>
            <w:r>
              <w:rPr>
                <w:rFonts w:ascii="宋体" w:hAnsi="宋体" w:cs="宋体" w:eastAsia="宋体" w:hint="default"/>
                <w:sz w:val="18"/>
                <w:szCs w:val="18"/>
              </w:rPr>
              <w:t>(</w:t>
            </w:r>
            <w:r>
              <w:rPr>
                <w:rFonts w:ascii="宋体" w:hAnsi="宋体" w:cs="宋体" w:eastAsia="宋体" w:hint="default"/>
                <w:sz w:val="18"/>
                <w:szCs w:val="18"/>
              </w:rPr>
              <w:t>广州</w:t>
            </w:r>
            <w:r>
              <w:rPr>
                <w:rFonts w:ascii="宋体" w:hAnsi="宋体" w:cs="宋体" w:eastAsia="宋体" w:hint="default"/>
                <w:sz w:val="18"/>
                <w:szCs w:val="18"/>
              </w:rPr>
              <w:t>)</w:t>
            </w:r>
            <w:r>
              <w:rPr>
                <w:rFonts w:ascii="宋体" w:hAnsi="宋体" w:cs="宋体" w:eastAsia="宋体" w:hint="default"/>
                <w:sz w:val="18"/>
                <w:szCs w:val="18"/>
              </w:rPr>
              <w:t>电子科技有限公司</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57,000.00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z w:val="18"/>
              </w:rPr>
              <w:t>2.52%</w:t>
            </w:r>
          </w:p>
        </w:tc>
      </w:tr>
      <w:tr>
        <w:trPr>
          <w:trHeight w:val="362"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1,901,650.00</w:t>
            </w:r>
          </w:p>
        </w:tc>
        <w:tc>
          <w:tcPr>
            <w:tcW w:w="136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83.91%</w:t>
            </w:r>
          </w:p>
        </w:tc>
      </w:tr>
    </w:tbl>
    <w:p>
      <w:pPr>
        <w:spacing w:line="240" w:lineRule="auto" w:before="2"/>
        <w:rPr>
          <w:rFonts w:ascii="宋体" w:hAnsi="宋体" w:cs="宋体" w:eastAsia="宋体" w:hint="default"/>
          <w:b/>
          <w:bCs/>
          <w:sz w:val="20"/>
          <w:szCs w:val="20"/>
        </w:rPr>
      </w:pPr>
    </w:p>
    <w:p>
      <w:pPr>
        <w:spacing w:before="36"/>
        <w:ind w:left="549" w:right="5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544" w:right="57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122" w:type="dxa"/>
        <w:tblLayout w:type="fixed"/>
        <w:tblCellMar>
          <w:top w:w="0" w:type="dxa"/>
          <w:left w:w="0" w:type="dxa"/>
          <w:bottom w:w="0" w:type="dxa"/>
          <w:right w:w="0" w:type="dxa"/>
        </w:tblCellMar>
        <w:tblLook w:val="01E0"/>
      </w:tblPr>
      <w:tblGrid>
        <w:gridCol w:w="1985"/>
        <w:gridCol w:w="142"/>
        <w:gridCol w:w="1128"/>
        <w:gridCol w:w="934"/>
        <w:gridCol w:w="792"/>
        <w:gridCol w:w="790"/>
        <w:gridCol w:w="134"/>
        <w:gridCol w:w="1080"/>
        <w:gridCol w:w="711"/>
        <w:gridCol w:w="134"/>
        <w:gridCol w:w="934"/>
        <w:gridCol w:w="706"/>
      </w:tblGrid>
      <w:tr>
        <w:trPr>
          <w:trHeight w:val="245" w:hRule="exact"/>
        </w:trPr>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Style w:val="TableParagraph"/>
              <w:spacing w:line="151" w:lineRule="exact"/>
              <w:ind w:left="468"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792" w:type="dxa"/>
            <w:tcBorders>
              <w:top w:val="nil" w:sz="6" w:space="0" w:color="auto"/>
              <w:left w:val="nil" w:sz="6" w:space="0" w:color="auto"/>
              <w:bottom w:val="single" w:sz="4" w:space="0" w:color="000000"/>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1779" w:type="dxa"/>
            <w:gridSpan w:val="3"/>
            <w:tcBorders>
              <w:top w:val="nil" w:sz="6" w:space="0" w:color="auto"/>
              <w:left w:val="nil" w:sz="6" w:space="0" w:color="auto"/>
              <w:bottom w:val="single" w:sz="4" w:space="0" w:color="000000"/>
              <w:right w:val="nil" w:sz="6" w:space="0" w:color="auto"/>
            </w:tcBorders>
          </w:tcPr>
          <w:p>
            <w:pPr>
              <w:pStyle w:val="TableParagraph"/>
              <w:spacing w:line="151" w:lineRule="exact"/>
              <w:ind w:left="48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706"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840"/>
              <w:jc w:val="right"/>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3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9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0"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single" w:sz="4" w:space="0" w:color="000000"/>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84"/>
              <w:jc w:val="righ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70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79"/>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436"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182" w:lineRule="exact"/>
              <w:ind w:left="28" w:right="0"/>
              <w:jc w:val="left"/>
              <w:rPr>
                <w:rFonts w:ascii="宋体" w:hAnsi="宋体" w:cs="宋体" w:eastAsia="宋体" w:hint="default"/>
                <w:sz w:val="15"/>
                <w:szCs w:val="15"/>
              </w:rPr>
            </w:pPr>
            <w:r>
              <w:rPr>
                <w:rFonts w:ascii="宋体" w:hAnsi="宋体" w:cs="宋体" w:eastAsia="宋体" w:hint="default"/>
                <w:spacing w:val="-4"/>
                <w:sz w:val="15"/>
                <w:szCs w:val="15"/>
              </w:rPr>
              <w:t>一、单项金额重大并单项计提</w:t>
            </w:r>
          </w:p>
          <w:p>
            <w:pPr>
              <w:pStyle w:val="TableParagraph"/>
              <w:spacing w:line="240" w:lineRule="auto" w:before="5"/>
              <w:ind w:left="28"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5"/>
              <w:jc w:val="right"/>
              <w:rPr>
                <w:rFonts w:ascii="宋体" w:hAnsi="宋体" w:cs="宋体" w:eastAsia="宋体" w:hint="default"/>
                <w:sz w:val="15"/>
                <w:szCs w:val="15"/>
              </w:rPr>
            </w:pPr>
            <w:r>
              <w:rPr>
                <w:rFonts w:ascii="宋体"/>
                <w:spacing w:val="-1"/>
                <w:sz w:val="15"/>
              </w:rPr>
              <w:t>---</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31.95pt;height:.5pt;mso-position-horizontal-relative:char;mso-position-vertical-relative:line" coordorigin="0,0" coordsize="639,10">
                  <v:group style="position:absolute;left:5;top:5;width:630;height:2" coordorigin="5,5" coordsize="630,2">
                    <v:shape style="position:absolute;left:5;top:5;width:630;height:2" coordorigin="5,5" coordsize="630,0" path="m5,5l63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88"/>
              <w:ind w:left="453" w:right="0"/>
              <w:jc w:val="left"/>
              <w:rPr>
                <w:rFonts w:ascii="宋体" w:hAnsi="宋体" w:cs="宋体" w:eastAsia="宋体" w:hint="default"/>
                <w:sz w:val="15"/>
                <w:szCs w:val="15"/>
              </w:rPr>
            </w:pPr>
            <w:r>
              <w:rPr>
                <w:rFonts w:ascii="宋体"/>
                <w:sz w:val="15"/>
              </w:rPr>
              <w:t>---</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5"/>
              <w:jc w:val="right"/>
              <w:rPr>
                <w:rFonts w:ascii="宋体" w:hAnsi="宋体" w:cs="宋体" w:eastAsia="宋体" w:hint="default"/>
                <w:sz w:val="15"/>
                <w:szCs w:val="15"/>
              </w:rPr>
            </w:pPr>
            <w:r>
              <w:rPr>
                <w:rFonts w:ascii="宋体"/>
                <w:spacing w:val="-1"/>
                <w:sz w:val="15"/>
              </w:rPr>
              <w:t>---</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5"/>
              <w:jc w:val="right"/>
              <w:rPr>
                <w:rFonts w:ascii="宋体" w:hAnsi="宋体" w:cs="宋体" w:eastAsia="宋体" w:hint="default"/>
                <w:sz w:val="15"/>
                <w:szCs w:val="15"/>
              </w:rPr>
            </w:pPr>
            <w:r>
              <w:rPr>
                <w:rFonts w:ascii="宋体"/>
                <w:spacing w:val="-1"/>
                <w:sz w:val="15"/>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宋体" w:hAnsi="宋体" w:cs="宋体" w:eastAsia="宋体" w:hint="default"/>
                <w:sz w:val="15"/>
                <w:szCs w:val="15"/>
              </w:rPr>
            </w:pPr>
            <w:r>
              <w:rPr>
                <w:rFonts w:ascii="宋体"/>
                <w:spacing w:val="-1"/>
                <w:sz w:val="15"/>
              </w:rPr>
              <w:t>---</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宋体" w:hAnsi="宋体" w:cs="宋体" w:eastAsia="宋体" w:hint="default"/>
                <w:sz w:val="15"/>
                <w:szCs w:val="15"/>
              </w:rPr>
            </w:pPr>
            <w:r>
              <w:rPr>
                <w:rFonts w:ascii="宋体"/>
                <w:spacing w:val="-1"/>
                <w:sz w:val="15"/>
              </w:rPr>
              <w:t>---</w:t>
            </w:r>
          </w:p>
        </w:tc>
      </w:tr>
      <w:tr>
        <w:trPr>
          <w:trHeight w:val="592"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81" w:lineRule="auto" w:before="2"/>
              <w:ind w:left="28" w:right="27"/>
              <w:jc w:val="left"/>
              <w:rPr>
                <w:rFonts w:ascii="宋体" w:hAnsi="宋体" w:cs="宋体" w:eastAsia="宋体" w:hint="default"/>
                <w:sz w:val="15"/>
                <w:szCs w:val="15"/>
              </w:rPr>
            </w:pPr>
            <w:r>
              <w:rPr>
                <w:rFonts w:ascii="宋体" w:hAnsi="宋体" w:cs="宋体" w:eastAsia="宋体" w:hint="default"/>
                <w:spacing w:val="-4"/>
                <w:sz w:val="15"/>
                <w:szCs w:val="15"/>
              </w:rPr>
              <w:t>二、按账龄组合计提坏账准备</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7,744,173.98</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79" w:right="0"/>
              <w:jc w:val="left"/>
              <w:rPr>
                <w:rFonts w:ascii="宋体" w:hAnsi="宋体" w:cs="宋体" w:eastAsia="宋体" w:hint="default"/>
                <w:sz w:val="15"/>
                <w:szCs w:val="15"/>
              </w:rPr>
            </w:pPr>
            <w:r>
              <w:rPr>
                <w:rFonts w:ascii="宋体"/>
                <w:sz w:val="15"/>
              </w:rPr>
              <w:t>100%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5"/>
                <w:szCs w:val="15"/>
              </w:rPr>
            </w:pPr>
            <w:r>
              <w:rPr>
                <w:rFonts w:ascii="宋体"/>
                <w:sz w:val="15"/>
              </w:rPr>
              <w:t>670,223.46</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8.65%</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7"/>
              <w:jc w:val="right"/>
              <w:rPr>
                <w:rFonts w:ascii="宋体" w:hAnsi="宋体" w:cs="宋体" w:eastAsia="宋体" w:hint="default"/>
                <w:sz w:val="15"/>
                <w:szCs w:val="15"/>
              </w:rPr>
            </w:pPr>
            <w:r>
              <w:rPr>
                <w:rFonts w:ascii="宋体"/>
                <w:spacing w:val="-2"/>
                <w:sz w:val="15"/>
              </w:rPr>
              <w:t>4,236,171.04</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393,346.81</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9.29%</w:t>
            </w:r>
          </w:p>
        </w:tc>
      </w:tr>
      <w:tr>
        <w:trPr>
          <w:trHeight w:val="655"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81" w:lineRule="auto" w:before="35"/>
              <w:ind w:left="28" w:right="27"/>
              <w:jc w:val="left"/>
              <w:rPr>
                <w:rFonts w:ascii="宋体" w:hAnsi="宋体" w:cs="宋体" w:eastAsia="宋体" w:hint="default"/>
                <w:sz w:val="15"/>
                <w:szCs w:val="15"/>
              </w:rPr>
            </w:pPr>
            <w:r>
              <w:rPr>
                <w:rFonts w:ascii="宋体" w:hAnsi="宋体" w:cs="宋体" w:eastAsia="宋体" w:hint="default"/>
                <w:spacing w:val="-4"/>
                <w:sz w:val="15"/>
                <w:szCs w:val="15"/>
              </w:rPr>
              <w:t>三、单项金额虽不重大但单项</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计提坏账准备的其他应收款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53" w:right="0"/>
              <w:jc w:val="left"/>
              <w:rPr>
                <w:rFonts w:ascii="宋体" w:hAnsi="宋体" w:cs="宋体" w:eastAsia="宋体" w:hint="default"/>
                <w:sz w:val="15"/>
                <w:szCs w:val="15"/>
              </w:rPr>
            </w:pPr>
            <w:r>
              <w:rPr>
                <w:rFonts w:ascii="宋体"/>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8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541" cy="9144"/>
                  <wp:effectExtent l="0" t="0" r="0" b="0"/>
                  <wp:docPr id="31" name="image35.png" descr=""/>
                  <wp:cNvGraphicFramePr>
                    <a:graphicFrameLocks noChangeAspect="1"/>
                  </wp:cNvGraphicFramePr>
                  <a:graphic>
                    <a:graphicData uri="http://schemas.openxmlformats.org/drawingml/2006/picture">
                      <pic:pic>
                        <pic:nvPicPr>
                          <pic:cNvPr id="32" name="image35.png"/>
                          <pic:cNvPicPr/>
                        </pic:nvPicPr>
                        <pic:blipFill>
                          <a:blip r:embed="rId91" cstate="print"/>
                          <a:stretch>
                            <a:fillRect/>
                          </a:stretch>
                        </pic:blipFill>
                        <pic:spPr>
                          <a:xfrm>
                            <a:off x="0" y="0"/>
                            <a:ext cx="399541" cy="9144"/>
                          </a:xfrm>
                          <a:prstGeom prst="rect">
                            <a:avLst/>
                          </a:prstGeom>
                        </pic:spPr>
                      </pic:pic>
                    </a:graphicData>
                  </a:graphic>
                </wp:inline>
              </w:drawing>
            </w:r>
            <w:r>
              <w:rPr>
                <w:rFonts w:ascii="宋体" w:hAnsi="宋体" w:cs="宋体" w:eastAsia="宋体" w:hint="default"/>
                <w:sz w:val="2"/>
                <w:szCs w:val="2"/>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81"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9579" cy="9144"/>
                  <wp:effectExtent l="0" t="0" r="0" b="0"/>
                  <wp:docPr id="33" name="image36.png" descr=""/>
                  <wp:cNvGraphicFramePr>
                    <a:graphicFrameLocks noChangeAspect="1"/>
                  </wp:cNvGraphicFramePr>
                  <a:graphic>
                    <a:graphicData uri="http://schemas.openxmlformats.org/drawingml/2006/picture">
                      <pic:pic>
                        <pic:nvPicPr>
                          <pic:cNvPr id="34" name="image36.png"/>
                          <pic:cNvPicPr/>
                        </pic:nvPicPr>
                        <pic:blipFill>
                          <a:blip r:embed="rId92" cstate="print"/>
                          <a:stretch>
                            <a:fillRect/>
                          </a:stretch>
                        </pic:blipFill>
                        <pic:spPr>
                          <a:xfrm>
                            <a:off x="0" y="0"/>
                            <a:ext cx="449579" cy="9144"/>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87" cy="9144"/>
                  <wp:effectExtent l="0" t="0" r="0" b="0"/>
                  <wp:docPr id="35" name="image37.png" descr=""/>
                  <wp:cNvGraphicFramePr>
                    <a:graphicFrameLocks noChangeAspect="1"/>
                  </wp:cNvGraphicFramePr>
                  <a:graphic>
                    <a:graphicData uri="http://schemas.openxmlformats.org/drawingml/2006/picture">
                      <pic:pic>
                        <pic:nvPicPr>
                          <pic:cNvPr id="36" name="image37.png"/>
                          <pic:cNvPicPr/>
                        </pic:nvPicPr>
                        <pic:blipFill>
                          <a:blip r:embed="rId93" cstate="print"/>
                          <a:stretch>
                            <a:fillRect/>
                          </a:stretch>
                        </pic:blipFill>
                        <pic:spPr>
                          <a:xfrm>
                            <a:off x="0" y="0"/>
                            <a:ext cx="399287" cy="9144"/>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88517" cy="9144"/>
                  <wp:effectExtent l="0" t="0" r="0" b="0"/>
                  <wp:docPr id="37" name="image38.png" descr=""/>
                  <wp:cNvGraphicFramePr>
                    <a:graphicFrameLocks noChangeAspect="1"/>
                  </wp:cNvGraphicFramePr>
                  <a:graphic>
                    <a:graphicData uri="http://schemas.openxmlformats.org/drawingml/2006/picture">
                      <pic:pic>
                        <pic:nvPicPr>
                          <pic:cNvPr id="38" name="image38.png"/>
                          <pic:cNvPicPr/>
                        </pic:nvPicPr>
                        <pic:blipFill>
                          <a:blip r:embed="rId94" cstate="print"/>
                          <a:stretch>
                            <a:fillRect/>
                          </a:stretch>
                        </pic:blipFill>
                        <pic:spPr>
                          <a:xfrm>
                            <a:off x="0" y="0"/>
                            <a:ext cx="588517" cy="9144"/>
                          </a:xfrm>
                          <a:prstGeom prst="rect">
                            <a:avLst/>
                          </a:prstGeom>
                        </pic:spPr>
                      </pic:pic>
                    </a:graphicData>
                  </a:graphic>
                </wp:inline>
              </w:drawing>
            </w:r>
            <w:r>
              <w:rPr>
                <w:rFonts w:ascii="宋体" w:hAnsi="宋体" w:cs="宋体" w:eastAsia="宋体" w:hint="default"/>
                <w:sz w:val="2"/>
                <w:szCs w:val="2"/>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8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1667" cy="9144"/>
                  <wp:effectExtent l="0" t="0" r="0" b="0"/>
                  <wp:docPr id="39" name="image39.png" descr=""/>
                  <wp:cNvGraphicFramePr>
                    <a:graphicFrameLocks noChangeAspect="1"/>
                  </wp:cNvGraphicFramePr>
                  <a:graphic>
                    <a:graphicData uri="http://schemas.openxmlformats.org/drawingml/2006/picture">
                      <pic:pic>
                        <pic:nvPicPr>
                          <pic:cNvPr id="40" name="image39.png"/>
                          <pic:cNvPicPr/>
                        </pic:nvPicPr>
                        <pic:blipFill>
                          <a:blip r:embed="rId95" cstate="print"/>
                          <a:stretch>
                            <a:fillRect/>
                          </a:stretch>
                        </pic:blipFill>
                        <pic:spPr>
                          <a:xfrm>
                            <a:off x="0" y="0"/>
                            <a:ext cx="391667" cy="9144"/>
                          </a:xfrm>
                          <a:prstGeom prst="rect">
                            <a:avLst/>
                          </a:prstGeom>
                        </pic:spPr>
                      </pic:pic>
                    </a:graphicData>
                  </a:graphic>
                </wp:inline>
              </w:drawing>
            </w:r>
            <w:r>
              <w:rPr>
                <w:rFonts w:ascii="宋体" w:hAnsi="宋体" w:cs="宋体" w:eastAsia="宋体" w:hint="default"/>
                <w:sz w:val="2"/>
                <w:szCs w:val="2"/>
              </w:rPr>
            </w:r>
          </w:p>
        </w:tc>
      </w:tr>
      <w:tr>
        <w:trPr>
          <w:trHeight w:val="37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40"/>
              <w:jc w:val="right"/>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6"/>
              <w:jc w:val="right"/>
              <w:rPr>
                <w:rFonts w:ascii="宋体" w:hAnsi="宋体" w:cs="宋体" w:eastAsia="宋体" w:hint="default"/>
                <w:sz w:val="15"/>
                <w:szCs w:val="15"/>
              </w:rPr>
            </w:pPr>
            <w:r>
              <w:rPr>
                <w:rFonts w:ascii="宋体"/>
                <w:spacing w:val="-2"/>
                <w:sz w:val="15"/>
              </w:rPr>
              <w:t>7,744,173.98</w:t>
            </w:r>
          </w:p>
        </w:tc>
        <w:tc>
          <w:tcPr>
            <w:tcW w:w="934"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left="379" w:right="0"/>
              <w:jc w:val="left"/>
              <w:rPr>
                <w:rFonts w:ascii="宋体" w:hAnsi="宋体" w:cs="宋体" w:eastAsia="宋体" w:hint="default"/>
                <w:sz w:val="15"/>
                <w:szCs w:val="15"/>
              </w:rPr>
            </w:pPr>
            <w:r>
              <w:rPr>
                <w:rFonts w:ascii="宋体"/>
                <w:sz w:val="15"/>
              </w:rPr>
              <w:t>100%</w:t>
            </w:r>
          </w:p>
        </w:tc>
        <w:tc>
          <w:tcPr>
            <w:tcW w:w="792"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left="12" w:right="0"/>
              <w:jc w:val="left"/>
              <w:rPr>
                <w:rFonts w:ascii="宋体" w:hAnsi="宋体" w:cs="宋体" w:eastAsia="宋体" w:hint="default"/>
                <w:sz w:val="15"/>
                <w:szCs w:val="15"/>
              </w:rPr>
            </w:pPr>
            <w:r>
              <w:rPr>
                <w:rFonts w:ascii="宋体"/>
                <w:sz w:val="15"/>
              </w:rPr>
              <w:t>670,223.46</w:t>
            </w:r>
          </w:p>
        </w:tc>
        <w:tc>
          <w:tcPr>
            <w:tcW w:w="790"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9"/>
              <w:jc w:val="right"/>
              <w:rPr>
                <w:rFonts w:ascii="宋体" w:hAnsi="宋体" w:cs="宋体" w:eastAsia="宋体" w:hint="default"/>
                <w:sz w:val="15"/>
                <w:szCs w:val="15"/>
              </w:rPr>
            </w:pPr>
            <w:r>
              <w:rPr>
                <w:rFonts w:ascii="宋体"/>
                <w:spacing w:val="-1"/>
                <w:sz w:val="15"/>
              </w:rPr>
              <w:t>8.65%</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7"/>
              <w:jc w:val="right"/>
              <w:rPr>
                <w:rFonts w:ascii="宋体" w:hAnsi="宋体" w:cs="宋体" w:eastAsia="宋体" w:hint="default"/>
                <w:sz w:val="15"/>
                <w:szCs w:val="15"/>
              </w:rPr>
            </w:pPr>
            <w:r>
              <w:rPr>
                <w:rFonts w:ascii="宋体"/>
                <w:spacing w:val="-2"/>
                <w:sz w:val="15"/>
              </w:rPr>
              <w:t>4,236,171.04</w:t>
            </w:r>
          </w:p>
        </w:tc>
        <w:tc>
          <w:tcPr>
            <w:tcW w:w="711"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393,346.81</w:t>
            </w:r>
          </w:p>
        </w:tc>
        <w:tc>
          <w:tcPr>
            <w:tcW w:w="706"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9.29%</w:t>
            </w:r>
          </w:p>
        </w:tc>
      </w:tr>
    </w:tbl>
    <w:p>
      <w:pPr>
        <w:spacing w:before="64"/>
        <w:ind w:left="544" w:right="573" w:firstLine="0"/>
        <w:jc w:val="left"/>
        <w:rPr>
          <w:rFonts w:ascii="宋体" w:hAnsi="宋体" w:cs="宋体" w:eastAsia="宋体" w:hint="default"/>
          <w:sz w:val="21"/>
          <w:szCs w:val="21"/>
        </w:rPr>
      </w:pPr>
      <w:r>
        <w:rPr/>
        <w:pict>
          <v:shape style="position:absolute;margin-left:191.449997pt;margin-top:-21.516336pt;width:56.40001pt;height:.72pt;mso-position-horizontal-relative:page;mso-position-vertical-relative:paragraph;z-index:-646072" type="#_x0000_t75" stroked="false">
            <v:imagedata r:id="rId96" o:title=""/>
          </v:shape>
        </w:pict>
      </w:r>
      <w:r>
        <w:rPr/>
        <w:pict>
          <v:shape style="position:absolute;margin-left:287.470001pt;margin-top:-21.516336pt;width:46.68001pt;height:.72pt;mso-position-horizontal-relative:page;mso-position-vertical-relative:paragraph;z-index:-646048" type="#_x0000_t75" stroked="false">
            <v:imagedata r:id="rId97" o:title=""/>
          </v:shape>
        </w:pict>
      </w:r>
      <w:r>
        <w:rPr/>
        <w:pict>
          <v:shape style="position:absolute;margin-left:380.709991pt;margin-top:-21.516336pt;width:53.67002pt;height:.72pt;mso-position-horizontal-relative:page;mso-position-vertical-relative:paragraph;z-index:-646024" type="#_x0000_t75" stroked="false">
            <v:imagedata r:id="rId98" o:title=""/>
          </v:shape>
        </w:pict>
      </w: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tbl>
      <w:tblPr>
        <w:tblW w:w="0" w:type="auto"/>
        <w:jc w:val="left"/>
        <w:tblInd w:w="117" w:type="dxa"/>
        <w:tblLayout w:type="fixed"/>
        <w:tblCellMar>
          <w:top w:w="0" w:type="dxa"/>
          <w:left w:w="0" w:type="dxa"/>
          <w:bottom w:w="0" w:type="dxa"/>
          <w:right w:w="0" w:type="dxa"/>
        </w:tblCellMar>
        <w:tblLook w:val="01E0"/>
      </w:tblPr>
      <w:tblGrid>
        <w:gridCol w:w="1825"/>
        <w:gridCol w:w="1344"/>
        <w:gridCol w:w="106"/>
        <w:gridCol w:w="1052"/>
        <w:gridCol w:w="103"/>
        <w:gridCol w:w="1219"/>
        <w:gridCol w:w="1409"/>
        <w:gridCol w:w="106"/>
        <w:gridCol w:w="1008"/>
        <w:gridCol w:w="106"/>
        <w:gridCol w:w="1207"/>
      </w:tblGrid>
      <w:tr>
        <w:trPr>
          <w:trHeight w:val="272" w:hRule="exact"/>
        </w:trPr>
        <w:tc>
          <w:tcPr>
            <w:tcW w:w="1825"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Style w:val="TableParagraph"/>
              <w:spacing w:line="180" w:lineRule="exact"/>
              <w:ind w:left="1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账龄</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7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1" w:hRule="exact"/>
        </w:trPr>
        <w:tc>
          <w:tcPr>
            <w:tcW w:w="182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6,944,940.62</w:t>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89.68%</w:t>
            </w:r>
          </w:p>
        </w:tc>
        <w:tc>
          <w:tcPr>
            <w:tcW w:w="103"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350,247.03</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3,593,816.68</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84.84%</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179,690.83</w:t>
            </w:r>
          </w:p>
        </w:tc>
      </w:tr>
      <w:tr>
        <w:trPr>
          <w:trHeight w:val="368"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467,727.41</w:t>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6.04%</w:t>
            </w:r>
          </w:p>
        </w:tc>
        <w:tc>
          <w:tcPr>
            <w:tcW w:w="103"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93,545.48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358,404.00</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8.46%</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71,680.80</w:t>
            </w:r>
          </w:p>
        </w:tc>
      </w:tr>
      <w:tr>
        <w:trPr>
          <w:trHeight w:val="370"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210,150.00</w:t>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2.71%</w:t>
            </w:r>
          </w:p>
        </w:tc>
        <w:tc>
          <w:tcPr>
            <w:tcW w:w="103"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105,075.00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283,950.36</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6.70%</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141,975.18</w:t>
            </w:r>
          </w:p>
        </w:tc>
      </w:tr>
      <w:tr>
        <w:trPr>
          <w:trHeight w:val="377"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121,355.95</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475" cy="9144"/>
                  <wp:effectExtent l="0" t="0" r="0" b="0"/>
                  <wp:docPr id="41" name="image43.png" descr=""/>
                  <wp:cNvGraphicFramePr>
                    <a:graphicFrameLocks noChangeAspect="1"/>
                  </wp:cNvGraphicFramePr>
                  <a:graphic>
                    <a:graphicData uri="http://schemas.openxmlformats.org/drawingml/2006/picture">
                      <pic:pic>
                        <pic:nvPicPr>
                          <pic:cNvPr id="42" name="image43.png"/>
                          <pic:cNvPicPr/>
                        </pic:nvPicPr>
                        <pic:blipFill>
                          <a:blip r:embed="rId99" cstate="print"/>
                          <a:stretch>
                            <a:fillRect/>
                          </a:stretch>
                        </pic:blipFill>
                        <pic:spPr>
                          <a:xfrm>
                            <a:off x="0" y="0"/>
                            <a:ext cx="853475" cy="9144"/>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1.57%</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7793" cy="9144"/>
                  <wp:effectExtent l="0" t="0" r="0" b="0"/>
                  <wp:docPr id="43" name="image44.png" descr=""/>
                  <wp:cNvGraphicFramePr>
                    <a:graphicFrameLocks noChangeAspect="1"/>
                  </wp:cNvGraphicFramePr>
                  <a:graphic>
                    <a:graphicData uri="http://schemas.openxmlformats.org/drawingml/2006/picture">
                      <pic:pic>
                        <pic:nvPicPr>
                          <pic:cNvPr id="44" name="image44.png"/>
                          <pic:cNvPicPr/>
                        </pic:nvPicPr>
                        <pic:blipFill>
                          <a:blip r:embed="rId100" cstate="print"/>
                          <a:stretch>
                            <a:fillRect/>
                          </a:stretch>
                        </pic:blipFill>
                        <pic:spPr>
                          <a:xfrm>
                            <a:off x="0" y="0"/>
                            <a:ext cx="667793" cy="9144"/>
                          </a:xfrm>
                          <a:prstGeom prst="rect">
                            <a:avLst/>
                          </a:prstGeom>
                        </pic:spPr>
                      </pic:pic>
                    </a:graphicData>
                  </a:graphic>
                </wp:inline>
              </w:drawing>
            </w:r>
            <w:r>
              <w:rPr>
                <w:rFonts w:ascii="宋体" w:hAnsi="宋体" w:cs="宋体" w:eastAsia="宋体" w:hint="default"/>
                <w:sz w:val="2"/>
                <w:szCs w:val="2"/>
              </w:rPr>
            </w:r>
          </w:p>
        </w:tc>
        <w:tc>
          <w:tcPr>
            <w:tcW w:w="103"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121,355.95</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360" cy="9144"/>
                  <wp:effectExtent l="0" t="0" r="0" b="0"/>
                  <wp:docPr id="45" name="image45.png" descr=""/>
                  <wp:cNvGraphicFramePr>
                    <a:graphicFrameLocks noChangeAspect="1"/>
                  </wp:cNvGraphicFramePr>
                  <a:graphic>
                    <a:graphicData uri="http://schemas.openxmlformats.org/drawingml/2006/picture">
                      <pic:pic>
                        <pic:nvPicPr>
                          <pic:cNvPr id="46" name="image45.png"/>
                          <pic:cNvPicPr/>
                        </pic:nvPicPr>
                        <pic:blipFill>
                          <a:blip r:embed="rId101" cstate="print"/>
                          <a:stretch>
                            <a:fillRect/>
                          </a:stretch>
                        </pic:blipFill>
                        <pic:spPr>
                          <a:xfrm>
                            <a:off x="0" y="0"/>
                            <a:ext cx="640360" cy="9144"/>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6603" cy="9144"/>
                  <wp:effectExtent l="0" t="0" r="0" b="0"/>
                  <wp:docPr id="47" name="image46.png" descr=""/>
                  <wp:cNvGraphicFramePr>
                    <a:graphicFrameLocks noChangeAspect="1"/>
                  </wp:cNvGraphicFramePr>
                  <a:graphic>
                    <a:graphicData uri="http://schemas.openxmlformats.org/drawingml/2006/picture">
                      <pic:pic>
                        <pic:nvPicPr>
                          <pic:cNvPr id="48" name="image46.png"/>
                          <pic:cNvPicPr/>
                        </pic:nvPicPr>
                        <pic:blipFill>
                          <a:blip r:embed="rId102" cstate="print"/>
                          <a:stretch>
                            <a:fillRect/>
                          </a:stretch>
                        </pic:blipFill>
                        <pic:spPr>
                          <a:xfrm>
                            <a:off x="0" y="0"/>
                            <a:ext cx="766603" cy="9144"/>
                          </a:xfrm>
                          <a:prstGeom prst="rect">
                            <a:avLst/>
                          </a:prstGeom>
                        </pic:spPr>
                      </pic:pic>
                    </a:graphicData>
                  </a:graphic>
                </wp:inline>
              </w:drawing>
            </w:r>
            <w:r>
              <w:rPr>
                <w:rFonts w:ascii="宋体" w:hAnsi="宋体" w:cs="宋体" w:eastAsia="宋体" w:hint="default"/>
                <w:sz w:val="2"/>
                <w:szCs w:val="2"/>
              </w:rPr>
            </w:r>
          </w:p>
        </w:tc>
      </w:tr>
      <w:tr>
        <w:trPr>
          <w:trHeight w:val="391"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5"/>
              <w:jc w:val="center"/>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7,744,173.98</w:t>
            </w:r>
          </w:p>
        </w:tc>
        <w:tc>
          <w:tcPr>
            <w:tcW w:w="106"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4224" cy="9144"/>
                  <wp:effectExtent l="0" t="0" r="0" b="0"/>
                  <wp:docPr id="49" name="image47.png" descr=""/>
                  <wp:cNvGraphicFramePr>
                    <a:graphicFrameLocks noChangeAspect="1"/>
                  </wp:cNvGraphicFramePr>
                  <a:graphic>
                    <a:graphicData uri="http://schemas.openxmlformats.org/drawingml/2006/picture">
                      <pic:pic>
                        <pic:nvPicPr>
                          <pic:cNvPr id="50" name="image47.png"/>
                          <pic:cNvPicPr/>
                        </pic:nvPicPr>
                        <pic:blipFill>
                          <a:blip r:embed="rId103" cstate="print"/>
                          <a:stretch>
                            <a:fillRect/>
                          </a:stretch>
                        </pic:blipFill>
                        <pic:spPr>
                          <a:xfrm>
                            <a:off x="0" y="0"/>
                            <a:ext cx="77422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8"/>
              <w:jc w:val="right"/>
              <w:rPr>
                <w:rFonts w:ascii="宋体" w:hAnsi="宋体" w:cs="宋体" w:eastAsia="宋体" w:hint="default"/>
                <w:sz w:val="18"/>
                <w:szCs w:val="18"/>
              </w:rPr>
            </w:pPr>
            <w:r>
              <w:rPr>
                <w:rFonts w:ascii="宋体"/>
                <w:spacing w:val="-1"/>
                <w:sz w:val="18"/>
              </w:rPr>
              <w:t>670,223.46</w:t>
            </w:r>
          </w:p>
        </w:tc>
        <w:tc>
          <w:tcPr>
            <w:tcW w:w="1409"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4712" cy="9144"/>
                  <wp:effectExtent l="0" t="0" r="0" b="0"/>
                  <wp:docPr id="51" name="image48.png" descr=""/>
                  <wp:cNvGraphicFramePr>
                    <a:graphicFrameLocks noChangeAspect="1"/>
                  </wp:cNvGraphicFramePr>
                  <a:graphic>
                    <a:graphicData uri="http://schemas.openxmlformats.org/drawingml/2006/picture">
                      <pic:pic>
                        <pic:nvPicPr>
                          <pic:cNvPr id="52" name="image48.png"/>
                          <pic:cNvPicPr/>
                        </pic:nvPicPr>
                        <pic:blipFill>
                          <a:blip r:embed="rId104" cstate="print"/>
                          <a:stretch>
                            <a:fillRect/>
                          </a:stretch>
                        </pic:blipFill>
                        <pic:spPr>
                          <a:xfrm>
                            <a:off x="0" y="0"/>
                            <a:ext cx="84471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8"/>
              <w:jc w:val="right"/>
              <w:rPr>
                <w:rFonts w:ascii="宋体" w:hAnsi="宋体" w:cs="宋体" w:eastAsia="宋体" w:hint="default"/>
                <w:sz w:val="18"/>
                <w:szCs w:val="18"/>
              </w:rPr>
            </w:pPr>
            <w:r>
              <w:rPr>
                <w:rFonts w:ascii="宋体"/>
                <w:spacing w:val="-1"/>
                <w:sz w:val="18"/>
              </w:rPr>
              <w:t>4,236,171.04</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393,346.81</w:t>
            </w:r>
          </w:p>
        </w:tc>
      </w:tr>
    </w:tbl>
    <w:p>
      <w:pPr>
        <w:spacing w:line="240" w:lineRule="auto" w:before="13"/>
        <w:rPr>
          <w:rFonts w:ascii="宋体" w:hAnsi="宋体" w:cs="宋体" w:eastAsia="宋体" w:hint="default"/>
          <w:b/>
          <w:bCs/>
          <w:sz w:val="25"/>
          <w:szCs w:val="25"/>
        </w:rPr>
      </w:pPr>
    </w:p>
    <w:p>
      <w:pPr>
        <w:spacing w:before="36"/>
        <w:ind w:left="544" w:right="57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其他应收款期末数中无持本公司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表决权的股东单位欠款。</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line="408" w:lineRule="auto" w:before="36"/>
        <w:ind w:left="122" w:right="841" w:firstLine="422"/>
        <w:jc w:val="left"/>
        <w:rPr>
          <w:rFonts w:ascii="宋体" w:hAnsi="宋体" w:cs="宋体" w:eastAsia="宋体" w:hint="default"/>
          <w:sz w:val="21"/>
          <w:szCs w:val="21"/>
        </w:rPr>
      </w:pPr>
      <w:r>
        <w:rPr>
          <w:rFonts w:ascii="宋体" w:hAnsi="宋体" w:cs="宋体" w:eastAsia="宋体" w:hint="default"/>
          <w:b/>
          <w:bCs/>
          <w:spacing w:val="-4"/>
          <w:sz w:val="21"/>
          <w:szCs w:val="21"/>
        </w:rPr>
        <w:t>4</w:t>
      </w:r>
      <w:r>
        <w:rPr>
          <w:rFonts w:ascii="宋体" w:hAnsi="宋体" w:cs="宋体" w:eastAsia="宋体" w:hint="default"/>
          <w:b/>
          <w:bCs/>
          <w:spacing w:val="-4"/>
          <w:sz w:val="21"/>
          <w:szCs w:val="21"/>
        </w:rPr>
        <w:t>．其他应收款期末数比期初数增加</w:t>
      </w:r>
      <w:r>
        <w:rPr>
          <w:rFonts w:ascii="宋体" w:hAnsi="宋体" w:cs="宋体" w:eastAsia="宋体" w:hint="default"/>
          <w:b/>
          <w:bCs/>
          <w:spacing w:val="-48"/>
          <w:sz w:val="21"/>
          <w:szCs w:val="21"/>
        </w:rPr>
        <w:t> </w:t>
      </w:r>
      <w:r>
        <w:rPr>
          <w:rFonts w:ascii="宋体" w:hAnsi="宋体" w:cs="宋体" w:eastAsia="宋体" w:hint="default"/>
          <w:b/>
          <w:bCs/>
          <w:sz w:val="21"/>
          <w:szCs w:val="21"/>
        </w:rPr>
        <w:t>3,508,002.94</w:t>
      </w:r>
      <w:r>
        <w:rPr>
          <w:rFonts w:ascii="宋体" w:hAnsi="宋体" w:cs="宋体" w:eastAsia="宋体" w:hint="default"/>
          <w:b/>
          <w:bCs/>
          <w:spacing w:val="-48"/>
          <w:sz w:val="21"/>
          <w:szCs w:val="21"/>
        </w:rPr>
        <w:t> </w:t>
      </w:r>
      <w:r>
        <w:rPr>
          <w:rFonts w:ascii="宋体" w:hAnsi="宋体" w:cs="宋体" w:eastAsia="宋体" w:hint="default"/>
          <w:b/>
          <w:bCs/>
          <w:spacing w:val="-12"/>
          <w:sz w:val="21"/>
          <w:szCs w:val="21"/>
        </w:rPr>
        <w:t>元，增幅为</w:t>
      </w:r>
      <w:r>
        <w:rPr>
          <w:rFonts w:ascii="宋体" w:hAnsi="宋体" w:cs="宋体" w:eastAsia="宋体" w:hint="default"/>
          <w:b/>
          <w:bCs/>
          <w:spacing w:val="-48"/>
          <w:sz w:val="21"/>
          <w:szCs w:val="21"/>
        </w:rPr>
        <w:t> </w:t>
      </w:r>
      <w:r>
        <w:rPr>
          <w:rFonts w:ascii="宋体" w:hAnsi="宋体" w:cs="宋体" w:eastAsia="宋体" w:hint="default"/>
          <w:b/>
          <w:bCs/>
          <w:spacing w:val="-4"/>
          <w:sz w:val="21"/>
          <w:szCs w:val="21"/>
        </w:rPr>
        <w:t>82.81%</w:t>
      </w:r>
      <w:r>
        <w:rPr>
          <w:rFonts w:ascii="宋体" w:hAnsi="宋体" w:cs="宋体" w:eastAsia="宋体" w:hint="default"/>
          <w:b/>
          <w:bCs/>
          <w:spacing w:val="-4"/>
          <w:sz w:val="21"/>
          <w:szCs w:val="21"/>
        </w:rPr>
        <w:t>，增加的主要原因为：</w:t>
      </w:r>
      <w:r>
        <w:rPr>
          <w:rFonts w:ascii="宋体" w:hAnsi="宋体" w:cs="宋体" w:eastAsia="宋体" w:hint="default"/>
          <w:b/>
          <w:bCs/>
          <w:w w:val="100"/>
          <w:sz w:val="21"/>
          <w:szCs w:val="21"/>
        </w:rPr>
        <w:t> </w:t>
      </w:r>
      <w:r>
        <w:rPr>
          <w:rFonts w:ascii="宋体" w:hAnsi="宋体" w:cs="宋体" w:eastAsia="宋体" w:hint="default"/>
          <w:b/>
          <w:bCs/>
          <w:sz w:val="21"/>
          <w:szCs w:val="21"/>
        </w:rPr>
        <w:t>本期由于业务开展需要，销售人员备用金增加了</w:t>
      </w:r>
      <w:r>
        <w:rPr>
          <w:rFonts w:ascii="宋体" w:hAnsi="宋体" w:cs="宋体" w:eastAsia="宋体" w:hint="default"/>
          <w:b/>
          <w:bCs/>
          <w:spacing w:val="-54"/>
          <w:sz w:val="21"/>
          <w:szCs w:val="21"/>
        </w:rPr>
        <w:t> </w:t>
      </w:r>
      <w:r>
        <w:rPr>
          <w:rFonts w:ascii="宋体" w:hAnsi="宋体" w:cs="宋体" w:eastAsia="宋体" w:hint="default"/>
          <w:b/>
          <w:bCs/>
          <w:sz w:val="21"/>
          <w:szCs w:val="21"/>
        </w:rPr>
        <w:t>4,090,176.04</w:t>
      </w:r>
      <w:r>
        <w:rPr>
          <w:rFonts w:ascii="宋体" w:hAnsi="宋体" w:cs="宋体" w:eastAsia="宋体" w:hint="default"/>
          <w:b/>
          <w:bCs/>
          <w:spacing w:val="-5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before="46"/>
        <w:ind w:left="544" w:right="57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22" w:type="dxa"/>
        <w:tblLayout w:type="fixed"/>
        <w:tblCellMar>
          <w:top w:w="0" w:type="dxa"/>
          <w:left w:w="0" w:type="dxa"/>
          <w:bottom w:w="0" w:type="dxa"/>
          <w:right w:w="0" w:type="dxa"/>
        </w:tblCellMar>
        <w:tblLook w:val="01E0"/>
      </w:tblPr>
      <w:tblGrid>
        <w:gridCol w:w="2674"/>
        <w:gridCol w:w="154"/>
        <w:gridCol w:w="1654"/>
        <w:gridCol w:w="125"/>
        <w:gridCol w:w="1469"/>
        <w:gridCol w:w="1891"/>
        <w:gridCol w:w="139"/>
        <w:gridCol w:w="1385"/>
      </w:tblGrid>
      <w:tr>
        <w:trPr>
          <w:trHeight w:val="445"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875"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67"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79" w:lineRule="exact"/>
              <w:ind w:left="233"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33"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73"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李胜富</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30"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531,300.00</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2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6.86%</w:t>
            </w:r>
          </w:p>
        </w:tc>
      </w:tr>
      <w:tr>
        <w:trPr>
          <w:trHeight w:val="37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杨民</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宋体" w:hAnsi="宋体" w:cs="宋体" w:eastAsia="宋体" w:hint="default"/>
                <w:sz w:val="18"/>
                <w:szCs w:val="18"/>
              </w:rPr>
            </w:pPr>
            <w:r>
              <w:rPr>
                <w:rFonts w:ascii="宋体"/>
                <w:spacing w:val="-1"/>
                <w:sz w:val="18"/>
              </w:rPr>
              <w:t>526,280.00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6"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8"/>
                <w:szCs w:val="18"/>
              </w:rPr>
            </w:pPr>
            <w:r>
              <w:rPr>
                <w:rFonts w:ascii="宋体"/>
                <w:sz w:val="18"/>
              </w:rPr>
              <w:t>6.80%</w:t>
            </w:r>
          </w:p>
        </w:tc>
      </w:tr>
      <w:tr>
        <w:trPr>
          <w:trHeight w:val="274"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林清华</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pacing w:val="-1"/>
                <w:sz w:val="18"/>
              </w:rPr>
              <w:t>511,200.00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6"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6.60%</w:t>
            </w:r>
          </w:p>
        </w:tc>
      </w:tr>
    </w:tbl>
    <w:p>
      <w:pPr>
        <w:spacing w:after="0" w:line="240" w:lineRule="auto"/>
        <w:jc w:val="right"/>
        <w:rPr>
          <w:rFonts w:ascii="宋体" w:hAnsi="宋体" w:cs="宋体" w:eastAsia="宋体" w:hint="default"/>
          <w:sz w:val="18"/>
          <w:szCs w:val="18"/>
        </w:rPr>
        <w:sectPr>
          <w:footerReference w:type="default" r:id="rId90"/>
          <w:pgSz w:w="11910" w:h="16840"/>
          <w:pgMar w:footer="1195" w:header="0" w:top="1320" w:bottom="1380" w:left="1580" w:right="600"/>
          <w:pgNumType w:start="121"/>
        </w:sectPr>
      </w:pPr>
    </w:p>
    <w:p>
      <w:pPr>
        <w:spacing w:line="240" w:lineRule="auto" w:before="7"/>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2577"/>
        <w:gridCol w:w="2203"/>
        <w:gridCol w:w="1469"/>
        <w:gridCol w:w="2030"/>
        <w:gridCol w:w="1385"/>
      </w:tblGrid>
      <w:tr>
        <w:trPr>
          <w:trHeight w:val="274"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杨欢</w:t>
            </w:r>
          </w:p>
        </w:tc>
        <w:tc>
          <w:tcPr>
            <w:tcW w:w="2203" w:type="dxa"/>
            <w:tcBorders>
              <w:top w:val="nil" w:sz="6" w:space="0" w:color="auto"/>
              <w:left w:val="nil" w:sz="6" w:space="0" w:color="auto"/>
              <w:bottom w:val="nil" w:sz="6" w:space="0" w:color="auto"/>
              <w:right w:val="nil" w:sz="6" w:space="0" w:color="auto"/>
            </w:tcBorders>
          </w:tcPr>
          <w:p>
            <w:pPr>
              <w:pStyle w:val="TableParagraph"/>
              <w:spacing w:line="180" w:lineRule="exact"/>
              <w:ind w:right="591"/>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469" w:type="dxa"/>
            <w:tcBorders>
              <w:top w:val="nil" w:sz="6" w:space="0" w:color="auto"/>
              <w:left w:val="nil" w:sz="6" w:space="0" w:color="auto"/>
              <w:bottom w:val="nil" w:sz="6" w:space="0" w:color="auto"/>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pacing w:val="-1"/>
                <w:sz w:val="18"/>
              </w:rPr>
              <w:t>497,500.00</w:t>
            </w:r>
          </w:p>
        </w:tc>
        <w:tc>
          <w:tcPr>
            <w:tcW w:w="2030" w:type="dxa"/>
            <w:tcBorders>
              <w:top w:val="nil" w:sz="6" w:space="0" w:color="auto"/>
              <w:left w:val="nil" w:sz="6" w:space="0" w:color="auto"/>
              <w:bottom w:val="nil" w:sz="6" w:space="0" w:color="auto"/>
              <w:right w:val="nil" w:sz="6" w:space="0" w:color="auto"/>
            </w:tcBorders>
          </w:tcPr>
          <w:p>
            <w:pPr>
              <w:pStyle w:val="TableParagraph"/>
              <w:spacing w:line="180" w:lineRule="exact"/>
              <w:ind w:left="63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85"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6.42%</w:t>
            </w:r>
          </w:p>
        </w:tc>
      </w:tr>
      <w:tr>
        <w:trPr>
          <w:trHeight w:val="375"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18"/>
                <w:szCs w:val="18"/>
              </w:rPr>
            </w:pPr>
            <w:r>
              <w:rPr>
                <w:rFonts w:ascii="宋体" w:hAnsi="宋体" w:cs="宋体" w:eastAsia="宋体" w:hint="default"/>
                <w:sz w:val="18"/>
                <w:szCs w:val="18"/>
              </w:rPr>
              <w:t>于剑生</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1"/>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4"/>
              <w:jc w:val="right"/>
              <w:rPr>
                <w:rFonts w:ascii="宋体" w:hAnsi="宋体" w:cs="宋体" w:eastAsia="宋体" w:hint="default"/>
                <w:sz w:val="18"/>
                <w:szCs w:val="18"/>
              </w:rPr>
            </w:pPr>
            <w:r>
              <w:rPr>
                <w:rFonts w:ascii="宋体"/>
                <w:spacing w:val="-1"/>
                <w:sz w:val="18"/>
              </w:rPr>
              <w:t>417,900.00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3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6"/>
              <w:jc w:val="right"/>
              <w:rPr>
                <w:rFonts w:ascii="宋体" w:hAnsi="宋体" w:cs="宋体" w:eastAsia="宋体" w:hint="default"/>
                <w:sz w:val="18"/>
                <w:szCs w:val="18"/>
              </w:rPr>
            </w:pPr>
            <w:r>
              <w:rPr>
                <w:rFonts w:ascii="宋体"/>
                <w:sz w:val="18"/>
              </w:rPr>
              <w:t>5.40%</w:t>
            </w:r>
          </w:p>
        </w:tc>
      </w:tr>
      <w:tr>
        <w:trPr>
          <w:trHeight w:val="391"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2,484,180.00</w:t>
            </w:r>
          </w:p>
        </w:tc>
        <w:tc>
          <w:tcPr>
            <w:tcW w:w="2030"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32.08%</w:t>
            </w:r>
          </w:p>
        </w:tc>
      </w:tr>
    </w:tbl>
    <w:p>
      <w:pPr>
        <w:spacing w:line="240" w:lineRule="auto" w:before="13"/>
        <w:rPr>
          <w:rFonts w:ascii="宋体" w:hAnsi="宋体" w:cs="宋体" w:eastAsia="宋体" w:hint="default"/>
          <w:b/>
          <w:bCs/>
          <w:sz w:val="25"/>
          <w:szCs w:val="25"/>
        </w:rPr>
      </w:pPr>
    </w:p>
    <w:p>
      <w:pPr>
        <w:spacing w:before="36"/>
        <w:ind w:left="704" w:right="94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存货及存货跌价准备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250" w:type="dxa"/>
        <w:tblLayout w:type="fixed"/>
        <w:tblCellMar>
          <w:top w:w="0" w:type="dxa"/>
          <w:left w:w="0" w:type="dxa"/>
          <w:bottom w:w="0" w:type="dxa"/>
          <w:right w:w="0" w:type="dxa"/>
        </w:tblCellMar>
        <w:tblLook w:val="01E0"/>
      </w:tblPr>
      <w:tblGrid>
        <w:gridCol w:w="1186"/>
        <w:gridCol w:w="106"/>
        <w:gridCol w:w="1407"/>
        <w:gridCol w:w="1044"/>
        <w:gridCol w:w="106"/>
        <w:gridCol w:w="1435"/>
        <w:gridCol w:w="1481"/>
        <w:gridCol w:w="1219"/>
        <w:gridCol w:w="1527"/>
      </w:tblGrid>
      <w:tr>
        <w:trPr>
          <w:trHeight w:val="296" w:hRule="exact"/>
        </w:trPr>
        <w:tc>
          <w:tcPr>
            <w:tcW w:w="118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7"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410"/>
              <w:jc w:val="right"/>
              <w:rPr>
                <w:rFonts w:ascii="宋体" w:hAnsi="宋体" w:cs="宋体" w:eastAsia="宋体" w:hint="default"/>
                <w:sz w:val="18"/>
                <w:szCs w:val="18"/>
              </w:rPr>
            </w:pPr>
            <w:r>
              <w:rPr>
                <w:rFonts w:ascii="宋体" w:hAnsi="宋体" w:cs="宋体" w:eastAsia="宋体" w:hint="default"/>
                <w:sz w:val="18"/>
                <w:szCs w:val="18"/>
              </w:rPr>
              <w:t>类别</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8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72" w:right="0"/>
              <w:jc w:val="center"/>
              <w:rPr>
                <w:rFonts w:ascii="宋体" w:hAnsi="宋体" w:cs="宋体" w:eastAsia="宋体" w:hint="default"/>
                <w:sz w:val="18"/>
                <w:szCs w:val="18"/>
              </w:rPr>
            </w:pPr>
            <w:r>
              <w:rPr>
                <w:rFonts w:ascii="宋体"/>
                <w:sz w:val="18"/>
              </w:rPr>
              <w:t>13,854,220.66</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13,854,220.66</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15,439,367.59</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15,439,367.59</w:t>
            </w:r>
          </w:p>
        </w:tc>
      </w:tr>
      <w:tr>
        <w:trPr>
          <w:trHeight w:val="396"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center"/>
              <w:rPr>
                <w:rFonts w:ascii="宋体" w:hAnsi="宋体" w:cs="宋体" w:eastAsia="宋体" w:hint="default"/>
                <w:sz w:val="18"/>
                <w:szCs w:val="18"/>
              </w:rPr>
            </w:pPr>
            <w:r>
              <w:rPr>
                <w:rFonts w:ascii="宋体"/>
                <w:sz w:val="18"/>
              </w:rPr>
              <w:t>44,892,764.78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44,892,764.78</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7,349,838.24</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7,349,838.24</w:t>
            </w:r>
          </w:p>
        </w:tc>
      </w:tr>
      <w:tr>
        <w:trPr>
          <w:trHeight w:val="397"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center"/>
              <w:rPr>
                <w:rFonts w:ascii="宋体" w:hAnsi="宋体" w:cs="宋体" w:eastAsia="宋体" w:hint="default"/>
                <w:sz w:val="18"/>
                <w:szCs w:val="18"/>
              </w:rPr>
            </w:pPr>
            <w:r>
              <w:rPr>
                <w:rFonts w:ascii="宋体"/>
                <w:sz w:val="18"/>
              </w:rPr>
              <w:t>20,328,273.15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20,328,273.15</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14,515,096.66</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14,515,096.66</w:t>
            </w:r>
          </w:p>
        </w:tc>
      </w:tr>
      <w:tr>
        <w:trPr>
          <w:trHeight w:val="405"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26,923,993.97</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26,923,993.97</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24,987,182.76</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24,987,182.76</w:t>
            </w:r>
          </w:p>
        </w:tc>
      </w:tr>
      <w:tr>
        <w:trPr>
          <w:trHeight w:val="430"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3482" cy="9144"/>
                  <wp:effectExtent l="0" t="0" r="0" b="0"/>
                  <wp:docPr id="53" name="image49.png" descr=""/>
                  <wp:cNvGraphicFramePr>
                    <a:graphicFrameLocks noChangeAspect="1"/>
                  </wp:cNvGraphicFramePr>
                  <a:graphic>
                    <a:graphicData uri="http://schemas.openxmlformats.org/drawingml/2006/picture">
                      <pic:pic>
                        <pic:nvPicPr>
                          <pic:cNvPr id="54" name="image49.png"/>
                          <pic:cNvPicPr/>
                        </pic:nvPicPr>
                        <pic:blipFill>
                          <a:blip r:embed="rId105" cstate="print"/>
                          <a:stretch>
                            <a:fillRect/>
                          </a:stretch>
                        </pic:blipFill>
                        <pic:spPr>
                          <a:xfrm>
                            <a:off x="0" y="0"/>
                            <a:ext cx="89348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left="84" w:right="0"/>
              <w:jc w:val="center"/>
              <w:rPr>
                <w:rFonts w:ascii="宋体" w:hAnsi="宋体" w:cs="宋体" w:eastAsia="宋体" w:hint="default"/>
                <w:sz w:val="18"/>
                <w:szCs w:val="18"/>
              </w:rPr>
            </w:pPr>
            <w:r>
              <w:rPr>
                <w:rFonts w:ascii="宋体"/>
                <w:sz w:val="18"/>
              </w:rPr>
              <w:t>105,999,252.56</w:t>
            </w:r>
          </w:p>
        </w:tc>
        <w:tc>
          <w:tcPr>
            <w:tcW w:w="1044"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1149" cy="9144"/>
                  <wp:effectExtent l="0" t="0" r="0" b="0"/>
                  <wp:docPr id="55" name="image50.png" descr=""/>
                  <wp:cNvGraphicFramePr>
                    <a:graphicFrameLocks noChangeAspect="1"/>
                  </wp:cNvGraphicFramePr>
                  <a:graphic>
                    <a:graphicData uri="http://schemas.openxmlformats.org/drawingml/2006/picture">
                      <pic:pic>
                        <pic:nvPicPr>
                          <pic:cNvPr id="56" name="image50.png"/>
                          <pic:cNvPicPr/>
                        </pic:nvPicPr>
                        <pic:blipFill>
                          <a:blip r:embed="rId106" cstate="print"/>
                          <a:stretch>
                            <a:fillRect/>
                          </a:stretch>
                        </pic:blipFill>
                        <pic:spPr>
                          <a:xfrm>
                            <a:off x="0" y="0"/>
                            <a:ext cx="61114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11389" cy="9144"/>
                  <wp:effectExtent l="0" t="0" r="0" b="0"/>
                  <wp:docPr id="57" name="image51.png" descr=""/>
                  <wp:cNvGraphicFramePr>
                    <a:graphicFrameLocks noChangeAspect="1"/>
                  </wp:cNvGraphicFramePr>
                  <a:graphic>
                    <a:graphicData uri="http://schemas.openxmlformats.org/drawingml/2006/picture">
                      <pic:pic>
                        <pic:nvPicPr>
                          <pic:cNvPr id="58" name="image51.png"/>
                          <pic:cNvPicPr/>
                        </pic:nvPicPr>
                        <pic:blipFill>
                          <a:blip r:embed="rId107" cstate="print"/>
                          <a:stretch>
                            <a:fillRect/>
                          </a:stretch>
                        </pic:blipFill>
                        <pic:spPr>
                          <a:xfrm>
                            <a:off x="0" y="0"/>
                            <a:ext cx="91138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105,999,252.56</w:t>
            </w: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7"/>
              <w:jc w:val="right"/>
              <w:rPr>
                <w:rFonts w:ascii="宋体" w:hAnsi="宋体" w:cs="宋体" w:eastAsia="宋体" w:hint="default"/>
                <w:sz w:val="18"/>
                <w:szCs w:val="18"/>
              </w:rPr>
            </w:pPr>
            <w:r>
              <w:rPr>
                <w:rFonts w:ascii="宋体"/>
                <w:spacing w:val="-1"/>
                <w:sz w:val="18"/>
              </w:rPr>
              <w:t>62,291,485.25</w:t>
            </w: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z w:val="18"/>
              </w:rPr>
              <w:t>---</w:t>
            </w:r>
          </w:p>
        </w:tc>
        <w:tc>
          <w:tcPr>
            <w:tcW w:w="15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62,291,485.25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282" w:right="940"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．原材料及在产品期末数比期初数增加</w:t>
      </w:r>
      <w:r>
        <w:rPr>
          <w:rFonts w:ascii="宋体" w:hAnsi="宋体" w:cs="宋体" w:eastAsia="宋体" w:hint="default"/>
          <w:b/>
          <w:bCs/>
          <w:spacing w:val="-57"/>
          <w:sz w:val="21"/>
          <w:szCs w:val="21"/>
        </w:rPr>
        <w:t> </w:t>
      </w:r>
      <w:r>
        <w:rPr>
          <w:rFonts w:ascii="宋体" w:hAnsi="宋体" w:cs="宋体" w:eastAsia="宋体" w:hint="default"/>
          <w:b/>
          <w:bCs/>
          <w:sz w:val="21"/>
          <w:szCs w:val="21"/>
        </w:rPr>
        <w:t>7,749,987.70</w:t>
      </w:r>
      <w:r>
        <w:rPr>
          <w:rFonts w:ascii="宋体" w:hAnsi="宋体" w:cs="宋体" w:eastAsia="宋体" w:hint="default"/>
          <w:b/>
          <w:bCs/>
          <w:sz w:val="21"/>
          <w:szCs w:val="21"/>
        </w:rPr>
        <w:t>，增幅为</w:t>
      </w:r>
      <w:r>
        <w:rPr>
          <w:rFonts w:ascii="宋体" w:hAnsi="宋体" w:cs="宋体" w:eastAsia="宋体" w:hint="default"/>
          <w:b/>
          <w:bCs/>
          <w:spacing w:val="-57"/>
          <w:sz w:val="21"/>
          <w:szCs w:val="21"/>
        </w:rPr>
        <w:t> </w:t>
      </w:r>
      <w:r>
        <w:rPr>
          <w:rFonts w:ascii="宋体" w:hAnsi="宋体" w:cs="宋体" w:eastAsia="宋体" w:hint="default"/>
          <w:b/>
          <w:bCs/>
          <w:sz w:val="21"/>
          <w:szCs w:val="21"/>
        </w:rPr>
        <w:t>19.62%</w:t>
      </w:r>
      <w:r>
        <w:rPr>
          <w:rFonts w:ascii="宋体" w:hAnsi="宋体" w:cs="宋体" w:eastAsia="宋体" w:hint="default"/>
          <w:b/>
          <w:bCs/>
          <w:sz w:val="21"/>
          <w:szCs w:val="21"/>
        </w:rPr>
        <w:t>，主要原因为本期</w:t>
      </w:r>
      <w:r>
        <w:rPr>
          <w:rFonts w:ascii="宋体" w:hAnsi="宋体" w:cs="宋体" w:eastAsia="宋体" w:hint="default"/>
          <w:b/>
          <w:bCs/>
          <w:w w:val="100"/>
          <w:sz w:val="21"/>
          <w:szCs w:val="21"/>
        </w:rPr>
        <w:t> </w:t>
      </w:r>
      <w:r>
        <w:rPr>
          <w:rFonts w:ascii="宋体" w:hAnsi="宋体" w:cs="宋体" w:eastAsia="宋体" w:hint="default"/>
          <w:b/>
          <w:bCs/>
          <w:sz w:val="21"/>
          <w:szCs w:val="21"/>
        </w:rPr>
        <w:t>销售规模扩大，为保证供货及生产需要而增加了原材料储备。</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0" w:footer="1195" w:top="1420" w:bottom="1380" w:left="1420" w:right="60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408" w:lineRule="auto" w:before="36"/>
        <w:ind w:left="118" w:right="506" w:firstLine="42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．库存商品及发出商品期末数较期初数增加</w:t>
      </w:r>
      <w:r>
        <w:rPr>
          <w:rFonts w:ascii="宋体" w:hAnsi="宋体" w:cs="宋体" w:eastAsia="宋体" w:hint="default"/>
          <w:b/>
          <w:bCs/>
          <w:spacing w:val="-72"/>
          <w:sz w:val="21"/>
          <w:szCs w:val="21"/>
        </w:rPr>
        <w:t> </w:t>
      </w:r>
      <w:r>
        <w:rPr>
          <w:rFonts w:ascii="宋体" w:hAnsi="宋体" w:cs="宋体" w:eastAsia="宋体" w:hint="default"/>
          <w:b/>
          <w:bCs/>
          <w:sz w:val="21"/>
          <w:szCs w:val="21"/>
        </w:rPr>
        <w:t>35,957,779.61</w:t>
      </w:r>
      <w:r>
        <w:rPr>
          <w:rFonts w:ascii="宋体" w:hAnsi="宋体" w:cs="宋体" w:eastAsia="宋体" w:hint="default"/>
          <w:b/>
          <w:bCs/>
          <w:spacing w:val="-72"/>
          <w:sz w:val="21"/>
          <w:szCs w:val="21"/>
        </w:rPr>
        <w:t> </w:t>
      </w:r>
      <w:r>
        <w:rPr>
          <w:rFonts w:ascii="宋体" w:hAnsi="宋体" w:cs="宋体" w:eastAsia="宋体" w:hint="default"/>
          <w:b/>
          <w:bCs/>
          <w:spacing w:val="-5"/>
          <w:sz w:val="21"/>
          <w:szCs w:val="21"/>
        </w:rPr>
        <w:t>元，增幅为</w:t>
      </w:r>
      <w:r>
        <w:rPr>
          <w:rFonts w:ascii="宋体" w:hAnsi="宋体" w:cs="宋体" w:eastAsia="宋体" w:hint="default"/>
          <w:b/>
          <w:bCs/>
          <w:spacing w:val="-72"/>
          <w:sz w:val="21"/>
          <w:szCs w:val="21"/>
        </w:rPr>
        <w:t> </w:t>
      </w:r>
      <w:r>
        <w:rPr>
          <w:rFonts w:ascii="宋体" w:hAnsi="宋体" w:cs="宋体" w:eastAsia="宋体" w:hint="default"/>
          <w:b/>
          <w:bCs/>
          <w:sz w:val="21"/>
          <w:szCs w:val="21"/>
        </w:rPr>
        <w:t>157.78%</w:t>
      </w:r>
      <w:r>
        <w:rPr>
          <w:rFonts w:ascii="宋体" w:hAnsi="宋体" w:cs="宋体" w:eastAsia="宋体" w:hint="default"/>
          <w:b/>
          <w:bCs/>
          <w:sz w:val="21"/>
          <w:szCs w:val="21"/>
        </w:rPr>
        <w:t>，主要原因为本期销售量较上期有较大增长，期末尚有部分合同未</w:t>
      </w:r>
      <w:r>
        <w:rPr>
          <w:rFonts w:ascii="宋体" w:hAnsi="宋体" w:cs="宋体" w:eastAsia="宋体" w:hint="default"/>
          <w:b/>
          <w:bCs/>
          <w:w w:val="100"/>
          <w:sz w:val="21"/>
          <w:szCs w:val="21"/>
        </w:rPr>
        <w:t> </w:t>
      </w:r>
      <w:r>
        <w:rPr>
          <w:rFonts w:ascii="宋体" w:hAnsi="宋体" w:cs="宋体" w:eastAsia="宋体" w:hint="default"/>
          <w:b/>
          <w:bCs/>
          <w:sz w:val="21"/>
          <w:szCs w:val="21"/>
        </w:rPr>
        <w:t>完全执行完毕。</w:t>
      </w:r>
      <w:r>
        <w:rPr>
          <w:rFonts w:ascii="宋体" w:hAnsi="宋体" w:cs="宋体" w:eastAsia="宋体" w:hint="default"/>
          <w:sz w:val="21"/>
          <w:szCs w:val="21"/>
        </w:rPr>
      </w:r>
    </w:p>
    <w:p>
      <w:pPr>
        <w:spacing w:before="46"/>
        <w:ind w:left="541" w:right="50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本公司认为期末存货不存在可变现净值低于账面成本的情形，故未计提存货跌价准备。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38"/>
        <w:ind w:left="541" w:right="1155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80"/>
        <w:gridCol w:w="1015"/>
        <w:gridCol w:w="1366"/>
        <w:gridCol w:w="106"/>
        <w:gridCol w:w="1366"/>
        <w:gridCol w:w="103"/>
        <w:gridCol w:w="1260"/>
        <w:gridCol w:w="106"/>
        <w:gridCol w:w="1471"/>
        <w:gridCol w:w="103"/>
        <w:gridCol w:w="1051"/>
        <w:gridCol w:w="106"/>
        <w:gridCol w:w="1155"/>
        <w:gridCol w:w="106"/>
        <w:gridCol w:w="1169"/>
        <w:gridCol w:w="108"/>
        <w:gridCol w:w="927"/>
        <w:gridCol w:w="840"/>
        <w:gridCol w:w="965"/>
      </w:tblGrid>
      <w:tr>
        <w:trPr>
          <w:trHeight w:val="1189" w:hRule="exact"/>
        </w:trPr>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6"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9" w:lineRule="auto"/>
              <w:ind w:left="76" w:right="72"/>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9" w:lineRule="auto"/>
              <w:ind w:left="36" w:right="36" w:firstLine="134"/>
              <w:jc w:val="left"/>
              <w:rPr>
                <w:rFonts w:ascii="宋体" w:hAnsi="宋体" w:cs="宋体" w:eastAsia="宋体" w:hint="default"/>
                <w:sz w:val="18"/>
                <w:szCs w:val="18"/>
              </w:rPr>
            </w:pPr>
            <w:r>
              <w:rPr>
                <w:rFonts w:ascii="宋体" w:hAnsi="宋体" w:cs="宋体" w:eastAsia="宋体" w:hint="default"/>
                <w:sz w:val="18"/>
                <w:szCs w:val="18"/>
              </w:rPr>
              <w:t>在被投资单 位表决权比例</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319" w:lineRule="auto" w:before="76"/>
              <w:ind w:left="43" w:right="43"/>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8"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02" w:lineRule="exact"/>
              <w:ind w:left="107" w:right="1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02" w:lineRule="exact"/>
              <w:ind w:left="424" w:right="0"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946" w:hRule="exact"/>
        </w:trPr>
        <w:tc>
          <w:tcPr>
            <w:tcW w:w="980"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36"/>
              <w:jc w:val="both"/>
              <w:rPr>
                <w:rFonts w:ascii="宋体" w:hAnsi="宋体" w:cs="宋体" w:eastAsia="宋体" w:hint="default"/>
                <w:sz w:val="18"/>
                <w:szCs w:val="18"/>
              </w:rPr>
            </w:pPr>
            <w:r>
              <w:rPr>
                <w:rFonts w:ascii="宋体" w:hAnsi="宋体" w:cs="宋体" w:eastAsia="宋体" w:hint="default"/>
                <w:sz w:val="18"/>
                <w:szCs w:val="18"/>
              </w:rPr>
              <w:t>肇庆市好易</w:t>
            </w:r>
            <w:r>
              <w:rPr>
                <w:rFonts w:ascii="宋体" w:hAnsi="宋体" w:cs="宋体" w:eastAsia="宋体" w:hint="default"/>
                <w:spacing w:val="-81"/>
                <w:sz w:val="18"/>
                <w:szCs w:val="18"/>
              </w:rPr>
              <w:t> </w:t>
            </w:r>
            <w:r>
              <w:rPr>
                <w:rFonts w:ascii="宋体" w:hAnsi="宋体" w:cs="宋体" w:eastAsia="宋体" w:hint="default"/>
                <w:sz w:val="18"/>
                <w:szCs w:val="18"/>
              </w:rPr>
              <w:t>联网络有限</w:t>
            </w:r>
            <w:r>
              <w:rPr>
                <w:rFonts w:ascii="宋体" w:hAnsi="宋体" w:cs="宋体" w:eastAsia="宋体" w:hint="default"/>
                <w:spacing w:val="-81"/>
                <w:sz w:val="18"/>
                <w:szCs w:val="18"/>
              </w:rPr>
              <w:t> </w:t>
            </w:r>
            <w:r>
              <w:rPr>
                <w:rFonts w:ascii="宋体" w:hAnsi="宋体" w:cs="宋体" w:eastAsia="宋体" w:hint="default"/>
                <w:sz w:val="18"/>
                <w:szCs w:val="18"/>
              </w:rPr>
              <w:t>公司</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46" w:right="0"/>
              <w:jc w:val="center"/>
              <w:rPr>
                <w:rFonts w:ascii="宋体" w:hAnsi="宋体" w:cs="宋体" w:eastAsia="宋体" w:hint="default"/>
                <w:sz w:val="18"/>
                <w:szCs w:val="18"/>
              </w:rPr>
            </w:pPr>
            <w:r>
              <w:rPr>
                <w:rFonts w:ascii="宋体"/>
                <w:sz w:val="18"/>
              </w:rPr>
              <w:t>1,250,624.65</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41" w:right="0"/>
              <w:jc w:val="center"/>
              <w:rPr>
                <w:rFonts w:ascii="宋体" w:hAnsi="宋体" w:cs="宋体" w:eastAsia="宋体" w:hint="default"/>
                <w:sz w:val="18"/>
                <w:szCs w:val="18"/>
              </w:rPr>
            </w:pPr>
            <w:r>
              <w:rPr>
                <w:rFonts w:ascii="宋体"/>
                <w:sz w:val="18"/>
              </w:rPr>
              <w:t>2,658,215.20</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1"/>
                <w:szCs w:val="1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59" name="image52.png" descr=""/>
                  <wp:cNvGraphicFramePr>
                    <a:graphicFrameLocks noChangeAspect="1"/>
                  </wp:cNvGraphicFramePr>
                  <a:graphic>
                    <a:graphicData uri="http://schemas.openxmlformats.org/drawingml/2006/picture">
                      <pic:pic>
                        <pic:nvPicPr>
                          <pic:cNvPr id="60" name="image52.png"/>
                          <pic:cNvPicPr/>
                        </pic:nvPicPr>
                        <pic:blipFill>
                          <a:blip r:embed="rId109"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90" w:right="0"/>
              <w:jc w:val="left"/>
              <w:rPr>
                <w:rFonts w:ascii="宋体" w:hAnsi="宋体" w:cs="宋体" w:eastAsia="宋体" w:hint="default"/>
                <w:sz w:val="18"/>
                <w:szCs w:val="18"/>
              </w:rPr>
            </w:pPr>
            <w:r>
              <w:rPr>
                <w:rFonts w:ascii="宋体"/>
                <w:sz w:val="18"/>
              </w:rPr>
              <w:t>595,966.25</w:t>
            </w:r>
          </w:p>
        </w:tc>
        <w:tc>
          <w:tcPr>
            <w:tcW w:w="106"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69"/>
              <w:jc w:val="right"/>
              <w:rPr>
                <w:rFonts w:ascii="宋体" w:hAnsi="宋体" w:cs="宋体" w:eastAsia="宋体" w:hint="default"/>
                <w:sz w:val="18"/>
                <w:szCs w:val="18"/>
              </w:rPr>
            </w:pPr>
            <w:r>
              <w:rPr>
                <w:rFonts w:ascii="宋体"/>
                <w:spacing w:val="-1"/>
                <w:sz w:val="18"/>
              </w:rPr>
              <w:t>3,254,181.45</w:t>
            </w:r>
          </w:p>
        </w:tc>
        <w:tc>
          <w:tcPr>
            <w:tcW w:w="103"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65"/>
              <w:jc w:val="right"/>
              <w:rPr>
                <w:rFonts w:ascii="宋体" w:hAnsi="宋体" w:cs="宋体" w:eastAsia="宋体" w:hint="default"/>
                <w:sz w:val="18"/>
                <w:szCs w:val="18"/>
              </w:rPr>
            </w:pPr>
            <w:r>
              <w:rPr>
                <w:rFonts w:ascii="宋体"/>
                <w:sz w:val="18"/>
              </w:rPr>
              <w:t>49%</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65"/>
              <w:jc w:val="right"/>
              <w:rPr>
                <w:rFonts w:ascii="宋体" w:hAnsi="宋体" w:cs="宋体" w:eastAsia="宋体" w:hint="default"/>
                <w:sz w:val="18"/>
                <w:szCs w:val="18"/>
              </w:rPr>
            </w:pPr>
            <w:r>
              <w:rPr>
                <w:rFonts w:ascii="宋体"/>
                <w:sz w:val="18"/>
              </w:rPr>
              <w:t>49%</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1"/>
                <w:szCs w:val="1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61" name="image52.png" descr=""/>
                  <wp:cNvGraphicFramePr>
                    <a:graphicFrameLocks noChangeAspect="1"/>
                  </wp:cNvGraphicFramePr>
                  <a:graphic>
                    <a:graphicData uri="http://schemas.openxmlformats.org/drawingml/2006/picture">
                      <pic:pic>
                        <pic:nvPicPr>
                          <pic:cNvPr id="62" name="image52.png"/>
                          <pic:cNvPicPr/>
                        </pic:nvPicPr>
                        <pic:blipFill>
                          <a:blip r:embed="rId109"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92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7"/>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6"/>
              <w:jc w:val="right"/>
              <w:rPr>
                <w:rFonts w:ascii="宋体" w:hAnsi="宋体" w:cs="宋体" w:eastAsia="宋体" w:hint="default"/>
                <w:sz w:val="18"/>
                <w:szCs w:val="18"/>
              </w:rPr>
            </w:pPr>
            <w:r>
              <w:rPr>
                <w:rFonts w:ascii="宋体"/>
                <w:sz w:val="18"/>
              </w:rPr>
              <w:t>---</w:t>
            </w:r>
          </w:p>
        </w:tc>
      </w:tr>
      <w:tr>
        <w:trPr>
          <w:trHeight w:val="418"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46" w:right="0"/>
              <w:jc w:val="center"/>
              <w:rPr>
                <w:rFonts w:ascii="宋体" w:hAnsi="宋体" w:cs="宋体" w:eastAsia="宋体" w:hint="default"/>
                <w:sz w:val="18"/>
                <w:szCs w:val="18"/>
              </w:rPr>
            </w:pPr>
            <w:r>
              <w:rPr>
                <w:rFonts w:ascii="宋体"/>
                <w:sz w:val="18"/>
              </w:rPr>
              <w:t>1,250,624.65</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2,658,215.20</w:t>
            </w: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sz w:val="18"/>
              </w:rPr>
              <w:t>595,966.25</w:t>
            </w:r>
          </w:p>
        </w:tc>
        <w:tc>
          <w:tcPr>
            <w:tcW w:w="106"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pacing w:val="-1"/>
                <w:sz w:val="18"/>
              </w:rPr>
              <w:t>3,254,181.45</w:t>
            </w:r>
          </w:p>
        </w:tc>
        <w:tc>
          <w:tcPr>
            <w:tcW w:w="103"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49%</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49%</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92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63" name="image52.png" descr=""/>
                  <wp:cNvGraphicFramePr>
                    <a:graphicFrameLocks noChangeAspect="1"/>
                  </wp:cNvGraphicFramePr>
                  <a:graphic>
                    <a:graphicData uri="http://schemas.openxmlformats.org/drawingml/2006/picture">
                      <pic:pic>
                        <pic:nvPicPr>
                          <pic:cNvPr id="64" name="image52.png"/>
                          <pic:cNvPicPr/>
                        </pic:nvPicPr>
                        <pic:blipFill>
                          <a:blip r:embed="rId109"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7"/>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46"/>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36"/>
        <w:ind w:left="541" w:right="50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联营企业相关情况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2835"/>
        <w:gridCol w:w="142"/>
        <w:gridCol w:w="1030"/>
        <w:gridCol w:w="142"/>
        <w:gridCol w:w="1118"/>
        <w:gridCol w:w="142"/>
        <w:gridCol w:w="1277"/>
        <w:gridCol w:w="139"/>
        <w:gridCol w:w="857"/>
        <w:gridCol w:w="142"/>
        <w:gridCol w:w="1118"/>
        <w:gridCol w:w="1680"/>
        <w:gridCol w:w="106"/>
        <w:gridCol w:w="1786"/>
        <w:gridCol w:w="142"/>
        <w:gridCol w:w="1642"/>
      </w:tblGrid>
      <w:tr>
        <w:trPr>
          <w:trHeight w:val="565"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78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4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2"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9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7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180" w:lineRule="exact"/>
              <w:ind w:left="249"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10"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40"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0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16"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4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292"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c>
          <w:tcPr>
            <w:tcW w:w="142"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肇庆市</w:t>
            </w:r>
          </w:p>
        </w:tc>
        <w:tc>
          <w:tcPr>
            <w:tcW w:w="142" w:type="dxa"/>
            <w:tcBorders>
              <w:top w:val="nil" w:sz="6" w:space="0" w:color="auto"/>
              <w:left w:val="nil" w:sz="6" w:space="0" w:color="auto"/>
              <w:bottom w:val="nil" w:sz="6" w:space="0" w:color="auto"/>
              <w:right w:val="nil" w:sz="6" w:space="0" w:color="auto"/>
            </w:tcBorders>
          </w:tcPr>
          <w:p>
            <w:pPr/>
          </w:p>
        </w:tc>
        <w:tc>
          <w:tcPr>
            <w:tcW w:w="11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网络支付</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3,000,000.00</w:t>
            </w:r>
          </w:p>
        </w:tc>
        <w:tc>
          <w:tcPr>
            <w:tcW w:w="139"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56" w:right="0"/>
              <w:jc w:val="left"/>
              <w:rPr>
                <w:rFonts w:ascii="宋体" w:hAnsi="宋体" w:cs="宋体" w:eastAsia="宋体" w:hint="default"/>
                <w:sz w:val="18"/>
                <w:szCs w:val="18"/>
              </w:rPr>
            </w:pPr>
            <w:r>
              <w:rPr>
                <w:rFonts w:ascii="宋体"/>
                <w:sz w:val="18"/>
              </w:rPr>
              <w:t>49%</w:t>
            </w:r>
          </w:p>
        </w:tc>
        <w:tc>
          <w:tcPr>
            <w:tcW w:w="142" w:type="dxa"/>
            <w:tcBorders>
              <w:top w:val="nil" w:sz="6" w:space="0" w:color="auto"/>
              <w:left w:val="nil" w:sz="6" w:space="0" w:color="auto"/>
              <w:bottom w:val="nil" w:sz="6" w:space="0" w:color="auto"/>
              <w:right w:val="nil" w:sz="6" w:space="0" w:color="auto"/>
            </w:tcBorders>
          </w:tcPr>
          <w:p>
            <w:pPr/>
          </w:p>
        </w:tc>
        <w:tc>
          <w:tcPr>
            <w:tcW w:w="11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49%</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80" w:right="0"/>
              <w:jc w:val="left"/>
              <w:rPr>
                <w:rFonts w:ascii="宋体" w:hAnsi="宋体" w:cs="宋体" w:eastAsia="宋体" w:hint="default"/>
                <w:sz w:val="18"/>
                <w:szCs w:val="18"/>
              </w:rPr>
            </w:pPr>
            <w:r>
              <w:rPr>
                <w:rFonts w:ascii="宋体"/>
                <w:sz w:val="18"/>
              </w:rPr>
              <w:t>12,672,864.21</w:t>
            </w:r>
          </w:p>
        </w:tc>
        <w:tc>
          <w:tcPr>
            <w:tcW w:w="106"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83" w:right="0"/>
              <w:jc w:val="left"/>
              <w:rPr>
                <w:rFonts w:ascii="宋体" w:hAnsi="宋体" w:cs="宋体" w:eastAsia="宋体" w:hint="default"/>
                <w:sz w:val="18"/>
                <w:szCs w:val="18"/>
              </w:rPr>
            </w:pPr>
            <w:r>
              <w:rPr>
                <w:rFonts w:ascii="宋体"/>
                <w:sz w:val="18"/>
              </w:rPr>
              <w:t>10,703,112.49</w:t>
            </w:r>
          </w:p>
        </w:tc>
        <w:tc>
          <w:tcPr>
            <w:tcW w:w="142"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32" w:right="0"/>
              <w:jc w:val="left"/>
              <w:rPr>
                <w:rFonts w:ascii="宋体" w:hAnsi="宋体" w:cs="宋体" w:eastAsia="宋体" w:hint="default"/>
                <w:sz w:val="18"/>
                <w:szCs w:val="18"/>
              </w:rPr>
            </w:pPr>
            <w:r>
              <w:rPr>
                <w:rFonts w:ascii="宋体"/>
                <w:sz w:val="18"/>
              </w:rPr>
              <w:t>1,216,257.65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0"/>
        <w:ind w:left="6964" w:right="7259" w:firstLine="0"/>
        <w:jc w:val="center"/>
        <w:rPr>
          <w:rFonts w:ascii="Calibri" w:hAnsi="Calibri" w:cs="Calibri" w:eastAsia="Calibri" w:hint="default"/>
          <w:sz w:val="18"/>
          <w:szCs w:val="18"/>
        </w:rPr>
      </w:pPr>
      <w:r>
        <w:rPr>
          <w:rFonts w:ascii="Calibri"/>
          <w:sz w:val="18"/>
        </w:rPr>
        <w:t>123</w:t>
      </w:r>
    </w:p>
    <w:p>
      <w:pPr>
        <w:spacing w:after="0"/>
        <w:jc w:val="center"/>
        <w:rPr>
          <w:rFonts w:ascii="Calibri" w:hAnsi="Calibri" w:cs="Calibri" w:eastAsia="Calibri" w:hint="default"/>
          <w:sz w:val="18"/>
          <w:szCs w:val="18"/>
        </w:rPr>
        <w:sectPr>
          <w:footerReference w:type="default" r:id="rId108"/>
          <w:pgSz w:w="16840" w:h="11910" w:orient="landscape"/>
          <w:pgMar w:footer="0" w:header="0" w:top="1100" w:bottom="280" w:left="1300" w:right="1000"/>
        </w:sectPr>
      </w:pPr>
    </w:p>
    <w:p>
      <w:pPr>
        <w:spacing w:line="614" w:lineRule="auto" w:before="24"/>
        <w:ind w:left="544" w:right="62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z w:val="21"/>
          <w:szCs w:val="21"/>
        </w:rPr>
        <w:t>固定资产及累计折旧</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22" w:type="dxa"/>
        <w:tblLayout w:type="fixed"/>
        <w:tblCellMar>
          <w:top w:w="0" w:type="dxa"/>
          <w:left w:w="0" w:type="dxa"/>
          <w:bottom w:w="0" w:type="dxa"/>
          <w:right w:w="0" w:type="dxa"/>
        </w:tblCellMar>
        <w:tblLook w:val="01E0"/>
      </w:tblPr>
      <w:tblGrid>
        <w:gridCol w:w="1680"/>
        <w:gridCol w:w="197"/>
        <w:gridCol w:w="1589"/>
        <w:gridCol w:w="202"/>
        <w:gridCol w:w="1688"/>
        <w:gridCol w:w="204"/>
        <w:gridCol w:w="1510"/>
        <w:gridCol w:w="204"/>
        <w:gridCol w:w="1582"/>
      </w:tblGrid>
      <w:tr>
        <w:trPr>
          <w:trHeight w:val="253"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61"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15"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975,939.85</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975,939.85</w:t>
            </w:r>
          </w:p>
        </w:tc>
      </w:tr>
      <w:tr>
        <w:trPr>
          <w:trHeight w:val="312"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587,104.71</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380,929.81</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968,034.52</w:t>
            </w:r>
          </w:p>
        </w:tc>
      </w:tr>
      <w:tr>
        <w:trPr>
          <w:trHeight w:val="312"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3,696,723.00</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962,565.16</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4,659,288.16</w:t>
            </w:r>
          </w:p>
        </w:tc>
      </w:tr>
      <w:tr>
        <w:trPr>
          <w:trHeight w:val="312"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z w:val="18"/>
                <w:szCs w:val="18"/>
              </w:rPr>
              <w:t>POS</w:t>
            </w:r>
            <w:r>
              <w:rPr>
                <w:rFonts w:ascii="宋体" w:hAnsi="宋体" w:cs="宋体" w:eastAsia="宋体" w:hint="default"/>
                <w:sz w:val="18"/>
                <w:szCs w:val="18"/>
              </w:rPr>
              <w:t>机</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11,781,030.69</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1,823,944.47</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13,604,975.16</w:t>
            </w:r>
          </w:p>
        </w:tc>
      </w:tr>
      <w:tr>
        <w:trPr>
          <w:trHeight w:val="319"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3,437,549.15</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2,327,963.93</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27,692.32</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5,737,820.76</w:t>
            </w:r>
          </w:p>
        </w:tc>
      </w:tr>
      <w:tr>
        <w:trPr>
          <w:trHeight w:val="345"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4274" cy="9144"/>
                  <wp:effectExtent l="0" t="0" r="0" b="0"/>
                  <wp:docPr id="65" name="image53.png" descr=""/>
                  <wp:cNvGraphicFramePr>
                    <a:graphicFrameLocks noChangeAspect="1"/>
                  </wp:cNvGraphicFramePr>
                  <a:graphic>
                    <a:graphicData uri="http://schemas.openxmlformats.org/drawingml/2006/picture">
                      <pic:pic>
                        <pic:nvPicPr>
                          <pic:cNvPr id="66" name="image53.png"/>
                          <pic:cNvPicPr/>
                        </pic:nvPicPr>
                        <pic:blipFill>
                          <a:blip r:embed="rId111" cstate="print"/>
                          <a:stretch>
                            <a:fillRect/>
                          </a:stretch>
                        </pic:blipFill>
                        <pic:spPr>
                          <a:xfrm>
                            <a:off x="0" y="0"/>
                            <a:ext cx="100427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9"/>
              <w:jc w:val="right"/>
              <w:rPr>
                <w:rFonts w:ascii="宋体" w:hAnsi="宋体" w:cs="宋体" w:eastAsia="宋体" w:hint="default"/>
                <w:sz w:val="18"/>
                <w:szCs w:val="18"/>
              </w:rPr>
            </w:pPr>
            <w:r>
              <w:rPr>
                <w:rFonts w:ascii="宋体"/>
                <w:spacing w:val="-1"/>
                <w:sz w:val="18"/>
              </w:rPr>
              <w:t>19,502,407.55</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09" cy="9144"/>
                  <wp:effectExtent l="0" t="0" r="0" b="0"/>
                  <wp:docPr id="67" name="image54.png" descr=""/>
                  <wp:cNvGraphicFramePr>
                    <a:graphicFrameLocks noChangeAspect="1"/>
                  </wp:cNvGraphicFramePr>
                  <a:graphic>
                    <a:graphicData uri="http://schemas.openxmlformats.org/drawingml/2006/picture">
                      <pic:pic>
                        <pic:nvPicPr>
                          <pic:cNvPr id="68" name="image54.png"/>
                          <pic:cNvPicPr/>
                        </pic:nvPicPr>
                        <pic:blipFill>
                          <a:blip r:embed="rId112" cstate="print"/>
                          <a:stretch>
                            <a:fillRect/>
                          </a:stretch>
                        </pic:blipFill>
                        <pic:spPr>
                          <a:xfrm>
                            <a:off x="0" y="0"/>
                            <a:ext cx="106700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6"/>
              <w:jc w:val="right"/>
              <w:rPr>
                <w:rFonts w:ascii="宋体" w:hAnsi="宋体" w:cs="宋体" w:eastAsia="宋体" w:hint="default"/>
                <w:sz w:val="18"/>
                <w:szCs w:val="18"/>
              </w:rPr>
            </w:pPr>
            <w:r>
              <w:rPr>
                <w:rFonts w:ascii="宋体"/>
                <w:spacing w:val="-1"/>
                <w:sz w:val="18"/>
              </w:rPr>
              <w:t>6,471,343.22</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4365" cy="9144"/>
                  <wp:effectExtent l="0" t="0" r="0" b="0"/>
                  <wp:docPr id="69" name="image55.png" descr=""/>
                  <wp:cNvGraphicFramePr>
                    <a:graphicFrameLocks noChangeAspect="1"/>
                  </wp:cNvGraphicFramePr>
                  <a:graphic>
                    <a:graphicData uri="http://schemas.openxmlformats.org/drawingml/2006/picture">
                      <pic:pic>
                        <pic:nvPicPr>
                          <pic:cNvPr id="70" name="image55.png"/>
                          <pic:cNvPicPr/>
                        </pic:nvPicPr>
                        <pic:blipFill>
                          <a:blip r:embed="rId113" cstate="print"/>
                          <a:stretch>
                            <a:fillRect/>
                          </a:stretch>
                        </pic:blipFill>
                        <pic:spPr>
                          <a:xfrm>
                            <a:off x="0" y="0"/>
                            <a:ext cx="95436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6"/>
              <w:jc w:val="right"/>
              <w:rPr>
                <w:rFonts w:ascii="宋体" w:hAnsi="宋体" w:cs="宋体" w:eastAsia="宋体" w:hint="default"/>
                <w:sz w:val="18"/>
                <w:szCs w:val="18"/>
              </w:rPr>
            </w:pPr>
            <w:r>
              <w:rPr>
                <w:rFonts w:ascii="宋体"/>
                <w:spacing w:val="-1"/>
                <w:sz w:val="18"/>
              </w:rPr>
              <w:t>27,692.32</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956" cy="9144"/>
                  <wp:effectExtent l="0" t="0" r="0" b="0"/>
                  <wp:docPr id="71" name="image56.png" descr=""/>
                  <wp:cNvGraphicFramePr>
                    <a:graphicFrameLocks noChangeAspect="1"/>
                  </wp:cNvGraphicFramePr>
                  <a:graphic>
                    <a:graphicData uri="http://schemas.openxmlformats.org/drawingml/2006/picture">
                      <pic:pic>
                        <pic:nvPicPr>
                          <pic:cNvPr id="72" name="image56.png"/>
                          <pic:cNvPicPr/>
                        </pic:nvPicPr>
                        <pic:blipFill>
                          <a:blip r:embed="rId114" cstate="print"/>
                          <a:stretch>
                            <a:fillRect/>
                          </a:stretch>
                        </pic:blipFill>
                        <pic:spPr>
                          <a:xfrm>
                            <a:off x="0" y="0"/>
                            <a:ext cx="99995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9"/>
              <w:jc w:val="right"/>
              <w:rPr>
                <w:rFonts w:ascii="宋体" w:hAnsi="宋体" w:cs="宋体" w:eastAsia="宋体" w:hint="default"/>
                <w:sz w:val="18"/>
                <w:szCs w:val="18"/>
              </w:rPr>
            </w:pPr>
            <w:r>
              <w:rPr>
                <w:rFonts w:ascii="宋体"/>
                <w:spacing w:val="-1"/>
                <w:sz w:val="18"/>
              </w:rPr>
              <w:t>25,946,058.45</w:t>
            </w:r>
          </w:p>
        </w:tc>
      </w:tr>
    </w:tbl>
    <w:p>
      <w:pPr>
        <w:spacing w:line="240" w:lineRule="auto" w:before="9"/>
        <w:rPr>
          <w:rFonts w:ascii="宋体" w:hAnsi="宋体" w:cs="宋体" w:eastAsia="宋体" w:hint="default"/>
          <w:b/>
          <w:bCs/>
          <w:sz w:val="28"/>
          <w:szCs w:val="28"/>
        </w:rPr>
      </w:pPr>
    </w:p>
    <w:tbl>
      <w:tblPr>
        <w:tblW w:w="0" w:type="auto"/>
        <w:jc w:val="left"/>
        <w:tblInd w:w="122" w:type="dxa"/>
        <w:tblLayout w:type="fixed"/>
        <w:tblCellMar>
          <w:top w:w="0" w:type="dxa"/>
          <w:left w:w="0" w:type="dxa"/>
          <w:bottom w:w="0" w:type="dxa"/>
          <w:right w:w="0" w:type="dxa"/>
        </w:tblCellMar>
        <w:tblLook w:val="01E0"/>
      </w:tblPr>
      <w:tblGrid>
        <w:gridCol w:w="1712"/>
        <w:gridCol w:w="202"/>
        <w:gridCol w:w="1582"/>
        <w:gridCol w:w="211"/>
        <w:gridCol w:w="1680"/>
        <w:gridCol w:w="209"/>
        <w:gridCol w:w="1520"/>
        <w:gridCol w:w="187"/>
        <w:gridCol w:w="1563"/>
      </w:tblGrid>
      <w:tr>
        <w:trPr>
          <w:trHeight w:val="253" w:hRule="exact"/>
        </w:trPr>
        <w:tc>
          <w:tcPr>
            <w:tcW w:w="1712"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15" w:hRule="exact"/>
        </w:trPr>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23,188.38</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23,188.38</w:t>
            </w:r>
          </w:p>
        </w:tc>
      </w:tr>
      <w:tr>
        <w:trPr>
          <w:trHeight w:val="312"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355,762.59</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152,929.10</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508,691.69</w:t>
            </w:r>
          </w:p>
        </w:tc>
      </w:tr>
      <w:tr>
        <w:trPr>
          <w:trHeight w:val="312"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1,573,693.44</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708,682.52</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2,282,375.96</w:t>
            </w:r>
          </w:p>
        </w:tc>
      </w:tr>
      <w:tr>
        <w:trPr>
          <w:trHeight w:val="312"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z w:val="18"/>
                <w:szCs w:val="18"/>
              </w:rPr>
              <w:t>POS</w:t>
            </w:r>
            <w:r>
              <w:rPr>
                <w:rFonts w:ascii="宋体" w:hAnsi="宋体" w:cs="宋体" w:eastAsia="宋体" w:hint="default"/>
                <w:sz w:val="18"/>
                <w:szCs w:val="18"/>
              </w:rPr>
              <w:t>机</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7,390,547.70</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2,233,751.41</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9,624,299.11</w:t>
            </w:r>
          </w:p>
        </w:tc>
      </w:tr>
      <w:tr>
        <w:trPr>
          <w:trHeight w:val="319"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960,185.57</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792,101.18</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3,726.41</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1,748,560.34</w:t>
            </w:r>
          </w:p>
        </w:tc>
      </w:tr>
      <w:tr>
        <w:trPr>
          <w:trHeight w:val="336"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85" cy="9144"/>
                  <wp:effectExtent l="0" t="0" r="0" b="0"/>
                  <wp:docPr id="73" name="image57.png" descr=""/>
                  <wp:cNvGraphicFramePr>
                    <a:graphicFrameLocks noChangeAspect="1"/>
                  </wp:cNvGraphicFramePr>
                  <a:graphic>
                    <a:graphicData uri="http://schemas.openxmlformats.org/drawingml/2006/picture">
                      <pic:pic>
                        <pic:nvPicPr>
                          <pic:cNvPr id="74" name="image57.png"/>
                          <pic:cNvPicPr/>
                        </pic:nvPicPr>
                        <pic:blipFill>
                          <a:blip r:embed="rId115" cstate="print"/>
                          <a:stretch>
                            <a:fillRect/>
                          </a:stretch>
                        </pic:blipFill>
                        <pic:spPr>
                          <a:xfrm>
                            <a:off x="0" y="0"/>
                            <a:ext cx="9997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9"/>
              <w:jc w:val="right"/>
              <w:rPr>
                <w:rFonts w:ascii="宋体" w:hAnsi="宋体" w:cs="宋体" w:eastAsia="宋体" w:hint="default"/>
                <w:sz w:val="18"/>
                <w:szCs w:val="18"/>
              </w:rPr>
            </w:pPr>
            <w:r>
              <w:rPr>
                <w:rFonts w:ascii="宋体"/>
                <w:spacing w:val="-1"/>
                <w:sz w:val="18"/>
              </w:rPr>
              <w:t>10,280,189.30</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98" cy="9144"/>
                  <wp:effectExtent l="0" t="0" r="0" b="0"/>
                  <wp:docPr id="75" name="image58.png" descr=""/>
                  <wp:cNvGraphicFramePr>
                    <a:graphicFrameLocks noChangeAspect="1"/>
                  </wp:cNvGraphicFramePr>
                  <a:graphic>
                    <a:graphicData uri="http://schemas.openxmlformats.org/drawingml/2006/picture">
                      <pic:pic>
                        <pic:nvPicPr>
                          <pic:cNvPr id="76" name="image58.png"/>
                          <pic:cNvPicPr/>
                        </pic:nvPicPr>
                        <pic:blipFill>
                          <a:blip r:embed="rId116" cstate="print"/>
                          <a:stretch>
                            <a:fillRect/>
                          </a:stretch>
                        </pic:blipFill>
                        <pic:spPr>
                          <a:xfrm>
                            <a:off x="0" y="0"/>
                            <a:ext cx="10670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9"/>
              <w:jc w:val="right"/>
              <w:rPr>
                <w:rFonts w:ascii="宋体" w:hAnsi="宋体" w:cs="宋体" w:eastAsia="宋体" w:hint="default"/>
                <w:sz w:val="18"/>
                <w:szCs w:val="18"/>
              </w:rPr>
            </w:pPr>
            <w:r>
              <w:rPr>
                <w:rFonts w:ascii="宋体"/>
                <w:spacing w:val="-1"/>
                <w:sz w:val="18"/>
              </w:rPr>
              <w:t>3,910,652.59</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5113" cy="9144"/>
                  <wp:effectExtent l="0" t="0" r="0" b="0"/>
                  <wp:docPr id="77" name="image59.png" descr=""/>
                  <wp:cNvGraphicFramePr>
                    <a:graphicFrameLocks noChangeAspect="1"/>
                  </wp:cNvGraphicFramePr>
                  <a:graphic>
                    <a:graphicData uri="http://schemas.openxmlformats.org/drawingml/2006/picture">
                      <pic:pic>
                        <pic:nvPicPr>
                          <pic:cNvPr id="78" name="image59.png"/>
                          <pic:cNvPicPr/>
                        </pic:nvPicPr>
                        <pic:blipFill>
                          <a:blip r:embed="rId117" cstate="print"/>
                          <a:stretch>
                            <a:fillRect/>
                          </a:stretch>
                        </pic:blipFill>
                        <pic:spPr>
                          <a:xfrm>
                            <a:off x="0" y="0"/>
                            <a:ext cx="96511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8"/>
              <w:jc w:val="right"/>
              <w:rPr>
                <w:rFonts w:ascii="宋体" w:hAnsi="宋体" w:cs="宋体" w:eastAsia="宋体" w:hint="default"/>
                <w:sz w:val="18"/>
                <w:szCs w:val="18"/>
              </w:rPr>
            </w:pPr>
            <w:r>
              <w:rPr>
                <w:rFonts w:ascii="宋体"/>
                <w:spacing w:val="-1"/>
                <w:sz w:val="18"/>
              </w:rPr>
              <w:t>3,726.41</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87847" cy="9144"/>
                  <wp:effectExtent l="0" t="0" r="0" b="0"/>
                  <wp:docPr id="79" name="image60.png" descr=""/>
                  <wp:cNvGraphicFramePr>
                    <a:graphicFrameLocks noChangeAspect="1"/>
                  </wp:cNvGraphicFramePr>
                  <a:graphic>
                    <a:graphicData uri="http://schemas.openxmlformats.org/drawingml/2006/picture">
                      <pic:pic>
                        <pic:nvPicPr>
                          <pic:cNvPr id="80" name="image60.png"/>
                          <pic:cNvPicPr/>
                        </pic:nvPicPr>
                        <pic:blipFill>
                          <a:blip r:embed="rId118" cstate="print"/>
                          <a:stretch>
                            <a:fillRect/>
                          </a:stretch>
                        </pic:blipFill>
                        <pic:spPr>
                          <a:xfrm>
                            <a:off x="0" y="0"/>
                            <a:ext cx="98784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29"/>
              <w:jc w:val="right"/>
              <w:rPr>
                <w:rFonts w:ascii="宋体" w:hAnsi="宋体" w:cs="宋体" w:eastAsia="宋体" w:hint="default"/>
                <w:sz w:val="18"/>
                <w:szCs w:val="18"/>
              </w:rPr>
            </w:pPr>
            <w:r>
              <w:rPr>
                <w:rFonts w:ascii="宋体"/>
                <w:spacing w:val="-1"/>
                <w:sz w:val="18"/>
              </w:rPr>
              <w:t>14,187,115.48</w:t>
            </w:r>
          </w:p>
        </w:tc>
      </w:tr>
      <w:tr>
        <w:trPr>
          <w:trHeight w:val="344"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sz w:val="18"/>
              </w:rPr>
              <w:t>---</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sz w:val="18"/>
              </w:rPr>
              <w:t>---</w:t>
            </w: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sz w:val="18"/>
              </w:rPr>
              <w:t>---</w:t>
            </w:r>
          </w:p>
        </w:tc>
      </w:tr>
      <w:tr>
        <w:trPr>
          <w:trHeight w:val="350"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净值</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9,222,218.25</w:t>
            </w:r>
            <w:r>
              <w:rPr>
                <w:rFonts w:ascii="宋体"/>
                <w:sz w:val="18"/>
              </w:rPr>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single" w:sz="12"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11,758,942.97</w:t>
            </w:r>
          </w:p>
        </w:tc>
      </w:tr>
    </w:tbl>
    <w:p>
      <w:pPr>
        <w:spacing w:line="240" w:lineRule="auto" w:before="13"/>
        <w:rPr>
          <w:rFonts w:ascii="宋体" w:hAnsi="宋体" w:cs="宋体" w:eastAsia="宋体" w:hint="default"/>
          <w:b/>
          <w:bCs/>
          <w:sz w:val="25"/>
          <w:szCs w:val="25"/>
        </w:rPr>
      </w:pPr>
    </w:p>
    <w:p>
      <w:pPr>
        <w:spacing w:before="36"/>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本期增加的出租</w:t>
      </w:r>
      <w:r>
        <w:rPr>
          <w:rFonts w:ascii="宋体" w:hAnsi="宋体" w:cs="宋体" w:eastAsia="宋体" w:hint="default"/>
          <w:b/>
          <w:bCs/>
          <w:sz w:val="21"/>
          <w:szCs w:val="21"/>
        </w:rPr>
        <w:t>POS</w:t>
      </w:r>
      <w:r>
        <w:rPr>
          <w:rFonts w:ascii="宋体" w:hAnsi="宋体" w:cs="宋体" w:eastAsia="宋体" w:hint="default"/>
          <w:b/>
          <w:bCs/>
          <w:sz w:val="21"/>
          <w:szCs w:val="21"/>
        </w:rPr>
        <w:t>机为存货转入。</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line="408" w:lineRule="auto" w:before="36"/>
        <w:ind w:left="122" w:right="0" w:firstLine="422"/>
        <w:jc w:val="left"/>
        <w:rPr>
          <w:rFonts w:ascii="宋体" w:hAnsi="宋体" w:cs="宋体" w:eastAsia="宋体" w:hint="default"/>
          <w:sz w:val="21"/>
          <w:szCs w:val="21"/>
        </w:rPr>
      </w:pPr>
      <w:r>
        <w:rPr>
          <w:rFonts w:ascii="宋体" w:hAnsi="宋体" w:cs="宋体" w:eastAsia="宋体" w:hint="default"/>
          <w:b/>
          <w:bCs/>
          <w:spacing w:val="-2"/>
          <w:sz w:val="21"/>
          <w:szCs w:val="21"/>
        </w:rPr>
        <w:t>3.</w:t>
      </w:r>
      <w:r>
        <w:rPr>
          <w:rFonts w:ascii="宋体" w:hAnsi="宋体" w:cs="宋体" w:eastAsia="宋体" w:hint="default"/>
          <w:b/>
          <w:bCs/>
          <w:spacing w:val="-2"/>
          <w:sz w:val="21"/>
          <w:szCs w:val="21"/>
        </w:rPr>
        <w:t>本公司认为期末固定资产不存在可回收金额低于账面价值的情况，故未计提固定资产减</w:t>
      </w:r>
      <w:r>
        <w:rPr>
          <w:rFonts w:ascii="宋体" w:hAnsi="宋体" w:cs="宋体" w:eastAsia="宋体" w:hint="default"/>
          <w:b/>
          <w:bCs/>
          <w:w w:val="100"/>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p>
      <w:pPr>
        <w:spacing w:before="46"/>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本公司期末固定资产不存在抵押情况。</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line="614" w:lineRule="auto" w:before="0"/>
        <w:ind w:left="544" w:right="432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本期增加的房屋建筑物的产权尚在办理中。</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tbl>
      <w:tblPr>
        <w:tblW w:w="0" w:type="auto"/>
        <w:jc w:val="left"/>
        <w:tblInd w:w="117" w:type="dxa"/>
        <w:tblLayout w:type="fixed"/>
        <w:tblCellMar>
          <w:top w:w="0" w:type="dxa"/>
          <w:left w:w="0" w:type="dxa"/>
          <w:bottom w:w="0" w:type="dxa"/>
          <w:right w:w="0" w:type="dxa"/>
        </w:tblCellMar>
        <w:tblLook w:val="01E0"/>
      </w:tblPr>
      <w:tblGrid>
        <w:gridCol w:w="2316"/>
        <w:gridCol w:w="223"/>
        <w:gridCol w:w="1596"/>
        <w:gridCol w:w="1608"/>
        <w:gridCol w:w="1472"/>
        <w:gridCol w:w="1652"/>
      </w:tblGrid>
      <w:tr>
        <w:trPr>
          <w:trHeight w:val="267" w:hRule="exact"/>
        </w:trPr>
        <w:tc>
          <w:tcPr>
            <w:tcW w:w="231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180" w:lineRule="exact"/>
              <w:ind w:left="40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180" w:lineRule="exact"/>
              <w:ind w:left="32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180" w:lineRule="exact"/>
              <w:ind w:left="5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13,216,793.16</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20,184,276.43</w:t>
            </w: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z w:val="18"/>
              </w:rPr>
              <w:t>---</w:t>
            </w: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33,401,069.59</w:t>
            </w:r>
          </w:p>
        </w:tc>
      </w:tr>
      <w:tr>
        <w:trPr>
          <w:trHeight w:val="34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12,811,900.00</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19,965,960.00</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z w:val="18"/>
              </w:rPr>
              <w:t>---</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32,777,860.00</w:t>
            </w:r>
          </w:p>
        </w:tc>
      </w:tr>
      <w:tr>
        <w:trPr>
          <w:trHeight w:val="347"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404,893.16</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218,316.43</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623,209.59</w:t>
            </w:r>
          </w:p>
        </w:tc>
      </w:tr>
      <w:tr>
        <w:trPr>
          <w:trHeight w:val="35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二、累计摊销额</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59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81" name="image61.png" descr=""/>
                  <wp:cNvGraphicFramePr>
                    <a:graphicFrameLocks noChangeAspect="1"/>
                  </wp:cNvGraphicFramePr>
                  <a:graphic>
                    <a:graphicData uri="http://schemas.openxmlformats.org/drawingml/2006/picture">
                      <pic:pic>
                        <pic:nvPicPr>
                          <pic:cNvPr id="82" name="image61.png"/>
                          <pic:cNvPicPr/>
                        </pic:nvPicPr>
                        <pic:blipFill>
                          <a:blip r:embed="rId119"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29"/>
              <w:jc w:val="right"/>
              <w:rPr>
                <w:rFonts w:ascii="宋体" w:hAnsi="宋体" w:cs="宋体" w:eastAsia="宋体" w:hint="default"/>
                <w:sz w:val="18"/>
                <w:szCs w:val="18"/>
              </w:rPr>
            </w:pPr>
            <w:r>
              <w:rPr>
                <w:rFonts w:ascii="宋体"/>
                <w:spacing w:val="-1"/>
                <w:sz w:val="18"/>
              </w:rPr>
              <w:t>423,737.87</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389,465.74</w:t>
            </w: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z w:val="18"/>
              </w:rPr>
              <w:t>---</w:t>
            </w: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813,203.61</w:t>
            </w:r>
          </w:p>
        </w:tc>
      </w:tr>
      <w:tr>
        <w:trPr>
          <w:trHeight w:val="344"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363,003.89</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289,514.64</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652,518.53</w:t>
            </w:r>
          </w:p>
        </w:tc>
      </w:tr>
      <w:tr>
        <w:trPr>
          <w:trHeight w:val="34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60,733.98</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99,951.10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160,685.08</w:t>
            </w:r>
          </w:p>
        </w:tc>
      </w:tr>
      <w:tr>
        <w:trPr>
          <w:trHeight w:val="35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59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3" name="image61.png" descr=""/>
                  <wp:cNvGraphicFramePr>
                    <a:graphicFrameLocks noChangeAspect="1"/>
                  </wp:cNvGraphicFramePr>
                  <a:graphic>
                    <a:graphicData uri="http://schemas.openxmlformats.org/drawingml/2006/picture">
                      <pic:pic>
                        <pic:nvPicPr>
                          <pic:cNvPr id="84" name="image61.png"/>
                          <pic:cNvPicPr/>
                        </pic:nvPicPr>
                        <pic:blipFill>
                          <a:blip r:embed="rId119"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29"/>
              <w:jc w:val="right"/>
              <w:rPr>
                <w:rFonts w:ascii="宋体" w:hAnsi="宋体" w:cs="宋体" w:eastAsia="宋体" w:hint="default"/>
                <w:sz w:val="18"/>
                <w:szCs w:val="18"/>
              </w:rPr>
            </w:pPr>
            <w:r>
              <w:rPr>
                <w:rFonts w:ascii="宋体"/>
                <w:spacing w:val="-1"/>
                <w:sz w:val="18"/>
              </w:rPr>
              <w:t>12,793,055.29</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6"/>
                <w:szCs w:val="26"/>
              </w:rPr>
            </w:pPr>
          </w:p>
        </w:tc>
        <w:tc>
          <w:tcPr>
            <w:tcW w:w="1472"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32,587,865.98</w:t>
            </w:r>
          </w:p>
        </w:tc>
      </w:tr>
      <w:tr>
        <w:trPr>
          <w:trHeight w:val="343"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12,448,896.11</w:t>
            </w:r>
          </w:p>
        </w:tc>
        <w:tc>
          <w:tcPr>
            <w:tcW w:w="16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32,125,341.47</w:t>
            </w:r>
          </w:p>
        </w:tc>
      </w:tr>
      <w:tr>
        <w:trPr>
          <w:trHeight w:val="26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w:t>
            </w:r>
          </w:p>
        </w:tc>
        <w:tc>
          <w:tcPr>
            <w:tcW w:w="2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344,159.18</w:t>
            </w:r>
          </w:p>
        </w:tc>
        <w:tc>
          <w:tcPr>
            <w:tcW w:w="16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462,524.51</w:t>
            </w:r>
          </w:p>
        </w:tc>
      </w:tr>
    </w:tbl>
    <w:p>
      <w:pPr>
        <w:spacing w:after="0" w:line="240" w:lineRule="auto"/>
        <w:jc w:val="right"/>
        <w:rPr>
          <w:rFonts w:ascii="宋体" w:hAnsi="宋体" w:cs="宋体" w:eastAsia="宋体" w:hint="default"/>
          <w:sz w:val="18"/>
          <w:szCs w:val="18"/>
        </w:rPr>
        <w:sectPr>
          <w:footerReference w:type="default" r:id="rId110"/>
          <w:pgSz w:w="11910" w:h="16840"/>
          <w:pgMar w:footer="1195" w:header="0" w:top="1440" w:bottom="1380" w:left="1580" w:right="1220"/>
          <w:pgNumType w:start="124"/>
        </w:sectPr>
      </w:pPr>
    </w:p>
    <w:p>
      <w:pPr>
        <w:spacing w:line="240" w:lineRule="auto" w:before="3"/>
        <w:rPr>
          <w:rFonts w:ascii="宋体" w:hAnsi="宋体" w:cs="宋体" w:eastAsia="宋体" w:hint="default"/>
          <w:b/>
          <w:bCs/>
          <w:sz w:val="12"/>
          <w:szCs w:val="12"/>
        </w:rPr>
      </w:pPr>
    </w:p>
    <w:p>
      <w:pPr>
        <w:spacing w:line="408" w:lineRule="auto" w:before="36"/>
        <w:ind w:left="142" w:right="730" w:firstLine="422"/>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2011</w:t>
      </w:r>
      <w:r>
        <w:rPr>
          <w:rFonts w:ascii="宋体" w:hAnsi="宋体" w:cs="宋体" w:eastAsia="宋体" w:hint="default"/>
          <w:b/>
          <w:bCs/>
          <w:sz w:val="21"/>
          <w:szCs w:val="21"/>
        </w:rPr>
        <w:t>年</w:t>
      </w:r>
      <w:r>
        <w:rPr>
          <w:rFonts w:ascii="宋体" w:hAnsi="宋体" w:cs="宋体" w:eastAsia="宋体" w:hint="default"/>
          <w:b/>
          <w:bCs/>
          <w:sz w:val="21"/>
          <w:szCs w:val="21"/>
        </w:rPr>
        <w:t>12</w:t>
      </w:r>
      <w:r>
        <w:rPr>
          <w:rFonts w:ascii="宋体" w:hAnsi="宋体" w:cs="宋体" w:eastAsia="宋体" w:hint="default"/>
          <w:b/>
          <w:bCs/>
          <w:sz w:val="21"/>
          <w:szCs w:val="21"/>
        </w:rPr>
        <w:t>月</w:t>
      </w:r>
      <w:r>
        <w:rPr>
          <w:rFonts w:ascii="宋体" w:hAnsi="宋体" w:cs="宋体" w:eastAsia="宋体" w:hint="default"/>
          <w:b/>
          <w:bCs/>
          <w:sz w:val="21"/>
          <w:szCs w:val="21"/>
        </w:rPr>
        <w:t>13</w:t>
      </w:r>
      <w:r>
        <w:rPr>
          <w:rFonts w:ascii="宋体" w:hAnsi="宋体" w:cs="宋体" w:eastAsia="宋体" w:hint="default"/>
          <w:b/>
          <w:bCs/>
          <w:sz w:val="21"/>
          <w:szCs w:val="21"/>
        </w:rPr>
        <w:t>日本公司之控股子公司苏州新国都电子技术有限公司与昆山市国土资源</w:t>
      </w:r>
      <w:r>
        <w:rPr>
          <w:rFonts w:ascii="宋体" w:hAnsi="宋体" w:cs="宋体" w:eastAsia="宋体" w:hint="default"/>
          <w:b/>
          <w:bCs/>
          <w:w w:val="100"/>
          <w:sz w:val="21"/>
          <w:szCs w:val="21"/>
        </w:rPr>
        <w:t> </w:t>
      </w:r>
      <w:r>
        <w:rPr>
          <w:rFonts w:ascii="宋体" w:hAnsi="宋体" w:cs="宋体" w:eastAsia="宋体" w:hint="default"/>
          <w:b/>
          <w:bCs/>
          <w:sz w:val="21"/>
          <w:szCs w:val="21"/>
        </w:rPr>
        <w:t>局签订国有建设用地使用权出让合同，以人民币</w:t>
      </w:r>
      <w:r>
        <w:rPr>
          <w:rFonts w:ascii="宋体" w:hAnsi="宋体" w:cs="宋体" w:eastAsia="宋体" w:hint="default"/>
          <w:b/>
          <w:bCs/>
          <w:sz w:val="21"/>
          <w:szCs w:val="21"/>
        </w:rPr>
        <w:t>19,965,960.00</w:t>
      </w:r>
      <w:r>
        <w:rPr>
          <w:rFonts w:ascii="宋体" w:hAnsi="宋体" w:cs="宋体" w:eastAsia="宋体" w:hint="default"/>
          <w:b/>
          <w:bCs/>
          <w:sz w:val="21"/>
          <w:szCs w:val="21"/>
        </w:rPr>
        <w:t>元的价格受让位于花桥镇东城</w:t>
      </w:r>
      <w:r>
        <w:rPr>
          <w:rFonts w:ascii="宋体" w:hAnsi="宋体" w:cs="宋体" w:eastAsia="宋体" w:hint="default"/>
          <w:b/>
          <w:bCs/>
          <w:spacing w:val="-42"/>
          <w:sz w:val="21"/>
          <w:szCs w:val="21"/>
        </w:rPr>
        <w:t> </w:t>
      </w:r>
      <w:r>
        <w:rPr>
          <w:rFonts w:ascii="宋体" w:hAnsi="宋体" w:cs="宋体" w:eastAsia="宋体" w:hint="default"/>
          <w:b/>
          <w:bCs/>
          <w:spacing w:val="-42"/>
          <w:sz w:val="21"/>
          <w:szCs w:val="21"/>
        </w:rPr>
      </w:r>
      <w:r>
        <w:rPr>
          <w:rFonts w:ascii="宋体" w:hAnsi="宋体" w:cs="宋体" w:eastAsia="宋体" w:hint="default"/>
          <w:b/>
          <w:bCs/>
          <w:sz w:val="21"/>
          <w:szCs w:val="21"/>
        </w:rPr>
        <w:t>大道东侧、规山路北侧的宗地，宗地面积</w:t>
      </w:r>
      <w:r>
        <w:rPr>
          <w:rFonts w:ascii="宋体" w:hAnsi="宋体" w:cs="宋体" w:eastAsia="宋体" w:hint="default"/>
          <w:b/>
          <w:bCs/>
          <w:sz w:val="21"/>
          <w:szCs w:val="21"/>
        </w:rPr>
        <w:t>59,422.50</w:t>
      </w:r>
      <w:r>
        <w:rPr>
          <w:rFonts w:ascii="宋体" w:hAnsi="宋体" w:cs="宋体" w:eastAsia="宋体" w:hint="default"/>
          <w:b/>
          <w:bCs/>
          <w:sz w:val="21"/>
          <w:szCs w:val="21"/>
        </w:rPr>
        <w:t>平方米，截止报告日尚未取得土地使用权</w:t>
      </w:r>
      <w:r>
        <w:rPr>
          <w:rFonts w:ascii="宋体" w:hAnsi="宋体" w:cs="宋体" w:eastAsia="宋体" w:hint="default"/>
          <w:b/>
          <w:bCs/>
          <w:spacing w:val="-41"/>
          <w:sz w:val="21"/>
          <w:szCs w:val="21"/>
        </w:rPr>
        <w:t> </w:t>
      </w:r>
      <w:r>
        <w:rPr>
          <w:rFonts w:ascii="宋体" w:hAnsi="宋体" w:cs="宋体" w:eastAsia="宋体" w:hint="default"/>
          <w:b/>
          <w:bCs/>
          <w:spacing w:val="-41"/>
          <w:sz w:val="21"/>
          <w:szCs w:val="21"/>
        </w:rPr>
      </w:r>
      <w:r>
        <w:rPr>
          <w:rFonts w:ascii="宋体" w:hAnsi="宋体" w:cs="宋体" w:eastAsia="宋体" w:hint="default"/>
          <w:b/>
          <w:bCs/>
          <w:sz w:val="21"/>
          <w:szCs w:val="21"/>
        </w:rPr>
        <w:t>证。</w:t>
      </w:r>
      <w:r>
        <w:rPr>
          <w:rFonts w:ascii="宋体" w:hAnsi="宋体" w:cs="宋体" w:eastAsia="宋体" w:hint="default"/>
          <w:sz w:val="21"/>
          <w:szCs w:val="21"/>
        </w:rPr>
      </w:r>
    </w:p>
    <w:p>
      <w:pPr>
        <w:spacing w:line="408" w:lineRule="auto" w:before="46"/>
        <w:ind w:left="142" w:right="728" w:firstLine="422"/>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．本公司认为期末无形资产不存在可回收金额低于账面价值的情况，故未计提无形资产</w:t>
      </w:r>
      <w:r>
        <w:rPr>
          <w:rFonts w:ascii="宋体" w:hAnsi="宋体" w:cs="宋体" w:eastAsia="宋体" w:hint="default"/>
          <w:b/>
          <w:bCs/>
          <w:w w:val="100"/>
          <w:sz w:val="21"/>
          <w:szCs w:val="21"/>
        </w:rPr>
        <w:t> </w:t>
      </w:r>
      <w:r>
        <w:rPr>
          <w:rFonts w:ascii="宋体" w:hAnsi="宋体" w:cs="宋体" w:eastAsia="宋体" w:hint="default"/>
          <w:b/>
          <w:bCs/>
          <w:sz w:val="21"/>
          <w:szCs w:val="21"/>
        </w:rPr>
        <w:t>减值准备。</w:t>
      </w:r>
      <w:r>
        <w:rPr>
          <w:rFonts w:ascii="宋体" w:hAnsi="宋体" w:cs="宋体" w:eastAsia="宋体" w:hint="default"/>
          <w:sz w:val="21"/>
          <w:szCs w:val="21"/>
        </w:rPr>
      </w:r>
    </w:p>
    <w:p>
      <w:pPr>
        <w:spacing w:line="681" w:lineRule="auto" w:before="46"/>
        <w:ind w:left="564" w:right="500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．本公司期末无形资产不存在抵押情况。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42" w:type="dxa"/>
        <w:tblLayout w:type="fixed"/>
        <w:tblCellMar>
          <w:top w:w="0" w:type="dxa"/>
          <w:left w:w="0" w:type="dxa"/>
          <w:bottom w:w="0" w:type="dxa"/>
          <w:right w:w="0" w:type="dxa"/>
        </w:tblCellMar>
        <w:tblLook w:val="01E0"/>
      </w:tblPr>
      <w:tblGrid>
        <w:gridCol w:w="1205"/>
        <w:gridCol w:w="1344"/>
        <w:gridCol w:w="1359"/>
        <w:gridCol w:w="1262"/>
        <w:gridCol w:w="1340"/>
        <w:gridCol w:w="1315"/>
        <w:gridCol w:w="1359"/>
      </w:tblGrid>
      <w:tr>
        <w:trPr>
          <w:trHeight w:val="246" w:hRule="exact"/>
        </w:trPr>
        <w:tc>
          <w:tcPr>
            <w:tcW w:w="1205"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259"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180" w:lineRule="exact"/>
              <w:ind w:left="247"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7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9"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32" w:right="0"/>
              <w:jc w:val="left"/>
              <w:rPr>
                <w:rFonts w:ascii="宋体" w:hAnsi="宋体" w:cs="宋体" w:eastAsia="宋体" w:hint="default"/>
                <w:sz w:val="18"/>
                <w:szCs w:val="18"/>
              </w:rPr>
            </w:pPr>
            <w:r>
              <w:rPr>
                <w:rFonts w:ascii="宋体"/>
                <w:sz w:val="18"/>
              </w:rPr>
              <w:t>5,055,233.16</w:t>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11" w:right="0"/>
              <w:jc w:val="center"/>
              <w:rPr>
                <w:rFonts w:ascii="宋体" w:hAnsi="宋体" w:cs="宋体" w:eastAsia="宋体" w:hint="default"/>
                <w:sz w:val="18"/>
                <w:szCs w:val="18"/>
              </w:rPr>
            </w:pPr>
            <w:r>
              <w:rPr>
                <w:rFonts w:ascii="宋体"/>
                <w:sz w:val="18"/>
              </w:rPr>
              <w:t>1,309,139.02</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51" w:right="0"/>
              <w:jc w:val="left"/>
              <w:rPr>
                <w:rFonts w:ascii="宋体" w:hAnsi="宋体" w:cs="宋体" w:eastAsia="宋体" w:hint="default"/>
                <w:sz w:val="18"/>
                <w:szCs w:val="18"/>
              </w:rPr>
            </w:pPr>
            <w:r>
              <w:rPr>
                <w:rFonts w:ascii="宋体"/>
                <w:sz w:val="18"/>
              </w:rPr>
              <w:t>2,910,908.21</w:t>
            </w:r>
          </w:p>
        </w:tc>
        <w:tc>
          <w:tcPr>
            <w:tcW w:w="1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27" w:right="0"/>
              <w:jc w:val="left"/>
              <w:rPr>
                <w:rFonts w:ascii="宋体" w:hAnsi="宋体" w:cs="宋体" w:eastAsia="宋体" w:hint="default"/>
                <w:sz w:val="18"/>
                <w:szCs w:val="18"/>
              </w:rPr>
            </w:pPr>
            <w:r>
              <w:rPr>
                <w:rFonts w:ascii="宋体"/>
                <w:sz w:val="18"/>
              </w:rPr>
              <w:t>1,579,273.13</w:t>
            </w: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04" w:right="0"/>
              <w:jc w:val="left"/>
              <w:rPr>
                <w:rFonts w:ascii="宋体" w:hAnsi="宋体" w:cs="宋体" w:eastAsia="宋体" w:hint="default"/>
                <w:sz w:val="18"/>
                <w:szCs w:val="18"/>
              </w:rPr>
            </w:pPr>
            <w:r>
              <w:rPr>
                <w:rFonts w:ascii="宋体"/>
                <w:sz w:val="18"/>
              </w:rPr>
              <w:t>2,414,459.06</w:t>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15" w:right="0"/>
              <w:jc w:val="center"/>
              <w:rPr>
                <w:rFonts w:ascii="宋体" w:hAnsi="宋体" w:cs="宋体" w:eastAsia="宋体" w:hint="default"/>
                <w:sz w:val="18"/>
                <w:szCs w:val="18"/>
              </w:rPr>
            </w:pPr>
            <w:r>
              <w:rPr>
                <w:rFonts w:ascii="宋体"/>
                <w:sz w:val="18"/>
              </w:rPr>
              <w:t>2,640,774.10</w:t>
            </w:r>
          </w:p>
        </w:tc>
      </w:tr>
      <w:tr>
        <w:trPr>
          <w:trHeight w:val="338"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32" w:right="0"/>
              <w:jc w:val="left"/>
              <w:rPr>
                <w:rFonts w:ascii="宋体" w:hAnsi="宋体" w:cs="宋体" w:eastAsia="宋体" w:hint="default"/>
                <w:sz w:val="18"/>
                <w:szCs w:val="18"/>
              </w:rPr>
            </w:pPr>
            <w:r>
              <w:rPr>
                <w:rFonts w:ascii="宋体"/>
                <w:sz w:val="18"/>
              </w:rPr>
              <w:t>5,055,233.16</w:t>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11" w:right="0"/>
              <w:jc w:val="center"/>
              <w:rPr>
                <w:rFonts w:ascii="宋体" w:hAnsi="宋体" w:cs="宋体" w:eastAsia="宋体" w:hint="default"/>
                <w:sz w:val="18"/>
                <w:szCs w:val="18"/>
              </w:rPr>
            </w:pPr>
            <w:r>
              <w:rPr>
                <w:rFonts w:ascii="宋体"/>
                <w:sz w:val="18"/>
              </w:rPr>
              <w:t>1,309,139.02</w:t>
            </w: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51" w:right="0"/>
              <w:jc w:val="left"/>
              <w:rPr>
                <w:rFonts w:ascii="宋体" w:hAnsi="宋体" w:cs="宋体" w:eastAsia="宋体" w:hint="default"/>
                <w:sz w:val="18"/>
                <w:szCs w:val="18"/>
              </w:rPr>
            </w:pPr>
            <w:r>
              <w:rPr>
                <w:rFonts w:ascii="宋体"/>
                <w:sz w:val="18"/>
              </w:rPr>
              <w:t>2,910,908.21</w:t>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27" w:right="0"/>
              <w:jc w:val="left"/>
              <w:rPr>
                <w:rFonts w:ascii="宋体" w:hAnsi="宋体" w:cs="宋体" w:eastAsia="宋体" w:hint="default"/>
                <w:sz w:val="18"/>
                <w:szCs w:val="18"/>
              </w:rPr>
            </w:pPr>
            <w:r>
              <w:rPr>
                <w:rFonts w:ascii="宋体"/>
                <w:sz w:val="18"/>
              </w:rPr>
              <w:t>1,579,273.13</w:t>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04" w:right="0"/>
              <w:jc w:val="left"/>
              <w:rPr>
                <w:rFonts w:ascii="宋体" w:hAnsi="宋体" w:cs="宋体" w:eastAsia="宋体" w:hint="default"/>
                <w:sz w:val="18"/>
                <w:szCs w:val="18"/>
              </w:rPr>
            </w:pPr>
            <w:r>
              <w:rPr>
                <w:rFonts w:ascii="宋体"/>
                <w:sz w:val="18"/>
              </w:rPr>
              <w:t>2,414,459.06</w:t>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15" w:right="0"/>
              <w:jc w:val="center"/>
              <w:rPr>
                <w:rFonts w:ascii="宋体" w:hAnsi="宋体" w:cs="宋体" w:eastAsia="宋体" w:hint="default"/>
                <w:sz w:val="18"/>
                <w:szCs w:val="18"/>
              </w:rPr>
            </w:pPr>
            <w:r>
              <w:rPr>
                <w:rFonts w:ascii="宋体"/>
                <w:sz w:val="18"/>
              </w:rPr>
              <w:t>2,640,774.10</w:t>
            </w:r>
          </w:p>
        </w:tc>
      </w:tr>
    </w:tbl>
    <w:p>
      <w:pPr>
        <w:spacing w:line="240" w:lineRule="auto" w:before="0"/>
        <w:rPr>
          <w:rFonts w:ascii="宋体" w:hAnsi="宋体" w:cs="宋体" w:eastAsia="宋体" w:hint="default"/>
          <w:b/>
          <w:bCs/>
          <w:sz w:val="26"/>
          <w:szCs w:val="26"/>
        </w:rPr>
      </w:pPr>
    </w:p>
    <w:p>
      <w:pPr>
        <w:spacing w:before="36"/>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16"/>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2" w:type="dxa"/>
        <w:tblLayout w:type="fixed"/>
        <w:tblCellMar>
          <w:top w:w="0" w:type="dxa"/>
          <w:left w:w="0" w:type="dxa"/>
          <w:bottom w:w="0" w:type="dxa"/>
          <w:right w:w="0" w:type="dxa"/>
        </w:tblCellMar>
        <w:tblLook w:val="01E0"/>
      </w:tblPr>
      <w:tblGrid>
        <w:gridCol w:w="2115"/>
        <w:gridCol w:w="1396"/>
        <w:gridCol w:w="2159"/>
        <w:gridCol w:w="1528"/>
        <w:gridCol w:w="2030"/>
      </w:tblGrid>
      <w:tr>
        <w:trPr>
          <w:trHeight w:val="258" w:hRule="exact"/>
        </w:trPr>
        <w:tc>
          <w:tcPr>
            <w:tcW w:w="2115" w:type="dxa"/>
            <w:tcBorders>
              <w:top w:val="nil" w:sz="6" w:space="0" w:color="auto"/>
              <w:left w:val="nil" w:sz="6" w:space="0" w:color="auto"/>
              <w:bottom w:val="single" w:sz="4" w:space="0" w:color="000000"/>
              <w:right w:val="nil" w:sz="6" w:space="0" w:color="auto"/>
            </w:tcBorders>
          </w:tcPr>
          <w:p>
            <w:pPr>
              <w:pStyle w:val="TableParagraph"/>
              <w:spacing w:line="180" w:lineRule="exact"/>
              <w:ind w:right="876"/>
              <w:jc w:val="right"/>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190"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2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1" w:hRule="exact"/>
        </w:trPr>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828,750.00</w:t>
            </w:r>
          </w:p>
        </w:tc>
        <w:tc>
          <w:tcPr>
            <w:tcW w:w="1528"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623,908.45</w:t>
            </w:r>
          </w:p>
        </w:tc>
      </w:tr>
      <w:tr>
        <w:trPr>
          <w:trHeight w:val="31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1,384,933.12</w:t>
            </w:r>
          </w:p>
        </w:tc>
        <w:tc>
          <w:tcPr>
            <w:tcW w:w="152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pacing w:val="-1"/>
                <w:sz w:val="18"/>
              </w:rPr>
              <w:t>568,750.00</w:t>
            </w:r>
          </w:p>
        </w:tc>
      </w:tr>
      <w:tr>
        <w:trPr>
          <w:trHeight w:val="324"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9"/>
              <w:jc w:val="right"/>
              <w:rPr>
                <w:rFonts w:ascii="宋体" w:hAnsi="宋体" w:cs="宋体" w:eastAsia="宋体" w:hint="default"/>
                <w:sz w:val="18"/>
                <w:szCs w:val="18"/>
              </w:rPr>
            </w:pPr>
            <w:r>
              <w:rPr>
                <w:rFonts w:ascii="宋体"/>
                <w:spacing w:val="-1"/>
                <w:sz w:val="18"/>
              </w:rPr>
              <w:t>2,176,904.74</w:t>
            </w:r>
          </w:p>
        </w:tc>
        <w:tc>
          <w:tcPr>
            <w:tcW w:w="152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z w:val="18"/>
              </w:rPr>
              <w:t>---</w:t>
            </w:r>
          </w:p>
        </w:tc>
      </w:tr>
      <w:tr>
        <w:trPr>
          <w:trHeight w:val="34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single" w:sz="17" w:space="0" w:color="000000"/>
              <w:right w:val="nil" w:sz="6" w:space="0" w:color="auto"/>
            </w:tcBorders>
          </w:tcPr>
          <w:p>
            <w:pPr>
              <w:pStyle w:val="TableParagraph"/>
              <w:spacing w:line="240" w:lineRule="auto" w:before="13"/>
              <w:ind w:right="29"/>
              <w:jc w:val="right"/>
              <w:rPr>
                <w:rFonts w:ascii="宋体" w:hAnsi="宋体" w:cs="宋体" w:eastAsia="宋体" w:hint="default"/>
                <w:sz w:val="18"/>
                <w:szCs w:val="18"/>
              </w:rPr>
            </w:pPr>
            <w:r>
              <w:rPr>
                <w:rFonts w:ascii="宋体"/>
                <w:spacing w:val="-1"/>
                <w:sz w:val="18"/>
              </w:rPr>
              <w:t>4,390,587.86</w:t>
            </w:r>
          </w:p>
        </w:tc>
        <w:tc>
          <w:tcPr>
            <w:tcW w:w="1528"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single" w:sz="17" w:space="0" w:color="000000"/>
              <w:right w:val="nil" w:sz="6" w:space="0" w:color="auto"/>
            </w:tcBorders>
          </w:tcPr>
          <w:p>
            <w:pPr>
              <w:pStyle w:val="TableParagraph"/>
              <w:spacing w:line="240" w:lineRule="auto" w:before="13"/>
              <w:ind w:right="29"/>
              <w:jc w:val="right"/>
              <w:rPr>
                <w:rFonts w:ascii="宋体" w:hAnsi="宋体" w:cs="宋体" w:eastAsia="宋体" w:hint="default"/>
                <w:sz w:val="18"/>
                <w:szCs w:val="18"/>
              </w:rPr>
            </w:pPr>
            <w:r>
              <w:rPr>
                <w:rFonts w:ascii="宋体"/>
                <w:spacing w:val="-1"/>
                <w:sz w:val="18"/>
              </w:rPr>
              <w:t>1,192,658.45</w:t>
            </w:r>
          </w:p>
        </w:tc>
      </w:tr>
    </w:tbl>
    <w:p>
      <w:pPr>
        <w:spacing w:line="240" w:lineRule="auto" w:before="2"/>
        <w:rPr>
          <w:rFonts w:ascii="宋体" w:hAnsi="宋体" w:cs="宋体" w:eastAsia="宋体" w:hint="default"/>
          <w:b/>
          <w:bCs/>
          <w:sz w:val="20"/>
          <w:szCs w:val="20"/>
        </w:rPr>
      </w:pPr>
    </w:p>
    <w:p>
      <w:pPr>
        <w:spacing w:before="36"/>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．引起暂时性差异的资产或负债项目对应的暂时性差异</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13" w:type="dxa"/>
        <w:tblLayout w:type="fixed"/>
        <w:tblCellMar>
          <w:top w:w="0" w:type="dxa"/>
          <w:left w:w="0" w:type="dxa"/>
          <w:bottom w:w="0" w:type="dxa"/>
          <w:right w:w="0" w:type="dxa"/>
        </w:tblCellMar>
        <w:tblLook w:val="01E0"/>
      </w:tblPr>
      <w:tblGrid>
        <w:gridCol w:w="4007"/>
        <w:gridCol w:w="3215"/>
        <w:gridCol w:w="2034"/>
      </w:tblGrid>
      <w:tr>
        <w:trPr>
          <w:trHeight w:val="265" w:hRule="exact"/>
        </w:trPr>
        <w:tc>
          <w:tcPr>
            <w:tcW w:w="4007" w:type="dxa"/>
            <w:tcBorders>
              <w:top w:val="nil" w:sz="6" w:space="0" w:color="auto"/>
              <w:left w:val="nil" w:sz="6" w:space="0" w:color="auto"/>
              <w:bottom w:val="single" w:sz="4" w:space="0" w:color="000000"/>
              <w:right w:val="nil" w:sz="6" w:space="0" w:color="auto"/>
            </w:tcBorders>
          </w:tcPr>
          <w:p>
            <w:pPr>
              <w:pStyle w:val="TableParagraph"/>
              <w:spacing w:line="180" w:lineRule="exact"/>
              <w:ind w:right="1822"/>
              <w:jc w:val="right"/>
              <w:rPr>
                <w:rFonts w:ascii="宋体" w:hAnsi="宋体" w:cs="宋体" w:eastAsia="宋体" w:hint="default"/>
                <w:sz w:val="18"/>
                <w:szCs w:val="18"/>
              </w:rPr>
            </w:pPr>
            <w:r>
              <w:rPr>
                <w:rFonts w:ascii="宋体" w:hAnsi="宋体" w:cs="宋体" w:eastAsia="宋体" w:hint="default"/>
                <w:sz w:val="18"/>
                <w:szCs w:val="18"/>
              </w:rPr>
              <w:t>项目</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385"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43" w:hRule="exact"/>
        </w:trPr>
        <w:tc>
          <w:tcPr>
            <w:tcW w:w="40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813"/>
              <w:jc w:val="right"/>
              <w:rPr>
                <w:rFonts w:ascii="宋体" w:hAnsi="宋体" w:cs="宋体" w:eastAsia="宋体" w:hint="default"/>
                <w:sz w:val="18"/>
                <w:szCs w:val="18"/>
              </w:rPr>
            </w:pPr>
            <w:r>
              <w:rPr>
                <w:rFonts w:ascii="宋体" w:hAnsi="宋体" w:cs="宋体" w:eastAsia="宋体" w:hint="default"/>
                <w:sz w:val="18"/>
                <w:szCs w:val="18"/>
              </w:rPr>
              <w:t>可抵扣差异项目</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
        </w:tc>
      </w:tr>
      <w:tr>
        <w:trPr>
          <w:trHeight w:val="341" w:hRule="exact"/>
        </w:trPr>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5,750,000.00</w:t>
            </w:r>
          </w:p>
        </w:tc>
      </w:tr>
      <w:tr>
        <w:trPr>
          <w:trHeight w:val="340" w:hRule="exact"/>
        </w:trPr>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9,318,113.39</w:t>
            </w:r>
          </w:p>
        </w:tc>
      </w:tr>
      <w:tr>
        <w:trPr>
          <w:trHeight w:val="347" w:hRule="exact"/>
        </w:trPr>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14,512,698.29</w:t>
            </w:r>
          </w:p>
        </w:tc>
      </w:tr>
      <w:tr>
        <w:trPr>
          <w:trHeight w:val="350" w:hRule="exact"/>
        </w:trPr>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822"/>
              <w:jc w:val="right"/>
              <w:rPr>
                <w:rFonts w:ascii="宋体" w:hAnsi="宋体" w:cs="宋体" w:eastAsia="宋体" w:hint="default"/>
                <w:sz w:val="18"/>
                <w:szCs w:val="18"/>
              </w:rPr>
            </w:pPr>
            <w:r>
              <w:rPr>
                <w:rFonts w:ascii="宋体" w:hAnsi="宋体" w:cs="宋体" w:eastAsia="宋体" w:hint="default"/>
                <w:sz w:val="18"/>
                <w:szCs w:val="18"/>
              </w:rPr>
              <w:t>小计</w:t>
            </w:r>
          </w:p>
        </w:tc>
        <w:tc>
          <w:tcPr>
            <w:tcW w:w="3215"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29,580,811.68</w:t>
            </w:r>
          </w:p>
        </w:tc>
      </w:tr>
    </w:tbl>
    <w:p>
      <w:pPr>
        <w:spacing w:line="240" w:lineRule="auto" w:before="2"/>
        <w:rPr>
          <w:rFonts w:ascii="宋体" w:hAnsi="宋体" w:cs="宋体" w:eastAsia="宋体" w:hint="default"/>
          <w:b/>
          <w:bCs/>
          <w:sz w:val="20"/>
          <w:szCs w:val="20"/>
        </w:rPr>
      </w:pPr>
    </w:p>
    <w:p>
      <w:pPr>
        <w:spacing w:before="36"/>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1543"/>
        <w:gridCol w:w="1556"/>
        <w:gridCol w:w="2493"/>
        <w:gridCol w:w="1275"/>
        <w:gridCol w:w="642"/>
        <w:gridCol w:w="1750"/>
      </w:tblGrid>
      <w:tr>
        <w:trPr>
          <w:trHeight w:val="258" w:hRule="exact"/>
        </w:trPr>
        <w:tc>
          <w:tcPr>
            <w:tcW w:w="154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93" w:type="dxa"/>
            <w:tcBorders>
              <w:top w:val="nil" w:sz="6" w:space="0" w:color="auto"/>
              <w:left w:val="nil" w:sz="6" w:space="0" w:color="auto"/>
              <w:bottom w:val="single" w:sz="4" w:space="0" w:color="000000"/>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642" w:type="dxa"/>
            <w:tcBorders>
              <w:top w:val="nil" w:sz="6" w:space="0" w:color="auto"/>
              <w:left w:val="nil" w:sz="6" w:space="0" w:color="auto"/>
              <w:bottom w:val="single" w:sz="4" w:space="0" w:color="000000"/>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left="64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543"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
        </w:tc>
        <w:tc>
          <w:tcPr>
            <w:tcW w:w="249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70pt;height:.5pt;mso-position-horizontal-relative:char;mso-position-vertical-relative:line" coordorigin="0,0" coordsize="1400,10">
                  <v:group style="position:absolute;left:5;top:5;width:1391;height:2" coordorigin="5,5" coordsize="1391,2">
                    <v:shape style="position:absolute;left:5;top:5;width:1391;height:2" coordorigin="5,5" coordsize="1391,0" path="m5,5l1395,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right="32"/>
              <w:jc w:val="right"/>
              <w:rPr>
                <w:rFonts w:ascii="宋体" w:hAnsi="宋体" w:cs="宋体" w:eastAsia="宋体" w:hint="default"/>
                <w:sz w:val="18"/>
                <w:szCs w:val="18"/>
              </w:rPr>
            </w:pPr>
            <w:r>
              <w:rPr>
                <w:rFonts w:ascii="宋体" w:hAnsi="宋体" w:cs="宋体" w:eastAsia="宋体" w:hint="default"/>
                <w:sz w:val="18"/>
                <w:szCs w:val="18"/>
              </w:rPr>
              <w:t>转回</w:t>
            </w:r>
          </w:p>
        </w:tc>
        <w:tc>
          <w:tcPr>
            <w:tcW w:w="191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074"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50" w:type="dxa"/>
            <w:tcBorders>
              <w:top w:val="single" w:sz="4" w:space="0" w:color="000000"/>
              <w:left w:val="nil" w:sz="6" w:space="0" w:color="auto"/>
              <w:bottom w:val="nil" w:sz="6" w:space="0" w:color="auto"/>
              <w:right w:val="nil" w:sz="6" w:space="0" w:color="auto"/>
            </w:tcBorders>
          </w:tcPr>
          <w:p>
            <w:pPr/>
          </w:p>
        </w:tc>
      </w:tr>
      <w:tr>
        <w:trPr>
          <w:trHeight w:val="273"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44" w:right="0"/>
              <w:jc w:val="left"/>
              <w:rPr>
                <w:rFonts w:ascii="宋体" w:hAnsi="宋体" w:cs="宋体" w:eastAsia="宋体" w:hint="default"/>
                <w:sz w:val="18"/>
                <w:szCs w:val="18"/>
              </w:rPr>
            </w:pPr>
            <w:r>
              <w:rPr>
                <w:rFonts w:ascii="宋体"/>
                <w:sz w:val="18"/>
              </w:rPr>
              <w:t>4,361,269.20</w:t>
            </w:r>
          </w:p>
        </w:tc>
        <w:tc>
          <w:tcPr>
            <w:tcW w:w="24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57" w:right="0"/>
              <w:jc w:val="left"/>
              <w:rPr>
                <w:rFonts w:ascii="宋体" w:hAnsi="宋体" w:cs="宋体" w:eastAsia="宋体" w:hint="default"/>
                <w:sz w:val="18"/>
                <w:szCs w:val="18"/>
              </w:rPr>
            </w:pPr>
            <w:r>
              <w:rPr>
                <w:rFonts w:ascii="宋体"/>
                <w:sz w:val="18"/>
              </w:rPr>
              <w:t>4,956,844.19</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12" w:right="0"/>
              <w:jc w:val="left"/>
              <w:rPr>
                <w:rFonts w:ascii="宋体" w:hAnsi="宋体" w:cs="宋体" w:eastAsia="宋体" w:hint="default"/>
                <w:sz w:val="18"/>
                <w:szCs w:val="18"/>
              </w:rPr>
            </w:pPr>
            <w:r>
              <w:rPr>
                <w:rFonts w:ascii="宋体"/>
                <w:sz w:val="18"/>
              </w:rPr>
              <w:t>---</w:t>
            </w:r>
          </w:p>
        </w:tc>
        <w:tc>
          <w:tcPr>
            <w:tcW w:w="6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39" w:right="0"/>
              <w:jc w:val="left"/>
              <w:rPr>
                <w:rFonts w:ascii="宋体" w:hAnsi="宋体" w:cs="宋体" w:eastAsia="宋体" w:hint="default"/>
                <w:sz w:val="18"/>
                <w:szCs w:val="18"/>
              </w:rPr>
            </w:pPr>
            <w:r>
              <w:rPr>
                <w:rFonts w:ascii="宋体"/>
                <w:sz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38" w:right="0"/>
              <w:jc w:val="left"/>
              <w:rPr>
                <w:rFonts w:ascii="宋体" w:hAnsi="宋体" w:cs="宋体" w:eastAsia="宋体" w:hint="default"/>
                <w:sz w:val="18"/>
                <w:szCs w:val="18"/>
              </w:rPr>
            </w:pPr>
            <w:r>
              <w:rPr>
                <w:rFonts w:ascii="宋体"/>
                <w:sz w:val="18"/>
              </w:rPr>
              <w:t>9,318,113.39</w:t>
            </w:r>
          </w:p>
        </w:tc>
      </w:tr>
    </w:tbl>
    <w:p>
      <w:pPr>
        <w:spacing w:after="0" w:line="240" w:lineRule="auto"/>
        <w:jc w:val="left"/>
        <w:rPr>
          <w:rFonts w:ascii="宋体" w:hAnsi="宋体" w:cs="宋体" w:eastAsia="宋体" w:hint="default"/>
          <w:sz w:val="18"/>
          <w:szCs w:val="18"/>
        </w:rPr>
        <w:sectPr>
          <w:pgSz w:w="11910" w:h="16840"/>
          <w:pgMar w:header="0" w:footer="1195" w:top="1580" w:bottom="1380" w:left="1560" w:right="860"/>
        </w:sectPr>
      </w:pPr>
    </w:p>
    <w:p>
      <w:pPr>
        <w:spacing w:line="240" w:lineRule="auto" w:before="1"/>
        <w:rPr>
          <w:rFonts w:ascii="宋体" w:hAnsi="宋体" w:cs="宋体" w:eastAsia="宋体" w:hint="default"/>
          <w:b/>
          <w:bCs/>
          <w:sz w:val="6"/>
          <w:szCs w:val="6"/>
        </w:rPr>
      </w:pPr>
    </w:p>
    <w:tbl>
      <w:tblPr>
        <w:tblW w:w="0" w:type="auto"/>
        <w:jc w:val="left"/>
        <w:tblInd w:w="473" w:type="dxa"/>
        <w:tblLayout w:type="fixed"/>
        <w:tblCellMar>
          <w:top w:w="0" w:type="dxa"/>
          <w:left w:w="0" w:type="dxa"/>
          <w:bottom w:w="0" w:type="dxa"/>
          <w:right w:w="0" w:type="dxa"/>
        </w:tblCellMar>
        <w:tblLook w:val="01E0"/>
      </w:tblPr>
      <w:tblGrid>
        <w:gridCol w:w="1221"/>
        <w:gridCol w:w="1476"/>
        <w:gridCol w:w="1469"/>
        <w:gridCol w:w="1539"/>
        <w:gridCol w:w="1402"/>
        <w:gridCol w:w="1750"/>
      </w:tblGrid>
      <w:tr>
        <w:trPr>
          <w:trHeight w:val="368"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left="364" w:right="0"/>
              <w:jc w:val="left"/>
              <w:rPr>
                <w:rFonts w:ascii="宋体" w:hAnsi="宋体" w:cs="宋体" w:eastAsia="宋体" w:hint="default"/>
                <w:sz w:val="18"/>
                <w:szCs w:val="18"/>
              </w:rPr>
            </w:pPr>
            <w:r>
              <w:rPr>
                <w:rFonts w:ascii="宋体"/>
                <w:sz w:val="18"/>
              </w:rPr>
              <w:t>4,361,269.20</w:t>
            </w:r>
          </w:p>
        </w:tc>
        <w:tc>
          <w:tcPr>
            <w:tcW w:w="1469"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left="357" w:right="0"/>
              <w:jc w:val="left"/>
              <w:rPr>
                <w:rFonts w:ascii="宋体" w:hAnsi="宋体" w:cs="宋体" w:eastAsia="宋体" w:hint="default"/>
                <w:sz w:val="18"/>
                <w:szCs w:val="18"/>
              </w:rPr>
            </w:pPr>
            <w:r>
              <w:rPr>
                <w:rFonts w:ascii="宋体"/>
                <w:sz w:val="18"/>
              </w:rPr>
              <w:t>4,956,844.19</w:t>
            </w:r>
          </w:p>
        </w:tc>
        <w:tc>
          <w:tcPr>
            <w:tcW w:w="1539"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z w:val="18"/>
              </w:rPr>
              <w:t>---</w:t>
            </w:r>
          </w:p>
        </w:tc>
        <w:tc>
          <w:tcPr>
            <w:tcW w:w="1402"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z w:val="18"/>
              </w:rPr>
              <w:t>---</w:t>
            </w:r>
          </w:p>
        </w:tc>
        <w:tc>
          <w:tcPr>
            <w:tcW w:w="1750"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left="638" w:right="0"/>
              <w:jc w:val="left"/>
              <w:rPr>
                <w:rFonts w:ascii="宋体" w:hAnsi="宋体" w:cs="宋体" w:eastAsia="宋体" w:hint="default"/>
                <w:sz w:val="18"/>
                <w:szCs w:val="18"/>
              </w:rPr>
            </w:pPr>
            <w:r>
              <w:rPr>
                <w:rFonts w:ascii="宋体"/>
                <w:sz w:val="18"/>
              </w:rPr>
              <w:t>9,318,113.39</w:t>
            </w:r>
          </w:p>
        </w:tc>
      </w:tr>
    </w:tbl>
    <w:p>
      <w:pPr>
        <w:spacing w:line="262" w:lineRule="exact" w:before="0"/>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2170"/>
        <w:gridCol w:w="1534"/>
        <w:gridCol w:w="2233"/>
        <w:gridCol w:w="1224"/>
        <w:gridCol w:w="2067"/>
      </w:tblGrid>
      <w:tr>
        <w:trPr>
          <w:trHeight w:val="258" w:hRule="exact"/>
        </w:trPr>
        <w:tc>
          <w:tcPr>
            <w:tcW w:w="2170" w:type="dxa"/>
            <w:tcBorders>
              <w:top w:val="nil" w:sz="6" w:space="0" w:color="auto"/>
              <w:left w:val="nil" w:sz="6" w:space="0" w:color="auto"/>
              <w:bottom w:val="single" w:sz="4" w:space="0" w:color="000000"/>
              <w:right w:val="nil" w:sz="6" w:space="0" w:color="auto"/>
            </w:tcBorders>
          </w:tcPr>
          <w:p>
            <w:pPr>
              <w:pStyle w:val="TableParagraph"/>
              <w:spacing w:line="180" w:lineRule="exact"/>
              <w:ind w:right="905"/>
              <w:jc w:val="right"/>
              <w:rPr>
                <w:rFonts w:ascii="宋体" w:hAnsi="宋体" w:cs="宋体" w:eastAsia="宋体" w:hint="default"/>
                <w:sz w:val="18"/>
                <w:szCs w:val="18"/>
              </w:rPr>
            </w:pPr>
            <w:r>
              <w:rPr>
                <w:rFonts w:ascii="宋体" w:hAnsi="宋体" w:cs="宋体" w:eastAsia="宋体" w:hint="default"/>
                <w:sz w:val="18"/>
                <w:szCs w:val="18"/>
              </w:rPr>
              <w:t>种类</w:t>
            </w:r>
          </w:p>
        </w:tc>
        <w:tc>
          <w:tcPr>
            <w:tcW w:w="1534" w:type="dxa"/>
            <w:tcBorders>
              <w:top w:val="nil" w:sz="6" w:space="0" w:color="auto"/>
              <w:left w:val="nil" w:sz="6" w:space="0" w:color="auto"/>
              <w:bottom w:val="nil" w:sz="6" w:space="0" w:color="auto"/>
              <w:right w:val="nil" w:sz="6" w:space="0" w:color="auto"/>
            </w:tcBorders>
          </w:tcPr>
          <w:p>
            <w:pPr/>
          </w:p>
        </w:tc>
        <w:tc>
          <w:tcPr>
            <w:tcW w:w="223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224"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3"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34" w:type="dxa"/>
            <w:tcBorders>
              <w:top w:val="nil" w:sz="6" w:space="0" w:color="auto"/>
              <w:left w:val="nil" w:sz="6" w:space="0" w:color="auto"/>
              <w:bottom w:val="nil" w:sz="6" w:space="0" w:color="auto"/>
              <w:right w:val="nil" w:sz="6" w:space="0" w:color="auto"/>
            </w:tcBorders>
          </w:tcPr>
          <w:p>
            <w:pPr/>
          </w:p>
        </w:tc>
        <w:tc>
          <w:tcPr>
            <w:tcW w:w="22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41,511,155.04</w:t>
            </w:r>
          </w:p>
        </w:tc>
        <w:tc>
          <w:tcPr>
            <w:tcW w:w="1224" w:type="dxa"/>
            <w:tcBorders>
              <w:top w:val="nil" w:sz="6" w:space="0" w:color="auto"/>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10,241,372.07</w:t>
            </w:r>
          </w:p>
        </w:tc>
      </w:tr>
      <w:tr>
        <w:trPr>
          <w:trHeight w:val="338"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534" w:type="dxa"/>
            <w:tcBorders>
              <w:top w:val="nil" w:sz="6" w:space="0" w:color="auto"/>
              <w:left w:val="nil" w:sz="6" w:space="0" w:color="auto"/>
              <w:bottom w:val="nil" w:sz="6" w:space="0" w:color="auto"/>
              <w:right w:val="nil" w:sz="6" w:space="0" w:color="auto"/>
            </w:tcBorders>
          </w:tcPr>
          <w:p>
            <w:pPr/>
          </w:p>
        </w:tc>
        <w:tc>
          <w:tcPr>
            <w:tcW w:w="223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w:t>
            </w:r>
          </w:p>
        </w:tc>
        <w:tc>
          <w:tcPr>
            <w:tcW w:w="1224"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2,651,678.95</w:t>
            </w:r>
          </w:p>
        </w:tc>
      </w:tr>
      <w:tr>
        <w:trPr>
          <w:trHeight w:val="36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05"/>
              <w:jc w:val="right"/>
              <w:rPr>
                <w:rFonts w:ascii="宋体" w:hAnsi="宋体" w:cs="宋体" w:eastAsia="宋体" w:hint="default"/>
                <w:sz w:val="18"/>
                <w:szCs w:val="18"/>
              </w:rPr>
            </w:pPr>
            <w:r>
              <w:rPr>
                <w:rFonts w:ascii="宋体" w:hAnsi="宋体" w:cs="宋体" w:eastAsia="宋体" w:hint="default"/>
                <w:sz w:val="18"/>
                <w:szCs w:val="18"/>
              </w:rPr>
              <w:t>合计</w:t>
            </w:r>
          </w:p>
        </w:tc>
        <w:tc>
          <w:tcPr>
            <w:tcW w:w="1534" w:type="dxa"/>
            <w:tcBorders>
              <w:top w:val="nil" w:sz="6" w:space="0" w:color="auto"/>
              <w:left w:val="nil" w:sz="6" w:space="0" w:color="auto"/>
              <w:bottom w:val="nil" w:sz="6" w:space="0" w:color="auto"/>
              <w:right w:val="nil" w:sz="6" w:space="0" w:color="auto"/>
            </w:tcBorders>
          </w:tcPr>
          <w:p>
            <w:pPr/>
          </w:p>
        </w:tc>
        <w:tc>
          <w:tcPr>
            <w:tcW w:w="2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41,511,155.04</w:t>
            </w:r>
          </w:p>
        </w:tc>
        <w:tc>
          <w:tcPr>
            <w:tcW w:w="1224" w:type="dxa"/>
            <w:tcBorders>
              <w:top w:val="nil" w:sz="6" w:space="0" w:color="auto"/>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12,893,051.02</w:t>
            </w:r>
          </w:p>
        </w:tc>
      </w:tr>
    </w:tbl>
    <w:p>
      <w:pPr>
        <w:spacing w:line="240" w:lineRule="auto" w:before="13"/>
        <w:rPr>
          <w:rFonts w:ascii="宋体" w:hAnsi="宋体" w:cs="宋体" w:eastAsia="宋体" w:hint="default"/>
          <w:b/>
          <w:bCs/>
          <w:sz w:val="25"/>
          <w:szCs w:val="25"/>
        </w:rPr>
      </w:pPr>
    </w:p>
    <w:p>
      <w:pPr>
        <w:spacing w:before="36"/>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．应付票据期末数中无欠持本公司</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z w:val="21"/>
          <w:szCs w:val="21"/>
        </w:rPr>
        <w:t>5%)</w:t>
      </w:r>
      <w:r>
        <w:rPr>
          <w:rFonts w:ascii="宋体" w:hAnsi="宋体" w:cs="宋体" w:eastAsia="宋体" w:hint="default"/>
          <w:b/>
          <w:bCs/>
          <w:sz w:val="21"/>
          <w:szCs w:val="21"/>
        </w:rPr>
        <w:t>表决权股份的股东票据金额。</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line="614" w:lineRule="auto" w:before="0"/>
        <w:ind w:left="524" w:right="2220"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．应付票据期末数全部为</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个月内到期的银行承兑汇票。</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2153"/>
        <w:gridCol w:w="2064"/>
        <w:gridCol w:w="1368"/>
        <w:gridCol w:w="161"/>
        <w:gridCol w:w="1678"/>
        <w:gridCol w:w="1803"/>
      </w:tblGrid>
      <w:tr>
        <w:trPr>
          <w:trHeight w:val="258" w:hRule="exact"/>
        </w:trPr>
        <w:tc>
          <w:tcPr>
            <w:tcW w:w="2153"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180" w:lineRule="exact"/>
              <w:ind w:right="77"/>
              <w:jc w:val="righ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nil" w:sz="6" w:space="0" w:color="auto"/>
              <w:left w:val="nil" w:sz="6" w:space="0" w:color="auto"/>
              <w:bottom w:val="single" w:sz="4" w:space="0" w:color="000000"/>
              <w:right w:val="nil" w:sz="6" w:space="0" w:color="auto"/>
            </w:tcBorders>
          </w:tcPr>
          <w:p>
            <w:pPr/>
          </w:p>
        </w:tc>
        <w:tc>
          <w:tcPr>
            <w:tcW w:w="3642"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82"/>
              <w:jc w:val="center"/>
              <w:rPr>
                <w:rFonts w:ascii="宋体" w:hAnsi="宋体" w:cs="宋体" w:eastAsia="宋体" w:hint="default"/>
                <w:sz w:val="18"/>
                <w:szCs w:val="18"/>
              </w:rPr>
            </w:pPr>
            <w:r>
              <w:rPr>
                <w:rFonts w:ascii="宋体" w:hAnsi="宋体" w:cs="宋体" w:eastAsia="宋体" w:hint="default"/>
                <w:sz w:val="18"/>
                <w:szCs w:val="18"/>
              </w:rPr>
              <w:t>账龄</w:t>
            </w:r>
          </w:p>
        </w:tc>
        <w:tc>
          <w:tcPr>
            <w:tcW w:w="206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6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79"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3"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49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53" w:hRule="exact"/>
        </w:trPr>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6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05pt;height:.5pt;mso-position-horizontal-relative:char;mso-position-vertical-relative:line" coordorigin="0,0" coordsize="1681,10">
                  <v:group style="position:absolute;left:5;top:5;width:1671;height:2" coordorigin="5,5" coordsize="1671,2">
                    <v:shape style="position:absolute;left:5;top:5;width:1671;height:2" coordorigin="5,5" coordsize="1671,0" path="m5,5l1676,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21"/>
              <w:ind w:left="467" w:right="0"/>
              <w:jc w:val="left"/>
              <w:rPr>
                <w:rFonts w:ascii="宋体" w:hAnsi="宋体" w:cs="宋体" w:eastAsia="宋体" w:hint="default"/>
                <w:sz w:val="18"/>
                <w:szCs w:val="18"/>
              </w:rPr>
            </w:pPr>
            <w:r>
              <w:rPr>
                <w:rFonts w:ascii="宋体"/>
                <w:sz w:val="18"/>
              </w:rPr>
              <w:t>35,484,177.85</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pacing w:val="-1"/>
                <w:sz w:val="18"/>
              </w:rPr>
              <w:t>99.06%</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27,784,653.19</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100%</w:t>
            </w:r>
          </w:p>
        </w:tc>
      </w:tr>
      <w:tr>
        <w:trPr>
          <w:trHeight w:val="348"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9" w:right="0"/>
              <w:jc w:val="left"/>
              <w:rPr>
                <w:rFonts w:ascii="宋体" w:hAnsi="宋体" w:cs="宋体" w:eastAsia="宋体" w:hint="default"/>
                <w:sz w:val="18"/>
                <w:szCs w:val="18"/>
              </w:rPr>
            </w:pPr>
            <w:r>
              <w:rPr>
                <w:rFonts w:ascii="宋体"/>
                <w:sz w:val="18"/>
              </w:rPr>
              <w:t>335,971.66</w:t>
            </w:r>
          </w:p>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0957" cy="9144"/>
                  <wp:effectExtent l="0" t="0" r="0" b="0"/>
                  <wp:docPr id="85" name="image62.png" descr=""/>
                  <wp:cNvGraphicFramePr>
                    <a:graphicFrameLocks noChangeAspect="1"/>
                  </wp:cNvGraphicFramePr>
                  <a:graphic>
                    <a:graphicData uri="http://schemas.openxmlformats.org/drawingml/2006/picture">
                      <pic:pic>
                        <pic:nvPicPr>
                          <pic:cNvPr id="86" name="image62.png"/>
                          <pic:cNvPicPr/>
                        </pic:nvPicPr>
                        <pic:blipFill>
                          <a:blip r:embed="rId120" cstate="print"/>
                          <a:stretch>
                            <a:fillRect/>
                          </a:stretch>
                        </pic:blipFill>
                        <pic:spPr>
                          <a:xfrm>
                            <a:off x="0" y="0"/>
                            <a:ext cx="1060957" cy="9144"/>
                          </a:xfrm>
                          <a:prstGeom prst="rect">
                            <a:avLst/>
                          </a:prstGeom>
                        </pic:spPr>
                      </pic:pic>
                    </a:graphicData>
                  </a:graphic>
                </wp:inline>
              </w:drawing>
            </w:r>
            <w:r>
              <w:rPr>
                <w:rFonts w:ascii="宋体" w:hAnsi="宋体" w:cs="宋体" w:eastAsia="宋体" w:hint="default"/>
                <w:sz w:val="2"/>
                <w:szCs w:val="2"/>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0.94%</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p>
            <w:pPr>
              <w:pStyle w:val="TableParagraph"/>
              <w:spacing w:line="240" w:lineRule="auto" w:before="8"/>
              <w:ind w:right="0"/>
              <w:jc w:val="left"/>
              <w:rPr>
                <w:rFonts w:ascii="宋体" w:hAnsi="宋体" w:cs="宋体" w:eastAsia="宋体" w:hint="default"/>
                <w:b/>
                <w:bCs/>
                <w:sz w:val="5"/>
                <w:szCs w:val="5"/>
              </w:rPr>
            </w:pPr>
          </w:p>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91437" cy="9144"/>
                  <wp:effectExtent l="0" t="0" r="0" b="0"/>
                  <wp:docPr id="87" name="image63.png" descr=""/>
                  <wp:cNvGraphicFramePr>
                    <a:graphicFrameLocks noChangeAspect="1"/>
                  </wp:cNvGraphicFramePr>
                  <a:graphic>
                    <a:graphicData uri="http://schemas.openxmlformats.org/drawingml/2006/picture">
                      <pic:pic>
                        <pic:nvPicPr>
                          <pic:cNvPr id="88" name="image63.png"/>
                          <pic:cNvPicPr/>
                        </pic:nvPicPr>
                        <pic:blipFill>
                          <a:blip r:embed="rId121" cstate="print"/>
                          <a:stretch>
                            <a:fillRect/>
                          </a:stretch>
                        </pic:blipFill>
                        <pic:spPr>
                          <a:xfrm>
                            <a:off x="0" y="0"/>
                            <a:ext cx="1091437" cy="9144"/>
                          </a:xfrm>
                          <a:prstGeom prst="rect">
                            <a:avLst/>
                          </a:prstGeom>
                        </pic:spPr>
                      </pic:pic>
                    </a:graphicData>
                  </a:graphic>
                </wp:inline>
              </w:drawing>
            </w:r>
            <w:r>
              <w:rPr>
                <w:rFonts w:ascii="宋体" w:hAnsi="宋体" w:cs="宋体" w:eastAsia="宋体" w:hint="default"/>
                <w:sz w:val="2"/>
                <w:szCs w:val="2"/>
              </w:rPr>
            </w:r>
          </w:p>
        </w:tc>
      </w:tr>
      <w:tr>
        <w:trPr>
          <w:trHeight w:val="365"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2"/>
              <w:jc w:val="center"/>
              <w:rPr>
                <w:rFonts w:ascii="宋体" w:hAnsi="宋体" w:cs="宋体" w:eastAsia="宋体" w:hint="default"/>
                <w:sz w:val="18"/>
                <w:szCs w:val="18"/>
              </w:rPr>
            </w:pPr>
            <w:r>
              <w:rPr>
                <w:rFonts w:ascii="宋体" w:hAnsi="宋体" w:cs="宋体" w:eastAsia="宋体" w:hint="default"/>
                <w:sz w:val="18"/>
                <w:szCs w:val="18"/>
              </w:rPr>
              <w:t>合计</w:t>
            </w:r>
          </w:p>
        </w:tc>
        <w:tc>
          <w:tcPr>
            <w:tcW w:w="2064" w:type="dxa"/>
            <w:tcBorders>
              <w:top w:val="nil" w:sz="6" w:space="0" w:color="auto"/>
              <w:left w:val="nil" w:sz="6" w:space="0" w:color="auto"/>
              <w:bottom w:val="single" w:sz="17" w:space="0" w:color="000000"/>
              <w:right w:val="nil" w:sz="6" w:space="0" w:color="auto"/>
            </w:tcBorders>
          </w:tcPr>
          <w:p>
            <w:pPr>
              <w:pStyle w:val="TableParagraph"/>
              <w:spacing w:line="240" w:lineRule="auto" w:before="32"/>
              <w:ind w:left="467" w:right="0"/>
              <w:jc w:val="left"/>
              <w:rPr>
                <w:rFonts w:ascii="宋体" w:hAnsi="宋体" w:cs="宋体" w:eastAsia="宋体" w:hint="default"/>
                <w:sz w:val="18"/>
                <w:szCs w:val="18"/>
              </w:rPr>
            </w:pPr>
            <w:r>
              <w:rPr>
                <w:rFonts w:ascii="宋体"/>
                <w:sz w:val="18"/>
              </w:rPr>
              <w:t>35,820,149.51</w:t>
            </w:r>
          </w:p>
        </w:tc>
        <w:tc>
          <w:tcPr>
            <w:tcW w:w="1368" w:type="dxa"/>
            <w:tcBorders>
              <w:top w:val="nil" w:sz="6" w:space="0" w:color="auto"/>
              <w:left w:val="nil" w:sz="6" w:space="0" w:color="auto"/>
              <w:bottom w:val="single" w:sz="17" w:space="0" w:color="000000"/>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z w:val="18"/>
              </w:rPr>
              <w:t>100%</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1084" cy="9144"/>
                  <wp:effectExtent l="0" t="0" r="0" b="0"/>
                  <wp:docPr id="89" name="image64.png" descr=""/>
                  <wp:cNvGraphicFramePr>
                    <a:graphicFrameLocks noChangeAspect="1"/>
                  </wp:cNvGraphicFramePr>
                  <a:graphic>
                    <a:graphicData uri="http://schemas.openxmlformats.org/drawingml/2006/picture">
                      <pic:pic>
                        <pic:nvPicPr>
                          <pic:cNvPr id="90" name="image64.png"/>
                          <pic:cNvPicPr/>
                        </pic:nvPicPr>
                        <pic:blipFill>
                          <a:blip r:embed="rId122" cstate="print"/>
                          <a:stretch>
                            <a:fillRect/>
                          </a:stretch>
                        </pic:blipFill>
                        <pic:spPr>
                          <a:xfrm>
                            <a:off x="0" y="0"/>
                            <a:ext cx="106108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7"/>
              <w:ind w:right="29"/>
              <w:jc w:val="right"/>
              <w:rPr>
                <w:rFonts w:ascii="宋体" w:hAnsi="宋体" w:cs="宋体" w:eastAsia="宋体" w:hint="default"/>
                <w:sz w:val="18"/>
                <w:szCs w:val="18"/>
              </w:rPr>
            </w:pPr>
            <w:r>
              <w:rPr>
                <w:rFonts w:ascii="宋体"/>
                <w:spacing w:val="-1"/>
                <w:sz w:val="18"/>
              </w:rPr>
              <w:t>27,784,653.19</w:t>
            </w:r>
          </w:p>
        </w:tc>
        <w:tc>
          <w:tcPr>
            <w:tcW w:w="1803" w:type="dxa"/>
            <w:tcBorders>
              <w:top w:val="nil" w:sz="6" w:space="0" w:color="auto"/>
              <w:left w:val="nil" w:sz="6" w:space="0" w:color="auto"/>
              <w:bottom w:val="single" w:sz="17" w:space="0" w:color="000000"/>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b/>
          <w:bCs/>
          <w:sz w:val="25"/>
          <w:szCs w:val="25"/>
        </w:rPr>
      </w:pPr>
    </w:p>
    <w:p>
      <w:pPr>
        <w:spacing w:before="36"/>
        <w:ind w:left="524" w:right="726" w:firstLine="0"/>
        <w:jc w:val="left"/>
        <w:rPr>
          <w:rFonts w:ascii="宋体" w:hAnsi="宋体" w:cs="宋体" w:eastAsia="宋体" w:hint="default"/>
          <w:sz w:val="21"/>
          <w:szCs w:val="21"/>
        </w:rPr>
      </w:pPr>
      <w:r>
        <w:rPr/>
        <w:pict>
          <v:shape style="position:absolute;margin-left:280.510010pt;margin-top:-37.076313pt;width:83.879990pt;height:.72pt;mso-position-horizontal-relative:page;mso-position-vertical-relative:paragraph;z-index:-645904" type="#_x0000_t75" stroked="false">
            <v:imagedata r:id="rId123" o:title=""/>
          </v:shape>
        </w:pict>
      </w: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期末数中无欠持本公司</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期末数中无欠其他关联方款项。</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line="408" w:lineRule="auto" w:before="36"/>
        <w:ind w:left="102" w:right="726"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1"/>
          <w:sz w:val="21"/>
          <w:szCs w:val="21"/>
        </w:rPr>
        <w:t> </w:t>
      </w:r>
      <w:r>
        <w:rPr>
          <w:rFonts w:ascii="宋体" w:hAnsi="宋体" w:cs="宋体" w:eastAsia="宋体" w:hint="default"/>
          <w:b/>
          <w:bCs/>
          <w:sz w:val="21"/>
          <w:szCs w:val="21"/>
        </w:rPr>
        <w:t>应付账款期末数比期初数增加</w:t>
      </w:r>
      <w:r>
        <w:rPr>
          <w:rFonts w:ascii="宋体" w:hAnsi="宋体" w:cs="宋体" w:eastAsia="宋体" w:hint="default"/>
          <w:b/>
          <w:bCs/>
          <w:sz w:val="21"/>
          <w:szCs w:val="21"/>
        </w:rPr>
        <w:t>8,035,496.32</w:t>
      </w:r>
      <w:r>
        <w:rPr>
          <w:rFonts w:ascii="宋体" w:hAnsi="宋体" w:cs="宋体" w:eastAsia="宋体" w:hint="default"/>
          <w:b/>
          <w:bCs/>
          <w:sz w:val="21"/>
          <w:szCs w:val="21"/>
        </w:rPr>
        <w:t>元，增幅为</w:t>
      </w:r>
      <w:r>
        <w:rPr>
          <w:rFonts w:ascii="宋体" w:hAnsi="宋体" w:cs="宋体" w:eastAsia="宋体" w:hint="default"/>
          <w:b/>
          <w:bCs/>
          <w:sz w:val="21"/>
          <w:szCs w:val="21"/>
        </w:rPr>
        <w:t>28.92%</w:t>
      </w:r>
      <w:r>
        <w:rPr>
          <w:rFonts w:ascii="宋体" w:hAnsi="宋体" w:cs="宋体" w:eastAsia="宋体" w:hint="default"/>
          <w:b/>
          <w:bCs/>
          <w:sz w:val="21"/>
          <w:szCs w:val="21"/>
        </w:rPr>
        <w:t>，增加的主要原因为：</w:t>
      </w:r>
      <w:r>
        <w:rPr>
          <w:rFonts w:ascii="宋体" w:hAnsi="宋体" w:cs="宋体" w:eastAsia="宋体" w:hint="default"/>
          <w:b/>
          <w:bCs/>
          <w:w w:val="100"/>
          <w:sz w:val="21"/>
          <w:szCs w:val="21"/>
        </w:rPr>
        <w:t> </w:t>
      </w:r>
      <w:r>
        <w:rPr>
          <w:rFonts w:ascii="宋体" w:hAnsi="宋体" w:cs="宋体" w:eastAsia="宋体" w:hint="default"/>
          <w:b/>
          <w:bCs/>
          <w:sz w:val="21"/>
          <w:szCs w:val="21"/>
        </w:rPr>
        <w:t>如附注五、</w:t>
      </w: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所述，本期销售规模扩大，为保证供货而增加了原材料采购。</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1640"/>
        <w:gridCol w:w="264"/>
        <w:gridCol w:w="2124"/>
        <w:gridCol w:w="1582"/>
        <w:gridCol w:w="259"/>
        <w:gridCol w:w="1520"/>
        <w:gridCol w:w="315"/>
        <w:gridCol w:w="1481"/>
      </w:tblGrid>
      <w:tr>
        <w:trPr>
          <w:trHeight w:val="282" w:hRule="exact"/>
        </w:trPr>
        <w:tc>
          <w:tcPr>
            <w:tcW w:w="1640"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582" w:type="dxa"/>
            <w:tcBorders>
              <w:top w:val="nil" w:sz="6" w:space="0" w:color="auto"/>
              <w:left w:val="nil" w:sz="6" w:space="0" w:color="auto"/>
              <w:bottom w:val="single" w:sz="4" w:space="0" w:color="000000"/>
              <w:right w:val="nil" w:sz="6" w:space="0" w:color="auto"/>
            </w:tcBorders>
          </w:tcPr>
          <w:p>
            <w:pPr/>
          </w:p>
        </w:tc>
        <w:tc>
          <w:tcPr>
            <w:tcW w:w="357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6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93"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5" w:type="dxa"/>
            <w:tcBorders>
              <w:top w:val="single" w:sz="4" w:space="0" w:color="000000"/>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9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72" w:hRule="exact"/>
        </w:trPr>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26"/>
              <w:ind w:left="523" w:right="0"/>
              <w:jc w:val="left"/>
              <w:rPr>
                <w:rFonts w:ascii="宋体" w:hAnsi="宋体" w:cs="宋体" w:eastAsia="宋体" w:hint="default"/>
                <w:sz w:val="18"/>
                <w:szCs w:val="18"/>
              </w:rPr>
            </w:pPr>
            <w:r>
              <w:rPr>
                <w:rFonts w:ascii="宋体"/>
                <w:sz w:val="18"/>
              </w:rPr>
              <w:t>60,235,760.28</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94.59%</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pacing w:val="-1"/>
                <w:sz w:val="18"/>
              </w:rPr>
              <w:t>7,789,882.82</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pacing w:val="-1"/>
                <w:sz w:val="18"/>
              </w:rPr>
              <w:t>99.92%</w:t>
            </w:r>
          </w:p>
        </w:tc>
      </w:tr>
      <w:tr>
        <w:trPr>
          <w:trHeight w:val="370"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一年以上二年以内</w:t>
            </w: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14" w:right="0"/>
              <w:jc w:val="left"/>
              <w:rPr>
                <w:rFonts w:ascii="宋体" w:hAnsi="宋体" w:cs="宋体" w:eastAsia="宋体" w:hint="default"/>
                <w:sz w:val="18"/>
                <w:szCs w:val="18"/>
              </w:rPr>
            </w:pPr>
            <w:r>
              <w:rPr>
                <w:rFonts w:ascii="宋体"/>
                <w:sz w:val="18"/>
              </w:rPr>
              <w:t>3,439,939.73</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5.40%</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6,589.73</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0.08%</w:t>
            </w:r>
          </w:p>
        </w:tc>
      </w:tr>
      <w:tr>
        <w:trPr>
          <w:trHeight w:val="377"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二年以上三年以内</w:t>
            </w: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974" w:right="0"/>
              <w:jc w:val="left"/>
              <w:rPr>
                <w:rFonts w:ascii="宋体" w:hAnsi="宋体" w:cs="宋体" w:eastAsia="宋体" w:hint="default"/>
                <w:sz w:val="18"/>
                <w:szCs w:val="18"/>
              </w:rPr>
            </w:pPr>
            <w:r>
              <w:rPr>
                <w:rFonts w:ascii="宋体"/>
                <w:sz w:val="18"/>
              </w:rPr>
              <w:t>6,589.73</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0.01%</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r>
      <w:tr>
        <w:trPr>
          <w:trHeight w:val="389"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64"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65pt;height:.5pt;mso-position-horizontal-relative:char;mso-position-vertical-relative:line" coordorigin="0,0" coordsize="1733,10">
                  <v:group style="position:absolute;left:5;top:5;width:20;height:2" coordorigin="5,5" coordsize="20,2">
                    <v:shape style="position:absolute;left:5;top:5;width:20;height:2" coordorigin="5,5" coordsize="20,0" path="m5,5l24,5e" filled="false" stroked="true" strokeweight=".48004pt" strokecolor="#000000">
                      <v:path arrowok="t"/>
                    </v:shape>
                  </v:group>
                  <v:group style="position:absolute;left:24;top:5;width:20;height:2" coordorigin="24,5" coordsize="20,2">
                    <v:shape style="position:absolute;left:24;top:5;width:20;height:2" coordorigin="24,5" coordsize="20,0" path="m24,5l43,5e" filled="false" stroked="true" strokeweight=".48004pt" strokecolor="#000000">
                      <v:path arrowok="t"/>
                    </v:shape>
                  </v:group>
                  <v:group style="position:absolute;left:43;top:5;width:20;height:2" coordorigin="43,5" coordsize="20,2">
                    <v:shape style="position:absolute;left:43;top:5;width:20;height:2" coordorigin="43,5" coordsize="20,0" path="m43,5l62,5e" filled="false" stroked="true" strokeweight=".48004pt" strokecolor="#000000">
                      <v:path arrowok="t"/>
                    </v:shape>
                  </v:group>
                  <v:group style="position:absolute;left:62;top:5;width:20;height:2" coordorigin="62,5" coordsize="20,2">
                    <v:shape style="position:absolute;left:62;top:5;width:20;height:2" coordorigin="62,5" coordsize="20,0" path="m62,5l82,5e" filled="false" stroked="true" strokeweight=".48004pt" strokecolor="#000000">
                      <v:path arrowok="t"/>
                    </v:shape>
                  </v:group>
                  <v:group style="position:absolute;left:82;top:5;width:20;height:2" coordorigin="82,5" coordsize="20,2">
                    <v:shape style="position:absolute;left:82;top:5;width:20;height:2" coordorigin="82,5" coordsize="20,0" path="m82,5l101,5e" filled="false" stroked="true" strokeweight=".48004pt" strokecolor="#000000">
                      <v:path arrowok="t"/>
                    </v:shape>
                  </v:group>
                  <v:group style="position:absolute;left:101;top:5;width:20;height:2" coordorigin="101,5" coordsize="20,2">
                    <v:shape style="position:absolute;left:101;top:5;width:20;height:2" coordorigin="101,5" coordsize="20,0" path="m101,5l120,5e" filled="false" stroked="true" strokeweight=".48004pt" strokecolor="#000000">
                      <v:path arrowok="t"/>
                    </v:shape>
                  </v:group>
                  <v:group style="position:absolute;left:120;top:5;width:20;height:2" coordorigin="120,5" coordsize="20,2">
                    <v:shape style="position:absolute;left:120;top:5;width:20;height:2" coordorigin="120,5" coordsize="20,0" path="m120,5l139,5e" filled="false" stroked="true" strokeweight=".48004pt" strokecolor="#000000">
                      <v:path arrowok="t"/>
                    </v:shape>
                  </v:group>
                  <v:group style="position:absolute;left:139;top:5;width:20;height:2" coordorigin="139,5" coordsize="20,2">
                    <v:shape style="position:absolute;left:139;top:5;width:20;height:2" coordorigin="139,5" coordsize="20,0" path="m139,5l158,5e" filled="false" stroked="true" strokeweight=".48004pt" strokecolor="#000000">
                      <v:path arrowok="t"/>
                    </v:shape>
                  </v:group>
                  <v:group style="position:absolute;left:158;top:5;width:20;height:2" coordorigin="158,5" coordsize="20,2">
                    <v:shape style="position:absolute;left:158;top:5;width:20;height:2" coordorigin="158,5" coordsize="20,0" path="m158,5l178,5e" filled="false" stroked="true" strokeweight=".48004pt" strokecolor="#000000">
                      <v:path arrowok="t"/>
                    </v:shape>
                  </v:group>
                  <v:group style="position:absolute;left:178;top:5;width:20;height:2" coordorigin="178,5" coordsize="20,2">
                    <v:shape style="position:absolute;left:178;top:5;width:20;height:2" coordorigin="178,5" coordsize="20,0" path="m178,5l197,5e" filled="false" stroked="true" strokeweight=".48004pt" strokecolor="#000000">
                      <v:path arrowok="t"/>
                    </v:shape>
                  </v:group>
                  <v:group style="position:absolute;left:197;top:5;width:20;height:2" coordorigin="197,5" coordsize="20,2">
                    <v:shape style="position:absolute;left:197;top:5;width:20;height:2" coordorigin="197,5" coordsize="20,0" path="m197,5l216,5e" filled="false" stroked="true" strokeweight=".48004pt" strokecolor="#000000">
                      <v:path arrowok="t"/>
                    </v:shape>
                  </v:group>
                  <v:group style="position:absolute;left:216;top:5;width:20;height:2" coordorigin="216,5" coordsize="20,2">
                    <v:shape style="position:absolute;left:216;top:5;width:20;height:2" coordorigin="216,5" coordsize="20,0" path="m216,5l235,5e" filled="false" stroked="true" strokeweight=".48004pt" strokecolor="#000000">
                      <v:path arrowok="t"/>
                    </v:shape>
                  </v:group>
                  <v:group style="position:absolute;left:235;top:5;width:20;height:2" coordorigin="235,5" coordsize="20,2">
                    <v:shape style="position:absolute;left:235;top:5;width:20;height:2" coordorigin="235,5" coordsize="20,0" path="m235,5l254,5e" filled="false" stroked="true" strokeweight=".48004pt" strokecolor="#000000">
                      <v:path arrowok="t"/>
                    </v:shape>
                  </v:group>
                  <v:group style="position:absolute;left:254;top:5;width:20;height:2" coordorigin="254,5" coordsize="20,2">
                    <v:shape style="position:absolute;left:254;top:5;width:20;height:2" coordorigin="254,5" coordsize="20,0" path="m254,5l274,5e" filled="false" stroked="true" strokeweight=".48004pt" strokecolor="#000000">
                      <v:path arrowok="t"/>
                    </v:shape>
                  </v:group>
                  <v:group style="position:absolute;left:274;top:5;width:20;height:2" coordorigin="274,5" coordsize="20,2">
                    <v:shape style="position:absolute;left:274;top:5;width:20;height:2" coordorigin="274,5" coordsize="20,0" path="m274,5l293,5e" filled="false" stroked="true" strokeweight=".48004pt" strokecolor="#000000">
                      <v:path arrowok="t"/>
                    </v:shape>
                  </v:group>
                  <v:group style="position:absolute;left:293;top:5;width:20;height:2" coordorigin="293,5" coordsize="20,2">
                    <v:shape style="position:absolute;left:293;top:5;width:20;height:2" coordorigin="293,5" coordsize="20,0" path="m293,5l312,5e" filled="false" stroked="true" strokeweight=".48004pt" strokecolor="#000000">
                      <v:path arrowok="t"/>
                    </v:shape>
                  </v:group>
                  <v:group style="position:absolute;left:312;top:5;width:20;height:2" coordorigin="312,5" coordsize="20,2">
                    <v:shape style="position:absolute;left:312;top:5;width:20;height:2" coordorigin="312,5" coordsize="20,0" path="m312,5l331,5e" filled="false" stroked="true" strokeweight=".48004pt" strokecolor="#000000">
                      <v:path arrowok="t"/>
                    </v:shape>
                  </v:group>
                  <v:group style="position:absolute;left:331;top:5;width:20;height:2" coordorigin="331,5" coordsize="20,2">
                    <v:shape style="position:absolute;left:331;top:5;width:20;height:2" coordorigin="331,5" coordsize="20,0" path="m331,5l350,5e" filled="false" stroked="true" strokeweight=".48004pt" strokecolor="#000000">
                      <v:path arrowok="t"/>
                    </v:shape>
                  </v:group>
                  <v:group style="position:absolute;left:350;top:5;width:20;height:2" coordorigin="350,5" coordsize="20,2">
                    <v:shape style="position:absolute;left:350;top:5;width:20;height:2" coordorigin="350,5" coordsize="20,0" path="m350,5l370,5e" filled="false" stroked="true" strokeweight=".48004pt" strokecolor="#000000">
                      <v:path arrowok="t"/>
                    </v:shape>
                  </v:group>
                  <v:group style="position:absolute;left:370;top:5;width:20;height:2" coordorigin="370,5" coordsize="20,2">
                    <v:shape style="position:absolute;left:370;top:5;width:20;height:2" coordorigin="370,5" coordsize="20,0" path="m370,5l389,5e" filled="false" stroked="true" strokeweight=".48004pt" strokecolor="#000000">
                      <v:path arrowok="t"/>
                    </v:shape>
                  </v:group>
                  <v:group style="position:absolute;left:389;top:5;width:20;height:2" coordorigin="389,5" coordsize="20,2">
                    <v:shape style="position:absolute;left:389;top:5;width:20;height:2" coordorigin="389,5" coordsize="20,0" path="m389,5l408,5e" filled="false" stroked="true" strokeweight=".48004pt" strokecolor="#000000">
                      <v:path arrowok="t"/>
                    </v:shape>
                  </v:group>
                  <v:group style="position:absolute;left:408;top:5;width:20;height:2" coordorigin="408,5" coordsize="20,2">
                    <v:shape style="position:absolute;left:408;top:5;width:20;height:2" coordorigin="408,5" coordsize="20,0" path="m408,5l427,5e" filled="false" stroked="true" strokeweight=".48004pt" strokecolor="#000000">
                      <v:path arrowok="t"/>
                    </v:shape>
                  </v:group>
                  <v:group style="position:absolute;left:427;top:5;width:20;height:2" coordorigin="427,5" coordsize="20,2">
                    <v:shape style="position:absolute;left:427;top:5;width:20;height:2" coordorigin="427,5" coordsize="20,0" path="m427,5l446,5e" filled="false" stroked="true" strokeweight=".48004pt" strokecolor="#000000">
                      <v:path arrowok="t"/>
                    </v:shape>
                  </v:group>
                  <v:group style="position:absolute;left:446;top:5;width:20;height:2" coordorigin="446,5" coordsize="20,2">
                    <v:shape style="position:absolute;left:446;top:5;width:20;height:2" coordorigin="446,5" coordsize="20,0" path="m446,5l466,5e" filled="false" stroked="true" strokeweight=".48004pt" strokecolor="#000000">
                      <v:path arrowok="t"/>
                    </v:shape>
                  </v:group>
                  <v:group style="position:absolute;left:466;top:5;width:20;height:2" coordorigin="466,5" coordsize="20,2">
                    <v:shape style="position:absolute;left:466;top:5;width:20;height:2" coordorigin="466,5" coordsize="20,0" path="m466,5l485,5e" filled="false" stroked="true" strokeweight=".48004pt" strokecolor="#000000">
                      <v:path arrowok="t"/>
                    </v:shape>
                  </v:group>
                  <v:group style="position:absolute;left:485;top:5;width:20;height:2" coordorigin="485,5" coordsize="20,2">
                    <v:shape style="position:absolute;left:485;top:5;width:20;height:2" coordorigin="485,5" coordsize="20,0" path="m485,5l504,5e" filled="false" stroked="true" strokeweight=".48004pt" strokecolor="#000000">
                      <v:path arrowok="t"/>
                    </v:shape>
                  </v:group>
                  <v:group style="position:absolute;left:504;top:5;width:20;height:2" coordorigin="504,5" coordsize="20,2">
                    <v:shape style="position:absolute;left:504;top:5;width:20;height:2" coordorigin="504,5" coordsize="20,0" path="m504,5l523,5e" filled="false" stroked="true" strokeweight=".48004pt" strokecolor="#000000">
                      <v:path arrowok="t"/>
                    </v:shape>
                  </v:group>
                  <v:group style="position:absolute;left:523;top:5;width:20;height:2" coordorigin="523,5" coordsize="20,2">
                    <v:shape style="position:absolute;left:523;top:5;width:20;height:2" coordorigin="523,5" coordsize="20,0" path="m523,5l542,5e" filled="false" stroked="true" strokeweight=".48004pt" strokecolor="#000000">
                      <v:path arrowok="t"/>
                    </v:shape>
                  </v:group>
                  <v:group style="position:absolute;left:542;top:5;width:20;height:2" coordorigin="542,5" coordsize="20,2">
                    <v:shape style="position:absolute;left:542;top:5;width:20;height:2" coordorigin="542,5" coordsize="20,0" path="m542,5l562,5e" filled="false" stroked="true" strokeweight=".48004pt" strokecolor="#000000">
                      <v:path arrowok="t"/>
                    </v:shape>
                  </v:group>
                  <v:group style="position:absolute;left:562;top:5;width:20;height:2" coordorigin="562,5" coordsize="20,2">
                    <v:shape style="position:absolute;left:562;top:5;width:20;height:2" coordorigin="562,5" coordsize="20,0" path="m562,5l581,5e" filled="false" stroked="true" strokeweight=".48004pt" strokecolor="#000000">
                      <v:path arrowok="t"/>
                    </v:shape>
                  </v:group>
                  <v:group style="position:absolute;left:581;top:5;width:20;height:2" coordorigin="581,5" coordsize="20,2">
                    <v:shape style="position:absolute;left:581;top:5;width:20;height:2" coordorigin="581,5" coordsize="20,0" path="m581,5l600,5e" filled="false" stroked="true" strokeweight=".48004pt" strokecolor="#000000">
                      <v:path arrowok="t"/>
                    </v:shape>
                  </v:group>
                  <v:group style="position:absolute;left:600;top:5;width:20;height:2" coordorigin="600,5" coordsize="20,2">
                    <v:shape style="position:absolute;left:600;top:5;width:20;height:2" coordorigin="600,5" coordsize="20,0" path="m600,5l619,5e" filled="false" stroked="true" strokeweight=".48004pt" strokecolor="#000000">
                      <v:path arrowok="t"/>
                    </v:shape>
                  </v:group>
                  <v:group style="position:absolute;left:619;top:5;width:20;height:2" coordorigin="619,5" coordsize="20,2">
                    <v:shape style="position:absolute;left:619;top:5;width:20;height:2" coordorigin="619,5" coordsize="20,0" path="m619,5l638,5e" filled="false" stroked="true" strokeweight=".48004pt" strokecolor="#000000">
                      <v:path arrowok="t"/>
                    </v:shape>
                  </v:group>
                  <v:group style="position:absolute;left:638;top:5;width:20;height:2" coordorigin="638,5" coordsize="20,2">
                    <v:shape style="position:absolute;left:638;top:5;width:20;height:2" coordorigin="638,5" coordsize="20,0" path="m638,5l658,5e" filled="false" stroked="true" strokeweight=".48004pt" strokecolor="#000000">
                      <v:path arrowok="t"/>
                    </v:shape>
                  </v:group>
                  <v:group style="position:absolute;left:658;top:5;width:20;height:2" coordorigin="658,5" coordsize="20,2">
                    <v:shape style="position:absolute;left:658;top:5;width:20;height:2" coordorigin="658,5" coordsize="20,0" path="m658,5l677,5e" filled="false" stroked="true" strokeweight=".48004pt" strokecolor="#000000">
                      <v:path arrowok="t"/>
                    </v:shape>
                  </v:group>
                  <v:group style="position:absolute;left:677;top:5;width:20;height:2" coordorigin="677,5" coordsize="20,2">
                    <v:shape style="position:absolute;left:677;top:5;width:20;height:2" coordorigin="677,5" coordsize="20,0" path="m677,5l696,5e" filled="false" stroked="true" strokeweight=".48004pt" strokecolor="#000000">
                      <v:path arrowok="t"/>
                    </v:shape>
                  </v:group>
                  <v:group style="position:absolute;left:696;top:5;width:20;height:2" coordorigin="696,5" coordsize="20,2">
                    <v:shape style="position:absolute;left:696;top:5;width:20;height:2" coordorigin="696,5" coordsize="20,0" path="m696,5l715,5e" filled="false" stroked="true" strokeweight=".48004pt" strokecolor="#000000">
                      <v:path arrowok="t"/>
                    </v:shape>
                  </v:group>
                  <v:group style="position:absolute;left:715;top:5;width:20;height:2" coordorigin="715,5" coordsize="20,2">
                    <v:shape style="position:absolute;left:715;top:5;width:20;height:2" coordorigin="715,5" coordsize="20,0" path="m715,5l734,5e" filled="false" stroked="true" strokeweight=".48004pt" strokecolor="#000000">
                      <v:path arrowok="t"/>
                    </v:shape>
                  </v:group>
                  <v:group style="position:absolute;left:734;top:5;width:20;height:2" coordorigin="734,5" coordsize="20,2">
                    <v:shape style="position:absolute;left:734;top:5;width:20;height:2" coordorigin="734,5" coordsize="20,0" path="m734,5l754,5e" filled="false" stroked="true" strokeweight=".48004pt" strokecolor="#000000">
                      <v:path arrowok="t"/>
                    </v:shape>
                  </v:group>
                  <v:group style="position:absolute;left:754;top:5;width:20;height:2" coordorigin="754,5" coordsize="20,2">
                    <v:shape style="position:absolute;left:754;top:5;width:20;height:2" coordorigin="754,5" coordsize="20,0" path="m754,5l773,5e" filled="false" stroked="true" strokeweight=".48004pt" strokecolor="#000000">
                      <v:path arrowok="t"/>
                    </v:shape>
                  </v:group>
                  <v:group style="position:absolute;left:773;top:5;width:20;height:2" coordorigin="773,5" coordsize="20,2">
                    <v:shape style="position:absolute;left:773;top:5;width:20;height:2" coordorigin="773,5" coordsize="20,0" path="m773,5l792,5e" filled="false" stroked="true" strokeweight=".48004pt" strokecolor="#000000">
                      <v:path arrowok="t"/>
                    </v:shape>
                  </v:group>
                  <v:group style="position:absolute;left:792;top:5;width:20;height:2" coordorigin="792,5" coordsize="20,2">
                    <v:shape style="position:absolute;left:792;top:5;width:20;height:2" coordorigin="792,5" coordsize="20,0" path="m792,5l811,5e" filled="false" stroked="true" strokeweight=".48004pt" strokecolor="#000000">
                      <v:path arrowok="t"/>
                    </v:shape>
                  </v:group>
                  <v:group style="position:absolute;left:811;top:5;width:20;height:2" coordorigin="811,5" coordsize="20,2">
                    <v:shape style="position:absolute;left:811;top:5;width:20;height:2" coordorigin="811,5" coordsize="20,0" path="m811,5l830,5e" filled="false" stroked="true" strokeweight=".48004pt" strokecolor="#000000">
                      <v:path arrowok="t"/>
                    </v:shape>
                  </v:group>
                  <v:group style="position:absolute;left:830;top:5;width:20;height:2" coordorigin="830,5" coordsize="20,2">
                    <v:shape style="position:absolute;left:830;top:5;width:20;height:2" coordorigin="830,5" coordsize="20,0" path="m830,5l850,5e" filled="false" stroked="true" strokeweight=".48004pt" strokecolor="#000000">
                      <v:path arrowok="t"/>
                    </v:shape>
                  </v:group>
                  <v:group style="position:absolute;left:850;top:5;width:20;height:2" coordorigin="850,5" coordsize="20,2">
                    <v:shape style="position:absolute;left:850;top:5;width:20;height:2" coordorigin="850,5" coordsize="20,0" path="m850,5l869,5e" filled="false" stroked="true" strokeweight=".48004pt" strokecolor="#000000">
                      <v:path arrowok="t"/>
                    </v:shape>
                  </v:group>
                  <v:group style="position:absolute;left:869;top:5;width:20;height:2" coordorigin="869,5" coordsize="20,2">
                    <v:shape style="position:absolute;left:869;top:5;width:20;height:2" coordorigin="869,5" coordsize="20,0" path="m869,5l888,5e" filled="false" stroked="true" strokeweight=".48004pt" strokecolor="#000000">
                      <v:path arrowok="t"/>
                    </v:shape>
                  </v:group>
                  <v:group style="position:absolute;left:888;top:5;width:20;height:2" coordorigin="888,5" coordsize="20,2">
                    <v:shape style="position:absolute;left:888;top:5;width:20;height:2" coordorigin="888,5" coordsize="20,0" path="m888,5l907,5e" filled="false" stroked="true" strokeweight=".48004pt" strokecolor="#000000">
                      <v:path arrowok="t"/>
                    </v:shape>
                  </v:group>
                  <v:group style="position:absolute;left:907;top:5;width:20;height:2" coordorigin="907,5" coordsize="20,2">
                    <v:shape style="position:absolute;left:907;top:5;width:20;height:2" coordorigin="907,5" coordsize="20,0" path="m907,5l926,5e" filled="false" stroked="true" strokeweight=".48004pt" strokecolor="#000000">
                      <v:path arrowok="t"/>
                    </v:shape>
                  </v:group>
                  <v:group style="position:absolute;left:926;top:5;width:20;height:2" coordorigin="926,5" coordsize="20,2">
                    <v:shape style="position:absolute;left:926;top:5;width:20;height:2" coordorigin="926,5" coordsize="20,0" path="m926,5l946,5e" filled="false" stroked="true" strokeweight=".48004pt" strokecolor="#000000">
                      <v:path arrowok="t"/>
                    </v:shape>
                  </v:group>
                  <v:group style="position:absolute;left:946;top:5;width:20;height:2" coordorigin="946,5" coordsize="20,2">
                    <v:shape style="position:absolute;left:946;top:5;width:20;height:2" coordorigin="946,5" coordsize="20,0" path="m946,5l965,5e" filled="false" stroked="true" strokeweight=".48004pt" strokecolor="#000000">
                      <v:path arrowok="t"/>
                    </v:shape>
                  </v:group>
                  <v:group style="position:absolute;left:965;top:5;width:20;height:2" coordorigin="965,5" coordsize="20,2">
                    <v:shape style="position:absolute;left:965;top:5;width:20;height:2" coordorigin="965,5" coordsize="20,0" path="m965,5l984,5e" filled="false" stroked="true" strokeweight=".48004pt" strokecolor="#000000">
                      <v:path arrowok="t"/>
                    </v:shape>
                  </v:group>
                  <v:group style="position:absolute;left:984;top:5;width:20;height:2" coordorigin="984,5" coordsize="20,2">
                    <v:shape style="position:absolute;left:984;top:5;width:20;height:2" coordorigin="984,5" coordsize="20,0" path="m984,5l1003,5e" filled="false" stroked="true" strokeweight=".48004pt" strokecolor="#000000">
                      <v:path arrowok="t"/>
                    </v:shape>
                  </v:group>
                  <v:group style="position:absolute;left:1003;top:5;width:20;height:2" coordorigin="1003,5" coordsize="20,2">
                    <v:shape style="position:absolute;left:1003;top:5;width:20;height:2" coordorigin="1003,5" coordsize="20,0" path="m1003,5l1022,5e" filled="false" stroked="true" strokeweight=".48004pt" strokecolor="#000000">
                      <v:path arrowok="t"/>
                    </v:shape>
                  </v:group>
                  <v:group style="position:absolute;left:1022;top:5;width:20;height:2" coordorigin="1022,5" coordsize="20,2">
                    <v:shape style="position:absolute;left:1022;top:5;width:20;height:2" coordorigin="1022,5" coordsize="20,0" path="m1022,5l1042,5e" filled="false" stroked="true" strokeweight=".48004pt" strokecolor="#000000">
                      <v:path arrowok="t"/>
                    </v:shape>
                  </v:group>
                  <v:group style="position:absolute;left:1042;top:5;width:20;height:2" coordorigin="1042,5" coordsize="20,2">
                    <v:shape style="position:absolute;left:1042;top:5;width:20;height:2" coordorigin="1042,5" coordsize="20,0" path="m1042,5l1061,5e" filled="false" stroked="true" strokeweight=".48004pt" strokecolor="#000000">
                      <v:path arrowok="t"/>
                    </v:shape>
                  </v:group>
                  <v:group style="position:absolute;left:1061;top:5;width:20;height:2" coordorigin="1061,5" coordsize="20,2">
                    <v:shape style="position:absolute;left:1061;top:5;width:20;height:2" coordorigin="1061,5" coordsize="20,0" path="m1061,5l1080,5e" filled="false" stroked="true" strokeweight=".48004pt" strokecolor="#000000">
                      <v:path arrowok="t"/>
                    </v:shape>
                  </v:group>
                  <v:group style="position:absolute;left:1080;top:5;width:20;height:2" coordorigin="1080,5" coordsize="20,2">
                    <v:shape style="position:absolute;left:1080;top:5;width:20;height:2" coordorigin="1080,5" coordsize="20,0" path="m1080,5l1099,5e" filled="false" stroked="true" strokeweight=".48004pt" strokecolor="#000000">
                      <v:path arrowok="t"/>
                    </v:shape>
                  </v:group>
                  <v:group style="position:absolute;left:1099;top:5;width:20;height:2" coordorigin="1099,5" coordsize="20,2">
                    <v:shape style="position:absolute;left:1099;top:5;width:20;height:2" coordorigin="1099,5" coordsize="20,0" path="m1099,5l1118,5e" filled="false" stroked="true" strokeweight=".48004pt" strokecolor="#000000">
                      <v:path arrowok="t"/>
                    </v:shape>
                  </v:group>
                  <v:group style="position:absolute;left:1118;top:5;width:20;height:2" coordorigin="1118,5" coordsize="20,2">
                    <v:shape style="position:absolute;left:1118;top:5;width:20;height:2" coordorigin="1118,5" coordsize="20,0" path="m1118,5l1138,5e" filled="false" stroked="true" strokeweight=".48004pt" strokecolor="#000000">
                      <v:path arrowok="t"/>
                    </v:shape>
                  </v:group>
                  <v:group style="position:absolute;left:1138;top:5;width:20;height:2" coordorigin="1138,5" coordsize="20,2">
                    <v:shape style="position:absolute;left:1138;top:5;width:20;height:2" coordorigin="1138,5" coordsize="20,0" path="m1138,5l1157,5e" filled="false" stroked="true" strokeweight=".48004pt" strokecolor="#000000">
                      <v:path arrowok="t"/>
                    </v:shape>
                  </v:group>
                  <v:group style="position:absolute;left:1157;top:5;width:20;height:2" coordorigin="1157,5" coordsize="20,2">
                    <v:shape style="position:absolute;left:1157;top:5;width:20;height:2" coordorigin="1157,5" coordsize="20,0" path="m1157,5l1176,5e" filled="false" stroked="true" strokeweight=".48004pt" strokecolor="#000000">
                      <v:path arrowok="t"/>
                    </v:shape>
                  </v:group>
                  <v:group style="position:absolute;left:1176;top:5;width:20;height:2" coordorigin="1176,5" coordsize="20,2">
                    <v:shape style="position:absolute;left:1176;top:5;width:20;height:2" coordorigin="1176,5" coordsize="20,0" path="m1176,5l1195,5e" filled="false" stroked="true" strokeweight=".48004pt" strokecolor="#000000">
                      <v:path arrowok="t"/>
                    </v:shape>
                  </v:group>
                  <v:group style="position:absolute;left:1195;top:5;width:20;height:2" coordorigin="1195,5" coordsize="20,2">
                    <v:shape style="position:absolute;left:1195;top:5;width:20;height:2" coordorigin="1195,5" coordsize="20,0" path="m1195,5l1214,5e" filled="false" stroked="true" strokeweight=".48004pt" strokecolor="#000000">
                      <v:path arrowok="t"/>
                    </v:shape>
                  </v:group>
                  <v:group style="position:absolute;left:1214;top:5;width:20;height:2" coordorigin="1214,5" coordsize="20,2">
                    <v:shape style="position:absolute;left:1214;top:5;width:20;height:2" coordorigin="1214,5" coordsize="20,0" path="m1214,5l1234,5e" filled="false" stroked="true" strokeweight=".48004pt" strokecolor="#000000">
                      <v:path arrowok="t"/>
                    </v:shape>
                  </v:group>
                  <v:group style="position:absolute;left:1234;top:5;width:20;height:2" coordorigin="1234,5" coordsize="20,2">
                    <v:shape style="position:absolute;left:1234;top:5;width:20;height:2" coordorigin="1234,5" coordsize="20,0" path="m1234,5l1253,5e" filled="false" stroked="true" strokeweight=".48004pt" strokecolor="#000000">
                      <v:path arrowok="t"/>
                    </v:shape>
                  </v:group>
                  <v:group style="position:absolute;left:1253;top:5;width:20;height:2" coordorigin="1253,5" coordsize="20,2">
                    <v:shape style="position:absolute;left:1253;top:5;width:20;height:2" coordorigin="1253,5" coordsize="20,0" path="m1253,5l1272,5e" filled="false" stroked="true" strokeweight=".48004pt" strokecolor="#000000">
                      <v:path arrowok="t"/>
                    </v:shape>
                  </v:group>
                  <v:group style="position:absolute;left:1272;top:5;width:20;height:2" coordorigin="1272,5" coordsize="20,2">
                    <v:shape style="position:absolute;left:1272;top:5;width:20;height:2" coordorigin="1272,5" coordsize="20,0" path="m1272,5l1291,5e" filled="false" stroked="true" strokeweight=".48004pt" strokecolor="#000000">
                      <v:path arrowok="t"/>
                    </v:shape>
                  </v:group>
                  <v:group style="position:absolute;left:1291;top:5;width:20;height:2" coordorigin="1291,5" coordsize="20,2">
                    <v:shape style="position:absolute;left:1291;top:5;width:20;height:2" coordorigin="1291,5" coordsize="20,0" path="m1291,5l1310,5e" filled="false" stroked="true" strokeweight=".48004pt" strokecolor="#000000">
                      <v:path arrowok="t"/>
                    </v:shape>
                  </v:group>
                  <v:group style="position:absolute;left:1310;top:5;width:20;height:2" coordorigin="1310,5" coordsize="20,2">
                    <v:shape style="position:absolute;left:1310;top:5;width:20;height:2" coordorigin="1310,5" coordsize="20,0" path="m1310,5l1330,5e" filled="false" stroked="true" strokeweight=".48004pt" strokecolor="#000000">
                      <v:path arrowok="t"/>
                    </v:shape>
                  </v:group>
                  <v:group style="position:absolute;left:1330;top:5;width:20;height:2" coordorigin="1330,5" coordsize="20,2">
                    <v:shape style="position:absolute;left:1330;top:5;width:20;height:2" coordorigin="1330,5" coordsize="20,0" path="m1330,5l1349,5e" filled="false" stroked="true" strokeweight=".48004pt" strokecolor="#000000">
                      <v:path arrowok="t"/>
                    </v:shape>
                  </v:group>
                  <v:group style="position:absolute;left:1349;top:5;width:20;height:2" coordorigin="1349,5" coordsize="20,2">
                    <v:shape style="position:absolute;left:1349;top:5;width:20;height:2" coordorigin="1349,5" coordsize="20,0" path="m1349,5l1368,5e" filled="false" stroked="true" strokeweight=".48004pt" strokecolor="#000000">
                      <v:path arrowok="t"/>
                    </v:shape>
                  </v:group>
                  <v:group style="position:absolute;left:1368;top:5;width:20;height:2" coordorigin="1368,5" coordsize="20,2">
                    <v:shape style="position:absolute;left:1368;top:5;width:20;height:2" coordorigin="1368,5" coordsize="20,0" path="m1368,5l1387,5e" filled="false" stroked="true" strokeweight=".48004pt" strokecolor="#000000">
                      <v:path arrowok="t"/>
                    </v:shape>
                  </v:group>
                  <v:group style="position:absolute;left:1387;top:5;width:20;height:2" coordorigin="1387,5" coordsize="20,2">
                    <v:shape style="position:absolute;left:1387;top:5;width:20;height:2" coordorigin="1387,5" coordsize="20,0" path="m1387,5l1406,5e" filled="false" stroked="true" strokeweight=".48004pt" strokecolor="#000000">
                      <v:path arrowok="t"/>
                    </v:shape>
                  </v:group>
                  <v:group style="position:absolute;left:1406;top:5;width:20;height:2" coordorigin="1406,5" coordsize="20,2">
                    <v:shape style="position:absolute;left:1406;top:5;width:20;height:2" coordorigin="1406,5" coordsize="20,0" path="m1406,5l1426,5e" filled="false" stroked="true" strokeweight=".48004pt" strokecolor="#000000">
                      <v:path arrowok="t"/>
                    </v:shape>
                  </v:group>
                  <v:group style="position:absolute;left:1426;top:5;width:20;height:2" coordorigin="1426,5" coordsize="20,2">
                    <v:shape style="position:absolute;left:1426;top:5;width:20;height:2" coordorigin="1426,5" coordsize="20,0" path="m1426,5l1445,5e" filled="false" stroked="true" strokeweight=".48004pt" strokecolor="#000000">
                      <v:path arrowok="t"/>
                    </v:shape>
                  </v:group>
                  <v:group style="position:absolute;left:1445;top:5;width:20;height:2" coordorigin="1445,5" coordsize="20,2">
                    <v:shape style="position:absolute;left:1445;top:5;width:20;height:2" coordorigin="1445,5" coordsize="20,0" path="m1445,5l1464,5e" filled="false" stroked="true" strokeweight=".48004pt" strokecolor="#000000">
                      <v:path arrowok="t"/>
                    </v:shape>
                  </v:group>
                  <v:group style="position:absolute;left:1464;top:5;width:20;height:2" coordorigin="1464,5" coordsize="20,2">
                    <v:shape style="position:absolute;left:1464;top:5;width:20;height:2" coordorigin="1464,5" coordsize="20,0" path="m1464,5l1483,5e" filled="false" stroked="true" strokeweight=".48004pt" strokecolor="#000000">
                      <v:path arrowok="t"/>
                    </v:shape>
                  </v:group>
                  <v:group style="position:absolute;left:1483;top:5;width:20;height:2" coordorigin="1483,5" coordsize="20,2">
                    <v:shape style="position:absolute;left:1483;top:5;width:20;height:2" coordorigin="1483,5" coordsize="20,0" path="m1483,5l1502,5e" filled="false" stroked="true" strokeweight=".48004pt" strokecolor="#000000">
                      <v:path arrowok="t"/>
                    </v:shape>
                  </v:group>
                  <v:group style="position:absolute;left:1502;top:5;width:20;height:2" coordorigin="1502,5" coordsize="20,2">
                    <v:shape style="position:absolute;left:1502;top:5;width:20;height:2" coordorigin="1502,5" coordsize="20,0" path="m1502,5l1522,5e" filled="false" stroked="true" strokeweight=".48004pt" strokecolor="#000000">
                      <v:path arrowok="t"/>
                    </v:shape>
                  </v:group>
                  <v:group style="position:absolute;left:1522;top:5;width:20;height:2" coordorigin="1522,5" coordsize="20,2">
                    <v:shape style="position:absolute;left:1522;top:5;width:20;height:2" coordorigin="1522,5" coordsize="20,0" path="m1522,5l1541,5e" filled="false" stroked="true" strokeweight=".48004pt" strokecolor="#000000">
                      <v:path arrowok="t"/>
                    </v:shape>
                  </v:group>
                  <v:group style="position:absolute;left:1541;top:5;width:20;height:2" coordorigin="1541,5" coordsize="20,2">
                    <v:shape style="position:absolute;left:1541;top:5;width:20;height:2" coordorigin="1541,5" coordsize="20,0" path="m1541,5l1560,5e" filled="false" stroked="true" strokeweight=".48004pt" strokecolor="#000000">
                      <v:path arrowok="t"/>
                    </v:shape>
                  </v:group>
                  <v:group style="position:absolute;left:1560;top:5;width:20;height:2" coordorigin="1560,5" coordsize="20,2">
                    <v:shape style="position:absolute;left:1560;top:5;width:20;height:2" coordorigin="1560,5" coordsize="20,0" path="m1560,5l1579,5e" filled="false" stroked="true" strokeweight=".48004pt" strokecolor="#000000">
                      <v:path arrowok="t"/>
                    </v:shape>
                  </v:group>
                  <v:group style="position:absolute;left:1579;top:5;width:20;height:2" coordorigin="1579,5" coordsize="20,2">
                    <v:shape style="position:absolute;left:1579;top:5;width:20;height:2" coordorigin="1579,5" coordsize="20,0" path="m1579,5l1598,5e" filled="false" stroked="true" strokeweight=".48004pt" strokecolor="#000000">
                      <v:path arrowok="t"/>
                    </v:shape>
                  </v:group>
                  <v:group style="position:absolute;left:1598;top:5;width:20;height:2" coordorigin="1598,5" coordsize="20,2">
                    <v:shape style="position:absolute;left:1598;top:5;width:20;height:2" coordorigin="1598,5" coordsize="20,0" path="m1598,5l1618,5e" filled="false" stroked="true" strokeweight=".48004pt" strokecolor="#000000">
                      <v:path arrowok="t"/>
                    </v:shape>
                  </v:group>
                  <v:group style="position:absolute;left:1618;top:5;width:20;height:2" coordorigin="1618,5" coordsize="20,2">
                    <v:shape style="position:absolute;left:1618;top:5;width:20;height:2" coordorigin="1618,5" coordsize="20,0" path="m1618,5l1637,5e" filled="false" stroked="true" strokeweight=".48004pt" strokecolor="#000000">
                      <v:path arrowok="t"/>
                    </v:shape>
                  </v:group>
                  <v:group style="position:absolute;left:1637;top:5;width:20;height:2" coordorigin="1637,5" coordsize="20,2">
                    <v:shape style="position:absolute;left:1637;top:5;width:20;height:2" coordorigin="1637,5" coordsize="20,0" path="m1637,5l1656,5e" filled="false" stroked="true" strokeweight=".48004pt" strokecolor="#000000">
                      <v:path arrowok="t"/>
                    </v:shape>
                  </v:group>
                  <v:group style="position:absolute;left:1656;top:5;width:20;height:2" coordorigin="1656,5" coordsize="20,2">
                    <v:shape style="position:absolute;left:1656;top:5;width:20;height:2" coordorigin="1656,5" coordsize="20,0" path="m1656,5l1675,5e" filled="false" stroked="true" strokeweight=".48004pt" strokecolor="#000000">
                      <v:path arrowok="t"/>
                    </v:shape>
                  </v:group>
                  <v:group style="position:absolute;left:1675;top:5;width:20;height:2" coordorigin="1675,5" coordsize="20,2">
                    <v:shape style="position:absolute;left:1675;top:5;width:20;height:2" coordorigin="1675,5" coordsize="20,0" path="m1675,5l1694,5e" filled="false" stroked="true" strokeweight=".48004pt" strokecolor="#000000">
                      <v:path arrowok="t"/>
                    </v:shape>
                  </v:group>
                  <v:group style="position:absolute;left:1694;top:5;width:20;height:2" coordorigin="1694,5" coordsize="20,2">
                    <v:shape style="position:absolute;left:1694;top:5;width:20;height:2" coordorigin="1694,5" coordsize="20,0" path="m1694,5l1714,5e" filled="false" stroked="true" strokeweight=".48004pt" strokecolor="#000000">
                      <v:path arrowok="t"/>
                    </v:shape>
                  </v:group>
                  <v:group style="position:absolute;left:1714;top:5;width:15;height:2" coordorigin="1714,5" coordsize="15,2">
                    <v:shape style="position:absolute;left:1714;top:5;width:15;height:2" coordorigin="1714,5" coordsize="15,0" path="m1714,5l1728,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26"/>
              <w:ind w:left="523" w:right="0"/>
              <w:jc w:val="left"/>
              <w:rPr>
                <w:rFonts w:ascii="宋体" w:hAnsi="宋体" w:cs="宋体" w:eastAsia="宋体" w:hint="default"/>
                <w:sz w:val="18"/>
                <w:szCs w:val="18"/>
              </w:rPr>
            </w:pPr>
            <w:r>
              <w:rPr>
                <w:rFonts w:ascii="宋体"/>
                <w:sz w:val="18"/>
              </w:rPr>
              <w:t>63,682,289.74</w:t>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5"/>
              <w:jc w:val="right"/>
              <w:rPr>
                <w:rFonts w:ascii="宋体" w:hAnsi="宋体" w:cs="宋体" w:eastAsia="宋体" w:hint="default"/>
                <w:sz w:val="18"/>
                <w:szCs w:val="18"/>
              </w:rPr>
            </w:pPr>
            <w:r>
              <w:rPr>
                <w:rFonts w:ascii="宋体"/>
                <w:sz w:val="18"/>
              </w:rPr>
              <w:t>100%</w:t>
            </w:r>
          </w:p>
        </w:tc>
        <w:tc>
          <w:tcPr>
            <w:tcW w:w="259"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pacing w:val="-1"/>
                <w:sz w:val="18"/>
              </w:rPr>
              <w:t>7,796,472.55</w:t>
            </w:r>
          </w:p>
        </w:tc>
        <w:tc>
          <w:tcPr>
            <w:tcW w:w="315"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6"/>
          <w:szCs w:val="26"/>
        </w:rPr>
      </w:pPr>
    </w:p>
    <w:p>
      <w:pPr>
        <w:spacing w:before="36"/>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．期末数中无预收持本公司</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．期末数中无预收其他关联方款项。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02" w:right="616" w:firstLine="422"/>
        <w:jc w:val="left"/>
        <w:rPr>
          <w:rFonts w:ascii="宋体" w:hAnsi="宋体" w:cs="宋体" w:eastAsia="宋体" w:hint="default"/>
          <w:sz w:val="21"/>
          <w:szCs w:val="21"/>
        </w:rPr>
      </w:pPr>
      <w:r>
        <w:rPr>
          <w:rFonts w:ascii="宋体" w:hAnsi="宋体" w:cs="宋体" w:eastAsia="宋体" w:hint="default"/>
          <w:b/>
          <w:bCs/>
          <w:spacing w:val="-1"/>
          <w:sz w:val="21"/>
          <w:szCs w:val="21"/>
        </w:rPr>
        <w:t>3</w:t>
      </w:r>
      <w:r>
        <w:rPr>
          <w:rFonts w:ascii="宋体" w:hAnsi="宋体" w:cs="宋体" w:eastAsia="宋体" w:hint="default"/>
          <w:b/>
          <w:bCs/>
          <w:spacing w:val="-1"/>
          <w:sz w:val="21"/>
          <w:szCs w:val="21"/>
        </w:rPr>
        <w:t>．预收款项期末数比期初数增加</w:t>
      </w:r>
      <w:r>
        <w:rPr>
          <w:rFonts w:ascii="宋体" w:hAnsi="宋体" w:cs="宋体" w:eastAsia="宋体" w:hint="default"/>
          <w:b/>
          <w:bCs/>
          <w:spacing w:val="-1"/>
          <w:sz w:val="21"/>
          <w:szCs w:val="21"/>
        </w:rPr>
        <w:t>55,885,817.19</w:t>
      </w:r>
      <w:r>
        <w:rPr>
          <w:rFonts w:ascii="宋体" w:hAnsi="宋体" w:cs="宋体" w:eastAsia="宋体" w:hint="default"/>
          <w:b/>
          <w:bCs/>
          <w:spacing w:val="-1"/>
          <w:sz w:val="21"/>
          <w:szCs w:val="21"/>
        </w:rPr>
        <w:t>元，增幅为</w:t>
      </w:r>
      <w:r>
        <w:rPr>
          <w:rFonts w:ascii="宋体" w:hAnsi="宋体" w:cs="宋体" w:eastAsia="宋体" w:hint="default"/>
          <w:b/>
          <w:bCs/>
          <w:spacing w:val="-1"/>
          <w:sz w:val="21"/>
          <w:szCs w:val="21"/>
        </w:rPr>
        <w:t>716.81%</w:t>
      </w:r>
      <w:r>
        <w:rPr>
          <w:rFonts w:ascii="宋体" w:hAnsi="宋体" w:cs="宋体" w:eastAsia="宋体" w:hint="default"/>
          <w:b/>
          <w:bCs/>
          <w:spacing w:val="-1"/>
          <w:sz w:val="21"/>
          <w:szCs w:val="21"/>
        </w:rPr>
        <w:t>，增加的主要原因为：</w:t>
      </w:r>
      <w:r>
        <w:rPr>
          <w:rFonts w:ascii="宋体" w:hAnsi="宋体" w:cs="宋体" w:eastAsia="宋体" w:hint="default"/>
          <w:b/>
          <w:bCs/>
          <w:w w:val="100"/>
          <w:sz w:val="21"/>
          <w:szCs w:val="21"/>
        </w:rPr>
        <w:t> </w:t>
      </w:r>
      <w:r>
        <w:rPr>
          <w:rFonts w:ascii="宋体" w:hAnsi="宋体" w:cs="宋体" w:eastAsia="宋体" w:hint="default"/>
          <w:b/>
          <w:bCs/>
          <w:sz w:val="21"/>
          <w:szCs w:val="21"/>
        </w:rPr>
        <w:t>本期新增预收艾体威尔电子技术</w:t>
      </w:r>
      <w:r>
        <w:rPr>
          <w:rFonts w:ascii="宋体" w:hAnsi="宋体" w:cs="宋体" w:eastAsia="宋体" w:hint="default"/>
          <w:b/>
          <w:bCs/>
          <w:sz w:val="21"/>
          <w:szCs w:val="21"/>
        </w:rPr>
        <w:t>(</w:t>
      </w:r>
      <w:r>
        <w:rPr>
          <w:rFonts w:ascii="宋体" w:hAnsi="宋体" w:cs="宋体" w:eastAsia="宋体" w:hint="default"/>
          <w:b/>
          <w:bCs/>
          <w:sz w:val="21"/>
          <w:szCs w:val="21"/>
        </w:rPr>
        <w:t>北京</w:t>
      </w:r>
      <w:r>
        <w:rPr>
          <w:rFonts w:ascii="宋体" w:hAnsi="宋体" w:cs="宋体" w:eastAsia="宋体" w:hint="default"/>
          <w:b/>
          <w:bCs/>
          <w:sz w:val="21"/>
          <w:szCs w:val="21"/>
        </w:rPr>
        <w:t>)</w:t>
      </w:r>
      <w:r>
        <w:rPr>
          <w:rFonts w:ascii="宋体" w:hAnsi="宋体" w:cs="宋体" w:eastAsia="宋体" w:hint="default"/>
          <w:b/>
          <w:bCs/>
          <w:sz w:val="21"/>
          <w:szCs w:val="21"/>
        </w:rPr>
        <w:t>有限公司、北京数字王府井科技有限公司和中国银行股</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0" w:footer="1195" w:top="1320" w:bottom="1380" w:left="1600" w:right="860"/>
        </w:sectPr>
      </w:pPr>
    </w:p>
    <w:p>
      <w:pPr>
        <w:spacing w:line="340" w:lineRule="auto" w:before="24"/>
        <w:ind w:left="524" w:right="5821" w:hanging="423"/>
        <w:jc w:val="left"/>
        <w:rPr>
          <w:rFonts w:ascii="宋体" w:hAnsi="宋体" w:cs="宋体" w:eastAsia="宋体" w:hint="default"/>
          <w:sz w:val="21"/>
          <w:szCs w:val="21"/>
        </w:rPr>
      </w:pPr>
      <w:r>
        <w:rPr>
          <w:rFonts w:ascii="宋体" w:hAnsi="宋体" w:cs="宋体" w:eastAsia="宋体" w:hint="default"/>
          <w:b/>
          <w:bCs/>
          <w:sz w:val="21"/>
          <w:szCs w:val="21"/>
        </w:rPr>
        <w:t>份有限公司</w:t>
      </w:r>
      <w:r>
        <w:rPr>
          <w:rFonts w:ascii="宋体" w:hAnsi="宋体" w:cs="宋体" w:eastAsia="宋体" w:hint="default"/>
          <w:b/>
          <w:bCs/>
          <w:sz w:val="21"/>
          <w:szCs w:val="21"/>
        </w:rPr>
        <w:t>46,113,084.00</w:t>
      </w:r>
      <w:r>
        <w:rPr>
          <w:rFonts w:ascii="宋体" w:hAnsi="宋体" w:cs="宋体" w:eastAsia="宋体" w:hint="default"/>
          <w:b/>
          <w:bCs/>
          <w:sz w:val="21"/>
          <w:szCs w:val="21"/>
        </w:rPr>
        <w:t>元的货款。</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2648"/>
        <w:gridCol w:w="1765"/>
        <w:gridCol w:w="1680"/>
        <w:gridCol w:w="1575"/>
        <w:gridCol w:w="1532"/>
      </w:tblGrid>
      <w:tr>
        <w:trPr>
          <w:trHeight w:val="255" w:hRule="exact"/>
        </w:trPr>
        <w:tc>
          <w:tcPr>
            <w:tcW w:w="264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5" w:type="dxa"/>
            <w:tcBorders>
              <w:top w:val="nil" w:sz="6" w:space="0" w:color="auto"/>
              <w:left w:val="nil" w:sz="6" w:space="0" w:color="auto"/>
              <w:bottom w:val="single" w:sz="4" w:space="0" w:color="000000"/>
              <w:right w:val="nil" w:sz="6" w:space="0" w:color="auto"/>
            </w:tcBorders>
          </w:tcPr>
          <w:p>
            <w:pPr>
              <w:pStyle w:val="TableParagraph"/>
              <w:spacing w:line="180" w:lineRule="exact"/>
              <w:ind w:left="65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4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376"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180" w:lineRule="exact"/>
              <w:ind w:left="5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3" w:hRule="exact"/>
        </w:trPr>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5,067,315.86</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46,874,798.09</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39,891,122.72</w:t>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12,050,991.23</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2,031,092.97</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2,031,092.97</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2,272,783.70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2,272,783.70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．医疗保险费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671,738.16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671,738.16</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1,406,613.51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1,406,613.51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．年金缴费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78,661.24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78,661.24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．工伤保险费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54,515.65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54,515.65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．生育保险费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61,255.14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61,255.14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502,897.25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502,897.25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355,612.73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355,612.73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38"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6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5,067,315.86</w:t>
            </w:r>
          </w:p>
        </w:tc>
        <w:tc>
          <w:tcPr>
            <w:tcW w:w="1680"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52,037,184.74</w:t>
            </w: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45,053,509.37</w:t>
            </w: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12,050,991.23</w:t>
            </w:r>
          </w:p>
        </w:tc>
      </w:tr>
    </w:tbl>
    <w:p>
      <w:pPr>
        <w:spacing w:line="240" w:lineRule="auto" w:before="13"/>
        <w:rPr>
          <w:rFonts w:ascii="宋体" w:hAnsi="宋体" w:cs="宋体" w:eastAsia="宋体" w:hint="default"/>
          <w:b/>
          <w:bCs/>
          <w:sz w:val="25"/>
          <w:szCs w:val="25"/>
        </w:rPr>
      </w:pPr>
    </w:p>
    <w:p>
      <w:pPr>
        <w:spacing w:line="408" w:lineRule="auto" w:before="36"/>
        <w:ind w:left="102" w:right="0"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．应付职工薪酬期末数比期初数增加</w:t>
      </w:r>
      <w:r>
        <w:rPr>
          <w:rFonts w:ascii="宋体" w:hAnsi="宋体" w:cs="宋体" w:eastAsia="宋体" w:hint="default"/>
          <w:b/>
          <w:bCs/>
          <w:sz w:val="21"/>
          <w:szCs w:val="21"/>
        </w:rPr>
        <w:t>6,983,675.37</w:t>
      </w:r>
      <w:r>
        <w:rPr>
          <w:rFonts w:ascii="宋体" w:hAnsi="宋体" w:cs="宋体" w:eastAsia="宋体" w:hint="default"/>
          <w:b/>
          <w:bCs/>
          <w:sz w:val="21"/>
          <w:szCs w:val="21"/>
        </w:rPr>
        <w:t>元，增幅为</w:t>
      </w:r>
      <w:r>
        <w:rPr>
          <w:rFonts w:ascii="宋体" w:hAnsi="宋体" w:cs="宋体" w:eastAsia="宋体" w:hint="default"/>
          <w:b/>
          <w:bCs/>
          <w:sz w:val="21"/>
          <w:szCs w:val="21"/>
        </w:rPr>
        <w:t>137.82%</w:t>
      </w:r>
      <w:r>
        <w:rPr>
          <w:rFonts w:ascii="宋体" w:hAnsi="宋体" w:cs="宋体" w:eastAsia="宋体" w:hint="default"/>
          <w:b/>
          <w:bCs/>
          <w:sz w:val="21"/>
          <w:szCs w:val="21"/>
        </w:rPr>
        <w:t>，增加的主要原因</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为：本年公司为了推广市场、增强研发能力而增加的市场销售人员和研发人员，导致工资增加。</w:t>
      </w:r>
      <w:r>
        <w:rPr>
          <w:rFonts w:ascii="宋体" w:hAnsi="宋体" w:cs="宋体" w:eastAsia="宋体" w:hint="default"/>
          <w:spacing w:val="-4"/>
          <w:sz w:val="21"/>
          <w:szCs w:val="21"/>
        </w:rPr>
      </w:r>
    </w:p>
    <w:p>
      <w:pPr>
        <w:spacing w:line="240" w:lineRule="auto" w:before="5"/>
        <w:rPr>
          <w:rFonts w:ascii="宋体" w:hAnsi="宋体" w:cs="宋体" w:eastAsia="宋体" w:hint="default"/>
          <w:b/>
          <w:bCs/>
          <w:sz w:val="27"/>
          <w:szCs w:val="27"/>
        </w:rPr>
      </w:pPr>
    </w:p>
    <w:p>
      <w:pPr>
        <w:spacing w:before="0"/>
        <w:ind w:left="524" w:right="58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004"/>
        <w:gridCol w:w="1689"/>
        <w:gridCol w:w="1936"/>
        <w:gridCol w:w="1589"/>
        <w:gridCol w:w="2002"/>
      </w:tblGrid>
      <w:tr>
        <w:trPr>
          <w:trHeight w:val="267"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right="821"/>
              <w:jc w:val="right"/>
              <w:rPr>
                <w:rFonts w:ascii="宋体" w:hAnsi="宋体" w:cs="宋体" w:eastAsia="宋体" w:hint="default"/>
                <w:sz w:val="18"/>
                <w:szCs w:val="18"/>
              </w:rPr>
            </w:pPr>
            <w:r>
              <w:rPr>
                <w:rFonts w:ascii="宋体" w:hAnsi="宋体" w:cs="宋体" w:eastAsia="宋体" w:hint="default"/>
                <w:sz w:val="18"/>
                <w:szCs w:val="18"/>
              </w:rPr>
              <w:t>税项</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3"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4,040,774.81</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414,309.35</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42,659.07</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32,532.25</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779,768.61</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326,657.04</w:t>
            </w:r>
          </w:p>
        </w:tc>
      </w:tr>
      <w:tr>
        <w:trPr>
          <w:trHeight w:val="34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555,156.50</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139,995.87</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5,913,609.03</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1,066,887.89</w:t>
            </w:r>
          </w:p>
        </w:tc>
      </w:tr>
      <w:tr>
        <w:trPr>
          <w:trHeight w:val="3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11,882.89</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940.36</w:t>
            </w:r>
          </w:p>
        </w:tc>
      </w:tr>
      <w:tr>
        <w:trPr>
          <w:trHeight w:val="34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81,213.97</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9,056.83</w:t>
            </w:r>
          </w:p>
        </w:tc>
      </w:tr>
      <w:tr>
        <w:trPr>
          <w:trHeight w:val="346"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40,129.31</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53,904.00</w:t>
            </w:r>
          </w:p>
        </w:tc>
      </w:tr>
      <w:tr>
        <w:trPr>
          <w:trHeight w:val="37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21"/>
              <w:jc w:val="right"/>
              <w:rPr>
                <w:rFonts w:ascii="宋体" w:hAnsi="宋体" w:cs="宋体" w:eastAsia="宋体" w:hint="default"/>
                <w:sz w:val="18"/>
                <w:szCs w:val="18"/>
              </w:rPr>
            </w:pPr>
            <w:r>
              <w:rPr>
                <w:rFonts w:ascii="宋体" w:hAnsi="宋体" w:cs="宋体" w:eastAsia="宋体" w:hint="default"/>
                <w:sz w:val="18"/>
                <w:szCs w:val="18"/>
              </w:rPr>
              <w:t>合计</w:t>
            </w:r>
          </w:p>
        </w:tc>
        <w:tc>
          <w:tcPr>
            <w:tcW w:w="1689" w:type="dxa"/>
            <w:tcBorders>
              <w:top w:val="nil" w:sz="6" w:space="0" w:color="auto"/>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11,465,194.19</w:t>
            </w:r>
          </w:p>
        </w:tc>
        <w:tc>
          <w:tcPr>
            <w:tcW w:w="1589"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2,044,283.59</w:t>
            </w:r>
          </w:p>
        </w:tc>
      </w:tr>
    </w:tbl>
    <w:p>
      <w:pPr>
        <w:spacing w:line="240" w:lineRule="auto" w:before="13"/>
        <w:rPr>
          <w:rFonts w:ascii="宋体" w:hAnsi="宋体" w:cs="宋体" w:eastAsia="宋体" w:hint="default"/>
          <w:b/>
          <w:bCs/>
          <w:sz w:val="25"/>
          <w:szCs w:val="25"/>
        </w:rPr>
      </w:pPr>
    </w:p>
    <w:p>
      <w:pPr>
        <w:spacing w:before="36"/>
        <w:ind w:left="102" w:right="0"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．应交税费期末数比期初数增加</w:t>
      </w:r>
      <w:r>
        <w:rPr>
          <w:rFonts w:ascii="宋体" w:hAnsi="宋体" w:cs="宋体" w:eastAsia="宋体" w:hint="default"/>
          <w:b/>
          <w:bCs/>
          <w:sz w:val="21"/>
          <w:szCs w:val="21"/>
        </w:rPr>
        <w:t>9,420,910.60</w:t>
      </w:r>
      <w:r>
        <w:rPr>
          <w:rFonts w:ascii="宋体" w:hAnsi="宋体" w:cs="宋体" w:eastAsia="宋体" w:hint="default"/>
          <w:b/>
          <w:bCs/>
          <w:sz w:val="21"/>
          <w:szCs w:val="21"/>
        </w:rPr>
        <w:t>元，增幅为</w:t>
      </w:r>
      <w:r>
        <w:rPr>
          <w:rFonts w:ascii="宋体" w:hAnsi="宋体" w:cs="宋体" w:eastAsia="宋体" w:hint="default"/>
          <w:b/>
          <w:bCs/>
          <w:sz w:val="21"/>
          <w:szCs w:val="21"/>
        </w:rPr>
        <w:t>460.84%</w:t>
      </w:r>
      <w:r>
        <w:rPr>
          <w:rFonts w:ascii="宋体" w:hAnsi="宋体" w:cs="宋体" w:eastAsia="宋体" w:hint="default"/>
          <w:b/>
          <w:bCs/>
          <w:sz w:val="21"/>
          <w:szCs w:val="21"/>
        </w:rPr>
        <w:t>，增加的主要原因为本</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2" w:right="0" w:firstLine="0"/>
        <w:jc w:val="left"/>
        <w:rPr>
          <w:rFonts w:ascii="宋体" w:hAnsi="宋体" w:cs="宋体" w:eastAsia="宋体" w:hint="default"/>
          <w:sz w:val="21"/>
          <w:szCs w:val="21"/>
        </w:rPr>
      </w:pPr>
      <w:r>
        <w:rPr>
          <w:rFonts w:ascii="宋体" w:hAnsi="宋体" w:cs="宋体" w:eastAsia="宋体" w:hint="default"/>
          <w:b/>
          <w:bCs/>
          <w:sz w:val="21"/>
          <w:szCs w:val="21"/>
        </w:rPr>
        <w:t>期营业收入增加导致企业增值税增加</w:t>
      </w:r>
      <w:r>
        <w:rPr>
          <w:rFonts w:ascii="宋体" w:hAnsi="宋体" w:cs="宋体" w:eastAsia="宋体" w:hint="default"/>
          <w:b/>
          <w:bCs/>
          <w:sz w:val="21"/>
          <w:szCs w:val="21"/>
        </w:rPr>
        <w:t>3,626,465.46</w:t>
      </w:r>
      <w:r>
        <w:rPr>
          <w:rFonts w:ascii="宋体" w:hAnsi="宋体" w:cs="宋体" w:eastAsia="宋体" w:hint="default"/>
          <w:b/>
          <w:bCs/>
          <w:sz w:val="21"/>
          <w:szCs w:val="21"/>
        </w:rPr>
        <w:t>元；本公司之子公司易联技术本年度由原免</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24"/>
          <w:pgSz w:w="11910" w:h="16840"/>
          <w:pgMar w:footer="1195" w:header="0" w:top="1440" w:bottom="1380" w:left="1600" w:right="880"/>
          <w:pgNumType w:start="127"/>
        </w:sectPr>
      </w:pPr>
    </w:p>
    <w:p>
      <w:pPr>
        <w:spacing w:line="340" w:lineRule="auto" w:before="24"/>
        <w:ind w:left="524" w:right="2695" w:hanging="423"/>
        <w:jc w:val="left"/>
        <w:rPr>
          <w:rFonts w:ascii="宋体" w:hAnsi="宋体" w:cs="宋体" w:eastAsia="宋体" w:hint="default"/>
          <w:sz w:val="21"/>
          <w:szCs w:val="21"/>
        </w:rPr>
      </w:pPr>
      <w:r>
        <w:rPr>
          <w:rFonts w:ascii="宋体" w:hAnsi="宋体" w:cs="宋体" w:eastAsia="宋体" w:hint="default"/>
          <w:b/>
          <w:bCs/>
          <w:sz w:val="21"/>
          <w:szCs w:val="21"/>
        </w:rPr>
        <w:t>征企业所得税变为减半征收，导致企业所得税增加</w:t>
      </w:r>
      <w:r>
        <w:rPr>
          <w:rFonts w:ascii="宋体" w:hAnsi="宋体" w:cs="宋体" w:eastAsia="宋体" w:hint="default"/>
          <w:b/>
          <w:bCs/>
          <w:sz w:val="21"/>
          <w:szCs w:val="21"/>
        </w:rPr>
        <w:t>6,339,400.95</w:t>
      </w:r>
      <w:r>
        <w:rPr>
          <w:rFonts w:ascii="宋体" w:hAnsi="宋体" w:cs="宋体" w:eastAsia="宋体" w:hint="default"/>
          <w:b/>
          <w:bCs/>
          <w:sz w:val="21"/>
          <w:szCs w:val="21"/>
        </w:rPr>
        <w:t>元。</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892"/>
        <w:gridCol w:w="314"/>
        <w:gridCol w:w="1999"/>
        <w:gridCol w:w="1291"/>
        <w:gridCol w:w="271"/>
        <w:gridCol w:w="1584"/>
        <w:gridCol w:w="103"/>
        <w:gridCol w:w="1486"/>
      </w:tblGrid>
      <w:tr>
        <w:trPr>
          <w:trHeight w:val="253" w:hRule="exact"/>
        </w:trPr>
        <w:tc>
          <w:tcPr>
            <w:tcW w:w="1892"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right"/>
              <w:rPr>
                <w:rFonts w:ascii="宋体" w:hAnsi="宋体" w:cs="宋体" w:eastAsia="宋体" w:hint="default"/>
                <w:sz w:val="18"/>
                <w:szCs w:val="18"/>
              </w:rPr>
            </w:pPr>
            <w:r>
              <w:rPr>
                <w:rFonts w:ascii="宋体" w:hAnsi="宋体" w:cs="宋体" w:eastAsia="宋体" w:hint="default"/>
                <w:sz w:val="18"/>
                <w:szCs w:val="18"/>
              </w:rPr>
              <w:t>期末数</w:t>
            </w:r>
          </w:p>
        </w:tc>
        <w:tc>
          <w:tcPr>
            <w:tcW w:w="1291" w:type="dxa"/>
            <w:tcBorders>
              <w:top w:val="nil" w:sz="6" w:space="0" w:color="auto"/>
              <w:left w:val="nil" w:sz="6" w:space="0" w:color="auto"/>
              <w:bottom w:val="single" w:sz="4" w:space="0" w:color="000000"/>
              <w:right w:val="nil" w:sz="6" w:space="0" w:color="auto"/>
            </w:tcBorders>
          </w:tcPr>
          <w:p>
            <w:pPr/>
          </w:p>
        </w:tc>
        <w:tc>
          <w:tcPr>
            <w:tcW w:w="344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7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9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15" w:hRule="exact"/>
        </w:trPr>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55pt;height:.5pt;mso-position-horizontal-relative:char;mso-position-vertical-relative:line" coordorigin="0,0" coordsize="1691,10">
                  <v:group style="position:absolute;left:5;top:5;width:1681;height:2" coordorigin="5,5" coordsize="1681,2">
                    <v:shape style="position:absolute;left:5;top:5;width:1681;height:2" coordorigin="5,5" coordsize="1681,0" path="m5,5l168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left="568" w:right="0"/>
              <w:jc w:val="left"/>
              <w:rPr>
                <w:rFonts w:ascii="宋体" w:hAnsi="宋体" w:cs="宋体" w:eastAsia="宋体" w:hint="default"/>
                <w:sz w:val="18"/>
                <w:szCs w:val="18"/>
              </w:rPr>
            </w:pPr>
            <w:r>
              <w:rPr>
                <w:rFonts w:ascii="宋体"/>
                <w:sz w:val="18"/>
              </w:rPr>
              <w:t>4,891,032.19</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97.35%</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1,792,221.46</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88.34%</w:t>
            </w:r>
          </w:p>
        </w:tc>
      </w:tr>
      <w:tr>
        <w:trPr>
          <w:trHeight w:val="312"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7" w:right="0"/>
              <w:jc w:val="left"/>
              <w:rPr>
                <w:rFonts w:ascii="宋体" w:hAnsi="宋体" w:cs="宋体" w:eastAsia="宋体" w:hint="default"/>
                <w:sz w:val="18"/>
                <w:szCs w:val="18"/>
              </w:rPr>
            </w:pPr>
            <w:r>
              <w:rPr>
                <w:rFonts w:ascii="宋体"/>
                <w:sz w:val="18"/>
              </w:rPr>
              <w:t>90,803.00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1.81%</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206,431.35</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10.17%</w:t>
            </w:r>
          </w:p>
        </w:tc>
      </w:tr>
      <w:tr>
        <w:trPr>
          <w:trHeight w:val="312"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7" w:right="0"/>
              <w:jc w:val="left"/>
              <w:rPr>
                <w:rFonts w:ascii="宋体" w:hAnsi="宋体" w:cs="宋体" w:eastAsia="宋体" w:hint="default"/>
                <w:sz w:val="18"/>
                <w:szCs w:val="18"/>
              </w:rPr>
            </w:pPr>
            <w:r>
              <w:rPr>
                <w:rFonts w:ascii="宋体"/>
                <w:sz w:val="18"/>
              </w:rPr>
              <w:t>42,394.00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0.84%</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1,688.00</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0.08%</w:t>
            </w:r>
          </w:p>
        </w:tc>
      </w:tr>
      <w:tr>
        <w:trPr>
          <w:trHeight w:val="319"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6"/>
              <w:jc w:val="right"/>
              <w:rPr>
                <w:rFonts w:ascii="宋体" w:hAnsi="宋体" w:cs="宋体" w:eastAsia="宋体" w:hint="default"/>
                <w:sz w:val="18"/>
                <w:szCs w:val="18"/>
              </w:rPr>
            </w:pPr>
            <w:r>
              <w:rPr>
                <w:rFonts w:ascii="宋体"/>
                <w:sz w:val="18"/>
              </w:rPr>
              <w:t>---</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28,666.00</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1.41%</w:t>
            </w:r>
          </w:p>
        </w:tc>
      </w:tr>
      <w:tr>
        <w:trPr>
          <w:trHeight w:val="346"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314"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09" cy="9144"/>
                  <wp:effectExtent l="0" t="0" r="0" b="0"/>
                  <wp:docPr id="91" name="image66.png" descr=""/>
                  <wp:cNvGraphicFramePr>
                    <a:graphicFrameLocks noChangeAspect="1"/>
                  </wp:cNvGraphicFramePr>
                  <a:graphic>
                    <a:graphicData uri="http://schemas.openxmlformats.org/drawingml/2006/picture">
                      <pic:pic>
                        <pic:nvPicPr>
                          <pic:cNvPr id="92" name="image66.png"/>
                          <pic:cNvPicPr/>
                        </pic:nvPicPr>
                        <pic:blipFill>
                          <a:blip r:embed="rId125" cstate="print"/>
                          <a:stretch>
                            <a:fillRect/>
                          </a:stretch>
                        </pic:blipFill>
                        <pic:spPr>
                          <a:xfrm>
                            <a:off x="0" y="0"/>
                            <a:ext cx="106700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left="568" w:right="0"/>
              <w:jc w:val="left"/>
              <w:rPr>
                <w:rFonts w:ascii="宋体" w:hAnsi="宋体" w:cs="宋体" w:eastAsia="宋体" w:hint="default"/>
                <w:sz w:val="18"/>
                <w:szCs w:val="18"/>
              </w:rPr>
            </w:pPr>
            <w:r>
              <w:rPr>
                <w:rFonts w:ascii="宋体"/>
                <w:sz w:val="18"/>
              </w:rPr>
              <w:t>5,024,229.19</w:t>
            </w:r>
          </w:p>
        </w:tc>
        <w:tc>
          <w:tcPr>
            <w:tcW w:w="1291" w:type="dxa"/>
            <w:tcBorders>
              <w:top w:val="nil" w:sz="6" w:space="0" w:color="auto"/>
              <w:left w:val="nil" w:sz="6" w:space="0" w:color="auto"/>
              <w:bottom w:val="single" w:sz="17" w:space="0" w:color="000000"/>
              <w:right w:val="nil" w:sz="6" w:space="0" w:color="auto"/>
            </w:tcBorders>
          </w:tcPr>
          <w:p>
            <w:pPr>
              <w:pStyle w:val="TableParagraph"/>
              <w:spacing w:line="240" w:lineRule="auto" w:before="18"/>
              <w:ind w:right="28"/>
              <w:jc w:val="right"/>
              <w:rPr>
                <w:rFonts w:ascii="宋体" w:hAnsi="宋体" w:cs="宋体" w:eastAsia="宋体" w:hint="default"/>
                <w:sz w:val="18"/>
                <w:szCs w:val="18"/>
              </w:rPr>
            </w:pPr>
            <w:r>
              <w:rPr>
                <w:rFonts w:ascii="宋体"/>
                <w:sz w:val="18"/>
              </w:rPr>
              <w:t>100%</w:t>
            </w:r>
          </w:p>
        </w:tc>
        <w:tc>
          <w:tcPr>
            <w:tcW w:w="27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1607" cy="9144"/>
                  <wp:effectExtent l="0" t="0" r="0" b="0"/>
                  <wp:docPr id="93" name="image67.png" descr=""/>
                  <wp:cNvGraphicFramePr>
                    <a:graphicFrameLocks noChangeAspect="1"/>
                  </wp:cNvGraphicFramePr>
                  <a:graphic>
                    <a:graphicData uri="http://schemas.openxmlformats.org/drawingml/2006/picture">
                      <pic:pic>
                        <pic:nvPicPr>
                          <pic:cNvPr id="94" name="image67.png"/>
                          <pic:cNvPicPr/>
                        </pic:nvPicPr>
                        <pic:blipFill>
                          <a:blip r:embed="rId126" cstate="print"/>
                          <a:stretch>
                            <a:fillRect/>
                          </a:stretch>
                        </pic:blipFill>
                        <pic:spPr>
                          <a:xfrm>
                            <a:off x="0" y="0"/>
                            <a:ext cx="10016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28"/>
              <w:jc w:val="right"/>
              <w:rPr>
                <w:rFonts w:ascii="宋体" w:hAnsi="宋体" w:cs="宋体" w:eastAsia="宋体" w:hint="default"/>
                <w:sz w:val="18"/>
                <w:szCs w:val="18"/>
              </w:rPr>
            </w:pPr>
            <w:r>
              <w:rPr>
                <w:rFonts w:ascii="宋体"/>
                <w:spacing w:val="-1"/>
                <w:sz w:val="18"/>
              </w:rPr>
              <w:t>2,029,006.81</w:t>
            </w:r>
          </w:p>
        </w:tc>
        <w:tc>
          <w:tcPr>
            <w:tcW w:w="10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7"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43571" cy="9144"/>
                  <wp:effectExtent l="0" t="0" r="0" b="0"/>
                  <wp:docPr id="95" name="image68.png" descr=""/>
                  <wp:cNvGraphicFramePr>
                    <a:graphicFrameLocks noChangeAspect="1"/>
                  </wp:cNvGraphicFramePr>
                  <a:graphic>
                    <a:graphicData uri="http://schemas.openxmlformats.org/drawingml/2006/picture">
                      <pic:pic>
                        <pic:nvPicPr>
                          <pic:cNvPr id="96" name="image68.png"/>
                          <pic:cNvPicPr/>
                        </pic:nvPicPr>
                        <pic:blipFill>
                          <a:blip r:embed="rId127" cstate="print"/>
                          <a:stretch>
                            <a:fillRect/>
                          </a:stretch>
                        </pic:blipFill>
                        <pic:spPr>
                          <a:xfrm>
                            <a:off x="0" y="0"/>
                            <a:ext cx="94357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28"/>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b/>
          <w:bCs/>
          <w:sz w:val="25"/>
          <w:szCs w:val="25"/>
        </w:rPr>
      </w:pPr>
    </w:p>
    <w:p>
      <w:pPr>
        <w:spacing w:before="36"/>
        <w:ind w:left="524" w:right="412" w:firstLine="0"/>
        <w:jc w:val="left"/>
        <w:rPr>
          <w:rFonts w:ascii="宋体" w:hAnsi="宋体" w:cs="宋体" w:eastAsia="宋体" w:hint="default"/>
          <w:sz w:val="21"/>
          <w:szCs w:val="21"/>
        </w:rPr>
      </w:pPr>
      <w:r>
        <w:rPr/>
        <w:pict>
          <v:shape style="position:absolute;margin-left:284.709991pt;margin-top:-35.646374pt;width:75.236855pt;height:.72pt;mso-position-horizontal-relative:page;mso-position-vertical-relative:paragraph;z-index:-645856" type="#_x0000_t75" stroked="false">
            <v:imagedata r:id="rId128" o:title=""/>
          </v:shape>
        </w:pict>
      </w:r>
      <w:r>
        <w:rPr>
          <w:rFonts w:ascii="宋体" w:hAnsi="宋体" w:cs="宋体" w:eastAsia="宋体" w:hint="default"/>
          <w:b/>
          <w:bCs/>
          <w:sz w:val="21"/>
          <w:szCs w:val="21"/>
        </w:rPr>
        <w:t>1</w:t>
      </w:r>
      <w:r>
        <w:rPr>
          <w:rFonts w:ascii="宋体" w:hAnsi="宋体" w:cs="宋体" w:eastAsia="宋体" w:hint="default"/>
          <w:b/>
          <w:bCs/>
          <w:sz w:val="21"/>
          <w:szCs w:val="21"/>
        </w:rPr>
        <w:t>．期末数中无欠持本公司</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line="408" w:lineRule="auto" w:before="36"/>
        <w:ind w:left="102" w:right="412" w:firstLine="42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．其他应付款期末数比期初数增加</w:t>
      </w:r>
      <w:r>
        <w:rPr>
          <w:rFonts w:ascii="宋体" w:hAnsi="宋体" w:cs="宋体" w:eastAsia="宋体" w:hint="default"/>
          <w:b/>
          <w:bCs/>
          <w:spacing w:val="-49"/>
          <w:sz w:val="21"/>
          <w:szCs w:val="21"/>
        </w:rPr>
        <w:t> </w:t>
      </w:r>
      <w:r>
        <w:rPr>
          <w:rFonts w:ascii="宋体" w:hAnsi="宋体" w:cs="宋体" w:eastAsia="宋体" w:hint="default"/>
          <w:b/>
          <w:bCs/>
          <w:sz w:val="21"/>
          <w:szCs w:val="21"/>
        </w:rPr>
        <w:t>2,995,222.38</w:t>
      </w:r>
      <w:r>
        <w:rPr>
          <w:rFonts w:ascii="宋体" w:hAnsi="宋体" w:cs="宋体" w:eastAsia="宋体" w:hint="default"/>
          <w:b/>
          <w:bCs/>
          <w:spacing w:val="-49"/>
          <w:sz w:val="21"/>
          <w:szCs w:val="21"/>
        </w:rPr>
        <w:t> </w:t>
      </w:r>
      <w:r>
        <w:rPr>
          <w:rFonts w:ascii="宋体" w:hAnsi="宋体" w:cs="宋体" w:eastAsia="宋体" w:hint="default"/>
          <w:b/>
          <w:bCs/>
          <w:sz w:val="21"/>
          <w:szCs w:val="21"/>
        </w:rPr>
        <w:t>元，增幅为</w:t>
      </w:r>
      <w:r>
        <w:rPr>
          <w:rFonts w:ascii="宋体" w:hAnsi="宋体" w:cs="宋体" w:eastAsia="宋体" w:hint="default"/>
          <w:b/>
          <w:bCs/>
          <w:spacing w:val="-49"/>
          <w:sz w:val="21"/>
          <w:szCs w:val="21"/>
        </w:rPr>
        <w:t> </w:t>
      </w:r>
      <w:r>
        <w:rPr>
          <w:rFonts w:ascii="宋体" w:hAnsi="宋体" w:cs="宋体" w:eastAsia="宋体" w:hint="default"/>
          <w:b/>
          <w:bCs/>
          <w:sz w:val="21"/>
          <w:szCs w:val="21"/>
        </w:rPr>
        <w:t>147.62%</w:t>
      </w:r>
      <w:r>
        <w:rPr>
          <w:rFonts w:ascii="宋体" w:hAnsi="宋体" w:cs="宋体" w:eastAsia="宋体" w:hint="default"/>
          <w:b/>
          <w:bCs/>
          <w:sz w:val="21"/>
          <w:szCs w:val="21"/>
        </w:rPr>
        <w:t>，增加的主要原因</w:t>
      </w:r>
      <w:r>
        <w:rPr>
          <w:rFonts w:ascii="宋体" w:hAnsi="宋体" w:cs="宋体" w:eastAsia="宋体" w:hint="default"/>
          <w:b/>
          <w:bCs/>
          <w:w w:val="100"/>
          <w:sz w:val="21"/>
          <w:szCs w:val="21"/>
        </w:rPr>
        <w:t> </w:t>
      </w:r>
      <w:r>
        <w:rPr>
          <w:rFonts w:ascii="宋体" w:hAnsi="宋体" w:cs="宋体" w:eastAsia="宋体" w:hint="default"/>
          <w:b/>
          <w:bCs/>
          <w:sz w:val="21"/>
          <w:szCs w:val="21"/>
        </w:rPr>
        <w:t>为：期末余额中应付而未付的费用增加。</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524" w:right="26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549"/>
        <w:gridCol w:w="1119"/>
        <w:gridCol w:w="1940"/>
        <w:gridCol w:w="1318"/>
        <w:gridCol w:w="2016"/>
      </w:tblGrid>
      <w:tr>
        <w:trPr>
          <w:trHeight w:val="253" w:hRule="exact"/>
        </w:trPr>
        <w:tc>
          <w:tcPr>
            <w:tcW w:w="2549"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18"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5,750,000.00</w:t>
            </w:r>
          </w:p>
        </w:tc>
        <w:tc>
          <w:tcPr>
            <w:tcW w:w="1318" w:type="dxa"/>
            <w:tcBorders>
              <w:top w:val="nil" w:sz="6" w:space="0" w:color="auto"/>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3,850,000.00</w:t>
            </w:r>
          </w:p>
        </w:tc>
      </w:tr>
      <w:tr>
        <w:trPr>
          <w:trHeight w:val="341"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119"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5,750,000.00</w:t>
            </w:r>
          </w:p>
        </w:tc>
        <w:tc>
          <w:tcPr>
            <w:tcW w:w="1318" w:type="dxa"/>
            <w:tcBorders>
              <w:top w:val="nil" w:sz="6" w:space="0" w:color="auto"/>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3,850,000.00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102" w:right="429" w:firstLine="422"/>
        <w:jc w:val="both"/>
        <w:rPr>
          <w:rFonts w:ascii="宋体" w:hAnsi="宋体" w:cs="宋体" w:eastAsia="宋体" w:hint="default"/>
          <w:sz w:val="21"/>
          <w:szCs w:val="21"/>
        </w:rPr>
      </w:pPr>
      <w:r>
        <w:rPr>
          <w:rFonts w:ascii="宋体" w:hAnsi="宋体" w:cs="宋体" w:eastAsia="宋体" w:hint="default"/>
          <w:b/>
          <w:bCs/>
          <w:spacing w:val="-3"/>
          <w:sz w:val="21"/>
          <w:szCs w:val="21"/>
        </w:rPr>
        <w:t>1</w:t>
      </w:r>
      <w:r>
        <w:rPr>
          <w:rFonts w:ascii="宋体" w:hAnsi="宋体" w:cs="宋体" w:eastAsia="宋体" w:hint="default"/>
          <w:b/>
          <w:bCs/>
          <w:spacing w:val="-3"/>
          <w:sz w:val="21"/>
          <w:szCs w:val="21"/>
        </w:rPr>
        <w:t>．根据工信部财</w:t>
      </w:r>
      <w:r>
        <w:rPr>
          <w:rFonts w:ascii="宋体" w:hAnsi="宋体" w:cs="宋体" w:eastAsia="宋体" w:hint="default"/>
          <w:b/>
          <w:bCs/>
          <w:spacing w:val="-3"/>
          <w:sz w:val="21"/>
          <w:szCs w:val="21"/>
        </w:rPr>
        <w:t>[2009]480</w:t>
      </w:r>
      <w:r>
        <w:rPr>
          <w:rFonts w:ascii="宋体" w:hAnsi="宋体" w:cs="宋体" w:eastAsia="宋体" w:hint="default"/>
          <w:b/>
          <w:bCs/>
          <w:spacing w:val="-19"/>
          <w:sz w:val="21"/>
          <w:szCs w:val="21"/>
        </w:rPr>
        <w:t> </w:t>
      </w:r>
      <w:r>
        <w:rPr>
          <w:rFonts w:ascii="宋体" w:hAnsi="宋体" w:cs="宋体" w:eastAsia="宋体" w:hint="default"/>
          <w:b/>
          <w:bCs/>
          <w:spacing w:val="-3"/>
          <w:sz w:val="21"/>
          <w:szCs w:val="21"/>
        </w:rPr>
        <w:t>号文件相关规定，本公司获得电子信息产业发展基金工业和信</w:t>
      </w:r>
      <w:r>
        <w:rPr>
          <w:rFonts w:ascii="宋体" w:hAnsi="宋体" w:cs="宋体" w:eastAsia="宋体" w:hint="default"/>
          <w:b/>
          <w:bCs/>
          <w:w w:val="100"/>
          <w:sz w:val="21"/>
          <w:szCs w:val="21"/>
        </w:rPr>
        <w:t> </w:t>
      </w:r>
      <w:r>
        <w:rPr>
          <w:rFonts w:ascii="宋体" w:hAnsi="宋体" w:cs="宋体" w:eastAsia="宋体" w:hint="default"/>
          <w:b/>
          <w:bCs/>
          <w:sz w:val="21"/>
          <w:szCs w:val="21"/>
        </w:rPr>
        <w:t>息化部发展资金</w:t>
      </w:r>
      <w:r>
        <w:rPr>
          <w:rFonts w:ascii="宋体" w:hAnsi="宋体" w:cs="宋体" w:eastAsia="宋体" w:hint="default"/>
          <w:b/>
          <w:bCs/>
          <w:spacing w:val="-54"/>
          <w:sz w:val="21"/>
          <w:szCs w:val="21"/>
        </w:rPr>
        <w:t> </w:t>
      </w:r>
      <w:r>
        <w:rPr>
          <w:rFonts w:ascii="宋体" w:hAnsi="宋体" w:cs="宋体" w:eastAsia="宋体" w:hint="default"/>
          <w:b/>
          <w:bCs/>
          <w:sz w:val="21"/>
          <w:szCs w:val="21"/>
        </w:rPr>
        <w:t>100</w:t>
      </w:r>
      <w:r>
        <w:rPr>
          <w:rFonts w:ascii="宋体" w:hAnsi="宋体" w:cs="宋体" w:eastAsia="宋体" w:hint="default"/>
          <w:b/>
          <w:bCs/>
          <w:spacing w:val="-53"/>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408" w:lineRule="auto" w:before="46"/>
        <w:ind w:left="102" w:right="429" w:firstLine="422"/>
        <w:jc w:val="both"/>
        <w:rPr>
          <w:rFonts w:ascii="宋体" w:hAnsi="宋体" w:cs="宋体" w:eastAsia="宋体" w:hint="default"/>
          <w:sz w:val="21"/>
          <w:szCs w:val="21"/>
        </w:rPr>
      </w:pPr>
      <w:r>
        <w:rPr>
          <w:rFonts w:ascii="宋体" w:hAnsi="宋体" w:cs="宋体" w:eastAsia="宋体" w:hint="default"/>
          <w:b/>
          <w:bCs/>
          <w:spacing w:val="-4"/>
          <w:w w:val="100"/>
          <w:sz w:val="21"/>
          <w:szCs w:val="21"/>
        </w:rPr>
        <w:t>2</w:t>
      </w:r>
      <w:r>
        <w:rPr>
          <w:rFonts w:ascii="宋体" w:hAnsi="宋体" w:cs="宋体" w:eastAsia="宋体" w:hint="default"/>
          <w:b/>
          <w:bCs/>
          <w:spacing w:val="-4"/>
          <w:w w:val="100"/>
          <w:sz w:val="21"/>
          <w:szCs w:val="21"/>
        </w:rPr>
        <w:t>．根据《深圳市科技研发资金管理暂行办法》、《深圳市科技计划项目管理暂行办法》等</w:t>
      </w:r>
      <w:r>
        <w:rPr>
          <w:rFonts w:ascii="宋体" w:hAnsi="宋体" w:cs="宋体" w:eastAsia="宋体" w:hint="default"/>
          <w:b/>
          <w:bCs/>
          <w:w w:val="100"/>
          <w:sz w:val="21"/>
          <w:szCs w:val="21"/>
        </w:rPr>
        <w:t> </w:t>
      </w:r>
      <w:r>
        <w:rPr>
          <w:rFonts w:ascii="宋体" w:hAnsi="宋体" w:cs="宋体" w:eastAsia="宋体" w:hint="default"/>
          <w:b/>
          <w:bCs/>
          <w:sz w:val="21"/>
          <w:szCs w:val="21"/>
        </w:rPr>
        <w:t>文件规定，为完成深科工贸信计财字</w:t>
      </w:r>
      <w:r>
        <w:rPr>
          <w:rFonts w:ascii="宋体" w:hAnsi="宋体" w:cs="宋体" w:eastAsia="宋体" w:hint="default"/>
          <w:b/>
          <w:bCs/>
          <w:sz w:val="21"/>
          <w:szCs w:val="21"/>
        </w:rPr>
        <w:t>[2009]84</w:t>
      </w:r>
      <w:r>
        <w:rPr>
          <w:rFonts w:ascii="宋体" w:hAnsi="宋体" w:cs="宋体" w:eastAsia="宋体" w:hint="default"/>
          <w:b/>
          <w:bCs/>
          <w:spacing w:val="-49"/>
          <w:sz w:val="21"/>
          <w:szCs w:val="21"/>
        </w:rPr>
        <w:t> </w:t>
      </w:r>
      <w:r>
        <w:rPr>
          <w:rFonts w:ascii="宋体" w:hAnsi="宋体" w:cs="宋体" w:eastAsia="宋体" w:hint="default"/>
          <w:b/>
          <w:bCs/>
          <w:sz w:val="21"/>
          <w:szCs w:val="21"/>
        </w:rPr>
        <w:t>号文件下达的深圳市科技计划符合</w:t>
      </w:r>
      <w:r>
        <w:rPr>
          <w:rFonts w:ascii="宋体" w:hAnsi="宋体" w:cs="宋体" w:eastAsia="宋体" w:hint="default"/>
          <w:b/>
          <w:bCs/>
          <w:spacing w:val="-49"/>
          <w:sz w:val="21"/>
          <w:szCs w:val="21"/>
        </w:rPr>
        <w:t> </w:t>
      </w:r>
      <w:r>
        <w:rPr>
          <w:rFonts w:ascii="宋体" w:hAnsi="宋体" w:cs="宋体" w:eastAsia="宋体" w:hint="default"/>
          <w:b/>
          <w:bCs/>
          <w:sz w:val="21"/>
          <w:szCs w:val="21"/>
        </w:rPr>
        <w:t>PCI2.X</w:t>
      </w:r>
      <w:r>
        <w:rPr>
          <w:rFonts w:ascii="宋体" w:hAnsi="宋体" w:cs="宋体" w:eastAsia="宋体" w:hint="default"/>
          <w:b/>
          <w:bCs/>
          <w:spacing w:val="-49"/>
          <w:sz w:val="21"/>
          <w:szCs w:val="21"/>
        </w:rPr>
        <w:t> </w:t>
      </w:r>
      <w:r>
        <w:rPr>
          <w:rFonts w:ascii="宋体" w:hAnsi="宋体" w:cs="宋体" w:eastAsia="宋体" w:hint="default"/>
          <w:b/>
          <w:bCs/>
          <w:sz w:val="21"/>
          <w:szCs w:val="21"/>
        </w:rPr>
        <w:t>的金</w:t>
      </w:r>
      <w:r>
        <w:rPr>
          <w:rFonts w:ascii="宋体" w:hAnsi="宋体" w:cs="宋体" w:eastAsia="宋体" w:hint="default"/>
          <w:b/>
          <w:bCs/>
          <w:w w:val="100"/>
          <w:sz w:val="21"/>
          <w:szCs w:val="21"/>
        </w:rPr>
        <w:t> </w:t>
      </w:r>
      <w:r>
        <w:rPr>
          <w:rFonts w:ascii="宋体" w:hAnsi="宋体" w:cs="宋体" w:eastAsia="宋体" w:hint="default"/>
          <w:b/>
          <w:bCs/>
          <w:sz w:val="21"/>
          <w:szCs w:val="21"/>
        </w:rPr>
        <w:t>融</w:t>
      </w:r>
      <w:r>
        <w:rPr>
          <w:rFonts w:ascii="宋体" w:hAnsi="宋体" w:cs="宋体" w:eastAsia="宋体" w:hint="default"/>
          <w:b/>
          <w:bCs/>
          <w:spacing w:val="-54"/>
          <w:sz w:val="21"/>
          <w:szCs w:val="21"/>
        </w:rPr>
        <w:t> </w:t>
      </w:r>
      <w:r>
        <w:rPr>
          <w:rFonts w:ascii="宋体" w:hAnsi="宋体" w:cs="宋体" w:eastAsia="宋体" w:hint="default"/>
          <w:b/>
          <w:bCs/>
          <w:sz w:val="21"/>
          <w:szCs w:val="21"/>
        </w:rPr>
        <w:t>POS</w:t>
      </w:r>
      <w:r>
        <w:rPr>
          <w:rFonts w:ascii="宋体" w:hAnsi="宋体" w:cs="宋体" w:eastAsia="宋体" w:hint="default"/>
          <w:b/>
          <w:bCs/>
          <w:spacing w:val="-54"/>
          <w:sz w:val="21"/>
          <w:szCs w:val="21"/>
        </w:rPr>
        <w:t> </w:t>
      </w:r>
      <w:r>
        <w:rPr>
          <w:rFonts w:ascii="宋体" w:hAnsi="宋体" w:cs="宋体" w:eastAsia="宋体" w:hint="default"/>
          <w:b/>
          <w:bCs/>
          <w:sz w:val="21"/>
          <w:szCs w:val="21"/>
        </w:rPr>
        <w:t>技术方案国际科技合作研发项目，</w:t>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pacing w:val="-56"/>
          <w:sz w:val="21"/>
          <w:szCs w:val="21"/>
        </w:rPr>
        <w:t> </w:t>
      </w:r>
      <w:r>
        <w:rPr>
          <w:rFonts w:ascii="宋体" w:hAnsi="宋体" w:cs="宋体" w:eastAsia="宋体" w:hint="default"/>
          <w:b/>
          <w:bCs/>
          <w:sz w:val="21"/>
          <w:szCs w:val="21"/>
        </w:rPr>
        <w:t>月，本公司收到项目资助资金</w:t>
      </w:r>
      <w:r>
        <w:rPr>
          <w:rFonts w:ascii="宋体" w:hAnsi="宋体" w:cs="宋体" w:eastAsia="宋体" w:hint="default"/>
          <w:b/>
          <w:bCs/>
          <w:spacing w:val="-53"/>
          <w:sz w:val="21"/>
          <w:szCs w:val="21"/>
        </w:rPr>
        <w:t> </w:t>
      </w:r>
      <w:r>
        <w:rPr>
          <w:rFonts w:ascii="宋体" w:hAnsi="宋体" w:cs="宋体" w:eastAsia="宋体" w:hint="default"/>
          <w:b/>
          <w:bCs/>
          <w:sz w:val="21"/>
          <w:szCs w:val="21"/>
        </w:rPr>
        <w:t>100</w:t>
      </w:r>
      <w:r>
        <w:rPr>
          <w:rFonts w:ascii="宋体" w:hAnsi="宋体" w:cs="宋体" w:eastAsia="宋体" w:hint="default"/>
          <w:b/>
          <w:bCs/>
          <w:spacing w:val="-54"/>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．根据深发改</w:t>
      </w:r>
      <w:r>
        <w:rPr>
          <w:rFonts w:ascii="宋体" w:hAnsi="宋体" w:cs="宋体" w:eastAsia="宋体" w:hint="default"/>
          <w:b/>
          <w:bCs/>
          <w:sz w:val="21"/>
          <w:szCs w:val="21"/>
        </w:rPr>
        <w:t>[2010]1324</w:t>
      </w:r>
      <w:r>
        <w:rPr>
          <w:rFonts w:ascii="宋体" w:hAnsi="宋体" w:cs="宋体" w:eastAsia="宋体" w:hint="default"/>
          <w:b/>
          <w:bCs/>
          <w:spacing w:val="-51"/>
          <w:sz w:val="21"/>
          <w:szCs w:val="21"/>
        </w:rPr>
        <w:t> </w:t>
      </w:r>
      <w:r>
        <w:rPr>
          <w:rFonts w:ascii="宋体" w:hAnsi="宋体" w:cs="宋体" w:eastAsia="宋体" w:hint="default"/>
          <w:b/>
          <w:bCs/>
          <w:sz w:val="21"/>
          <w:szCs w:val="21"/>
        </w:rPr>
        <w:t>号文件，本公司于</w:t>
      </w:r>
      <w:r>
        <w:rPr>
          <w:rFonts w:ascii="宋体" w:hAnsi="宋体" w:cs="宋体" w:eastAsia="宋体" w:hint="default"/>
          <w:b/>
          <w:bCs/>
          <w:spacing w:val="-51"/>
          <w:sz w:val="21"/>
          <w:szCs w:val="21"/>
        </w:rPr>
        <w:t> </w:t>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宋体" w:hAnsi="宋体" w:cs="宋体" w:eastAsia="宋体" w:hint="default"/>
          <w:b/>
          <w:bCs/>
          <w:sz w:val="21"/>
          <w:szCs w:val="21"/>
        </w:rPr>
        <w:t>12</w:t>
      </w:r>
      <w:r>
        <w:rPr>
          <w:rFonts w:ascii="宋体" w:hAnsi="宋体" w:cs="宋体" w:eastAsia="宋体" w:hint="default"/>
          <w:b/>
          <w:bCs/>
          <w:spacing w:val="-51"/>
          <w:sz w:val="21"/>
          <w:szCs w:val="21"/>
        </w:rPr>
        <w:t> </w:t>
      </w:r>
      <w:r>
        <w:rPr>
          <w:rFonts w:ascii="宋体" w:hAnsi="宋体" w:cs="宋体" w:eastAsia="宋体" w:hint="default"/>
          <w:b/>
          <w:bCs/>
          <w:sz w:val="21"/>
          <w:szCs w:val="21"/>
        </w:rPr>
        <w:t>月收到财政委员会下发的面向物</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2" w:right="2695" w:firstLine="0"/>
        <w:jc w:val="left"/>
        <w:rPr>
          <w:rFonts w:ascii="宋体" w:hAnsi="宋体" w:cs="宋体" w:eastAsia="宋体" w:hint="default"/>
          <w:sz w:val="21"/>
          <w:szCs w:val="21"/>
        </w:rPr>
      </w:pPr>
      <w:r>
        <w:rPr>
          <w:rFonts w:ascii="宋体" w:hAnsi="宋体" w:cs="宋体" w:eastAsia="宋体" w:hint="default"/>
          <w:b/>
          <w:bCs/>
          <w:sz w:val="21"/>
          <w:szCs w:val="21"/>
        </w:rPr>
        <w:t>联网的第三方交易祝福平台及设备项目资助资金</w:t>
      </w:r>
      <w:r>
        <w:rPr>
          <w:rFonts w:ascii="宋体" w:hAnsi="宋体" w:cs="宋体" w:eastAsia="宋体" w:hint="default"/>
          <w:b/>
          <w:bCs/>
          <w:spacing w:val="-54"/>
          <w:sz w:val="21"/>
          <w:szCs w:val="21"/>
        </w:rPr>
        <w:t> </w:t>
      </w:r>
      <w:r>
        <w:rPr>
          <w:rFonts w:ascii="宋体" w:hAnsi="宋体" w:cs="宋体" w:eastAsia="宋体" w:hint="default"/>
          <w:b/>
          <w:bCs/>
          <w:sz w:val="21"/>
          <w:szCs w:val="21"/>
        </w:rPr>
        <w:t>150</w:t>
      </w:r>
      <w:r>
        <w:rPr>
          <w:rFonts w:ascii="宋体" w:hAnsi="宋体" w:cs="宋体" w:eastAsia="宋体" w:hint="default"/>
          <w:b/>
          <w:bCs/>
          <w:spacing w:val="-55"/>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02" w:right="427" w:firstLine="422"/>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根据国科发计</w:t>
      </w:r>
      <w:r>
        <w:rPr>
          <w:rFonts w:ascii="宋体" w:hAnsi="宋体" w:cs="宋体" w:eastAsia="宋体" w:hint="default"/>
          <w:b/>
          <w:bCs/>
          <w:sz w:val="21"/>
          <w:szCs w:val="21"/>
        </w:rPr>
        <w:t>[2010]543</w:t>
      </w:r>
      <w:r>
        <w:rPr>
          <w:rFonts w:ascii="宋体" w:hAnsi="宋体" w:cs="宋体" w:eastAsia="宋体" w:hint="default"/>
          <w:b/>
          <w:bCs/>
          <w:spacing w:val="-39"/>
          <w:sz w:val="21"/>
          <w:szCs w:val="21"/>
        </w:rPr>
        <w:t> </w:t>
      </w:r>
      <w:r>
        <w:rPr>
          <w:rFonts w:ascii="宋体" w:hAnsi="宋体" w:cs="宋体" w:eastAsia="宋体" w:hint="default"/>
          <w:b/>
          <w:bCs/>
          <w:sz w:val="21"/>
          <w:szCs w:val="21"/>
        </w:rPr>
        <w:t>号文件，本公司之子公司易联技术取得深圳市财政局下发的银</w:t>
      </w:r>
      <w:r>
        <w:rPr>
          <w:rFonts w:ascii="宋体" w:hAnsi="宋体" w:cs="宋体" w:eastAsia="宋体" w:hint="default"/>
          <w:b/>
          <w:bCs/>
          <w:w w:val="100"/>
          <w:sz w:val="21"/>
          <w:szCs w:val="21"/>
        </w:rPr>
        <w:t> </w:t>
      </w:r>
      <w:r>
        <w:rPr>
          <w:rFonts w:ascii="宋体" w:hAnsi="宋体" w:cs="宋体" w:eastAsia="宋体" w:hint="default"/>
          <w:b/>
          <w:bCs/>
          <w:sz w:val="21"/>
          <w:szCs w:val="21"/>
        </w:rPr>
        <w:t>行卡身份认证管理安全系统项目资助资金</w:t>
      </w:r>
      <w:r>
        <w:rPr>
          <w:rFonts w:ascii="宋体" w:hAnsi="宋体" w:cs="宋体" w:eastAsia="宋体" w:hint="default"/>
          <w:b/>
          <w:bCs/>
          <w:spacing w:val="-53"/>
          <w:sz w:val="21"/>
          <w:szCs w:val="21"/>
        </w:rPr>
        <w:t> </w:t>
      </w:r>
      <w:r>
        <w:rPr>
          <w:rFonts w:ascii="宋体" w:hAnsi="宋体" w:cs="宋体" w:eastAsia="宋体" w:hint="default"/>
          <w:b/>
          <w:bCs/>
          <w:sz w:val="21"/>
          <w:szCs w:val="21"/>
        </w:rPr>
        <w:t>35</w:t>
      </w:r>
      <w:r>
        <w:rPr>
          <w:rFonts w:ascii="宋体" w:hAnsi="宋体" w:cs="宋体" w:eastAsia="宋体" w:hint="default"/>
          <w:b/>
          <w:bCs/>
          <w:spacing w:val="-54"/>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408" w:lineRule="auto" w:before="46"/>
        <w:ind w:left="102" w:right="427" w:firstLine="422"/>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根据深圳发改</w:t>
      </w:r>
      <w:r>
        <w:rPr>
          <w:rFonts w:ascii="宋体" w:hAnsi="宋体" w:cs="宋体" w:eastAsia="宋体" w:hint="default"/>
          <w:b/>
          <w:bCs/>
          <w:sz w:val="21"/>
          <w:szCs w:val="21"/>
        </w:rPr>
        <w:t>[2011]169</w:t>
      </w:r>
      <w:r>
        <w:rPr>
          <w:rFonts w:ascii="宋体" w:hAnsi="宋体" w:cs="宋体" w:eastAsia="宋体" w:hint="default"/>
          <w:b/>
          <w:bCs/>
          <w:spacing w:val="-39"/>
          <w:sz w:val="21"/>
          <w:szCs w:val="21"/>
        </w:rPr>
        <w:t> </w:t>
      </w:r>
      <w:r>
        <w:rPr>
          <w:rFonts w:ascii="宋体" w:hAnsi="宋体" w:cs="宋体" w:eastAsia="宋体" w:hint="default"/>
          <w:b/>
          <w:bCs/>
          <w:sz w:val="21"/>
          <w:szCs w:val="21"/>
        </w:rPr>
        <w:t>号文件，本公司与深圳市科技工贸和信息化委员会签订了《深</w:t>
      </w:r>
      <w:r>
        <w:rPr>
          <w:rFonts w:ascii="宋体" w:hAnsi="宋体" w:cs="宋体" w:eastAsia="宋体" w:hint="default"/>
          <w:b/>
          <w:bCs/>
          <w:w w:val="100"/>
          <w:sz w:val="21"/>
          <w:szCs w:val="21"/>
        </w:rPr>
        <w:t> </w:t>
      </w:r>
      <w:r>
        <w:rPr>
          <w:rFonts w:ascii="宋体" w:hAnsi="宋体" w:cs="宋体" w:eastAsia="宋体" w:hint="default"/>
          <w:b/>
          <w:bCs/>
          <w:spacing w:val="-5"/>
          <w:w w:val="100"/>
          <w:sz w:val="21"/>
          <w:szCs w:val="21"/>
        </w:rPr>
        <w:t>圳市互联网产业发展专项资金项目合同书》，取得了项目专项补助资金</w:t>
      </w:r>
      <w:r>
        <w:rPr>
          <w:rFonts w:ascii="宋体" w:hAnsi="宋体" w:cs="宋体" w:eastAsia="宋体" w:hint="default"/>
          <w:b/>
          <w:bCs/>
          <w:spacing w:val="-40"/>
          <w:w w:val="100"/>
          <w:sz w:val="21"/>
          <w:szCs w:val="21"/>
        </w:rPr>
        <w:t> </w:t>
      </w:r>
      <w:r>
        <w:rPr>
          <w:rFonts w:ascii="宋体" w:hAnsi="宋体" w:cs="宋体" w:eastAsia="宋体" w:hint="default"/>
          <w:b/>
          <w:bCs/>
          <w:w w:val="99"/>
          <w:sz w:val="21"/>
          <w:szCs w:val="21"/>
        </w:rPr>
        <w:t>50</w:t>
      </w:r>
      <w:r>
        <w:rPr>
          <w:rFonts w:ascii="宋体" w:hAnsi="宋体" w:cs="宋体" w:eastAsia="宋体" w:hint="default"/>
          <w:b/>
          <w:bCs/>
          <w:spacing w:val="-42"/>
          <w:w w:val="99"/>
          <w:sz w:val="21"/>
          <w:szCs w:val="21"/>
        </w:rPr>
        <w:t> </w:t>
      </w:r>
      <w:r>
        <w:rPr>
          <w:rFonts w:ascii="宋体" w:hAnsi="宋体" w:cs="宋体" w:eastAsia="宋体" w:hint="default"/>
          <w:b/>
          <w:bCs/>
          <w:spacing w:val="-3"/>
          <w:w w:val="100"/>
          <w:sz w:val="21"/>
          <w:szCs w:val="21"/>
        </w:rPr>
        <w:t>万元用于“城市一卡</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b/>
          <w:bCs/>
          <w:spacing w:val="-5"/>
          <w:w w:val="100"/>
          <w:sz w:val="21"/>
          <w:szCs w:val="21"/>
        </w:rPr>
        <w:t>通小额射频电子支付受理设备的研发、应用示范及推广”。</w:t>
      </w:r>
      <w:r>
        <w:rPr>
          <w:rFonts w:ascii="宋体" w:hAnsi="宋体" w:cs="宋体" w:eastAsia="宋体" w:hint="default"/>
          <w:spacing w:val="-5"/>
          <w:w w:val="100"/>
          <w:sz w:val="21"/>
          <w:szCs w:val="21"/>
        </w:rPr>
      </w:r>
    </w:p>
    <w:p>
      <w:pPr>
        <w:spacing w:before="46"/>
        <w:ind w:left="524" w:right="41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．本公司与深圳市福田区科技创新局签订《福田区科技发展资金事前拨付项目资金使用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440" w:bottom="1380" w:left="1600" w:right="1160"/>
        </w:sectPr>
      </w:pPr>
    </w:p>
    <w:p>
      <w:pPr>
        <w:spacing w:before="24"/>
        <w:ind w:left="122" w:right="726" w:firstLine="0"/>
        <w:jc w:val="left"/>
        <w:rPr>
          <w:rFonts w:ascii="宋体" w:hAnsi="宋体" w:cs="宋体" w:eastAsia="宋体" w:hint="default"/>
          <w:sz w:val="21"/>
          <w:szCs w:val="21"/>
        </w:rPr>
      </w:pPr>
      <w:r>
        <w:rPr>
          <w:rFonts w:ascii="宋体" w:hAnsi="宋体" w:cs="宋体" w:eastAsia="宋体" w:hint="default"/>
          <w:b/>
          <w:bCs/>
          <w:w w:val="100"/>
          <w:sz w:val="21"/>
          <w:szCs w:val="21"/>
        </w:rPr>
        <w:t>合同</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，取得项目资</w:t>
      </w:r>
      <w:r>
        <w:rPr>
          <w:rFonts w:ascii="宋体" w:hAnsi="宋体" w:cs="宋体" w:eastAsia="宋体" w:hint="default"/>
          <w:b/>
          <w:bCs/>
          <w:spacing w:val="-3"/>
          <w:w w:val="100"/>
          <w:sz w:val="21"/>
          <w:szCs w:val="21"/>
        </w:rPr>
        <w:t>助资</w:t>
      </w:r>
      <w:r>
        <w:rPr>
          <w:rFonts w:ascii="宋体" w:hAnsi="宋体" w:cs="宋体" w:eastAsia="宋体" w:hint="default"/>
          <w:b/>
          <w:bCs/>
          <w:w w:val="100"/>
          <w:sz w:val="21"/>
          <w:szCs w:val="21"/>
        </w:rPr>
        <w:t>金</w:t>
      </w:r>
      <w:r>
        <w:rPr>
          <w:rFonts w:ascii="宋体" w:hAnsi="宋体" w:cs="宋体" w:eastAsia="宋体" w:hint="default"/>
          <w:b/>
          <w:bCs/>
          <w:spacing w:val="-53"/>
          <w:sz w:val="21"/>
          <w:szCs w:val="21"/>
        </w:rPr>
        <w:t> </w:t>
      </w:r>
      <w:r>
        <w:rPr>
          <w:rFonts w:ascii="宋体" w:hAnsi="宋体" w:cs="宋体" w:eastAsia="宋体" w:hint="default"/>
          <w:b/>
          <w:bCs/>
          <w:w w:val="99"/>
          <w:sz w:val="21"/>
          <w:szCs w:val="21"/>
        </w:rPr>
        <w:t>40</w:t>
      </w:r>
      <w:r>
        <w:rPr>
          <w:rFonts w:ascii="宋体" w:hAnsi="宋体" w:cs="宋体" w:eastAsia="宋体" w:hint="default"/>
          <w:b/>
          <w:bCs/>
          <w:spacing w:val="-54"/>
          <w:sz w:val="21"/>
          <w:szCs w:val="21"/>
        </w:rPr>
        <w:t> </w:t>
      </w:r>
      <w:r>
        <w:rPr>
          <w:rFonts w:ascii="宋体" w:hAnsi="宋体" w:cs="宋体" w:eastAsia="宋体" w:hint="default"/>
          <w:b/>
          <w:bCs/>
          <w:w w:val="100"/>
          <w:sz w:val="21"/>
          <w:szCs w:val="21"/>
        </w:rPr>
        <w:t>万元用于“脚本化</w:t>
      </w:r>
      <w:r>
        <w:rPr>
          <w:rFonts w:ascii="宋体" w:hAnsi="宋体" w:cs="宋体" w:eastAsia="宋体" w:hint="default"/>
          <w:b/>
          <w:bCs/>
          <w:spacing w:val="-53"/>
          <w:sz w:val="21"/>
          <w:szCs w:val="21"/>
        </w:rPr>
        <w:t> </w:t>
      </w:r>
      <w:r>
        <w:rPr>
          <w:rFonts w:ascii="宋体" w:hAnsi="宋体" w:cs="宋体" w:eastAsia="宋体" w:hint="default"/>
          <w:b/>
          <w:bCs/>
          <w:spacing w:val="-3"/>
          <w:w w:val="99"/>
          <w:sz w:val="21"/>
          <w:szCs w:val="21"/>
        </w:rPr>
        <w:t>P</w:t>
      </w:r>
      <w:r>
        <w:rPr>
          <w:rFonts w:ascii="宋体" w:hAnsi="宋体" w:cs="宋体" w:eastAsia="宋体" w:hint="default"/>
          <w:b/>
          <w:bCs/>
          <w:w w:val="99"/>
          <w:sz w:val="21"/>
          <w:szCs w:val="21"/>
        </w:rPr>
        <w:t>OS</w:t>
      </w:r>
      <w:r>
        <w:rPr>
          <w:rFonts w:ascii="宋体" w:hAnsi="宋体" w:cs="宋体" w:eastAsia="宋体" w:hint="default"/>
          <w:b/>
          <w:bCs/>
          <w:spacing w:val="-54"/>
          <w:sz w:val="21"/>
          <w:szCs w:val="21"/>
        </w:rPr>
        <w:t> </w:t>
      </w:r>
      <w:r>
        <w:rPr>
          <w:rFonts w:ascii="宋体" w:hAnsi="宋体" w:cs="宋体" w:eastAsia="宋体" w:hint="default"/>
          <w:b/>
          <w:bCs/>
          <w:w w:val="100"/>
          <w:sz w:val="21"/>
          <w:szCs w:val="21"/>
        </w:rPr>
        <w:t>支撑系统设计及推广</w:t>
      </w:r>
      <w:r>
        <w:rPr>
          <w:rFonts w:ascii="宋体" w:hAnsi="宋体" w:cs="宋体" w:eastAsia="宋体" w:hint="default"/>
          <w:b/>
          <w:bCs/>
          <w:spacing w:val="-3"/>
          <w:w w:val="100"/>
          <w:sz w:val="21"/>
          <w:szCs w:val="21"/>
        </w:rPr>
        <w:t>项</w:t>
      </w:r>
      <w:r>
        <w:rPr>
          <w:rFonts w:ascii="宋体" w:hAnsi="宋体" w:cs="宋体" w:eastAsia="宋体" w:hint="default"/>
          <w:b/>
          <w:bCs/>
          <w:w w:val="100"/>
          <w:sz w:val="21"/>
          <w:szCs w:val="21"/>
        </w:rPr>
        <w:t>目”</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544" w:right="616" w:firstLine="0"/>
        <w:jc w:val="left"/>
        <w:rPr>
          <w:rFonts w:ascii="宋体" w:hAnsi="宋体" w:cs="宋体" w:eastAsia="宋体" w:hint="default"/>
          <w:sz w:val="21"/>
          <w:szCs w:val="21"/>
        </w:rPr>
      </w:pPr>
      <w:r>
        <w:rPr>
          <w:rFonts w:ascii="宋体" w:hAnsi="宋体" w:cs="宋体" w:eastAsia="宋体" w:hint="default"/>
          <w:b/>
          <w:bCs/>
          <w:w w:val="99"/>
          <w:sz w:val="21"/>
          <w:szCs w:val="21"/>
        </w:rPr>
        <w:t>7.</w:t>
      </w:r>
      <w:r>
        <w:rPr>
          <w:rFonts w:ascii="宋体" w:hAnsi="宋体" w:cs="宋体" w:eastAsia="宋体" w:hint="default"/>
          <w:b/>
          <w:bCs/>
          <w:spacing w:val="-1"/>
          <w:sz w:val="21"/>
          <w:szCs w:val="21"/>
        </w:rPr>
        <w:t> </w:t>
      </w:r>
      <w:r>
        <w:rPr>
          <w:rFonts w:ascii="宋体" w:hAnsi="宋体" w:cs="宋体" w:eastAsia="宋体" w:hint="default"/>
          <w:b/>
          <w:bCs/>
          <w:w w:val="100"/>
          <w:sz w:val="21"/>
          <w:szCs w:val="21"/>
        </w:rPr>
        <w:t>根据深发改</w:t>
      </w:r>
      <w:r>
        <w:rPr>
          <w:rFonts w:ascii="宋体" w:hAnsi="宋体" w:cs="宋体" w:eastAsia="宋体" w:hint="default"/>
          <w:b/>
          <w:bCs/>
          <w:w w:val="99"/>
          <w:sz w:val="21"/>
          <w:szCs w:val="21"/>
        </w:rPr>
        <w:t>[2011]169</w:t>
      </w:r>
      <w:r>
        <w:rPr>
          <w:rFonts w:ascii="宋体" w:hAnsi="宋体" w:cs="宋体" w:eastAsia="宋体" w:hint="default"/>
          <w:b/>
          <w:bCs/>
          <w:spacing w:val="-54"/>
          <w:sz w:val="21"/>
          <w:szCs w:val="21"/>
        </w:rPr>
        <w:t> </w:t>
      </w:r>
      <w:r>
        <w:rPr>
          <w:rFonts w:ascii="宋体" w:hAnsi="宋体" w:cs="宋体" w:eastAsia="宋体" w:hint="default"/>
          <w:b/>
          <w:bCs/>
          <w:w w:val="100"/>
          <w:sz w:val="21"/>
          <w:szCs w:val="21"/>
        </w:rPr>
        <w:t>号文件</w:t>
      </w:r>
      <w:r>
        <w:rPr>
          <w:rFonts w:ascii="宋体" w:hAnsi="宋体" w:cs="宋体" w:eastAsia="宋体" w:hint="default"/>
          <w:b/>
          <w:bCs/>
          <w:spacing w:val="-92"/>
          <w:w w:val="100"/>
          <w:sz w:val="21"/>
          <w:szCs w:val="21"/>
        </w:rPr>
        <w:t>，</w:t>
      </w:r>
      <w:r>
        <w:rPr>
          <w:rFonts w:ascii="宋体" w:hAnsi="宋体" w:cs="宋体" w:eastAsia="宋体" w:hint="default"/>
          <w:b/>
          <w:bCs/>
          <w:w w:val="100"/>
          <w:sz w:val="21"/>
          <w:szCs w:val="21"/>
        </w:rPr>
        <w:t>本公司之子公司</w:t>
      </w:r>
      <w:r>
        <w:rPr>
          <w:rFonts w:ascii="宋体" w:hAnsi="宋体" w:cs="宋体" w:eastAsia="宋体" w:hint="default"/>
          <w:b/>
          <w:bCs/>
          <w:spacing w:val="-3"/>
          <w:w w:val="100"/>
          <w:sz w:val="21"/>
          <w:szCs w:val="21"/>
        </w:rPr>
        <w:t>易</w:t>
      </w:r>
      <w:r>
        <w:rPr>
          <w:rFonts w:ascii="宋体" w:hAnsi="宋体" w:cs="宋体" w:eastAsia="宋体" w:hint="default"/>
          <w:b/>
          <w:bCs/>
          <w:w w:val="100"/>
          <w:sz w:val="21"/>
          <w:szCs w:val="21"/>
        </w:rPr>
        <w:t>联技术与深圳市科</w:t>
      </w:r>
      <w:r>
        <w:rPr>
          <w:rFonts w:ascii="宋体" w:hAnsi="宋体" w:cs="宋体" w:eastAsia="宋体" w:hint="default"/>
          <w:b/>
          <w:bCs/>
          <w:spacing w:val="-3"/>
          <w:w w:val="100"/>
          <w:sz w:val="21"/>
          <w:szCs w:val="21"/>
        </w:rPr>
        <w:t>技</w:t>
      </w:r>
      <w:r>
        <w:rPr>
          <w:rFonts w:ascii="宋体" w:hAnsi="宋体" w:cs="宋体" w:eastAsia="宋体" w:hint="default"/>
          <w:b/>
          <w:bCs/>
          <w:w w:val="100"/>
          <w:sz w:val="21"/>
          <w:szCs w:val="21"/>
        </w:rPr>
        <w:t>工</w:t>
      </w:r>
      <w:r>
        <w:rPr>
          <w:rFonts w:ascii="宋体" w:hAnsi="宋体" w:cs="宋体" w:eastAsia="宋体" w:hint="default"/>
          <w:b/>
          <w:bCs/>
          <w:spacing w:val="-3"/>
          <w:w w:val="100"/>
          <w:sz w:val="21"/>
          <w:szCs w:val="21"/>
        </w:rPr>
        <w:t>贸</w:t>
      </w:r>
      <w:r>
        <w:rPr>
          <w:rFonts w:ascii="宋体" w:hAnsi="宋体" w:cs="宋体" w:eastAsia="宋体" w:hint="default"/>
          <w:b/>
          <w:bCs/>
          <w:w w:val="100"/>
          <w:sz w:val="21"/>
          <w:szCs w:val="21"/>
        </w:rPr>
        <w:t>和信息化委</w:t>
      </w:r>
      <w:r>
        <w:rPr>
          <w:rFonts w:ascii="宋体" w:hAnsi="宋体" w:cs="宋体" w:eastAsia="宋体" w:hint="default"/>
          <w:w w:val="100"/>
          <w:sz w:val="21"/>
          <w:szCs w:val="21"/>
        </w:rPr>
      </w:r>
    </w:p>
    <w:p>
      <w:pPr>
        <w:spacing w:line="240" w:lineRule="auto" w:before="10"/>
        <w:rPr>
          <w:rFonts w:ascii="宋体" w:hAnsi="宋体" w:cs="宋体" w:eastAsia="宋体" w:hint="default"/>
          <w:b/>
          <w:bCs/>
          <w:sz w:val="14"/>
          <w:szCs w:val="14"/>
        </w:rPr>
      </w:pPr>
    </w:p>
    <w:p>
      <w:pPr>
        <w:spacing w:line="408" w:lineRule="auto" w:before="0"/>
        <w:ind w:left="122" w:right="696" w:firstLine="0"/>
        <w:jc w:val="left"/>
        <w:rPr>
          <w:rFonts w:ascii="宋体" w:hAnsi="宋体" w:cs="宋体" w:eastAsia="宋体" w:hint="default"/>
          <w:sz w:val="21"/>
          <w:szCs w:val="21"/>
        </w:rPr>
      </w:pPr>
      <w:r>
        <w:rPr>
          <w:rFonts w:ascii="宋体" w:hAnsi="宋体" w:cs="宋体" w:eastAsia="宋体" w:hint="default"/>
          <w:b/>
          <w:bCs/>
          <w:w w:val="100"/>
          <w:sz w:val="21"/>
          <w:szCs w:val="21"/>
        </w:rPr>
        <w:t>员会签订了《深圳</w:t>
      </w:r>
      <w:r>
        <w:rPr>
          <w:rFonts w:ascii="宋体" w:hAnsi="宋体" w:cs="宋体" w:eastAsia="宋体" w:hint="default"/>
          <w:b/>
          <w:bCs/>
          <w:spacing w:val="-3"/>
          <w:w w:val="100"/>
          <w:sz w:val="21"/>
          <w:szCs w:val="21"/>
        </w:rPr>
        <w:t>市</w:t>
      </w:r>
      <w:r>
        <w:rPr>
          <w:rFonts w:ascii="宋体" w:hAnsi="宋体" w:cs="宋体" w:eastAsia="宋体" w:hint="default"/>
          <w:b/>
          <w:bCs/>
          <w:w w:val="100"/>
          <w:sz w:val="21"/>
          <w:szCs w:val="21"/>
        </w:rPr>
        <w:t>互</w:t>
      </w:r>
      <w:r>
        <w:rPr>
          <w:rFonts w:ascii="宋体" w:hAnsi="宋体" w:cs="宋体" w:eastAsia="宋体" w:hint="default"/>
          <w:b/>
          <w:bCs/>
          <w:spacing w:val="-3"/>
          <w:w w:val="100"/>
          <w:sz w:val="21"/>
          <w:szCs w:val="21"/>
        </w:rPr>
        <w:t>联</w:t>
      </w:r>
      <w:r>
        <w:rPr>
          <w:rFonts w:ascii="宋体" w:hAnsi="宋体" w:cs="宋体" w:eastAsia="宋体" w:hint="default"/>
          <w:b/>
          <w:bCs/>
          <w:w w:val="100"/>
          <w:sz w:val="21"/>
          <w:szCs w:val="21"/>
        </w:rPr>
        <w:t>网产业发展专项资</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项</w:t>
      </w:r>
      <w:r>
        <w:rPr>
          <w:rFonts w:ascii="宋体" w:hAnsi="宋体" w:cs="宋体" w:eastAsia="宋体" w:hint="default"/>
          <w:b/>
          <w:bCs/>
          <w:spacing w:val="-3"/>
          <w:w w:val="100"/>
          <w:sz w:val="21"/>
          <w:szCs w:val="21"/>
        </w:rPr>
        <w:t>目</w:t>
      </w:r>
      <w:r>
        <w:rPr>
          <w:rFonts w:ascii="宋体" w:hAnsi="宋体" w:cs="宋体" w:eastAsia="宋体" w:hint="default"/>
          <w:b/>
          <w:bCs/>
          <w:w w:val="100"/>
          <w:sz w:val="21"/>
          <w:szCs w:val="21"/>
        </w:rPr>
        <w:t>合同书</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，取得了项</w:t>
      </w:r>
      <w:r>
        <w:rPr>
          <w:rFonts w:ascii="宋体" w:hAnsi="宋体" w:cs="宋体" w:eastAsia="宋体" w:hint="default"/>
          <w:b/>
          <w:bCs/>
          <w:spacing w:val="-3"/>
          <w:w w:val="100"/>
          <w:sz w:val="21"/>
          <w:szCs w:val="21"/>
        </w:rPr>
        <w:t>目</w:t>
      </w:r>
      <w:r>
        <w:rPr>
          <w:rFonts w:ascii="宋体" w:hAnsi="宋体" w:cs="宋体" w:eastAsia="宋体" w:hint="default"/>
          <w:b/>
          <w:bCs/>
          <w:w w:val="100"/>
          <w:sz w:val="21"/>
          <w:szCs w:val="21"/>
        </w:rPr>
        <w:t>专</w:t>
      </w:r>
      <w:r>
        <w:rPr>
          <w:rFonts w:ascii="宋体" w:hAnsi="宋体" w:cs="宋体" w:eastAsia="宋体" w:hint="default"/>
          <w:b/>
          <w:bCs/>
          <w:spacing w:val="-3"/>
          <w:w w:val="100"/>
          <w:sz w:val="21"/>
          <w:szCs w:val="21"/>
        </w:rPr>
        <w:t>项</w:t>
      </w:r>
      <w:r>
        <w:rPr>
          <w:rFonts w:ascii="宋体" w:hAnsi="宋体" w:cs="宋体" w:eastAsia="宋体" w:hint="default"/>
          <w:b/>
          <w:bCs/>
          <w:w w:val="100"/>
          <w:sz w:val="21"/>
          <w:szCs w:val="21"/>
        </w:rPr>
        <w:t>补助资金</w:t>
      </w:r>
      <w:r>
        <w:rPr>
          <w:rFonts w:ascii="宋体" w:hAnsi="宋体" w:cs="宋体" w:eastAsia="宋体" w:hint="default"/>
          <w:b/>
          <w:bCs/>
          <w:spacing w:val="-16"/>
          <w:sz w:val="21"/>
          <w:szCs w:val="21"/>
        </w:rPr>
        <w:t> </w:t>
      </w:r>
      <w:r>
        <w:rPr>
          <w:rFonts w:ascii="宋体" w:hAnsi="宋体" w:cs="宋体" w:eastAsia="宋体" w:hint="default"/>
          <w:b/>
          <w:bCs/>
          <w:w w:val="99"/>
          <w:sz w:val="21"/>
          <w:szCs w:val="21"/>
        </w:rPr>
        <w:t>100</w:t>
      </w:r>
      <w:r>
        <w:rPr>
          <w:rFonts w:ascii="宋体" w:hAnsi="宋体" w:cs="宋体" w:eastAsia="宋体" w:hint="default"/>
          <w:b/>
          <w:bCs/>
          <w:spacing w:val="-17"/>
          <w:sz w:val="21"/>
          <w:szCs w:val="21"/>
        </w:rPr>
        <w:t> </w:t>
      </w:r>
      <w:r>
        <w:rPr>
          <w:rFonts w:ascii="宋体" w:hAnsi="宋体" w:cs="宋体" w:eastAsia="宋体" w:hint="default"/>
          <w:b/>
          <w:bCs/>
          <w:w w:val="100"/>
          <w:sz w:val="21"/>
          <w:szCs w:val="21"/>
        </w:rPr>
        <w:t>万 元用于“爱用‘网</w:t>
      </w:r>
      <w:r>
        <w:rPr>
          <w:rFonts w:ascii="宋体" w:hAnsi="宋体" w:cs="宋体" w:eastAsia="宋体" w:hint="default"/>
          <w:b/>
          <w:bCs/>
          <w:spacing w:val="-3"/>
          <w:w w:val="100"/>
          <w:sz w:val="21"/>
          <w:szCs w:val="21"/>
        </w:rPr>
        <w:t>银</w:t>
      </w:r>
      <w:r>
        <w:rPr>
          <w:rFonts w:ascii="宋体" w:hAnsi="宋体" w:cs="宋体" w:eastAsia="宋体" w:hint="default"/>
          <w:b/>
          <w:bCs/>
          <w:w w:val="100"/>
          <w:sz w:val="21"/>
          <w:szCs w:val="21"/>
        </w:rPr>
        <w:t>宝</w:t>
      </w:r>
      <w:r>
        <w:rPr>
          <w:rFonts w:ascii="宋体" w:hAnsi="宋体" w:cs="宋体" w:eastAsia="宋体" w:hint="default"/>
          <w:b/>
          <w:bCs/>
          <w:spacing w:val="-3"/>
          <w:w w:val="100"/>
          <w:sz w:val="21"/>
          <w:szCs w:val="21"/>
        </w:rPr>
        <w:t>’</w:t>
      </w:r>
      <w:r>
        <w:rPr>
          <w:rFonts w:ascii="宋体" w:hAnsi="宋体" w:cs="宋体" w:eastAsia="宋体" w:hint="default"/>
          <w:b/>
          <w:bCs/>
          <w:w w:val="100"/>
          <w:sz w:val="21"/>
          <w:szCs w:val="21"/>
        </w:rPr>
        <w:t>互联网支付系统研</w:t>
      </w:r>
      <w:r>
        <w:rPr>
          <w:rFonts w:ascii="宋体" w:hAnsi="宋体" w:cs="宋体" w:eastAsia="宋体" w:hint="default"/>
          <w:b/>
          <w:bCs/>
          <w:spacing w:val="-3"/>
          <w:w w:val="100"/>
          <w:sz w:val="21"/>
          <w:szCs w:val="21"/>
        </w:rPr>
        <w:t>发</w:t>
      </w:r>
      <w:r>
        <w:rPr>
          <w:rFonts w:ascii="宋体" w:hAnsi="宋体" w:cs="宋体" w:eastAsia="宋体" w:hint="default"/>
          <w:b/>
          <w:bCs/>
          <w:w w:val="100"/>
          <w:sz w:val="21"/>
          <w:szCs w:val="21"/>
        </w:rPr>
        <w:t>项目</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7"/>
        <w:rPr>
          <w:rFonts w:ascii="宋体" w:hAnsi="宋体" w:cs="宋体" w:eastAsia="宋体" w:hint="default"/>
          <w:b/>
          <w:bCs/>
          <w:sz w:val="21"/>
          <w:szCs w:val="21"/>
        </w:rPr>
      </w:pPr>
    </w:p>
    <w:p>
      <w:pPr>
        <w:spacing w:before="0"/>
        <w:ind w:left="544" w:right="726" w:firstLine="0"/>
        <w:jc w:val="left"/>
        <w:rPr>
          <w:rFonts w:ascii="宋体" w:hAnsi="宋体" w:cs="宋体" w:eastAsia="宋体" w:hint="default"/>
          <w:sz w:val="21"/>
          <w:szCs w:val="21"/>
        </w:rPr>
      </w:pPr>
      <w:r>
        <w:rPr/>
        <w:pict>
          <v:group style="position:absolute;margin-left:232.729996pt;margin-top:48.773663pt;width:253.25pt;height:.5pt;mso-position-horizontal-relative:page;mso-position-vertical-relative:paragraph;z-index:-645760" coordorigin="4655,975" coordsize="5065,10">
            <v:group style="position:absolute;left:4659;top:980;width:675;height:2" coordorigin="4659,980" coordsize="675,2">
              <v:shape style="position:absolute;left:4659;top:980;width:675;height:2" coordorigin="4659,980" coordsize="675,0" path="m4659,980l5334,980e" filled="false" stroked="true" strokeweight=".48pt" strokecolor="#000000">
                <v:path arrowok="t"/>
              </v:shape>
            </v:group>
            <v:group style="position:absolute;left:5334;top:980;width:10;height:2" coordorigin="5334,980" coordsize="10,2">
              <v:shape style="position:absolute;left:5334;top:980;width:10;height:2" coordorigin="5334,980" coordsize="10,0" path="m5334,980l5343,980e" filled="false" stroked="true" strokeweight=".48pt" strokecolor="#000000">
                <v:path arrowok="t"/>
              </v:shape>
            </v:group>
            <v:group style="position:absolute;left:5343;top:980;width:68;height:2" coordorigin="5343,980" coordsize="68,2">
              <v:shape style="position:absolute;left:5343;top:980;width:68;height:2" coordorigin="5343,980" coordsize="68,0" path="m5343,980l5411,980e" filled="false" stroked="true" strokeweight=".48pt" strokecolor="#000000">
                <v:path arrowok="t"/>
              </v:shape>
            </v:group>
            <v:group style="position:absolute;left:5411;top:980;width:10;height:2" coordorigin="5411,980" coordsize="10,2">
              <v:shape style="position:absolute;left:5411;top:980;width:10;height:2" coordorigin="5411,980" coordsize="10,0" path="m5411,980l5420,980e" filled="false" stroked="true" strokeweight=".48pt" strokecolor="#000000">
                <v:path arrowok="t"/>
              </v:shape>
            </v:group>
            <v:group style="position:absolute;left:5420;top:980;width:663;height:2" coordorigin="5420,980" coordsize="663,2">
              <v:shape style="position:absolute;left:5420;top:980;width:663;height:2" coordorigin="5420,980" coordsize="663,0" path="m5420,980l6083,980e" filled="false" stroked="true" strokeweight=".48pt" strokecolor="#000000">
                <v:path arrowok="t"/>
              </v:shape>
            </v:group>
            <v:group style="position:absolute;left:6083;top:980;width:10;height:2" coordorigin="6083,980" coordsize="10,2">
              <v:shape style="position:absolute;left:6083;top:980;width:10;height:2" coordorigin="6083,980" coordsize="10,0" path="m6083,980l6093,980e" filled="false" stroked="true" strokeweight=".48pt" strokecolor="#000000">
                <v:path arrowok="t"/>
              </v:shape>
            </v:group>
            <v:group style="position:absolute;left:6093;top:980;width:70;height:2" coordorigin="6093,980" coordsize="70,2">
              <v:shape style="position:absolute;left:6093;top:980;width:70;height:2" coordorigin="6093,980" coordsize="70,0" path="m6093,980l6162,980e" filled="false" stroked="true" strokeweight=".48pt" strokecolor="#000000">
                <v:path arrowok="t"/>
              </v:shape>
            </v:group>
            <v:group style="position:absolute;left:6162;top:980;width:10;height:2" coordorigin="6162,980" coordsize="10,2">
              <v:shape style="position:absolute;left:6162;top:980;width:10;height:2" coordorigin="6162,980" coordsize="10,0" path="m6162,980l6172,980e" filled="false" stroked="true" strokeweight=".48pt" strokecolor="#000000">
                <v:path arrowok="t"/>
              </v:shape>
            </v:group>
            <v:group style="position:absolute;left:6172;top:980;width:1032;height:2" coordorigin="6172,980" coordsize="1032,2">
              <v:shape style="position:absolute;left:6172;top:980;width:1032;height:2" coordorigin="6172,980" coordsize="1032,0" path="m6172,980l7204,980e" filled="false" stroked="true" strokeweight=".48pt" strokecolor="#000000">
                <v:path arrowok="t"/>
              </v:shape>
            </v:group>
            <v:group style="position:absolute;left:7204;top:980;width:10;height:2" coordorigin="7204,980" coordsize="10,2">
              <v:shape style="position:absolute;left:7204;top:980;width:10;height:2" coordorigin="7204,980" coordsize="10,0" path="m7204,980l7213,980e" filled="false" stroked="true" strokeweight=".48pt" strokecolor="#000000">
                <v:path arrowok="t"/>
              </v:shape>
            </v:group>
            <v:group style="position:absolute;left:7213;top:980;width:68;height:2" coordorigin="7213,980" coordsize="68,2">
              <v:shape style="position:absolute;left:7213;top:980;width:68;height:2" coordorigin="7213,980" coordsize="68,0" path="m7213,980l7281,980e" filled="false" stroked="true" strokeweight=".48pt" strokecolor="#000000">
                <v:path arrowok="t"/>
              </v:shape>
            </v:group>
            <v:group style="position:absolute;left:7281;top:980;width:10;height:2" coordorigin="7281,980" coordsize="10,2">
              <v:shape style="position:absolute;left:7281;top:980;width:10;height:2" coordorigin="7281,980" coordsize="10,0" path="m7281,980l7290,980e" filled="false" stroked="true" strokeweight=".48pt" strokecolor="#000000">
                <v:path arrowok="t"/>
              </v:shape>
            </v:group>
            <v:group style="position:absolute;left:7290;top:980;width:1218;height:2" coordorigin="7290,980" coordsize="1218,2">
              <v:shape style="position:absolute;left:7290;top:980;width:1218;height:2" coordorigin="7290,980" coordsize="1218,0" path="m7290,980l8507,980e" filled="false" stroked="true" strokeweight=".48pt" strokecolor="#000000">
                <v:path arrowok="t"/>
              </v:shape>
            </v:group>
            <v:group style="position:absolute;left:8508;top:980;width:10;height:2" coordorigin="8508,980" coordsize="10,2">
              <v:shape style="position:absolute;left:8508;top:980;width:10;height:2" coordorigin="8508,980" coordsize="10,0" path="m8508,980l8517,980e" filled="false" stroked="true" strokeweight=".48pt" strokecolor="#000000">
                <v:path arrowok="t"/>
              </v:shape>
            </v:group>
            <v:group style="position:absolute;left:8517;top:980;width:68;height:2" coordorigin="8517,980" coordsize="68,2">
              <v:shape style="position:absolute;left:8517;top:980;width:68;height:2" coordorigin="8517,980" coordsize="68,0" path="m8517,980l8584,980e" filled="false" stroked="true" strokeweight=".48pt" strokecolor="#000000">
                <v:path arrowok="t"/>
              </v:shape>
            </v:group>
            <v:group style="position:absolute;left:8584;top:980;width:10;height:2" coordorigin="8584,980" coordsize="10,2">
              <v:shape style="position:absolute;left:8584;top:980;width:10;height:2" coordorigin="8584,980" coordsize="10,0" path="m8584,980l8594,980e" filled="false" stroked="true" strokeweight=".48pt" strokecolor="#000000">
                <v:path arrowok="t"/>
              </v:shape>
            </v:group>
            <v:group style="position:absolute;left:8594;top:980;width:1121;height:2" coordorigin="8594,980" coordsize="1121,2">
              <v:shape style="position:absolute;left:8594;top:980;width:1121;height:2" coordorigin="8594,980" coordsize="1121,0" path="m8594,980l9715,980e" filled="false" stroked="true" strokeweight=".48pt" strokecolor="#000000">
                <v:path arrowok="t"/>
              </v:shape>
            </v:group>
            <w10:wrap type="none"/>
          </v:group>
        </w:pict>
      </w:r>
      <w:r>
        <w:rPr/>
        <w:pict>
          <v:group style="position:absolute;margin-left:489.579987pt;margin-top:49.01366pt;width:56.1pt;height:.1pt;mso-position-horizontal-relative:page;mso-position-vertical-relative:paragraph;z-index:-645736" coordorigin="9792,980" coordsize="1122,2">
            <v:shape style="position:absolute;left:9792;top:980;width:1122;height:2" coordorigin="9792,980" coordsize="1122,0" path="m9792,980l10913,980e" filled="false" stroked="true" strokeweight=".48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0"/>
        <w:rPr>
          <w:rFonts w:ascii="宋体" w:hAnsi="宋体" w:cs="宋体" w:eastAsia="宋体" w:hint="default"/>
          <w:b/>
          <w:bCs/>
          <w:sz w:val="29"/>
          <w:szCs w:val="29"/>
        </w:rPr>
      </w:pPr>
    </w:p>
    <w:tbl>
      <w:tblPr>
        <w:tblW w:w="0" w:type="auto"/>
        <w:jc w:val="left"/>
        <w:tblInd w:w="122" w:type="dxa"/>
        <w:tblLayout w:type="fixed"/>
        <w:tblCellMar>
          <w:top w:w="0" w:type="dxa"/>
          <w:left w:w="0" w:type="dxa"/>
          <w:bottom w:w="0" w:type="dxa"/>
          <w:right w:w="0" w:type="dxa"/>
        </w:tblCellMar>
        <w:tblLook w:val="01E0"/>
      </w:tblPr>
      <w:tblGrid>
        <w:gridCol w:w="1745"/>
        <w:gridCol w:w="79"/>
        <w:gridCol w:w="1056"/>
        <w:gridCol w:w="77"/>
        <w:gridCol w:w="674"/>
        <w:gridCol w:w="77"/>
        <w:gridCol w:w="672"/>
        <w:gridCol w:w="79"/>
        <w:gridCol w:w="2345"/>
        <w:gridCol w:w="77"/>
        <w:gridCol w:w="1130"/>
        <w:gridCol w:w="77"/>
        <w:gridCol w:w="1121"/>
      </w:tblGrid>
      <w:tr>
        <w:trPr>
          <w:trHeight w:val="676" w:hRule="exact"/>
        </w:trPr>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6"/>
              <w:jc w:val="right"/>
              <w:rPr>
                <w:rFonts w:ascii="宋体" w:hAnsi="宋体" w:cs="宋体" w:eastAsia="宋体" w:hint="default"/>
                <w:sz w:val="15"/>
                <w:szCs w:val="15"/>
              </w:rPr>
            </w:pPr>
            <w:r>
              <w:rPr>
                <w:rFonts w:ascii="宋体" w:hAnsi="宋体" w:cs="宋体" w:eastAsia="宋体" w:hint="default"/>
                <w:spacing w:val="-1"/>
                <w:sz w:val="15"/>
                <w:szCs w:val="15"/>
              </w:rPr>
              <w:t>发行新股</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85"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43" w:right="0" w:firstLine="14"/>
              <w:jc w:val="left"/>
              <w:rPr>
                <w:rFonts w:ascii="宋体" w:hAnsi="宋体" w:cs="宋体" w:eastAsia="宋体" w:hint="default"/>
                <w:sz w:val="15"/>
                <w:szCs w:val="15"/>
              </w:rPr>
            </w:pPr>
            <w:r>
              <w:rPr>
                <w:rFonts w:ascii="宋体" w:hAnsi="宋体" w:cs="宋体" w:eastAsia="宋体" w:hint="default"/>
                <w:sz w:val="15"/>
                <w:szCs w:val="15"/>
              </w:rPr>
              <w:t>本期变动增（</w:t>
            </w:r>
            <w:r>
              <w:rPr>
                <w:rFonts w:ascii="宋体" w:hAnsi="宋体" w:cs="宋体" w:eastAsia="宋体" w:hint="default"/>
                <w:sz w:val="15"/>
                <w:szCs w:val="15"/>
              </w:rPr>
              <w:t>+</w:t>
            </w:r>
            <w:r>
              <w:rPr>
                <w:rFonts w:ascii="宋体" w:hAnsi="宋体" w:cs="宋体" w:eastAsia="宋体" w:hint="default"/>
                <w:sz w:val="15"/>
                <w:szCs w:val="15"/>
              </w:rPr>
              <w:t>）减（－）</w:t>
            </w:r>
          </w:p>
          <w:p>
            <w:pPr>
              <w:pStyle w:val="TableParagraph"/>
              <w:spacing w:line="240" w:lineRule="auto" w:before="8"/>
              <w:ind w:right="0"/>
              <w:jc w:val="left"/>
              <w:rPr>
                <w:rFonts w:ascii="宋体" w:hAnsi="宋体" w:cs="宋体" w:eastAsia="宋体" w:hint="default"/>
                <w:b/>
                <w:bCs/>
                <w:sz w:val="11"/>
                <w:szCs w:val="11"/>
              </w:rPr>
            </w:pPr>
          </w:p>
          <w:p>
            <w:pPr>
              <w:pStyle w:val="TableParagraph"/>
              <w:tabs>
                <w:tab w:pos="1579" w:val="left" w:leader="none"/>
              </w:tabs>
              <w:spacing w:line="240" w:lineRule="auto"/>
              <w:ind w:left="143" w:right="0"/>
              <w:jc w:val="left"/>
              <w:rPr>
                <w:rFonts w:ascii="宋体" w:hAnsi="宋体" w:cs="宋体" w:eastAsia="宋体" w:hint="default"/>
                <w:sz w:val="15"/>
                <w:szCs w:val="15"/>
              </w:rPr>
            </w:pPr>
            <w:r>
              <w:rPr>
                <w:rFonts w:ascii="宋体" w:hAnsi="宋体" w:cs="宋体" w:eastAsia="宋体" w:hint="default"/>
                <w:spacing w:val="-1"/>
                <w:sz w:val="15"/>
                <w:szCs w:val="15"/>
              </w:rPr>
              <w:t>公积金转股</w:t>
              <w:tab/>
            </w:r>
            <w:r>
              <w:rPr>
                <w:rFonts w:ascii="宋体" w:hAnsi="宋体" w:cs="宋体" w:eastAsia="宋体" w:hint="default"/>
                <w:sz w:val="15"/>
                <w:szCs w:val="15"/>
              </w:rPr>
              <w:t>其他</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21"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68" w:hRule="exact"/>
        </w:trPr>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．有限售条件股份</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single" w:sz="4"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single" w:sz="4" w:space="0" w:color="000000"/>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2.6pt;height:.5pt;mso-position-horizontal-relative:char;mso-position-vertical-relative:line" coordorigin="0,0" coordsize="1052,10">
                  <v:group style="position:absolute;left:5;top:5;width:1042;height:2" coordorigin="5,5" coordsize="1042,2">
                    <v:shape style="position:absolute;left:5;top:5;width:1042;height:2" coordorigin="5,5" coordsize="1042,0" path="m5,5l104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26"/>
                <w:szCs w:val="26"/>
              </w:rPr>
            </w:pP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
        </w:tc>
      </w:tr>
      <w:tr>
        <w:trPr>
          <w:trHeight w:val="34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国家持股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1"/>
                <w:sz w:val="15"/>
                <w:szCs w:val="15"/>
              </w:rPr>
              <w:t> </w:t>
            </w:r>
            <w:r>
              <w:rPr>
                <w:rFonts w:ascii="宋体" w:hAnsi="宋体" w:cs="宋体" w:eastAsia="宋体" w:hint="default"/>
                <w:sz w:val="15"/>
                <w:szCs w:val="15"/>
              </w:rPr>
              <w:t>国有法人持股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2,200,000.00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151" w:val="left" w:leader="none"/>
              </w:tabs>
              <w:spacing w:line="240" w:lineRule="auto" w:before="49"/>
              <w:ind w:right="26"/>
              <w:jc w:val="right"/>
              <w:rPr>
                <w:rFonts w:ascii="宋体" w:hAnsi="宋体" w:cs="宋体" w:eastAsia="宋体" w:hint="default"/>
                <w:sz w:val="15"/>
                <w:szCs w:val="15"/>
              </w:rPr>
            </w:pPr>
            <w:r>
              <w:rPr>
                <w:rFonts w:ascii="宋体"/>
                <w:spacing w:val="-2"/>
                <w:sz w:val="15"/>
              </w:rPr>
              <w:t>1,760,000.00</w:t>
              <w:tab/>
            </w:r>
            <w:r>
              <w:rPr>
                <w:rFonts w:ascii="宋体"/>
                <w:spacing w:val="-1"/>
                <w:sz w:val="15"/>
              </w:rPr>
              <w:t>(3,960,000.00)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(2,200,000.00)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1"/>
                <w:sz w:val="15"/>
                <w:szCs w:val="15"/>
              </w:rPr>
              <w:t> </w:t>
            </w:r>
            <w:r>
              <w:rPr>
                <w:rFonts w:ascii="宋体" w:hAnsi="宋体" w:cs="宋体" w:eastAsia="宋体" w:hint="default"/>
                <w:sz w:val="15"/>
                <w:szCs w:val="15"/>
              </w:rPr>
              <w:t>其他内资持股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45,300,000.00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z w:val="15"/>
              </w:rPr>
              <w:t>36,240,000.00 </w:t>
            </w:r>
            <w:r>
              <w:rPr>
                <w:rFonts w:ascii="宋体"/>
                <w:spacing w:val="11"/>
                <w:sz w:val="15"/>
              </w:rPr>
              <w:t> </w:t>
            </w:r>
            <w:r>
              <w:rPr>
                <w:rFonts w:ascii="宋体"/>
                <w:sz w:val="15"/>
              </w:rPr>
              <w:t>(14,985,000.00)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21,255,000.00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66,555,000.00</w:t>
            </w:r>
          </w:p>
        </w:tc>
      </w:tr>
      <w:tr>
        <w:trPr>
          <w:trHeight w:val="34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45,300,000.00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z w:val="15"/>
              </w:rPr>
              <w:t>36,240,000.00 </w:t>
            </w:r>
            <w:r>
              <w:rPr>
                <w:rFonts w:ascii="宋体"/>
                <w:spacing w:val="11"/>
                <w:sz w:val="15"/>
              </w:rPr>
              <w:t> </w:t>
            </w:r>
            <w:r>
              <w:rPr>
                <w:rFonts w:ascii="宋体"/>
                <w:sz w:val="15"/>
              </w:rPr>
              <w:t>(14,985,000.00)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21,255,000.00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66,555,000.00</w:t>
            </w:r>
          </w:p>
        </w:tc>
      </w:tr>
      <w:tr>
        <w:trPr>
          <w:trHeight w:val="34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1"/>
                <w:sz w:val="15"/>
                <w:szCs w:val="15"/>
              </w:rPr>
              <w:t> </w:t>
            </w:r>
            <w:r>
              <w:rPr>
                <w:rFonts w:ascii="宋体" w:hAnsi="宋体" w:cs="宋体" w:eastAsia="宋体" w:hint="default"/>
                <w:sz w:val="15"/>
                <w:szCs w:val="15"/>
              </w:rPr>
              <w:t>外资持股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8"/>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r>
      <w:tr>
        <w:trPr>
          <w:trHeight w:val="32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97" name="image61.png" descr=""/>
                  <wp:cNvGraphicFramePr>
                    <a:graphicFrameLocks noChangeAspect="1"/>
                  </wp:cNvGraphicFramePr>
                  <a:graphic>
                    <a:graphicData uri="http://schemas.openxmlformats.org/drawingml/2006/picture">
                      <pic:pic>
                        <pic:nvPicPr>
                          <pic:cNvPr id="98" name="image61.png"/>
                          <pic:cNvPicPr/>
                        </pic:nvPicPr>
                        <pic:blipFill>
                          <a:blip r:embed="rId11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67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single" w:sz="4" w:space="0" w:color="000000"/>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6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
                <w:sz w:val="15"/>
                <w:szCs w:val="15"/>
              </w:rPr>
              <w:t> </w:t>
            </w:r>
            <w:r>
              <w:rPr>
                <w:rFonts w:ascii="宋体" w:hAnsi="宋体" w:cs="宋体" w:eastAsia="宋体" w:hint="default"/>
                <w:sz w:val="15"/>
                <w:szCs w:val="15"/>
              </w:rPr>
              <w:t>网下配售股份</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3,200,000.00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6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2.35pt;height:.5pt;mso-position-horizontal-relative:char;mso-position-vertical-relative:line" coordorigin="0,0" coordsize="1047,10">
                  <v:group style="position:absolute;left:5;top:5;width:20;height:2" coordorigin="5,5" coordsize="20,2">
                    <v:shape style="position:absolute;left:5;top:5;width:20;height:2" coordorigin="5,5" coordsize="20,0" path="m5,5l24,5e" filled="false" stroked="true" strokeweight=".48001pt" strokecolor="#000000">
                      <v:path arrowok="t"/>
                    </v:shape>
                  </v:group>
                  <v:group style="position:absolute;left:24;top:5;width:20;height:2" coordorigin="24,5" coordsize="20,2">
                    <v:shape style="position:absolute;left:24;top:5;width:20;height:2" coordorigin="24,5" coordsize="20,0" path="m24,5l43,5e" filled="false" stroked="true" strokeweight=".48001pt" strokecolor="#000000">
                      <v:path arrowok="t"/>
                    </v:shape>
                  </v:group>
                  <v:group style="position:absolute;left:43;top:5;width:20;height:2" coordorigin="43,5" coordsize="20,2">
                    <v:shape style="position:absolute;left:43;top:5;width:20;height:2" coordorigin="43,5" coordsize="20,0" path="m43,5l62,5e" filled="false" stroked="true" strokeweight=".48001pt" strokecolor="#000000">
                      <v:path arrowok="t"/>
                    </v:shape>
                  </v:group>
                  <v:group style="position:absolute;left:62;top:5;width:20;height:2" coordorigin="62,5" coordsize="20,2">
                    <v:shape style="position:absolute;left:62;top:5;width:20;height:2" coordorigin="62,5" coordsize="20,0" path="m62,5l82,5e" filled="false" stroked="true" strokeweight=".48001pt" strokecolor="#000000">
                      <v:path arrowok="t"/>
                    </v:shape>
                  </v:group>
                  <v:group style="position:absolute;left:82;top:5;width:20;height:2" coordorigin="82,5" coordsize="20,2">
                    <v:shape style="position:absolute;left:82;top:5;width:20;height:2" coordorigin="82,5" coordsize="20,0" path="m82,5l101,5e" filled="false" stroked="true" strokeweight=".48001pt" strokecolor="#000000">
                      <v:path arrowok="t"/>
                    </v:shape>
                  </v:group>
                  <v:group style="position:absolute;left:101;top:5;width:20;height:2" coordorigin="101,5" coordsize="20,2">
                    <v:shape style="position:absolute;left:101;top:5;width:20;height:2" coordorigin="101,5" coordsize="20,0" path="m101,5l120,5e" filled="false" stroked="true" strokeweight=".48001pt" strokecolor="#000000">
                      <v:path arrowok="t"/>
                    </v:shape>
                  </v:group>
                  <v:group style="position:absolute;left:120;top:5;width:20;height:2" coordorigin="120,5" coordsize="20,2">
                    <v:shape style="position:absolute;left:120;top:5;width:20;height:2" coordorigin="120,5" coordsize="20,0" path="m120,5l139,5e" filled="false" stroked="true" strokeweight=".48001pt" strokecolor="#000000">
                      <v:path arrowok="t"/>
                    </v:shape>
                  </v:group>
                  <v:group style="position:absolute;left:139;top:5;width:20;height:2" coordorigin="139,5" coordsize="20,2">
                    <v:shape style="position:absolute;left:139;top:5;width:20;height:2" coordorigin="139,5" coordsize="20,0" path="m139,5l158,5e" filled="false" stroked="true" strokeweight=".48001pt" strokecolor="#000000">
                      <v:path arrowok="t"/>
                    </v:shape>
                  </v:group>
                  <v:group style="position:absolute;left:158;top:5;width:20;height:2" coordorigin="158,5" coordsize="20,2">
                    <v:shape style="position:absolute;left:158;top:5;width:20;height:2" coordorigin="158,5" coordsize="20,0" path="m158,5l178,5e" filled="false" stroked="true" strokeweight=".48001pt" strokecolor="#000000">
                      <v:path arrowok="t"/>
                    </v:shape>
                  </v:group>
                  <v:group style="position:absolute;left:178;top:5;width:20;height:2" coordorigin="178,5" coordsize="20,2">
                    <v:shape style="position:absolute;left:178;top:5;width:20;height:2" coordorigin="178,5" coordsize="20,0" path="m178,5l197,5e" filled="false" stroked="true" strokeweight=".48001pt" strokecolor="#000000">
                      <v:path arrowok="t"/>
                    </v:shape>
                  </v:group>
                  <v:group style="position:absolute;left:197;top:5;width:20;height:2" coordorigin="197,5" coordsize="20,2">
                    <v:shape style="position:absolute;left:197;top:5;width:20;height:2" coordorigin="197,5" coordsize="20,0" path="m197,5l216,5e" filled="false" stroked="true" strokeweight=".48001pt" strokecolor="#000000">
                      <v:path arrowok="t"/>
                    </v:shape>
                  </v:group>
                  <v:group style="position:absolute;left:216;top:5;width:20;height:2" coordorigin="216,5" coordsize="20,2">
                    <v:shape style="position:absolute;left:216;top:5;width:20;height:2" coordorigin="216,5" coordsize="20,0" path="m216,5l235,5e" filled="false" stroked="true" strokeweight=".48001pt" strokecolor="#000000">
                      <v:path arrowok="t"/>
                    </v:shape>
                  </v:group>
                  <v:group style="position:absolute;left:235;top:5;width:20;height:2" coordorigin="235,5" coordsize="20,2">
                    <v:shape style="position:absolute;left:235;top:5;width:20;height:2" coordorigin="235,5" coordsize="20,0" path="m235,5l254,5e" filled="false" stroked="true" strokeweight=".48001pt" strokecolor="#000000">
                      <v:path arrowok="t"/>
                    </v:shape>
                  </v:group>
                  <v:group style="position:absolute;left:254;top:5;width:20;height:2" coordorigin="254,5" coordsize="20,2">
                    <v:shape style="position:absolute;left:254;top:5;width:20;height:2" coordorigin="254,5" coordsize="20,0" path="m254,5l274,5e" filled="false" stroked="true" strokeweight=".48001pt" strokecolor="#000000">
                      <v:path arrowok="t"/>
                    </v:shape>
                  </v:group>
                  <v:group style="position:absolute;left:274;top:5;width:20;height:2" coordorigin="274,5" coordsize="20,2">
                    <v:shape style="position:absolute;left:274;top:5;width:20;height:2" coordorigin="274,5" coordsize="20,0" path="m274,5l293,5e" filled="false" stroked="true" strokeweight=".48001pt" strokecolor="#000000">
                      <v:path arrowok="t"/>
                    </v:shape>
                  </v:group>
                  <v:group style="position:absolute;left:293;top:5;width:20;height:2" coordorigin="293,5" coordsize="20,2">
                    <v:shape style="position:absolute;left:293;top:5;width:20;height:2" coordorigin="293,5" coordsize="20,0" path="m293,5l312,5e" filled="false" stroked="true" strokeweight=".48001pt" strokecolor="#000000">
                      <v:path arrowok="t"/>
                    </v:shape>
                  </v:group>
                  <v:group style="position:absolute;left:312;top:5;width:20;height:2" coordorigin="312,5" coordsize="20,2">
                    <v:shape style="position:absolute;left:312;top:5;width:20;height:2" coordorigin="312,5" coordsize="20,0" path="m312,5l331,5e" filled="false" stroked="true" strokeweight=".48001pt" strokecolor="#000000">
                      <v:path arrowok="t"/>
                    </v:shape>
                  </v:group>
                  <v:group style="position:absolute;left:331;top:5;width:20;height:2" coordorigin="331,5" coordsize="20,2">
                    <v:shape style="position:absolute;left:331;top:5;width:20;height:2" coordorigin="331,5" coordsize="20,0" path="m331,5l350,5e" filled="false" stroked="true" strokeweight=".48001pt" strokecolor="#000000">
                      <v:path arrowok="t"/>
                    </v:shape>
                  </v:group>
                  <v:group style="position:absolute;left:350;top:5;width:20;height:2" coordorigin="350,5" coordsize="20,2">
                    <v:shape style="position:absolute;left:350;top:5;width:20;height:2" coordorigin="350,5" coordsize="20,0" path="m350,5l370,5e" filled="false" stroked="true" strokeweight=".48001pt" strokecolor="#000000">
                      <v:path arrowok="t"/>
                    </v:shape>
                  </v:group>
                  <v:group style="position:absolute;left:370;top:5;width:20;height:2" coordorigin="370,5" coordsize="20,2">
                    <v:shape style="position:absolute;left:370;top:5;width:20;height:2" coordorigin="370,5" coordsize="20,0" path="m370,5l389,5e" filled="false" stroked="true" strokeweight=".48001pt" strokecolor="#000000">
                      <v:path arrowok="t"/>
                    </v:shape>
                  </v:group>
                  <v:group style="position:absolute;left:389;top:5;width:20;height:2" coordorigin="389,5" coordsize="20,2">
                    <v:shape style="position:absolute;left:389;top:5;width:20;height:2" coordorigin="389,5" coordsize="20,0" path="m389,5l408,5e" filled="false" stroked="true" strokeweight=".48001pt" strokecolor="#000000">
                      <v:path arrowok="t"/>
                    </v:shape>
                  </v:group>
                  <v:group style="position:absolute;left:408;top:5;width:20;height:2" coordorigin="408,5" coordsize="20,2">
                    <v:shape style="position:absolute;left:408;top:5;width:20;height:2" coordorigin="408,5" coordsize="20,0" path="m408,5l427,5e" filled="false" stroked="true" strokeweight=".48001pt" strokecolor="#000000">
                      <v:path arrowok="t"/>
                    </v:shape>
                  </v:group>
                  <v:group style="position:absolute;left:427;top:5;width:20;height:2" coordorigin="427,5" coordsize="20,2">
                    <v:shape style="position:absolute;left:427;top:5;width:20;height:2" coordorigin="427,5" coordsize="20,0" path="m427,5l446,5e" filled="false" stroked="true" strokeweight=".48001pt" strokecolor="#000000">
                      <v:path arrowok="t"/>
                    </v:shape>
                  </v:group>
                  <v:group style="position:absolute;left:446;top:5;width:20;height:2" coordorigin="446,5" coordsize="20,2">
                    <v:shape style="position:absolute;left:446;top:5;width:20;height:2" coordorigin="446,5" coordsize="20,0" path="m446,5l466,5e" filled="false" stroked="true" strokeweight=".48001pt" strokecolor="#000000">
                      <v:path arrowok="t"/>
                    </v:shape>
                  </v:group>
                  <v:group style="position:absolute;left:466;top:5;width:20;height:2" coordorigin="466,5" coordsize="20,2">
                    <v:shape style="position:absolute;left:466;top:5;width:20;height:2" coordorigin="466,5" coordsize="20,0" path="m466,5l485,5e" filled="false" stroked="true" strokeweight=".48001pt" strokecolor="#000000">
                      <v:path arrowok="t"/>
                    </v:shape>
                  </v:group>
                  <v:group style="position:absolute;left:485;top:5;width:20;height:2" coordorigin="485,5" coordsize="20,2">
                    <v:shape style="position:absolute;left:485;top:5;width:20;height:2" coordorigin="485,5" coordsize="20,0" path="m485,5l504,5e" filled="false" stroked="true" strokeweight=".48001pt" strokecolor="#000000">
                      <v:path arrowok="t"/>
                    </v:shape>
                  </v:group>
                  <v:group style="position:absolute;left:504;top:5;width:20;height:2" coordorigin="504,5" coordsize="20,2">
                    <v:shape style="position:absolute;left:504;top:5;width:20;height:2" coordorigin="504,5" coordsize="20,0" path="m504,5l523,5e" filled="false" stroked="true" strokeweight=".48001pt" strokecolor="#000000">
                      <v:path arrowok="t"/>
                    </v:shape>
                  </v:group>
                  <v:group style="position:absolute;left:523;top:5;width:20;height:2" coordorigin="523,5" coordsize="20,2">
                    <v:shape style="position:absolute;left:523;top:5;width:20;height:2" coordorigin="523,5" coordsize="20,0" path="m523,5l542,5e" filled="false" stroked="true" strokeweight=".48001pt" strokecolor="#000000">
                      <v:path arrowok="t"/>
                    </v:shape>
                  </v:group>
                  <v:group style="position:absolute;left:542;top:5;width:20;height:2" coordorigin="542,5" coordsize="20,2">
                    <v:shape style="position:absolute;left:542;top:5;width:20;height:2" coordorigin="542,5" coordsize="20,0" path="m542,5l562,5e" filled="false" stroked="true" strokeweight=".48001pt" strokecolor="#000000">
                      <v:path arrowok="t"/>
                    </v:shape>
                  </v:group>
                  <v:group style="position:absolute;left:562;top:5;width:20;height:2" coordorigin="562,5" coordsize="20,2">
                    <v:shape style="position:absolute;left:562;top:5;width:20;height:2" coordorigin="562,5" coordsize="20,0" path="m562,5l581,5e" filled="false" stroked="true" strokeweight=".48001pt" strokecolor="#000000">
                      <v:path arrowok="t"/>
                    </v:shape>
                  </v:group>
                  <v:group style="position:absolute;left:581;top:5;width:20;height:2" coordorigin="581,5" coordsize="20,2">
                    <v:shape style="position:absolute;left:581;top:5;width:20;height:2" coordorigin="581,5" coordsize="20,0" path="m581,5l600,5e" filled="false" stroked="true" strokeweight=".48001pt" strokecolor="#000000">
                      <v:path arrowok="t"/>
                    </v:shape>
                  </v:group>
                  <v:group style="position:absolute;left:600;top:5;width:20;height:2" coordorigin="600,5" coordsize="20,2">
                    <v:shape style="position:absolute;left:600;top:5;width:20;height:2" coordorigin="600,5" coordsize="20,0" path="m600,5l619,5e" filled="false" stroked="true" strokeweight=".48001pt" strokecolor="#000000">
                      <v:path arrowok="t"/>
                    </v:shape>
                  </v:group>
                  <v:group style="position:absolute;left:619;top:5;width:20;height:2" coordorigin="619,5" coordsize="20,2">
                    <v:shape style="position:absolute;left:619;top:5;width:20;height:2" coordorigin="619,5" coordsize="20,0" path="m619,5l638,5e" filled="false" stroked="true" strokeweight=".48001pt" strokecolor="#000000">
                      <v:path arrowok="t"/>
                    </v:shape>
                  </v:group>
                  <v:group style="position:absolute;left:638;top:5;width:20;height:2" coordorigin="638,5" coordsize="20,2">
                    <v:shape style="position:absolute;left:638;top:5;width:20;height:2" coordorigin="638,5" coordsize="20,0" path="m638,5l658,5e" filled="false" stroked="true" strokeweight=".48001pt" strokecolor="#000000">
                      <v:path arrowok="t"/>
                    </v:shape>
                  </v:group>
                  <v:group style="position:absolute;left:658;top:5;width:20;height:2" coordorigin="658,5" coordsize="20,2">
                    <v:shape style="position:absolute;left:658;top:5;width:20;height:2" coordorigin="658,5" coordsize="20,0" path="m658,5l677,5e" filled="false" stroked="true" strokeweight=".48001pt" strokecolor="#000000">
                      <v:path arrowok="t"/>
                    </v:shape>
                  </v:group>
                  <v:group style="position:absolute;left:677;top:5;width:20;height:2" coordorigin="677,5" coordsize="20,2">
                    <v:shape style="position:absolute;left:677;top:5;width:20;height:2" coordorigin="677,5" coordsize="20,0" path="m677,5l696,5e" filled="false" stroked="true" strokeweight=".48001pt" strokecolor="#000000">
                      <v:path arrowok="t"/>
                    </v:shape>
                  </v:group>
                  <v:group style="position:absolute;left:696;top:5;width:20;height:2" coordorigin="696,5" coordsize="20,2">
                    <v:shape style="position:absolute;left:696;top:5;width:20;height:2" coordorigin="696,5" coordsize="20,0" path="m696,5l715,5e" filled="false" stroked="true" strokeweight=".48001pt" strokecolor="#000000">
                      <v:path arrowok="t"/>
                    </v:shape>
                  </v:group>
                  <v:group style="position:absolute;left:715;top:5;width:20;height:2" coordorigin="715,5" coordsize="20,2">
                    <v:shape style="position:absolute;left:715;top:5;width:20;height:2" coordorigin="715,5" coordsize="20,0" path="m715,5l734,5e" filled="false" stroked="true" strokeweight=".48001pt" strokecolor="#000000">
                      <v:path arrowok="t"/>
                    </v:shape>
                  </v:group>
                  <v:group style="position:absolute;left:734;top:5;width:20;height:2" coordorigin="734,5" coordsize="20,2">
                    <v:shape style="position:absolute;left:734;top:5;width:20;height:2" coordorigin="734,5" coordsize="20,0" path="m734,5l754,5e" filled="false" stroked="true" strokeweight=".48001pt" strokecolor="#000000">
                      <v:path arrowok="t"/>
                    </v:shape>
                  </v:group>
                  <v:group style="position:absolute;left:754;top:5;width:20;height:2" coordorigin="754,5" coordsize="20,2">
                    <v:shape style="position:absolute;left:754;top:5;width:20;height:2" coordorigin="754,5" coordsize="20,0" path="m754,5l773,5e" filled="false" stroked="true" strokeweight=".48001pt" strokecolor="#000000">
                      <v:path arrowok="t"/>
                    </v:shape>
                  </v:group>
                  <v:group style="position:absolute;left:773;top:5;width:20;height:2" coordorigin="773,5" coordsize="20,2">
                    <v:shape style="position:absolute;left:773;top:5;width:20;height:2" coordorigin="773,5" coordsize="20,0" path="m773,5l792,5e" filled="false" stroked="true" strokeweight=".48001pt" strokecolor="#000000">
                      <v:path arrowok="t"/>
                    </v:shape>
                  </v:group>
                  <v:group style="position:absolute;left:792;top:5;width:20;height:2" coordorigin="792,5" coordsize="20,2">
                    <v:shape style="position:absolute;left:792;top:5;width:20;height:2" coordorigin="792,5" coordsize="20,0" path="m792,5l811,5e" filled="false" stroked="true" strokeweight=".48001pt" strokecolor="#000000">
                      <v:path arrowok="t"/>
                    </v:shape>
                  </v:group>
                  <v:group style="position:absolute;left:811;top:5;width:20;height:2" coordorigin="811,5" coordsize="20,2">
                    <v:shape style="position:absolute;left:811;top:5;width:20;height:2" coordorigin="811,5" coordsize="20,0" path="m811,5l830,5e" filled="false" stroked="true" strokeweight=".48001pt" strokecolor="#000000">
                      <v:path arrowok="t"/>
                    </v:shape>
                  </v:group>
                  <v:group style="position:absolute;left:830;top:5;width:20;height:2" coordorigin="830,5" coordsize="20,2">
                    <v:shape style="position:absolute;left:830;top:5;width:20;height:2" coordorigin="830,5" coordsize="20,0" path="m830,5l850,5e" filled="false" stroked="true" strokeweight=".48001pt" strokecolor="#000000">
                      <v:path arrowok="t"/>
                    </v:shape>
                  </v:group>
                  <v:group style="position:absolute;left:850;top:5;width:20;height:2" coordorigin="850,5" coordsize="20,2">
                    <v:shape style="position:absolute;left:850;top:5;width:20;height:2" coordorigin="850,5" coordsize="20,0" path="m850,5l869,5e" filled="false" stroked="true" strokeweight=".48001pt" strokecolor="#000000">
                      <v:path arrowok="t"/>
                    </v:shape>
                  </v:group>
                  <v:group style="position:absolute;left:869;top:5;width:20;height:2" coordorigin="869,5" coordsize="20,2">
                    <v:shape style="position:absolute;left:869;top:5;width:20;height:2" coordorigin="869,5" coordsize="20,0" path="m869,5l888,5e" filled="false" stroked="true" strokeweight=".48001pt" strokecolor="#000000">
                      <v:path arrowok="t"/>
                    </v:shape>
                  </v:group>
                  <v:group style="position:absolute;left:888;top:5;width:20;height:2" coordorigin="888,5" coordsize="20,2">
                    <v:shape style="position:absolute;left:888;top:5;width:20;height:2" coordorigin="888,5" coordsize="20,0" path="m888,5l907,5e" filled="false" stroked="true" strokeweight=".48001pt" strokecolor="#000000">
                      <v:path arrowok="t"/>
                    </v:shape>
                  </v:group>
                  <v:group style="position:absolute;left:907;top:5;width:20;height:2" coordorigin="907,5" coordsize="20,2">
                    <v:shape style="position:absolute;left:907;top:5;width:20;height:2" coordorigin="907,5" coordsize="20,0" path="m907,5l926,5e" filled="false" stroked="true" strokeweight=".48001pt" strokecolor="#000000">
                      <v:path arrowok="t"/>
                    </v:shape>
                  </v:group>
                  <v:group style="position:absolute;left:926;top:5;width:20;height:2" coordorigin="926,5" coordsize="20,2">
                    <v:shape style="position:absolute;left:926;top:5;width:20;height:2" coordorigin="926,5" coordsize="20,0" path="m926,5l946,5e" filled="false" stroked="true" strokeweight=".48001pt" strokecolor="#000000">
                      <v:path arrowok="t"/>
                    </v:shape>
                  </v:group>
                  <v:group style="position:absolute;left:946;top:5;width:20;height:2" coordorigin="946,5" coordsize="20,2">
                    <v:shape style="position:absolute;left:946;top:5;width:20;height:2" coordorigin="946,5" coordsize="20,0" path="m946,5l965,5e" filled="false" stroked="true" strokeweight=".48001pt" strokecolor="#000000">
                      <v:path arrowok="t"/>
                    </v:shape>
                  </v:group>
                  <v:group style="position:absolute;left:965;top:5;width:20;height:2" coordorigin="965,5" coordsize="20,2">
                    <v:shape style="position:absolute;left:965;top:5;width:20;height:2" coordorigin="965,5" coordsize="20,0" path="m965,5l984,5e" filled="false" stroked="true" strokeweight=".48001pt" strokecolor="#000000">
                      <v:path arrowok="t"/>
                    </v:shape>
                  </v:group>
                  <v:group style="position:absolute;left:984;top:5;width:20;height:2" coordorigin="984,5" coordsize="20,2">
                    <v:shape style="position:absolute;left:984;top:5;width:20;height:2" coordorigin="984,5" coordsize="20,0" path="m984,5l1003,5e" filled="false" stroked="true" strokeweight=".48001pt" strokecolor="#000000">
                      <v:path arrowok="t"/>
                    </v:shape>
                  </v:group>
                  <v:group style="position:absolute;left:1003;top:5;width:20;height:2" coordorigin="1003,5" coordsize="20,2">
                    <v:shape style="position:absolute;left:1003;top:5;width:20;height:2" coordorigin="1003,5" coordsize="20,0" path="m1003,5l1022,5e" filled="false" stroked="true" strokeweight=".48001pt" strokecolor="#000000">
                      <v:path arrowok="t"/>
                    </v:shape>
                  </v:group>
                  <v:group style="position:absolute;left:1022;top:5;width:20;height:2" coordorigin="1022,5" coordsize="20,2">
                    <v:shape style="position:absolute;left:1022;top:5;width:20;height:2" coordorigin="1022,5" coordsize="20,0" path="m1022,5l1042,5e" filled="false" stroked="true" strokeweight=".48001pt" strokecolor="#000000">
                      <v:path arrowok="t"/>
                    </v:shape>
                    <v:shape style="position:absolute;left:1042;top:0;width:5;height:10" type="#_x0000_t75" stroked="false">
                      <v:imagedata r:id="rId129" o:title=""/>
                    </v:shape>
                  </v:group>
                </v:group>
              </w:pict>
            </w:r>
            <w:r>
              <w:rPr>
                <w:rFonts w:ascii="宋体" w:hAnsi="宋体" w:cs="宋体" w:eastAsia="宋体" w:hint="default"/>
                <w:sz w:val="2"/>
                <w:szCs w:val="2"/>
              </w:rPr>
            </w:r>
          </w:p>
          <w:p>
            <w:pPr>
              <w:pStyle w:val="TableParagraph"/>
              <w:tabs>
                <w:tab w:pos="477" w:val="left" w:leader="none"/>
              </w:tabs>
              <w:spacing w:line="240" w:lineRule="auto" w:before="61"/>
              <w:ind w:right="26"/>
              <w:jc w:val="right"/>
              <w:rPr>
                <w:rFonts w:ascii="宋体" w:hAnsi="宋体" w:cs="宋体" w:eastAsia="宋体" w:hint="default"/>
                <w:sz w:val="15"/>
                <w:szCs w:val="15"/>
              </w:rPr>
            </w:pPr>
            <w:r>
              <w:rPr>
                <w:rFonts w:ascii="宋体"/>
                <w:spacing w:val="-1"/>
                <w:sz w:val="15"/>
              </w:rPr>
              <w:t>---</w:t>
              <w:tab/>
              <w:t>(3,200,000.00)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1"/>
                <w:sz w:val="15"/>
              </w:rPr>
              <w:t>(3,200,000.00)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w:t>
            </w:r>
          </w:p>
        </w:tc>
      </w:tr>
      <w:tr>
        <w:trPr>
          <w:trHeight w:val="37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50,700,000.00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z w:val="15"/>
              </w:rPr>
              <w:t>38,000,000.00 </w:t>
            </w:r>
            <w:r>
              <w:rPr>
                <w:rFonts w:ascii="宋体"/>
                <w:spacing w:val="11"/>
                <w:sz w:val="15"/>
              </w:rPr>
              <w:t> </w:t>
            </w:r>
            <w:r>
              <w:rPr>
                <w:rFonts w:ascii="宋体"/>
                <w:sz w:val="15"/>
              </w:rPr>
              <w:t>(22,145,000.00)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15,855,000.00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66,555,000.00</w:t>
            </w:r>
          </w:p>
        </w:tc>
      </w:tr>
      <w:tr>
        <w:trPr>
          <w:trHeight w:val="378"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．无限售条件流通股份</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single" w:sz="12"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single" w:sz="12"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single" w:sz="12" w:space="0" w:color="000000"/>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single" w:sz="12"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single" w:sz="12"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single" w:sz="12" w:space="0" w:color="000000"/>
              <w:left w:val="nil" w:sz="6" w:space="0" w:color="auto"/>
              <w:bottom w:val="nil" w:sz="6" w:space="0" w:color="auto"/>
              <w:right w:val="nil" w:sz="6" w:space="0" w:color="auto"/>
            </w:tcBorders>
          </w:tcPr>
          <w:p>
            <w:pP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人民币普通股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12,800,000.00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6"/>
              <w:jc w:val="right"/>
              <w:rPr>
                <w:rFonts w:ascii="宋体" w:hAnsi="宋体" w:cs="宋体" w:eastAsia="宋体" w:hint="default"/>
                <w:sz w:val="15"/>
                <w:szCs w:val="15"/>
              </w:rPr>
            </w:pPr>
            <w:r>
              <w:rPr>
                <w:rFonts w:ascii="宋体"/>
                <w:spacing w:val="-2"/>
                <w:sz w:val="15"/>
              </w:rPr>
              <w:t>12,800,000.00</w:t>
              <w:tab/>
              <w:t>22,145,000.00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34,945,000.00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47,745,000.00</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境内上市的外资股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8"/>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r>
      <w:tr>
        <w:trPr>
          <w:trHeight w:val="34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2"/>
                <w:sz w:val="15"/>
                <w:szCs w:val="15"/>
              </w:rPr>
              <w:t> </w:t>
            </w:r>
            <w:r>
              <w:rPr>
                <w:rFonts w:ascii="宋体" w:hAnsi="宋体" w:cs="宋体" w:eastAsia="宋体" w:hint="default"/>
                <w:sz w:val="15"/>
                <w:szCs w:val="15"/>
              </w:rPr>
              <w:t>境外上市的外资股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
                <w:sz w:val="15"/>
                <w:szCs w:val="15"/>
              </w:rPr>
              <w:t> </w:t>
            </w:r>
            <w:r>
              <w:rPr>
                <w:rFonts w:ascii="宋体" w:hAnsi="宋体" w:cs="宋体" w:eastAsia="宋体" w:hint="default"/>
                <w:spacing w:val="-3"/>
                <w:sz w:val="15"/>
                <w:szCs w:val="15"/>
              </w:rPr>
              <w:t>其他</w:t>
            </w:r>
            <w:r>
              <w:rPr>
                <w:rFonts w:ascii="宋体" w:hAnsi="宋体" w:cs="宋体" w:eastAsia="宋体" w:hint="default"/>
                <w:sz w:val="15"/>
                <w:szCs w:val="15"/>
              </w:rPr>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49"/>
              <w:ind w:right="25"/>
              <w:jc w:val="right"/>
              <w:rPr>
                <w:rFonts w:ascii="宋体" w:hAnsi="宋体" w:cs="宋体" w:eastAsia="宋体" w:hint="default"/>
                <w:sz w:val="15"/>
                <w:szCs w:val="15"/>
              </w:rPr>
            </w:pPr>
            <w:r>
              <w:rPr>
                <w:rFonts w:ascii="宋体"/>
                <w:spacing w:val="-1"/>
                <w:sz w:val="15"/>
              </w:rPr>
              <w:t>---</w:t>
              <w:tab/>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r>
      <w:tr>
        <w:trPr>
          <w:trHeight w:val="322"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12,800,000.00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99" name="image71.png" descr=""/>
                  <wp:cNvGraphicFramePr>
                    <a:graphicFrameLocks noChangeAspect="1"/>
                  </wp:cNvGraphicFramePr>
                  <a:graphic>
                    <a:graphicData uri="http://schemas.openxmlformats.org/drawingml/2006/picture">
                      <pic:pic>
                        <pic:nvPicPr>
                          <pic:cNvPr id="100" name="image71.png"/>
                          <pic:cNvPicPr/>
                        </pic:nvPicPr>
                        <pic:blipFill>
                          <a:blip r:embed="rId130"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67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single" w:sz="4" w:space="0" w:color="000000"/>
              <w:right w:val="nil" w:sz="6" w:space="0" w:color="auto"/>
            </w:tcBorders>
          </w:tcPr>
          <w:p>
            <w:pPr>
              <w:pStyle w:val="TableParagraph"/>
              <w:tabs>
                <w:tab w:pos="1303" w:val="left" w:leader="none"/>
              </w:tabs>
              <w:spacing w:line="240" w:lineRule="auto" w:before="48"/>
              <w:ind w:right="26"/>
              <w:jc w:val="right"/>
              <w:rPr>
                <w:rFonts w:ascii="宋体" w:hAnsi="宋体" w:cs="宋体" w:eastAsia="宋体" w:hint="default"/>
                <w:sz w:val="15"/>
                <w:szCs w:val="15"/>
              </w:rPr>
            </w:pPr>
            <w:r>
              <w:rPr>
                <w:rFonts w:ascii="宋体"/>
                <w:spacing w:val="-2"/>
                <w:sz w:val="15"/>
              </w:rPr>
              <w:t>12,800,000.00</w:t>
              <w:tab/>
              <w:t>22,145,000.00</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34,945,000.00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47,745,000.00</w:t>
            </w:r>
          </w:p>
        </w:tc>
      </w:tr>
      <w:tr>
        <w:trPr>
          <w:trHeight w:val="362"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79"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63,500,000.00</w:t>
            </w:r>
          </w:p>
        </w:tc>
        <w:tc>
          <w:tcPr>
            <w:tcW w:w="77" w:type="dxa"/>
            <w:tcBorders>
              <w:top w:val="nil" w:sz="6" w:space="0" w:color="auto"/>
              <w:left w:val="nil" w:sz="6" w:space="0" w:color="auto"/>
              <w:bottom w:val="nil" w:sz="6" w:space="0" w:color="auto"/>
              <w:right w:val="nil" w:sz="6" w:space="0" w:color="auto"/>
            </w:tcBorders>
          </w:tcPr>
          <w:p>
            <w:pPr/>
          </w:p>
        </w:tc>
        <w:tc>
          <w:tcPr>
            <w:tcW w:w="67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8"/>
              <w:jc w:val="right"/>
              <w:rPr>
                <w:rFonts w:ascii="宋体" w:hAnsi="宋体" w:cs="宋体" w:eastAsia="宋体" w:hint="default"/>
                <w:sz w:val="15"/>
                <w:szCs w:val="15"/>
              </w:rPr>
            </w:pP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7"/>
                <w:szCs w:val="27"/>
              </w:rPr>
            </w:pPr>
          </w:p>
        </w:tc>
        <w:tc>
          <w:tcPr>
            <w:tcW w:w="6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w:t>
            </w:r>
          </w:p>
        </w:tc>
        <w:tc>
          <w:tcPr>
            <w:tcW w:w="79" w:type="dxa"/>
            <w:tcBorders>
              <w:top w:val="nil" w:sz="6" w:space="0" w:color="auto"/>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2.35pt;height:.5pt;mso-position-horizontal-relative:char;mso-position-vertical-relative:line" coordorigin="0,0" coordsize="1047,10">
                  <v:group style="position:absolute;left:5;top:5;width:20;height:2" coordorigin="5,5" coordsize="20,2">
                    <v:shape style="position:absolute;left:5;top:5;width:20;height:2" coordorigin="5,5" coordsize="20,0" path="m5,5l24,5e" filled="false" stroked="true" strokeweight=".48004pt" strokecolor="#000000">
                      <v:path arrowok="t"/>
                    </v:shape>
                  </v:group>
                  <v:group style="position:absolute;left:24;top:5;width:20;height:2" coordorigin="24,5" coordsize="20,2">
                    <v:shape style="position:absolute;left:24;top:5;width:20;height:2" coordorigin="24,5" coordsize="20,0" path="m24,5l43,5e" filled="false" stroked="true" strokeweight=".48004pt" strokecolor="#000000">
                      <v:path arrowok="t"/>
                    </v:shape>
                  </v:group>
                  <v:group style="position:absolute;left:43;top:5;width:20;height:2" coordorigin="43,5" coordsize="20,2">
                    <v:shape style="position:absolute;left:43;top:5;width:20;height:2" coordorigin="43,5" coordsize="20,0" path="m43,5l62,5e" filled="false" stroked="true" strokeweight=".48004pt" strokecolor="#000000">
                      <v:path arrowok="t"/>
                    </v:shape>
                  </v:group>
                  <v:group style="position:absolute;left:62;top:5;width:20;height:2" coordorigin="62,5" coordsize="20,2">
                    <v:shape style="position:absolute;left:62;top:5;width:20;height:2" coordorigin="62,5" coordsize="20,0" path="m62,5l82,5e" filled="false" stroked="true" strokeweight=".48004pt" strokecolor="#000000">
                      <v:path arrowok="t"/>
                    </v:shape>
                  </v:group>
                  <v:group style="position:absolute;left:82;top:5;width:20;height:2" coordorigin="82,5" coordsize="20,2">
                    <v:shape style="position:absolute;left:82;top:5;width:20;height:2" coordorigin="82,5" coordsize="20,0" path="m82,5l101,5e" filled="false" stroked="true" strokeweight=".48004pt" strokecolor="#000000">
                      <v:path arrowok="t"/>
                    </v:shape>
                  </v:group>
                  <v:group style="position:absolute;left:101;top:5;width:20;height:2" coordorigin="101,5" coordsize="20,2">
                    <v:shape style="position:absolute;left:101;top:5;width:20;height:2" coordorigin="101,5" coordsize="20,0" path="m101,5l120,5e" filled="false" stroked="true" strokeweight=".48004pt" strokecolor="#000000">
                      <v:path arrowok="t"/>
                    </v:shape>
                  </v:group>
                  <v:group style="position:absolute;left:120;top:5;width:20;height:2" coordorigin="120,5" coordsize="20,2">
                    <v:shape style="position:absolute;left:120;top:5;width:20;height:2" coordorigin="120,5" coordsize="20,0" path="m120,5l139,5e" filled="false" stroked="true" strokeweight=".48004pt" strokecolor="#000000">
                      <v:path arrowok="t"/>
                    </v:shape>
                  </v:group>
                  <v:group style="position:absolute;left:139;top:5;width:20;height:2" coordorigin="139,5" coordsize="20,2">
                    <v:shape style="position:absolute;left:139;top:5;width:20;height:2" coordorigin="139,5" coordsize="20,0" path="m139,5l158,5e" filled="false" stroked="true" strokeweight=".48004pt" strokecolor="#000000">
                      <v:path arrowok="t"/>
                    </v:shape>
                  </v:group>
                  <v:group style="position:absolute;left:158;top:5;width:20;height:2" coordorigin="158,5" coordsize="20,2">
                    <v:shape style="position:absolute;left:158;top:5;width:20;height:2" coordorigin="158,5" coordsize="20,0" path="m158,5l178,5e" filled="false" stroked="true" strokeweight=".48004pt" strokecolor="#000000">
                      <v:path arrowok="t"/>
                    </v:shape>
                  </v:group>
                  <v:group style="position:absolute;left:178;top:5;width:20;height:2" coordorigin="178,5" coordsize="20,2">
                    <v:shape style="position:absolute;left:178;top:5;width:20;height:2" coordorigin="178,5" coordsize="20,0" path="m178,5l197,5e" filled="false" stroked="true" strokeweight=".48004pt" strokecolor="#000000">
                      <v:path arrowok="t"/>
                    </v:shape>
                  </v:group>
                  <v:group style="position:absolute;left:197;top:5;width:20;height:2" coordorigin="197,5" coordsize="20,2">
                    <v:shape style="position:absolute;left:197;top:5;width:20;height:2" coordorigin="197,5" coordsize="20,0" path="m197,5l216,5e" filled="false" stroked="true" strokeweight=".48004pt" strokecolor="#000000">
                      <v:path arrowok="t"/>
                    </v:shape>
                  </v:group>
                  <v:group style="position:absolute;left:216;top:5;width:20;height:2" coordorigin="216,5" coordsize="20,2">
                    <v:shape style="position:absolute;left:216;top:5;width:20;height:2" coordorigin="216,5" coordsize="20,0" path="m216,5l235,5e" filled="false" stroked="true" strokeweight=".48004pt" strokecolor="#000000">
                      <v:path arrowok="t"/>
                    </v:shape>
                  </v:group>
                  <v:group style="position:absolute;left:235;top:5;width:20;height:2" coordorigin="235,5" coordsize="20,2">
                    <v:shape style="position:absolute;left:235;top:5;width:20;height:2" coordorigin="235,5" coordsize="20,0" path="m235,5l254,5e" filled="false" stroked="true" strokeweight=".48004pt" strokecolor="#000000">
                      <v:path arrowok="t"/>
                    </v:shape>
                  </v:group>
                  <v:group style="position:absolute;left:254;top:5;width:20;height:2" coordorigin="254,5" coordsize="20,2">
                    <v:shape style="position:absolute;left:254;top:5;width:20;height:2" coordorigin="254,5" coordsize="20,0" path="m254,5l274,5e" filled="false" stroked="true" strokeweight=".48004pt" strokecolor="#000000">
                      <v:path arrowok="t"/>
                    </v:shape>
                  </v:group>
                  <v:group style="position:absolute;left:274;top:5;width:20;height:2" coordorigin="274,5" coordsize="20,2">
                    <v:shape style="position:absolute;left:274;top:5;width:20;height:2" coordorigin="274,5" coordsize="20,0" path="m274,5l293,5e" filled="false" stroked="true" strokeweight=".48004pt" strokecolor="#000000">
                      <v:path arrowok="t"/>
                    </v:shape>
                  </v:group>
                  <v:group style="position:absolute;left:293;top:5;width:20;height:2" coordorigin="293,5" coordsize="20,2">
                    <v:shape style="position:absolute;left:293;top:5;width:20;height:2" coordorigin="293,5" coordsize="20,0" path="m293,5l312,5e" filled="false" stroked="true" strokeweight=".48004pt" strokecolor="#000000">
                      <v:path arrowok="t"/>
                    </v:shape>
                  </v:group>
                  <v:group style="position:absolute;left:312;top:5;width:20;height:2" coordorigin="312,5" coordsize="20,2">
                    <v:shape style="position:absolute;left:312;top:5;width:20;height:2" coordorigin="312,5" coordsize="20,0" path="m312,5l331,5e" filled="false" stroked="true" strokeweight=".48004pt" strokecolor="#000000">
                      <v:path arrowok="t"/>
                    </v:shape>
                  </v:group>
                  <v:group style="position:absolute;left:331;top:5;width:20;height:2" coordorigin="331,5" coordsize="20,2">
                    <v:shape style="position:absolute;left:331;top:5;width:20;height:2" coordorigin="331,5" coordsize="20,0" path="m331,5l350,5e" filled="false" stroked="true" strokeweight=".48004pt" strokecolor="#000000">
                      <v:path arrowok="t"/>
                    </v:shape>
                  </v:group>
                  <v:group style="position:absolute;left:350;top:5;width:20;height:2" coordorigin="350,5" coordsize="20,2">
                    <v:shape style="position:absolute;left:350;top:5;width:20;height:2" coordorigin="350,5" coordsize="20,0" path="m350,5l370,5e" filled="false" stroked="true" strokeweight=".48004pt" strokecolor="#000000">
                      <v:path arrowok="t"/>
                    </v:shape>
                  </v:group>
                  <v:group style="position:absolute;left:370;top:5;width:20;height:2" coordorigin="370,5" coordsize="20,2">
                    <v:shape style="position:absolute;left:370;top:5;width:20;height:2" coordorigin="370,5" coordsize="20,0" path="m370,5l389,5e" filled="false" stroked="true" strokeweight=".48004pt" strokecolor="#000000">
                      <v:path arrowok="t"/>
                    </v:shape>
                  </v:group>
                  <v:group style="position:absolute;left:389;top:5;width:20;height:2" coordorigin="389,5" coordsize="20,2">
                    <v:shape style="position:absolute;left:389;top:5;width:20;height:2" coordorigin="389,5" coordsize="20,0" path="m389,5l408,5e" filled="false" stroked="true" strokeweight=".48004pt" strokecolor="#000000">
                      <v:path arrowok="t"/>
                    </v:shape>
                  </v:group>
                  <v:group style="position:absolute;left:408;top:5;width:20;height:2" coordorigin="408,5" coordsize="20,2">
                    <v:shape style="position:absolute;left:408;top:5;width:20;height:2" coordorigin="408,5" coordsize="20,0" path="m408,5l427,5e" filled="false" stroked="true" strokeweight=".48004pt" strokecolor="#000000">
                      <v:path arrowok="t"/>
                    </v:shape>
                  </v:group>
                  <v:group style="position:absolute;left:427;top:5;width:20;height:2" coordorigin="427,5" coordsize="20,2">
                    <v:shape style="position:absolute;left:427;top:5;width:20;height:2" coordorigin="427,5" coordsize="20,0" path="m427,5l446,5e" filled="false" stroked="true" strokeweight=".48004pt" strokecolor="#000000">
                      <v:path arrowok="t"/>
                    </v:shape>
                  </v:group>
                  <v:group style="position:absolute;left:446;top:5;width:20;height:2" coordorigin="446,5" coordsize="20,2">
                    <v:shape style="position:absolute;left:446;top:5;width:20;height:2" coordorigin="446,5" coordsize="20,0" path="m446,5l466,5e" filled="false" stroked="true" strokeweight=".48004pt" strokecolor="#000000">
                      <v:path arrowok="t"/>
                    </v:shape>
                  </v:group>
                  <v:group style="position:absolute;left:466;top:5;width:20;height:2" coordorigin="466,5" coordsize="20,2">
                    <v:shape style="position:absolute;left:466;top:5;width:20;height:2" coordorigin="466,5" coordsize="20,0" path="m466,5l485,5e" filled="false" stroked="true" strokeweight=".48004pt" strokecolor="#000000">
                      <v:path arrowok="t"/>
                    </v:shape>
                  </v:group>
                  <v:group style="position:absolute;left:485;top:5;width:20;height:2" coordorigin="485,5" coordsize="20,2">
                    <v:shape style="position:absolute;left:485;top:5;width:20;height:2" coordorigin="485,5" coordsize="20,0" path="m485,5l504,5e" filled="false" stroked="true" strokeweight=".48004pt" strokecolor="#000000">
                      <v:path arrowok="t"/>
                    </v:shape>
                  </v:group>
                  <v:group style="position:absolute;left:504;top:5;width:20;height:2" coordorigin="504,5" coordsize="20,2">
                    <v:shape style="position:absolute;left:504;top:5;width:20;height:2" coordorigin="504,5" coordsize="20,0" path="m504,5l523,5e" filled="false" stroked="true" strokeweight=".48004pt" strokecolor="#000000">
                      <v:path arrowok="t"/>
                    </v:shape>
                  </v:group>
                  <v:group style="position:absolute;left:523;top:5;width:20;height:2" coordorigin="523,5" coordsize="20,2">
                    <v:shape style="position:absolute;left:523;top:5;width:20;height:2" coordorigin="523,5" coordsize="20,0" path="m523,5l542,5e" filled="false" stroked="true" strokeweight=".48004pt" strokecolor="#000000">
                      <v:path arrowok="t"/>
                    </v:shape>
                  </v:group>
                  <v:group style="position:absolute;left:542;top:5;width:20;height:2" coordorigin="542,5" coordsize="20,2">
                    <v:shape style="position:absolute;left:542;top:5;width:20;height:2" coordorigin="542,5" coordsize="20,0" path="m542,5l562,5e" filled="false" stroked="true" strokeweight=".48004pt" strokecolor="#000000">
                      <v:path arrowok="t"/>
                    </v:shape>
                  </v:group>
                  <v:group style="position:absolute;left:562;top:5;width:20;height:2" coordorigin="562,5" coordsize="20,2">
                    <v:shape style="position:absolute;left:562;top:5;width:20;height:2" coordorigin="562,5" coordsize="20,0" path="m562,5l581,5e" filled="false" stroked="true" strokeweight=".48004pt" strokecolor="#000000">
                      <v:path arrowok="t"/>
                    </v:shape>
                  </v:group>
                  <v:group style="position:absolute;left:581;top:5;width:20;height:2" coordorigin="581,5" coordsize="20,2">
                    <v:shape style="position:absolute;left:581;top:5;width:20;height:2" coordorigin="581,5" coordsize="20,0" path="m581,5l600,5e" filled="false" stroked="true" strokeweight=".48004pt" strokecolor="#000000">
                      <v:path arrowok="t"/>
                    </v:shape>
                  </v:group>
                  <v:group style="position:absolute;left:600;top:5;width:20;height:2" coordorigin="600,5" coordsize="20,2">
                    <v:shape style="position:absolute;left:600;top:5;width:20;height:2" coordorigin="600,5" coordsize="20,0" path="m600,5l619,5e" filled="false" stroked="true" strokeweight=".48004pt" strokecolor="#000000">
                      <v:path arrowok="t"/>
                    </v:shape>
                  </v:group>
                  <v:group style="position:absolute;left:619;top:5;width:20;height:2" coordorigin="619,5" coordsize="20,2">
                    <v:shape style="position:absolute;left:619;top:5;width:20;height:2" coordorigin="619,5" coordsize="20,0" path="m619,5l638,5e" filled="false" stroked="true" strokeweight=".48004pt" strokecolor="#000000">
                      <v:path arrowok="t"/>
                    </v:shape>
                  </v:group>
                  <v:group style="position:absolute;left:638;top:5;width:20;height:2" coordorigin="638,5" coordsize="20,2">
                    <v:shape style="position:absolute;left:638;top:5;width:20;height:2" coordorigin="638,5" coordsize="20,0" path="m638,5l658,5e" filled="false" stroked="true" strokeweight=".48004pt" strokecolor="#000000">
                      <v:path arrowok="t"/>
                    </v:shape>
                  </v:group>
                  <v:group style="position:absolute;left:658;top:5;width:20;height:2" coordorigin="658,5" coordsize="20,2">
                    <v:shape style="position:absolute;left:658;top:5;width:20;height:2" coordorigin="658,5" coordsize="20,0" path="m658,5l677,5e" filled="false" stroked="true" strokeweight=".48004pt" strokecolor="#000000">
                      <v:path arrowok="t"/>
                    </v:shape>
                  </v:group>
                  <v:group style="position:absolute;left:677;top:5;width:20;height:2" coordorigin="677,5" coordsize="20,2">
                    <v:shape style="position:absolute;left:677;top:5;width:20;height:2" coordorigin="677,5" coordsize="20,0" path="m677,5l696,5e" filled="false" stroked="true" strokeweight=".48004pt" strokecolor="#000000">
                      <v:path arrowok="t"/>
                    </v:shape>
                  </v:group>
                  <v:group style="position:absolute;left:696;top:5;width:20;height:2" coordorigin="696,5" coordsize="20,2">
                    <v:shape style="position:absolute;left:696;top:5;width:20;height:2" coordorigin="696,5" coordsize="20,0" path="m696,5l715,5e" filled="false" stroked="true" strokeweight=".48004pt" strokecolor="#000000">
                      <v:path arrowok="t"/>
                    </v:shape>
                  </v:group>
                  <v:group style="position:absolute;left:715;top:5;width:20;height:2" coordorigin="715,5" coordsize="20,2">
                    <v:shape style="position:absolute;left:715;top:5;width:20;height:2" coordorigin="715,5" coordsize="20,0" path="m715,5l734,5e" filled="false" stroked="true" strokeweight=".48004pt" strokecolor="#000000">
                      <v:path arrowok="t"/>
                    </v:shape>
                  </v:group>
                  <v:group style="position:absolute;left:734;top:5;width:20;height:2" coordorigin="734,5" coordsize="20,2">
                    <v:shape style="position:absolute;left:734;top:5;width:20;height:2" coordorigin="734,5" coordsize="20,0" path="m734,5l754,5e" filled="false" stroked="true" strokeweight=".48004pt" strokecolor="#000000">
                      <v:path arrowok="t"/>
                    </v:shape>
                  </v:group>
                  <v:group style="position:absolute;left:754;top:5;width:20;height:2" coordorigin="754,5" coordsize="20,2">
                    <v:shape style="position:absolute;left:754;top:5;width:20;height:2" coordorigin="754,5" coordsize="20,0" path="m754,5l773,5e" filled="false" stroked="true" strokeweight=".48004pt" strokecolor="#000000">
                      <v:path arrowok="t"/>
                    </v:shape>
                  </v:group>
                  <v:group style="position:absolute;left:773;top:5;width:20;height:2" coordorigin="773,5" coordsize="20,2">
                    <v:shape style="position:absolute;left:773;top:5;width:20;height:2" coordorigin="773,5" coordsize="20,0" path="m773,5l792,5e" filled="false" stroked="true" strokeweight=".48004pt" strokecolor="#000000">
                      <v:path arrowok="t"/>
                    </v:shape>
                  </v:group>
                  <v:group style="position:absolute;left:792;top:5;width:20;height:2" coordorigin="792,5" coordsize="20,2">
                    <v:shape style="position:absolute;left:792;top:5;width:20;height:2" coordorigin="792,5" coordsize="20,0" path="m792,5l811,5e" filled="false" stroked="true" strokeweight=".48004pt" strokecolor="#000000">
                      <v:path arrowok="t"/>
                    </v:shape>
                  </v:group>
                  <v:group style="position:absolute;left:811;top:5;width:20;height:2" coordorigin="811,5" coordsize="20,2">
                    <v:shape style="position:absolute;left:811;top:5;width:20;height:2" coordorigin="811,5" coordsize="20,0" path="m811,5l830,5e" filled="false" stroked="true" strokeweight=".48004pt" strokecolor="#000000">
                      <v:path arrowok="t"/>
                    </v:shape>
                  </v:group>
                  <v:group style="position:absolute;left:830;top:5;width:20;height:2" coordorigin="830,5" coordsize="20,2">
                    <v:shape style="position:absolute;left:830;top:5;width:20;height:2" coordorigin="830,5" coordsize="20,0" path="m830,5l850,5e" filled="false" stroked="true" strokeweight=".48004pt" strokecolor="#000000">
                      <v:path arrowok="t"/>
                    </v:shape>
                  </v:group>
                  <v:group style="position:absolute;left:850;top:5;width:20;height:2" coordorigin="850,5" coordsize="20,2">
                    <v:shape style="position:absolute;left:850;top:5;width:20;height:2" coordorigin="850,5" coordsize="20,0" path="m850,5l869,5e" filled="false" stroked="true" strokeweight=".48004pt" strokecolor="#000000">
                      <v:path arrowok="t"/>
                    </v:shape>
                  </v:group>
                  <v:group style="position:absolute;left:869;top:5;width:20;height:2" coordorigin="869,5" coordsize="20,2">
                    <v:shape style="position:absolute;left:869;top:5;width:20;height:2" coordorigin="869,5" coordsize="20,0" path="m869,5l888,5e" filled="false" stroked="true" strokeweight=".48004pt" strokecolor="#000000">
                      <v:path arrowok="t"/>
                    </v:shape>
                  </v:group>
                  <v:group style="position:absolute;left:888;top:5;width:20;height:2" coordorigin="888,5" coordsize="20,2">
                    <v:shape style="position:absolute;left:888;top:5;width:20;height:2" coordorigin="888,5" coordsize="20,0" path="m888,5l907,5e" filled="false" stroked="true" strokeweight=".48004pt" strokecolor="#000000">
                      <v:path arrowok="t"/>
                    </v:shape>
                  </v:group>
                  <v:group style="position:absolute;left:907;top:5;width:20;height:2" coordorigin="907,5" coordsize="20,2">
                    <v:shape style="position:absolute;left:907;top:5;width:20;height:2" coordorigin="907,5" coordsize="20,0" path="m907,5l926,5e" filled="false" stroked="true" strokeweight=".48004pt" strokecolor="#000000">
                      <v:path arrowok="t"/>
                    </v:shape>
                  </v:group>
                  <v:group style="position:absolute;left:926;top:5;width:20;height:2" coordorigin="926,5" coordsize="20,2">
                    <v:shape style="position:absolute;left:926;top:5;width:20;height:2" coordorigin="926,5" coordsize="20,0" path="m926,5l946,5e" filled="false" stroked="true" strokeweight=".48004pt" strokecolor="#000000">
                      <v:path arrowok="t"/>
                    </v:shape>
                  </v:group>
                  <v:group style="position:absolute;left:946;top:5;width:20;height:2" coordorigin="946,5" coordsize="20,2">
                    <v:shape style="position:absolute;left:946;top:5;width:20;height:2" coordorigin="946,5" coordsize="20,0" path="m946,5l965,5e" filled="false" stroked="true" strokeweight=".48004pt" strokecolor="#000000">
                      <v:path arrowok="t"/>
                    </v:shape>
                  </v:group>
                  <v:group style="position:absolute;left:965;top:5;width:20;height:2" coordorigin="965,5" coordsize="20,2">
                    <v:shape style="position:absolute;left:965;top:5;width:20;height:2" coordorigin="965,5" coordsize="20,0" path="m965,5l984,5e" filled="false" stroked="true" strokeweight=".48004pt" strokecolor="#000000">
                      <v:path arrowok="t"/>
                    </v:shape>
                  </v:group>
                  <v:group style="position:absolute;left:984;top:5;width:20;height:2" coordorigin="984,5" coordsize="20,2">
                    <v:shape style="position:absolute;left:984;top:5;width:20;height:2" coordorigin="984,5" coordsize="20,0" path="m984,5l1003,5e" filled="false" stroked="true" strokeweight=".48004pt" strokecolor="#000000">
                      <v:path arrowok="t"/>
                    </v:shape>
                  </v:group>
                  <v:group style="position:absolute;left:1003;top:5;width:20;height:2" coordorigin="1003,5" coordsize="20,2">
                    <v:shape style="position:absolute;left:1003;top:5;width:20;height:2" coordorigin="1003,5" coordsize="20,0" path="m1003,5l1022,5e" filled="false" stroked="true" strokeweight=".48004pt" strokecolor="#000000">
                      <v:path arrowok="t"/>
                    </v:shape>
                  </v:group>
                  <v:group style="position:absolute;left:1022;top:5;width:20;height:2" coordorigin="1022,5" coordsize="20,2">
                    <v:shape style="position:absolute;left:1022;top:5;width:20;height:2" coordorigin="1022,5" coordsize="20,0" path="m1022,5l1042,5e" filled="false" stroked="true" strokeweight=".48004pt" strokecolor="#000000">
                      <v:path arrowok="t"/>
                    </v:shape>
                    <v:shape style="position:absolute;left:1042;top:0;width:5;height:10" type="#_x0000_t75" stroked="false">
                      <v:imagedata r:id="rId131" o:title=""/>
                    </v:shape>
                  </v:group>
                </v:group>
              </w:pict>
            </w:r>
            <w:r>
              <w:rPr>
                <w:rFonts w:ascii="宋体" w:hAnsi="宋体" w:cs="宋体" w:eastAsia="宋体" w:hint="default"/>
                <w:sz w:val="2"/>
                <w:szCs w:val="2"/>
              </w:rPr>
            </w:r>
          </w:p>
          <w:p>
            <w:pPr>
              <w:pStyle w:val="TableParagraph"/>
              <w:tabs>
                <w:tab w:pos="2052" w:val="left" w:leader="none"/>
              </w:tabs>
              <w:spacing w:line="240" w:lineRule="auto" w:before="61"/>
              <w:ind w:right="25"/>
              <w:jc w:val="right"/>
              <w:rPr>
                <w:rFonts w:ascii="宋体" w:hAnsi="宋体" w:cs="宋体" w:eastAsia="宋体" w:hint="default"/>
                <w:sz w:val="15"/>
                <w:szCs w:val="15"/>
              </w:rPr>
            </w:pPr>
            <w:r>
              <w:rPr>
                <w:rFonts w:ascii="宋体"/>
                <w:spacing w:val="-2"/>
                <w:sz w:val="15"/>
              </w:rPr>
              <w:t>50,800,000.00</w:t>
              <w:tab/>
            </w:r>
            <w:r>
              <w:rPr>
                <w:rFonts w:ascii="宋体"/>
                <w:spacing w:val="-1"/>
                <w:sz w:val="15"/>
              </w:rPr>
              <w:t>---</w:t>
            </w:r>
          </w:p>
        </w:tc>
        <w:tc>
          <w:tcPr>
            <w:tcW w:w="77"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50,800,000.00</w:t>
            </w:r>
          </w:p>
        </w:tc>
        <w:tc>
          <w:tcPr>
            <w:tcW w:w="77"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1"/>
                <w:sz w:val="15"/>
              </w:rPr>
              <w:t>114,300,000.00</w:t>
            </w:r>
          </w:p>
        </w:tc>
      </w:tr>
    </w:tbl>
    <w:p>
      <w:pPr>
        <w:spacing w:line="240" w:lineRule="auto" w:before="12"/>
        <w:rPr>
          <w:rFonts w:ascii="宋体" w:hAnsi="宋体" w:cs="宋体" w:eastAsia="宋体" w:hint="default"/>
          <w:b/>
          <w:bCs/>
          <w:sz w:val="24"/>
          <w:szCs w:val="24"/>
        </w:rPr>
      </w:pPr>
    </w:p>
    <w:p>
      <w:pPr>
        <w:spacing w:before="36"/>
        <w:ind w:left="544" w:right="72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本公司股本增加情况详见附注一、公司基本情况。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44" w:right="72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本期减少数为原有限售条件股份，本期解除后为无限售条件股份。</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8"/>
        <w:ind w:left="544" w:right="726" w:firstLine="0"/>
        <w:jc w:val="left"/>
        <w:rPr>
          <w:rFonts w:ascii="宋体" w:hAnsi="宋体" w:cs="宋体" w:eastAsia="宋体" w:hint="default"/>
          <w:sz w:val="21"/>
          <w:szCs w:val="21"/>
        </w:rPr>
      </w:pPr>
      <w:r>
        <w:rPr/>
        <w:pict>
          <v:group style="position:absolute;margin-left:84.384003pt;margin-top:58.76368pt;width:84.75pt;height:.1pt;mso-position-horizontal-relative:page;mso-position-vertical-relative:paragraph;z-index:-645712" coordorigin="1688,1175" coordsize="1695,2">
            <v:shape style="position:absolute;left:1688;top:1175;width:1695;height:2" coordorigin="1688,1175" coordsize="1695,0" path="m1688,1175l3383,1175e" filled="false" stroked="true" strokeweight=".47998pt" strokecolor="#000000">
              <v:path arrowok="t"/>
            </v:shape>
            <w10:wrap type="none"/>
          </v:group>
        </w:pict>
      </w:r>
      <w:r>
        <w:rPr/>
        <w:pict>
          <v:group style="position:absolute;margin-left:459.940002pt;margin-top:58.76368pt;width:85.85pt;height:.1pt;mso-position-horizontal-relative:page;mso-position-vertical-relative:paragraph;z-index:-645688" coordorigin="9199,1175" coordsize="1717,2">
            <v:shape style="position:absolute;left:9199;top:1175;width:1717;height:2" coordorigin="9199,1175" coordsize="1717,0" path="m9199,1175l10915,1175e" filled="false" stroked="true" strokeweight=".47998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579" w:type="dxa"/>
        <w:tblLayout w:type="fixed"/>
        <w:tblCellMar>
          <w:top w:w="0" w:type="dxa"/>
          <w:left w:w="0" w:type="dxa"/>
          <w:bottom w:w="0" w:type="dxa"/>
          <w:right w:w="0" w:type="dxa"/>
        </w:tblCellMar>
        <w:tblLook w:val="01E0"/>
      </w:tblPr>
      <w:tblGrid>
        <w:gridCol w:w="1223"/>
        <w:gridCol w:w="2129"/>
        <w:gridCol w:w="1866"/>
        <w:gridCol w:w="1729"/>
        <w:gridCol w:w="1424"/>
      </w:tblGrid>
      <w:tr>
        <w:trPr>
          <w:trHeight w:val="255"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6" w:type="dxa"/>
            <w:tcBorders>
              <w:top w:val="nil" w:sz="6" w:space="0" w:color="auto"/>
              <w:left w:val="nil" w:sz="6" w:space="0" w:color="auto"/>
              <w:bottom w:val="single" w:sz="4" w:space="0" w:color="000000"/>
              <w:right w:val="nil" w:sz="6" w:space="0" w:color="auto"/>
            </w:tcBorders>
          </w:tcPr>
          <w:p>
            <w:pPr>
              <w:pStyle w:val="TableParagraph"/>
              <w:spacing w:line="180" w:lineRule="exact"/>
              <w:ind w:left="6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nil" w:sz="6" w:space="0" w:color="auto"/>
              <w:left w:val="nil" w:sz="6" w:space="0" w:color="auto"/>
              <w:bottom w:val="single" w:sz="4" w:space="0" w:color="000000"/>
              <w:right w:val="nil" w:sz="6" w:space="0" w:color="auto"/>
            </w:tcBorders>
          </w:tcPr>
          <w:p>
            <w:pPr>
              <w:pStyle w:val="TableParagraph"/>
              <w:spacing w:line="180" w:lineRule="exact"/>
              <w:ind w:left="5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4" w:type="dxa"/>
            <w:tcBorders>
              <w:top w:val="nil" w:sz="6" w:space="0" w:color="auto"/>
              <w:left w:val="nil" w:sz="6" w:space="0" w:color="auto"/>
              <w:bottom w:val="nil" w:sz="6" w:space="0" w:color="auto"/>
              <w:right w:val="nil" w:sz="6" w:space="0" w:color="auto"/>
            </w:tcBorders>
          </w:tcPr>
          <w:p>
            <w:pPr>
              <w:pStyle w:val="TableParagraph"/>
              <w:spacing w:line="180" w:lineRule="exact"/>
              <w:ind w:left="684"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180" w:lineRule="exact"/>
        <w:jc w:val="left"/>
        <w:rPr>
          <w:rFonts w:ascii="宋体" w:hAnsi="宋体" w:cs="宋体" w:eastAsia="宋体" w:hint="default"/>
          <w:sz w:val="18"/>
          <w:szCs w:val="18"/>
        </w:rPr>
        <w:sectPr>
          <w:pgSz w:w="11910" w:h="16840"/>
          <w:pgMar w:header="0" w:footer="1195" w:top="1440" w:bottom="1380" w:left="1580" w:right="880"/>
        </w:sectPr>
      </w:pPr>
    </w:p>
    <w:p>
      <w:pPr>
        <w:spacing w:line="240" w:lineRule="auto" w:before="1"/>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1680"/>
        <w:gridCol w:w="106"/>
        <w:gridCol w:w="2024"/>
        <w:gridCol w:w="101"/>
        <w:gridCol w:w="1747"/>
        <w:gridCol w:w="1748"/>
        <w:gridCol w:w="106"/>
        <w:gridCol w:w="1702"/>
      </w:tblGrid>
      <w:tr>
        <w:trPr>
          <w:trHeight w:val="321"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692,720,393.65</w:t>
            </w:r>
          </w:p>
        </w:tc>
        <w:tc>
          <w:tcPr>
            <w:tcW w:w="101" w:type="dxa"/>
            <w:tcBorders>
              <w:top w:val="nil" w:sz="6" w:space="0" w:color="auto"/>
              <w:left w:val="nil" w:sz="6" w:space="0" w:color="auto"/>
              <w:bottom w:val="nil" w:sz="6" w:space="0" w:color="auto"/>
              <w:right w:val="nil" w:sz="6" w:space="0" w:color="auto"/>
            </w:tcBorders>
          </w:tcPr>
          <w:p>
            <w:pP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sz w:val="18"/>
              </w:rPr>
              <w:t>---</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50,800,000.00</w:t>
            </w:r>
          </w:p>
        </w:tc>
        <w:tc>
          <w:tcPr>
            <w:tcW w:w="106"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641,920,393.65</w:t>
            </w:r>
          </w:p>
        </w:tc>
      </w:tr>
      <w:tr>
        <w:trPr>
          <w:trHeight w:val="325"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101"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r>
      <w:tr>
        <w:trPr>
          <w:trHeight w:val="350"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84932" cy="9144"/>
                  <wp:effectExtent l="0" t="0" r="0" b="0"/>
                  <wp:docPr id="101" name="image73.png" descr=""/>
                  <wp:cNvGraphicFramePr>
                    <a:graphicFrameLocks noChangeAspect="1"/>
                  </wp:cNvGraphicFramePr>
                  <a:graphic>
                    <a:graphicData uri="http://schemas.openxmlformats.org/drawingml/2006/picture">
                      <pic:pic>
                        <pic:nvPicPr>
                          <pic:cNvPr id="102" name="image73.png"/>
                          <pic:cNvPicPr/>
                        </pic:nvPicPr>
                        <pic:blipFill>
                          <a:blip r:embed="rId133" cstate="print"/>
                          <a:stretch>
                            <a:fillRect/>
                          </a:stretch>
                        </pic:blipFill>
                        <pic:spPr>
                          <a:xfrm>
                            <a:off x="0" y="0"/>
                            <a:ext cx="12849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
              <w:ind w:right="29"/>
              <w:jc w:val="right"/>
              <w:rPr>
                <w:rFonts w:ascii="宋体" w:hAnsi="宋体" w:cs="宋体" w:eastAsia="宋体" w:hint="default"/>
                <w:sz w:val="18"/>
                <w:szCs w:val="18"/>
              </w:rPr>
            </w:pPr>
            <w:r>
              <w:rPr>
                <w:rFonts w:ascii="宋体"/>
                <w:spacing w:val="-1"/>
                <w:sz w:val="18"/>
              </w:rPr>
              <w:t>692,720,393.65</w:t>
            </w:r>
          </w:p>
        </w:tc>
        <w:tc>
          <w:tcPr>
            <w:tcW w:w="101"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9425" cy="9144"/>
                  <wp:effectExtent l="0" t="0" r="0" b="0"/>
                  <wp:docPr id="103" name="image74.png" descr=""/>
                  <wp:cNvGraphicFramePr>
                    <a:graphicFrameLocks noChangeAspect="1"/>
                  </wp:cNvGraphicFramePr>
                  <a:graphic>
                    <a:graphicData uri="http://schemas.openxmlformats.org/drawingml/2006/picture">
                      <pic:pic>
                        <pic:nvPicPr>
                          <pic:cNvPr id="104" name="image74.png"/>
                          <pic:cNvPicPr/>
                        </pic:nvPicPr>
                        <pic:blipFill>
                          <a:blip r:embed="rId134" cstate="print"/>
                          <a:stretch>
                            <a:fillRect/>
                          </a:stretch>
                        </pic:blipFill>
                        <pic:spPr>
                          <a:xfrm>
                            <a:off x="0" y="0"/>
                            <a:ext cx="110942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
              <w:ind w:right="26"/>
              <w:jc w:val="right"/>
              <w:rPr>
                <w:rFonts w:ascii="宋体" w:hAnsi="宋体" w:cs="宋体" w:eastAsia="宋体" w:hint="default"/>
                <w:sz w:val="18"/>
                <w:szCs w:val="18"/>
              </w:rPr>
            </w:pPr>
            <w:r>
              <w:rPr>
                <w:rFonts w:ascii="宋体"/>
                <w:sz w:val="18"/>
              </w:rPr>
              <w:t>---</w:t>
            </w:r>
          </w:p>
        </w:tc>
        <w:tc>
          <w:tcPr>
            <w:tcW w:w="17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50,800,000.00</w:t>
            </w:r>
          </w:p>
        </w:tc>
        <w:tc>
          <w:tcPr>
            <w:tcW w:w="1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7"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80724" cy="9144"/>
                  <wp:effectExtent l="0" t="0" r="0" b="0"/>
                  <wp:docPr id="105" name="image75.png" descr=""/>
                  <wp:cNvGraphicFramePr>
                    <a:graphicFrameLocks noChangeAspect="1"/>
                  </wp:cNvGraphicFramePr>
                  <a:graphic>
                    <a:graphicData uri="http://schemas.openxmlformats.org/drawingml/2006/picture">
                      <pic:pic>
                        <pic:nvPicPr>
                          <pic:cNvPr id="106" name="image75.png"/>
                          <pic:cNvPicPr/>
                        </pic:nvPicPr>
                        <pic:blipFill>
                          <a:blip r:embed="rId135" cstate="print"/>
                          <a:stretch>
                            <a:fillRect/>
                          </a:stretch>
                        </pic:blipFill>
                        <pic:spPr>
                          <a:xfrm>
                            <a:off x="0" y="0"/>
                            <a:ext cx="108072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
              <w:ind w:right="29"/>
              <w:jc w:val="right"/>
              <w:rPr>
                <w:rFonts w:ascii="宋体" w:hAnsi="宋体" w:cs="宋体" w:eastAsia="宋体" w:hint="default"/>
                <w:sz w:val="18"/>
                <w:szCs w:val="18"/>
              </w:rPr>
            </w:pPr>
            <w:r>
              <w:rPr>
                <w:rFonts w:ascii="宋体"/>
                <w:spacing w:val="-1"/>
                <w:sz w:val="18"/>
              </w:rPr>
              <w:t>641,920,393.65</w:t>
            </w:r>
          </w:p>
        </w:tc>
      </w:tr>
    </w:tbl>
    <w:p>
      <w:pPr>
        <w:spacing w:before="64"/>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经本公司</w:t>
      </w:r>
      <w:r>
        <w:rPr>
          <w:rFonts w:ascii="宋体" w:hAnsi="宋体" w:cs="宋体" w:eastAsia="宋体" w:hint="default"/>
          <w:b/>
          <w:bCs/>
          <w:spacing w:val="-46"/>
          <w:sz w:val="21"/>
          <w:szCs w:val="21"/>
        </w:rPr>
        <w:t> </w:t>
      </w:r>
      <w:r>
        <w:rPr>
          <w:rFonts w:ascii="宋体" w:hAnsi="宋体" w:cs="宋体" w:eastAsia="宋体" w:hint="default"/>
          <w:b/>
          <w:bCs/>
          <w:sz w:val="21"/>
          <w:szCs w:val="21"/>
        </w:rPr>
        <w:t>2011</w:t>
      </w:r>
      <w:r>
        <w:rPr>
          <w:rFonts w:ascii="宋体" w:hAnsi="宋体" w:cs="宋体" w:eastAsia="宋体" w:hint="default"/>
          <w:b/>
          <w:bCs/>
          <w:spacing w:val="-46"/>
          <w:sz w:val="21"/>
          <w:szCs w:val="21"/>
        </w:rPr>
        <w:t> </w:t>
      </w:r>
      <w:r>
        <w:rPr>
          <w:rFonts w:ascii="宋体" w:hAnsi="宋体" w:cs="宋体" w:eastAsia="宋体" w:hint="default"/>
          <w:b/>
          <w:bCs/>
          <w:sz w:val="21"/>
          <w:szCs w:val="21"/>
        </w:rPr>
        <w:t>年</w:t>
      </w:r>
      <w:r>
        <w:rPr>
          <w:rFonts w:ascii="宋体" w:hAnsi="宋体" w:cs="宋体" w:eastAsia="宋体" w:hint="default"/>
          <w:b/>
          <w:bCs/>
          <w:spacing w:val="-44"/>
          <w:sz w:val="21"/>
          <w:szCs w:val="21"/>
        </w:rPr>
        <w:t> </w:t>
      </w:r>
      <w:r>
        <w:rPr>
          <w:rFonts w:ascii="宋体" w:hAnsi="宋体" w:cs="宋体" w:eastAsia="宋体" w:hint="default"/>
          <w:b/>
          <w:bCs/>
          <w:sz w:val="21"/>
          <w:szCs w:val="21"/>
        </w:rPr>
        <w:t>4</w:t>
      </w:r>
      <w:r>
        <w:rPr>
          <w:rFonts w:ascii="宋体" w:hAnsi="宋体" w:cs="宋体" w:eastAsia="宋体" w:hint="default"/>
          <w:b/>
          <w:bCs/>
          <w:spacing w:val="-46"/>
          <w:sz w:val="21"/>
          <w:szCs w:val="21"/>
        </w:rPr>
        <w:t> </w:t>
      </w:r>
      <w:r>
        <w:rPr>
          <w:rFonts w:ascii="宋体" w:hAnsi="宋体" w:cs="宋体" w:eastAsia="宋体" w:hint="default"/>
          <w:b/>
          <w:bCs/>
          <w:sz w:val="21"/>
          <w:szCs w:val="21"/>
        </w:rPr>
        <w:t>月</w:t>
      </w:r>
      <w:r>
        <w:rPr>
          <w:rFonts w:ascii="宋体" w:hAnsi="宋体" w:cs="宋体" w:eastAsia="宋体" w:hint="default"/>
          <w:b/>
          <w:bCs/>
          <w:spacing w:val="-46"/>
          <w:sz w:val="21"/>
          <w:szCs w:val="21"/>
        </w:rPr>
        <w:t> </w:t>
      </w:r>
      <w:r>
        <w:rPr>
          <w:rFonts w:ascii="宋体" w:hAnsi="宋体" w:cs="宋体" w:eastAsia="宋体" w:hint="default"/>
          <w:b/>
          <w:bCs/>
          <w:sz w:val="21"/>
          <w:szCs w:val="21"/>
        </w:rPr>
        <w:t>21</w:t>
      </w:r>
      <w:r>
        <w:rPr>
          <w:rFonts w:ascii="宋体" w:hAnsi="宋体" w:cs="宋体" w:eastAsia="宋体" w:hint="default"/>
          <w:b/>
          <w:bCs/>
          <w:spacing w:val="-46"/>
          <w:sz w:val="21"/>
          <w:szCs w:val="21"/>
        </w:rPr>
        <w:t> </w:t>
      </w:r>
      <w:r>
        <w:rPr>
          <w:rFonts w:ascii="宋体" w:hAnsi="宋体" w:cs="宋体" w:eastAsia="宋体" w:hint="default"/>
          <w:b/>
          <w:bCs/>
          <w:sz w:val="21"/>
          <w:szCs w:val="21"/>
        </w:rPr>
        <w:t>日股东大会审议通过，以公司原有的</w:t>
      </w:r>
      <w:r>
        <w:rPr>
          <w:rFonts w:ascii="宋体" w:hAnsi="宋体" w:cs="宋体" w:eastAsia="宋体" w:hint="default"/>
          <w:b/>
          <w:bCs/>
          <w:spacing w:val="-45"/>
          <w:sz w:val="21"/>
          <w:szCs w:val="21"/>
        </w:rPr>
        <w:t> </w:t>
      </w:r>
      <w:r>
        <w:rPr>
          <w:rFonts w:ascii="宋体" w:hAnsi="宋体" w:cs="宋体" w:eastAsia="宋体" w:hint="default"/>
          <w:b/>
          <w:bCs/>
          <w:sz w:val="21"/>
          <w:szCs w:val="21"/>
        </w:rPr>
        <w:t>6,350</w:t>
      </w:r>
      <w:r>
        <w:rPr>
          <w:rFonts w:ascii="宋体" w:hAnsi="宋体" w:cs="宋体" w:eastAsia="宋体" w:hint="default"/>
          <w:b/>
          <w:bCs/>
          <w:spacing w:val="-46"/>
          <w:sz w:val="21"/>
          <w:szCs w:val="21"/>
        </w:rPr>
        <w:t> </w:t>
      </w:r>
      <w:r>
        <w:rPr>
          <w:rFonts w:ascii="宋体" w:hAnsi="宋体" w:cs="宋体" w:eastAsia="宋体" w:hint="default"/>
          <w:b/>
          <w:bCs/>
          <w:sz w:val="21"/>
          <w:szCs w:val="21"/>
        </w:rPr>
        <w:t>万股为基础，向</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2" w:right="0" w:firstLine="0"/>
        <w:jc w:val="left"/>
        <w:rPr>
          <w:rFonts w:ascii="宋体" w:hAnsi="宋体" w:cs="宋体" w:eastAsia="宋体" w:hint="default"/>
          <w:sz w:val="21"/>
          <w:szCs w:val="21"/>
        </w:rPr>
      </w:pPr>
      <w:r>
        <w:rPr>
          <w:rFonts w:ascii="宋体" w:hAnsi="宋体" w:cs="宋体" w:eastAsia="宋体" w:hint="default"/>
          <w:b/>
          <w:bCs/>
          <w:sz w:val="21"/>
          <w:szCs w:val="21"/>
        </w:rPr>
        <w:t>全体股东每</w:t>
      </w:r>
      <w:r>
        <w:rPr>
          <w:rFonts w:ascii="宋体" w:hAnsi="宋体" w:cs="宋体" w:eastAsia="宋体" w:hint="default"/>
          <w:b/>
          <w:bCs/>
          <w:spacing w:val="-43"/>
          <w:sz w:val="21"/>
          <w:szCs w:val="21"/>
        </w:rPr>
        <w:t> </w:t>
      </w:r>
      <w:r>
        <w:rPr>
          <w:rFonts w:ascii="宋体" w:hAnsi="宋体" w:cs="宋体" w:eastAsia="宋体" w:hint="default"/>
          <w:b/>
          <w:bCs/>
          <w:sz w:val="21"/>
          <w:szCs w:val="21"/>
        </w:rPr>
        <w:t>10</w:t>
      </w:r>
      <w:r>
        <w:rPr>
          <w:rFonts w:ascii="宋体" w:hAnsi="宋体" w:cs="宋体" w:eastAsia="宋体" w:hint="default"/>
          <w:b/>
          <w:bCs/>
          <w:spacing w:val="-43"/>
          <w:sz w:val="21"/>
          <w:szCs w:val="21"/>
        </w:rPr>
        <w:t> </w:t>
      </w:r>
      <w:r>
        <w:rPr>
          <w:rFonts w:ascii="宋体" w:hAnsi="宋体" w:cs="宋体" w:eastAsia="宋体" w:hint="default"/>
          <w:b/>
          <w:bCs/>
          <w:sz w:val="21"/>
          <w:szCs w:val="21"/>
        </w:rPr>
        <w:t>股派</w:t>
      </w:r>
      <w:r>
        <w:rPr>
          <w:rFonts w:ascii="宋体" w:hAnsi="宋体" w:cs="宋体" w:eastAsia="宋体" w:hint="default"/>
          <w:b/>
          <w:bCs/>
          <w:spacing w:val="-42"/>
          <w:sz w:val="21"/>
          <w:szCs w:val="21"/>
        </w:rPr>
        <w:t> </w:t>
      </w:r>
      <w:r>
        <w:rPr>
          <w:rFonts w:ascii="宋体" w:hAnsi="宋体" w:cs="宋体" w:eastAsia="宋体" w:hint="default"/>
          <w:b/>
          <w:bCs/>
          <w:sz w:val="21"/>
          <w:szCs w:val="21"/>
        </w:rPr>
        <w:t>2</w:t>
      </w:r>
      <w:r>
        <w:rPr>
          <w:rFonts w:ascii="宋体" w:hAnsi="宋体" w:cs="宋体" w:eastAsia="宋体" w:hint="default"/>
          <w:b/>
          <w:bCs/>
          <w:spacing w:val="-43"/>
          <w:sz w:val="21"/>
          <w:szCs w:val="21"/>
        </w:rPr>
        <w:t> </w:t>
      </w:r>
      <w:r>
        <w:rPr>
          <w:rFonts w:ascii="宋体" w:hAnsi="宋体" w:cs="宋体" w:eastAsia="宋体" w:hint="default"/>
          <w:b/>
          <w:bCs/>
          <w:sz w:val="21"/>
          <w:szCs w:val="21"/>
        </w:rPr>
        <w:t>元人民币现金</w:t>
      </w:r>
      <w:r>
        <w:rPr>
          <w:rFonts w:ascii="宋体" w:hAnsi="宋体" w:cs="宋体" w:eastAsia="宋体" w:hint="default"/>
          <w:b/>
          <w:bCs/>
          <w:sz w:val="21"/>
          <w:szCs w:val="21"/>
        </w:rPr>
        <w:t>(</w:t>
      </w:r>
      <w:r>
        <w:rPr>
          <w:rFonts w:ascii="宋体" w:hAnsi="宋体" w:cs="宋体" w:eastAsia="宋体" w:hint="default"/>
          <w:b/>
          <w:bCs/>
          <w:sz w:val="21"/>
          <w:szCs w:val="21"/>
        </w:rPr>
        <w:t>含税</w:t>
      </w:r>
      <w:r>
        <w:rPr>
          <w:rFonts w:ascii="宋体" w:hAnsi="宋体" w:cs="宋体" w:eastAsia="宋体" w:hint="default"/>
          <w:b/>
          <w:bCs/>
          <w:sz w:val="21"/>
          <w:szCs w:val="21"/>
        </w:rPr>
        <w:t>)</w:t>
      </w:r>
      <w:r>
        <w:rPr>
          <w:rFonts w:ascii="宋体" w:hAnsi="宋体" w:cs="宋体" w:eastAsia="宋体" w:hint="default"/>
          <w:b/>
          <w:bCs/>
          <w:sz w:val="21"/>
          <w:szCs w:val="21"/>
        </w:rPr>
        <w:t>，共计分派经股利</w:t>
      </w:r>
      <w:r>
        <w:rPr>
          <w:rFonts w:ascii="宋体" w:hAnsi="宋体" w:cs="宋体" w:eastAsia="宋体" w:hint="default"/>
          <w:b/>
          <w:bCs/>
          <w:spacing w:val="-43"/>
          <w:sz w:val="21"/>
          <w:szCs w:val="21"/>
        </w:rPr>
        <w:t> </w:t>
      </w:r>
      <w:r>
        <w:rPr>
          <w:rFonts w:ascii="宋体" w:hAnsi="宋体" w:cs="宋体" w:eastAsia="宋体" w:hint="default"/>
          <w:b/>
          <w:bCs/>
          <w:sz w:val="21"/>
          <w:szCs w:val="21"/>
        </w:rPr>
        <w:t>1,270</w:t>
      </w:r>
      <w:r>
        <w:rPr>
          <w:rFonts w:ascii="宋体" w:hAnsi="宋体" w:cs="宋体" w:eastAsia="宋体" w:hint="default"/>
          <w:b/>
          <w:bCs/>
          <w:spacing w:val="-42"/>
          <w:sz w:val="21"/>
          <w:szCs w:val="21"/>
        </w:rPr>
        <w:t> </w:t>
      </w:r>
      <w:r>
        <w:rPr>
          <w:rFonts w:ascii="宋体" w:hAnsi="宋体" w:cs="宋体" w:eastAsia="宋体" w:hint="default"/>
          <w:b/>
          <w:bCs/>
          <w:sz w:val="21"/>
          <w:szCs w:val="21"/>
        </w:rPr>
        <w:t>万元，同时以资本公积向</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681" w:lineRule="auto" w:before="0"/>
        <w:ind w:left="524" w:right="1089" w:hanging="423"/>
        <w:jc w:val="left"/>
        <w:rPr>
          <w:rFonts w:ascii="宋体" w:hAnsi="宋体" w:cs="宋体" w:eastAsia="宋体" w:hint="default"/>
          <w:sz w:val="21"/>
          <w:szCs w:val="21"/>
        </w:rPr>
      </w:pPr>
      <w:r>
        <w:rPr>
          <w:rFonts w:ascii="宋体" w:hAnsi="宋体" w:cs="宋体" w:eastAsia="宋体" w:hint="default"/>
          <w:b/>
          <w:bCs/>
          <w:sz w:val="21"/>
          <w:szCs w:val="21"/>
        </w:rPr>
        <w:t>全体股东每</w:t>
      </w:r>
      <w:r>
        <w:rPr>
          <w:rFonts w:ascii="宋体" w:hAnsi="宋体" w:cs="宋体" w:eastAsia="宋体" w:hint="default"/>
          <w:b/>
          <w:bCs/>
          <w:spacing w:val="-55"/>
          <w:sz w:val="21"/>
          <w:szCs w:val="21"/>
        </w:rPr>
        <w:t> </w:t>
      </w:r>
      <w:r>
        <w:rPr>
          <w:rFonts w:ascii="宋体" w:hAnsi="宋体" w:cs="宋体" w:eastAsia="宋体" w:hint="default"/>
          <w:b/>
          <w:bCs/>
          <w:sz w:val="21"/>
          <w:szCs w:val="21"/>
        </w:rPr>
        <w:t>10</w:t>
      </w:r>
      <w:r>
        <w:rPr>
          <w:rFonts w:ascii="宋体" w:hAnsi="宋体" w:cs="宋体" w:eastAsia="宋体" w:hint="default"/>
          <w:b/>
          <w:bCs/>
          <w:spacing w:val="-55"/>
          <w:sz w:val="21"/>
          <w:szCs w:val="21"/>
        </w:rPr>
        <w:t> </w:t>
      </w:r>
      <w:r>
        <w:rPr>
          <w:rFonts w:ascii="宋体" w:hAnsi="宋体" w:cs="宋体" w:eastAsia="宋体" w:hint="default"/>
          <w:b/>
          <w:bCs/>
          <w:sz w:val="21"/>
          <w:szCs w:val="21"/>
        </w:rPr>
        <w:t>股转增</w:t>
      </w:r>
      <w:r>
        <w:rPr>
          <w:rFonts w:ascii="宋体" w:hAnsi="宋体" w:cs="宋体" w:eastAsia="宋体" w:hint="default"/>
          <w:b/>
          <w:bCs/>
          <w:spacing w:val="-54"/>
          <w:sz w:val="21"/>
          <w:szCs w:val="21"/>
        </w:rPr>
        <w:t> </w:t>
      </w:r>
      <w:r>
        <w:rPr>
          <w:rFonts w:ascii="宋体" w:hAnsi="宋体" w:cs="宋体" w:eastAsia="宋体" w:hint="default"/>
          <w:b/>
          <w:bCs/>
          <w:sz w:val="21"/>
          <w:szCs w:val="21"/>
        </w:rPr>
        <w:t>8</w:t>
      </w:r>
      <w:r>
        <w:rPr>
          <w:rFonts w:ascii="宋体" w:hAnsi="宋体" w:cs="宋体" w:eastAsia="宋体" w:hint="default"/>
          <w:b/>
          <w:bCs/>
          <w:spacing w:val="-55"/>
          <w:sz w:val="21"/>
          <w:szCs w:val="21"/>
        </w:rPr>
        <w:t> </w:t>
      </w:r>
      <w:r>
        <w:rPr>
          <w:rFonts w:ascii="宋体" w:hAnsi="宋体" w:cs="宋体" w:eastAsia="宋体" w:hint="default"/>
          <w:b/>
          <w:bCs/>
          <w:sz w:val="21"/>
          <w:szCs w:val="21"/>
        </w:rPr>
        <w:t>股，共计转增</w:t>
      </w:r>
      <w:r>
        <w:rPr>
          <w:rFonts w:ascii="宋体" w:hAnsi="宋体" w:cs="宋体" w:eastAsia="宋体" w:hint="default"/>
          <w:b/>
          <w:bCs/>
          <w:spacing w:val="-55"/>
          <w:sz w:val="21"/>
          <w:szCs w:val="21"/>
        </w:rPr>
        <w:t> </w:t>
      </w:r>
      <w:r>
        <w:rPr>
          <w:rFonts w:ascii="宋体" w:hAnsi="宋体" w:cs="宋体" w:eastAsia="宋体" w:hint="default"/>
          <w:b/>
          <w:bCs/>
          <w:sz w:val="21"/>
          <w:szCs w:val="21"/>
        </w:rPr>
        <w:t>5,080</w:t>
      </w:r>
      <w:r>
        <w:rPr>
          <w:rFonts w:ascii="宋体" w:hAnsi="宋体" w:cs="宋体" w:eastAsia="宋体" w:hint="default"/>
          <w:b/>
          <w:bCs/>
          <w:spacing w:val="-54"/>
          <w:sz w:val="21"/>
          <w:szCs w:val="21"/>
        </w:rPr>
        <w:t> </w:t>
      </w:r>
      <w:r>
        <w:rPr>
          <w:rFonts w:ascii="宋体" w:hAnsi="宋体" w:cs="宋体" w:eastAsia="宋体" w:hint="default"/>
          <w:b/>
          <w:bCs/>
          <w:sz w:val="21"/>
          <w:szCs w:val="21"/>
        </w:rPr>
        <w:t>万元。转增后公司总股本增至</w:t>
      </w:r>
      <w:r>
        <w:rPr>
          <w:rFonts w:ascii="宋体" w:hAnsi="宋体" w:cs="宋体" w:eastAsia="宋体" w:hint="default"/>
          <w:b/>
          <w:bCs/>
          <w:spacing w:val="-54"/>
          <w:sz w:val="21"/>
          <w:szCs w:val="21"/>
        </w:rPr>
        <w:t> </w:t>
      </w:r>
      <w:r>
        <w:rPr>
          <w:rFonts w:ascii="宋体" w:hAnsi="宋体" w:cs="宋体" w:eastAsia="宋体" w:hint="default"/>
          <w:b/>
          <w:bCs/>
          <w:sz w:val="21"/>
          <w:szCs w:val="21"/>
        </w:rPr>
        <w:t>11,430</w:t>
      </w:r>
      <w:r>
        <w:rPr>
          <w:rFonts w:ascii="宋体" w:hAnsi="宋体" w:cs="宋体" w:eastAsia="宋体" w:hint="default"/>
          <w:b/>
          <w:bCs/>
          <w:spacing w:val="-55"/>
          <w:sz w:val="21"/>
          <w:szCs w:val="21"/>
        </w:rPr>
        <w:t> </w:t>
      </w:r>
      <w:r>
        <w:rPr>
          <w:rFonts w:ascii="宋体" w:hAnsi="宋体" w:cs="宋体" w:eastAsia="宋体" w:hint="default"/>
          <w:b/>
          <w:bCs/>
          <w:sz w:val="21"/>
          <w:szCs w:val="21"/>
        </w:rPr>
        <w:t>万股。</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1736"/>
        <w:gridCol w:w="106"/>
        <w:gridCol w:w="1574"/>
        <w:gridCol w:w="103"/>
        <w:gridCol w:w="1733"/>
        <w:gridCol w:w="1707"/>
        <w:gridCol w:w="106"/>
        <w:gridCol w:w="1596"/>
      </w:tblGrid>
      <w:tr>
        <w:trPr>
          <w:trHeight w:val="287" w:hRule="exact"/>
        </w:trPr>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180" w:lineRule="exact"/>
              <w:ind w:left="5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5" w:hRule="exact"/>
        </w:trPr>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7,020,701.36</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3,775,384.72</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10,796,086.08</w:t>
            </w:r>
          </w:p>
        </w:tc>
      </w:tr>
      <w:tr>
        <w:trPr>
          <w:trHeight w:val="399"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z w:val="18"/>
              </w:rPr>
              <w:t>---</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z w:val="18"/>
              </w:rPr>
              <w:t>---</w:t>
            </w:r>
          </w:p>
        </w:tc>
      </w:tr>
      <w:tr>
        <w:trPr>
          <w:trHeight w:val="430"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85" cy="9144"/>
                  <wp:effectExtent l="0" t="0" r="0" b="0"/>
                  <wp:docPr id="107" name="image76.png" descr=""/>
                  <wp:cNvGraphicFramePr>
                    <a:graphicFrameLocks noChangeAspect="1"/>
                  </wp:cNvGraphicFramePr>
                  <a:graphic>
                    <a:graphicData uri="http://schemas.openxmlformats.org/drawingml/2006/picture">
                      <pic:pic>
                        <pic:nvPicPr>
                          <pic:cNvPr id="108" name="image76.png"/>
                          <pic:cNvPicPr/>
                        </pic:nvPicPr>
                        <pic:blipFill>
                          <a:blip r:embed="rId136" cstate="print"/>
                          <a:stretch>
                            <a:fillRect/>
                          </a:stretch>
                        </pic:blipFill>
                        <pic:spPr>
                          <a:xfrm>
                            <a:off x="0" y="0"/>
                            <a:ext cx="9997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5"/>
              <w:ind w:right="29"/>
              <w:jc w:val="right"/>
              <w:rPr>
                <w:rFonts w:ascii="宋体" w:hAnsi="宋体" w:cs="宋体" w:eastAsia="宋体" w:hint="default"/>
                <w:sz w:val="18"/>
                <w:szCs w:val="18"/>
              </w:rPr>
            </w:pPr>
            <w:r>
              <w:rPr>
                <w:rFonts w:ascii="宋体"/>
                <w:spacing w:val="-1"/>
                <w:sz w:val="18"/>
              </w:rPr>
              <w:t>7,020,701.36</w:t>
            </w:r>
          </w:p>
        </w:tc>
        <w:tc>
          <w:tcPr>
            <w:tcW w:w="10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0628" cy="9144"/>
                  <wp:effectExtent l="0" t="0" r="0" b="0"/>
                  <wp:docPr id="109" name="image77.png" descr=""/>
                  <wp:cNvGraphicFramePr>
                    <a:graphicFrameLocks noChangeAspect="1"/>
                  </wp:cNvGraphicFramePr>
                  <a:graphic>
                    <a:graphicData uri="http://schemas.openxmlformats.org/drawingml/2006/picture">
                      <pic:pic>
                        <pic:nvPicPr>
                          <pic:cNvPr id="110" name="image77.png"/>
                          <pic:cNvPicPr/>
                        </pic:nvPicPr>
                        <pic:blipFill>
                          <a:blip r:embed="rId137" cstate="print"/>
                          <a:stretch>
                            <a:fillRect/>
                          </a:stretch>
                        </pic:blipFill>
                        <pic:spPr>
                          <a:xfrm>
                            <a:off x="0" y="0"/>
                            <a:ext cx="11006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5"/>
              <w:ind w:right="29"/>
              <w:jc w:val="right"/>
              <w:rPr>
                <w:rFonts w:ascii="宋体" w:hAnsi="宋体" w:cs="宋体" w:eastAsia="宋体" w:hint="default"/>
                <w:sz w:val="18"/>
                <w:szCs w:val="18"/>
              </w:rPr>
            </w:pPr>
            <w:r>
              <w:rPr>
                <w:rFonts w:ascii="宋体"/>
                <w:spacing w:val="-1"/>
                <w:sz w:val="18"/>
              </w:rPr>
              <w:t>3,775,384.72</w:t>
            </w: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13755" cy="9144"/>
                  <wp:effectExtent l="0" t="0" r="0" b="0"/>
                  <wp:docPr id="111" name="image78.png" descr=""/>
                  <wp:cNvGraphicFramePr>
                    <a:graphicFrameLocks noChangeAspect="1"/>
                  </wp:cNvGraphicFramePr>
                  <a:graphic>
                    <a:graphicData uri="http://schemas.openxmlformats.org/drawingml/2006/picture">
                      <pic:pic>
                        <pic:nvPicPr>
                          <pic:cNvPr id="112" name="image78.png"/>
                          <pic:cNvPicPr/>
                        </pic:nvPicPr>
                        <pic:blipFill>
                          <a:blip r:embed="rId138" cstate="print"/>
                          <a:stretch>
                            <a:fillRect/>
                          </a:stretch>
                        </pic:blipFill>
                        <pic:spPr>
                          <a:xfrm>
                            <a:off x="0" y="0"/>
                            <a:ext cx="101375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5"/>
              <w:ind w:right="29"/>
              <w:jc w:val="right"/>
              <w:rPr>
                <w:rFonts w:ascii="宋体" w:hAnsi="宋体" w:cs="宋体" w:eastAsia="宋体" w:hint="default"/>
                <w:sz w:val="18"/>
                <w:szCs w:val="18"/>
              </w:rPr>
            </w:pPr>
            <w:r>
              <w:rPr>
                <w:rFonts w:ascii="宋体"/>
                <w:spacing w:val="-1"/>
                <w:sz w:val="18"/>
              </w:rPr>
              <w:t>10,796,086.08</w:t>
            </w:r>
          </w:p>
        </w:tc>
      </w:tr>
    </w:tbl>
    <w:p>
      <w:pPr>
        <w:spacing w:line="240" w:lineRule="auto" w:before="9"/>
        <w:rPr>
          <w:rFonts w:ascii="宋体" w:hAnsi="宋体" w:cs="宋体" w:eastAsia="宋体" w:hint="default"/>
          <w:b/>
          <w:bCs/>
          <w:sz w:val="18"/>
          <w:szCs w:val="18"/>
        </w:rPr>
      </w:pPr>
    </w:p>
    <w:p>
      <w:pPr>
        <w:spacing w:before="36"/>
        <w:ind w:left="524" w:right="58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2636"/>
        <w:gridCol w:w="955"/>
        <w:gridCol w:w="2081"/>
        <w:gridCol w:w="901"/>
        <w:gridCol w:w="2103"/>
      </w:tblGrid>
      <w:tr>
        <w:trPr>
          <w:trHeight w:val="282" w:hRule="exact"/>
        </w:trPr>
        <w:tc>
          <w:tcPr>
            <w:tcW w:w="263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72" w:hRule="exact"/>
        </w:trPr>
        <w:tc>
          <w:tcPr>
            <w:tcW w:w="263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0"/>
              <w:jc w:val="right"/>
              <w:rPr>
                <w:rFonts w:ascii="宋体" w:hAnsi="宋体" w:cs="宋体" w:eastAsia="宋体" w:hint="default"/>
                <w:sz w:val="18"/>
                <w:szCs w:val="18"/>
              </w:rPr>
            </w:pPr>
            <w:r>
              <w:rPr>
                <w:rFonts w:ascii="宋体"/>
                <w:spacing w:val="-1"/>
                <w:sz w:val="18"/>
              </w:rPr>
              <w:t>108,763,910.61</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pacing w:val="-1"/>
                <w:sz w:val="18"/>
              </w:rPr>
              <w:t>53,513,503.59</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108,763,910.61</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53,513,503.59</w:t>
            </w:r>
          </w:p>
        </w:tc>
      </w:tr>
      <w:tr>
        <w:trPr>
          <w:trHeight w:val="36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加：归属于母公司股东的净利润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75,741,882.80</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宋体" w:hAnsi="宋体" w:cs="宋体" w:eastAsia="宋体" w:hint="default"/>
                <w:sz w:val="18"/>
                <w:szCs w:val="18"/>
              </w:rPr>
            </w:pPr>
            <w:r>
              <w:rPr>
                <w:rFonts w:ascii="宋体"/>
                <w:spacing w:val="-1"/>
                <w:sz w:val="18"/>
              </w:rPr>
              <w:t>57,894,445.26</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减：提取法定盈余公积金</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3,775,384.72</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2,644,038.24</w:t>
            </w:r>
          </w:p>
        </w:tc>
      </w:tr>
      <w:tr>
        <w:trPr>
          <w:trHeight w:val="37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减：未分配利润转增资本</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9"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减：净资产折股</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5"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减：分配现金股利</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0"/>
              <w:jc w:val="right"/>
              <w:rPr>
                <w:rFonts w:ascii="宋体" w:hAnsi="宋体" w:cs="宋体" w:eastAsia="宋体" w:hint="default"/>
                <w:sz w:val="18"/>
                <w:szCs w:val="18"/>
              </w:rPr>
            </w:pPr>
            <w:r>
              <w:rPr>
                <w:rFonts w:ascii="宋体"/>
                <w:spacing w:val="-1"/>
                <w:sz w:val="18"/>
              </w:rPr>
              <w:t>12,700,000.00</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40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955"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31"/>
              <w:jc w:val="right"/>
              <w:rPr>
                <w:rFonts w:ascii="宋体" w:hAnsi="宋体" w:cs="宋体" w:eastAsia="宋体" w:hint="default"/>
                <w:sz w:val="18"/>
                <w:szCs w:val="18"/>
              </w:rPr>
            </w:pPr>
            <w:r>
              <w:rPr>
                <w:rFonts w:ascii="宋体"/>
                <w:spacing w:val="-1"/>
                <w:sz w:val="18"/>
              </w:rPr>
              <w:t>168,030,408.69</w:t>
            </w:r>
          </w:p>
        </w:tc>
        <w:tc>
          <w:tcPr>
            <w:tcW w:w="901"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30650" cy="9144"/>
                  <wp:effectExtent l="0" t="0" r="0" b="0"/>
                  <wp:docPr id="113" name="image79.png" descr=""/>
                  <wp:cNvGraphicFramePr>
                    <a:graphicFrameLocks noChangeAspect="1"/>
                  </wp:cNvGraphicFramePr>
                  <a:graphic>
                    <a:graphicData uri="http://schemas.openxmlformats.org/drawingml/2006/picture">
                      <pic:pic>
                        <pic:nvPicPr>
                          <pic:cNvPr id="114" name="image79.png"/>
                          <pic:cNvPicPr/>
                        </pic:nvPicPr>
                        <pic:blipFill>
                          <a:blip r:embed="rId139" cstate="print"/>
                          <a:stretch>
                            <a:fillRect/>
                          </a:stretch>
                        </pic:blipFill>
                        <pic:spPr>
                          <a:xfrm>
                            <a:off x="0" y="0"/>
                            <a:ext cx="133065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108,763,910.61</w:t>
            </w:r>
          </w:p>
        </w:tc>
      </w:tr>
    </w:tbl>
    <w:p>
      <w:pPr>
        <w:spacing w:line="240" w:lineRule="auto" w:before="2"/>
        <w:rPr>
          <w:rFonts w:ascii="宋体" w:hAnsi="宋体" w:cs="宋体" w:eastAsia="宋体" w:hint="default"/>
          <w:b/>
          <w:bCs/>
          <w:sz w:val="20"/>
          <w:szCs w:val="20"/>
        </w:rPr>
      </w:pPr>
    </w:p>
    <w:p>
      <w:pPr>
        <w:spacing w:before="36"/>
        <w:ind w:left="50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本期分配现金股利见附注五、</w:t>
      </w: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before="0"/>
        <w:ind w:left="524" w:right="58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8"/>
        <w:ind w:left="524" w:right="5821" w:firstLine="0"/>
        <w:jc w:val="left"/>
        <w:rPr>
          <w:rFonts w:ascii="宋体" w:hAnsi="宋体" w:cs="宋体" w:eastAsia="宋体" w:hint="default"/>
          <w:sz w:val="21"/>
          <w:szCs w:val="21"/>
        </w:rPr>
      </w:pPr>
      <w:r>
        <w:rPr/>
        <w:pict>
          <v:group style="position:absolute;margin-left:414.100006pt;margin-top:69.203690pt;width:105.05pt;height:.1pt;mso-position-horizontal-relative:page;mso-position-vertical-relative:paragraph;z-index:-645664" coordorigin="8282,1384" coordsize="2101,2">
            <v:shape style="position:absolute;left:8282;top:1384;width:2101;height:2" coordorigin="8282,1384" coordsize="2101,0" path="m8282,1384l10382,1384e" filled="false" stroked="true" strokeweight=".47998pt" strokecolor="#000000">
              <v:path arrowok="t"/>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727" w:type="dxa"/>
        <w:tblLayout w:type="fixed"/>
        <w:tblCellMar>
          <w:top w:w="0" w:type="dxa"/>
          <w:left w:w="0" w:type="dxa"/>
          <w:bottom w:w="0" w:type="dxa"/>
          <w:right w:w="0" w:type="dxa"/>
        </w:tblCellMar>
        <w:tblLook w:val="01E0"/>
      </w:tblPr>
      <w:tblGrid>
        <w:gridCol w:w="2581"/>
        <w:gridCol w:w="2057"/>
        <w:gridCol w:w="1316"/>
        <w:gridCol w:w="1525"/>
      </w:tblGrid>
      <w:tr>
        <w:trPr>
          <w:trHeight w:val="282"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180" w:lineRule="exact"/>
              <w:ind w:left="784"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footerReference w:type="default" r:id="rId132"/>
          <w:pgSz w:w="11910" w:h="16840"/>
          <w:pgMar w:footer="1195" w:header="0" w:top="1320" w:bottom="1380" w:left="1600" w:right="880"/>
        </w:sectPr>
      </w:pPr>
    </w:p>
    <w:p>
      <w:pPr>
        <w:spacing w:line="240" w:lineRule="auto" w:before="1"/>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016"/>
        <w:gridCol w:w="1198"/>
        <w:gridCol w:w="2050"/>
        <w:gridCol w:w="1327"/>
        <w:gridCol w:w="2090"/>
      </w:tblGrid>
      <w:tr>
        <w:trPr>
          <w:trHeight w:val="373"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905"/>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341,506,975.08</w:t>
            </w:r>
          </w:p>
        </w:tc>
        <w:tc>
          <w:tcPr>
            <w:tcW w:w="1327"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9"/>
              <w:jc w:val="right"/>
              <w:rPr>
                <w:rFonts w:ascii="宋体" w:hAnsi="宋体" w:cs="宋体" w:eastAsia="宋体" w:hint="default"/>
                <w:sz w:val="18"/>
                <w:szCs w:val="18"/>
              </w:rPr>
            </w:pPr>
            <w:r>
              <w:rPr>
                <w:rFonts w:ascii="宋体"/>
                <w:spacing w:val="-1"/>
                <w:sz w:val="18"/>
              </w:rPr>
              <w:t>208,527,076.74</w:t>
            </w:r>
          </w:p>
        </w:tc>
      </w:tr>
      <w:tr>
        <w:trPr>
          <w:trHeight w:val="374"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0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89,922.88</w:t>
            </w:r>
          </w:p>
        </w:tc>
        <w:tc>
          <w:tcPr>
            <w:tcW w:w="1327"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r>
      <w:tr>
        <w:trPr>
          <w:trHeight w:val="391"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9"/>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341,596,897.96</w:t>
            </w:r>
          </w:p>
        </w:tc>
        <w:tc>
          <w:tcPr>
            <w:tcW w:w="1327"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208,527,076.74</w:t>
            </w:r>
          </w:p>
        </w:tc>
      </w:tr>
    </w:tbl>
    <w:p>
      <w:pPr>
        <w:spacing w:before="64"/>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16" w:type="dxa"/>
        <w:tblLayout w:type="fixed"/>
        <w:tblCellMar>
          <w:top w:w="0" w:type="dxa"/>
          <w:left w:w="0" w:type="dxa"/>
          <w:bottom w:w="0" w:type="dxa"/>
          <w:right w:w="0" w:type="dxa"/>
        </w:tblCellMar>
        <w:tblLook w:val="01E0"/>
      </w:tblPr>
      <w:tblGrid>
        <w:gridCol w:w="2002"/>
        <w:gridCol w:w="1212"/>
        <w:gridCol w:w="2024"/>
        <w:gridCol w:w="1339"/>
        <w:gridCol w:w="2090"/>
      </w:tblGrid>
      <w:tr>
        <w:trPr>
          <w:trHeight w:val="267" w:hRule="exact"/>
        </w:trPr>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3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12"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160,269,397.02</w:t>
            </w:r>
          </w:p>
        </w:tc>
        <w:tc>
          <w:tcPr>
            <w:tcW w:w="1339"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97,995,951.11</w:t>
            </w:r>
          </w:p>
        </w:tc>
      </w:tr>
      <w:tr>
        <w:trPr>
          <w:trHeight w:val="347"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12"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40"/>
              <w:jc w:val="right"/>
              <w:rPr>
                <w:rFonts w:ascii="宋体" w:hAnsi="宋体" w:cs="宋体" w:eastAsia="宋体" w:hint="default"/>
                <w:sz w:val="18"/>
                <w:szCs w:val="18"/>
              </w:rPr>
            </w:pPr>
            <w:r>
              <w:rPr>
                <w:rFonts w:ascii="宋体"/>
                <w:spacing w:val="-1"/>
                <w:sz w:val="18"/>
              </w:rPr>
              <w:t>22,692.16</w:t>
            </w:r>
          </w:p>
        </w:tc>
        <w:tc>
          <w:tcPr>
            <w:tcW w:w="133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38"/>
              <w:jc w:val="right"/>
              <w:rPr>
                <w:rFonts w:ascii="宋体" w:hAnsi="宋体" w:cs="宋体" w:eastAsia="宋体" w:hint="default"/>
                <w:sz w:val="18"/>
                <w:szCs w:val="18"/>
              </w:rPr>
            </w:pPr>
            <w:r>
              <w:rPr>
                <w:rFonts w:ascii="宋体"/>
                <w:sz w:val="18"/>
              </w:rPr>
              <w:t>---</w:t>
            </w:r>
          </w:p>
        </w:tc>
      </w:tr>
      <w:tr>
        <w:trPr>
          <w:trHeight w:val="37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
              <w:jc w:val="center"/>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160,292,089.18</w:t>
            </w:r>
          </w:p>
        </w:tc>
        <w:tc>
          <w:tcPr>
            <w:tcW w:w="1339"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97,995,951.11</w:t>
            </w:r>
          </w:p>
        </w:tc>
      </w:tr>
    </w:tbl>
    <w:p>
      <w:pPr>
        <w:spacing w:line="240" w:lineRule="auto" w:before="13"/>
        <w:rPr>
          <w:rFonts w:ascii="宋体" w:hAnsi="宋体" w:cs="宋体" w:eastAsia="宋体" w:hint="default"/>
          <w:b/>
          <w:bCs/>
          <w:sz w:val="25"/>
          <w:szCs w:val="25"/>
        </w:rPr>
      </w:pPr>
    </w:p>
    <w:p>
      <w:pPr>
        <w:spacing w:before="3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公司前五名客户的主营业务收入情况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314"/>
        <w:gridCol w:w="941"/>
        <w:gridCol w:w="2045"/>
        <w:gridCol w:w="1357"/>
        <w:gridCol w:w="2045"/>
      </w:tblGrid>
      <w:tr>
        <w:trPr>
          <w:trHeight w:val="255" w:hRule="exact"/>
        </w:trPr>
        <w:tc>
          <w:tcPr>
            <w:tcW w:w="2314"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57"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22" w:hRule="exact"/>
        </w:trPr>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262,896,537.79</w:t>
            </w:r>
          </w:p>
        </w:tc>
        <w:tc>
          <w:tcPr>
            <w:tcW w:w="1357"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27"/>
              <w:jc w:val="right"/>
              <w:rPr>
                <w:rFonts w:ascii="宋体" w:hAnsi="宋体" w:cs="宋体" w:eastAsia="宋体" w:hint="default"/>
                <w:sz w:val="18"/>
                <w:szCs w:val="18"/>
              </w:rPr>
            </w:pPr>
            <w:r>
              <w:rPr>
                <w:rFonts w:ascii="宋体"/>
                <w:spacing w:val="-1"/>
                <w:sz w:val="18"/>
              </w:rPr>
              <w:t>146,479,696.29</w:t>
            </w:r>
          </w:p>
        </w:tc>
      </w:tr>
      <w:tr>
        <w:trPr>
          <w:trHeight w:val="248"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76.96%</w:t>
            </w:r>
          </w:p>
        </w:tc>
        <w:tc>
          <w:tcPr>
            <w:tcW w:w="1357"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70.24%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主营业务收入及成本</w:t>
      </w:r>
      <w:r>
        <w:rPr>
          <w:rFonts w:ascii="宋体" w:hAnsi="宋体" w:cs="宋体" w:eastAsia="宋体" w:hint="default"/>
          <w:b/>
          <w:bCs/>
          <w:sz w:val="21"/>
          <w:szCs w:val="21"/>
        </w:rPr>
        <w:t>-</w:t>
      </w:r>
      <w:r>
        <w:rPr>
          <w:rFonts w:ascii="宋体" w:hAnsi="宋体" w:cs="宋体" w:eastAsia="宋体" w:hint="default"/>
          <w:b/>
          <w:bCs/>
          <w:sz w:val="21"/>
          <w:szCs w:val="21"/>
        </w:rPr>
        <w:t>按业务分类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283"/>
        <w:gridCol w:w="972"/>
        <w:gridCol w:w="2031"/>
        <w:gridCol w:w="1345"/>
        <w:gridCol w:w="2055"/>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324,837,256.20</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193,044,442.98</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8"/>
              <w:jc w:val="righ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11,086,822.35</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9,645,670.63</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273,504.27</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513,299.08</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78,594.87</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123,946.61</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8"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4,867,395.56</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5,076,922.66</w:t>
            </w:r>
          </w:p>
        </w:tc>
      </w:tr>
      <w:tr>
        <w:trPr>
          <w:trHeight w:val="34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363,401.83</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122,794.78</w:t>
            </w:r>
          </w:p>
        </w:tc>
      </w:tr>
      <w:tr>
        <w:trPr>
          <w:trHeight w:val="36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341,506,975.08</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208,527,076.74</w:t>
            </w:r>
          </w:p>
        </w:tc>
      </w:tr>
      <w:tr>
        <w:trPr>
          <w:trHeight w:val="35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single" w:sz="12" w:space="0" w:color="000000"/>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single" w:sz="12" w:space="0" w:color="000000"/>
              <w:left w:val="nil" w:sz="6" w:space="0" w:color="auto"/>
              <w:bottom w:val="nil" w:sz="6" w:space="0" w:color="auto"/>
              <w:right w:val="nil" w:sz="6" w:space="0" w:color="auto"/>
            </w:tcBorders>
          </w:tcPr>
          <w:p>
            <w:pP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156,357,828.40</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93,944,953.38</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8"/>
              <w:jc w:val="righ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2,236,549.10</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1,925,369.20</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94,336.00</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209,545.61</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8"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1,580,683.52</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1,916,082.92</w:t>
            </w:r>
          </w:p>
        </w:tc>
      </w:tr>
      <w:tr>
        <w:trPr>
          <w:trHeight w:val="34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160,269,397.02</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97,995,951.11</w:t>
            </w:r>
          </w:p>
        </w:tc>
      </w:tr>
      <w:tr>
        <w:trPr>
          <w:trHeight w:val="35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single" w:sz="12" w:space="0" w:color="000000"/>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single" w:sz="12" w:space="0" w:color="000000"/>
              <w:left w:val="nil" w:sz="6" w:space="0" w:color="auto"/>
              <w:bottom w:val="nil" w:sz="6" w:space="0" w:color="auto"/>
              <w:right w:val="nil" w:sz="6" w:space="0" w:color="auto"/>
            </w:tcBorders>
          </w:tcPr>
          <w:p>
            <w:pP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168,479,427.80</w:t>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99,099,489.60</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8"/>
              <w:jc w:val="righ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8,850,273.25</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7,720,301.43</w:t>
            </w:r>
          </w:p>
        </w:tc>
      </w:tr>
      <w:tr>
        <w:trPr>
          <w:trHeight w:val="2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9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179,168.27</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303,753.47</w:t>
            </w:r>
          </w:p>
        </w:tc>
      </w:tr>
    </w:tbl>
    <w:p>
      <w:pPr>
        <w:spacing w:after="0" w:line="240" w:lineRule="auto"/>
        <w:jc w:val="right"/>
        <w:rPr>
          <w:rFonts w:ascii="宋体" w:hAnsi="宋体" w:cs="宋体" w:eastAsia="宋体" w:hint="default"/>
          <w:sz w:val="18"/>
          <w:szCs w:val="18"/>
        </w:rPr>
        <w:sectPr>
          <w:footerReference w:type="default" r:id="rId140"/>
          <w:pgSz w:w="11910" w:h="16840"/>
          <w:pgMar w:footer="1195" w:header="0" w:top="1320" w:bottom="1380" w:left="1600" w:right="1400"/>
          <w:pgNumType w:start="131"/>
        </w:sectPr>
      </w:pPr>
    </w:p>
    <w:p>
      <w:pPr>
        <w:spacing w:line="240" w:lineRule="auto" w:before="13"/>
        <w:rPr>
          <w:rFonts w:ascii="宋体" w:hAnsi="宋体" w:cs="宋体" w:eastAsia="宋体" w:hint="default"/>
          <w:b/>
          <w:bCs/>
          <w:sz w:val="5"/>
          <w:szCs w:val="5"/>
        </w:rPr>
      </w:pPr>
    </w:p>
    <w:tbl>
      <w:tblPr>
        <w:tblW w:w="0" w:type="auto"/>
        <w:jc w:val="left"/>
        <w:tblInd w:w="470" w:type="dxa"/>
        <w:tblLayout w:type="fixed"/>
        <w:tblCellMar>
          <w:top w:w="0" w:type="dxa"/>
          <w:left w:w="0" w:type="dxa"/>
          <w:bottom w:w="0" w:type="dxa"/>
          <w:right w:w="0" w:type="dxa"/>
        </w:tblCellMar>
        <w:tblLook w:val="01E0"/>
      </w:tblPr>
      <w:tblGrid>
        <w:gridCol w:w="2886"/>
        <w:gridCol w:w="2031"/>
        <w:gridCol w:w="1337"/>
        <w:gridCol w:w="2062"/>
      </w:tblGrid>
      <w:tr>
        <w:trPr>
          <w:trHeight w:val="259"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2031" w:type="dxa"/>
            <w:tcBorders>
              <w:top w:val="nil" w:sz="6" w:space="0" w:color="auto"/>
              <w:left w:val="nil" w:sz="6" w:space="0" w:color="auto"/>
              <w:bottom w:val="nil" w:sz="6" w:space="0" w:color="auto"/>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z w:val="18"/>
              </w:rPr>
              <w:t>78,594.87</w:t>
            </w:r>
          </w:p>
        </w:tc>
        <w:tc>
          <w:tcPr>
            <w:tcW w:w="133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pacing w:val="-1"/>
                <w:sz w:val="18"/>
              </w:rPr>
              <w:t>123,946.61</w:t>
            </w:r>
          </w:p>
        </w:tc>
      </w:tr>
      <w:tr>
        <w:trPr>
          <w:trHeight w:val="340"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3,286,712.04</w:t>
            </w:r>
          </w:p>
        </w:tc>
        <w:tc>
          <w:tcPr>
            <w:tcW w:w="133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3,160,839.74</w:t>
            </w:r>
          </w:p>
        </w:tc>
      </w:tr>
      <w:tr>
        <w:trPr>
          <w:trHeight w:val="348"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363,401.83</w:t>
            </w:r>
          </w:p>
        </w:tc>
        <w:tc>
          <w:tcPr>
            <w:tcW w:w="1337"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122,794.78</w:t>
            </w:r>
          </w:p>
        </w:tc>
      </w:tr>
      <w:tr>
        <w:trPr>
          <w:trHeight w:val="360"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181,237,578.06</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
        </w:tc>
        <w:tc>
          <w:tcPr>
            <w:tcW w:w="206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110,531,125.63</w:t>
            </w:r>
          </w:p>
        </w:tc>
      </w:tr>
    </w:tbl>
    <w:p>
      <w:pPr>
        <w:spacing w:before="64"/>
        <w:ind w:left="524" w:right="466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主营业务收入</w:t>
      </w:r>
      <w:r>
        <w:rPr>
          <w:rFonts w:ascii="宋体" w:hAnsi="宋体" w:cs="宋体" w:eastAsia="宋体" w:hint="default"/>
          <w:b/>
          <w:bCs/>
          <w:sz w:val="21"/>
          <w:szCs w:val="21"/>
        </w:rPr>
        <w:t>-</w:t>
      </w:r>
      <w:r>
        <w:rPr>
          <w:rFonts w:ascii="宋体" w:hAnsi="宋体" w:cs="宋体" w:eastAsia="宋体" w:hint="default"/>
          <w:b/>
          <w:bCs/>
          <w:sz w:val="21"/>
          <w:szCs w:val="21"/>
        </w:rPr>
        <w:t>按地区分类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08"/>
        <w:gridCol w:w="1306"/>
        <w:gridCol w:w="1983"/>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10,687,317.95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9,445,485.01</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55,072,974.37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31,713,735.92</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11,699,947.86</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6,546,023.37</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37,989,196.58</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27,890,234.82</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76,825,538.46</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43,100,019.13</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140,744,443.87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82,440,902.64</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7,297,910.26</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7,073,532.62</w:t>
            </w:r>
          </w:p>
        </w:tc>
      </w:tr>
      <w:tr>
        <w:trPr>
          <w:trHeight w:val="34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1,189,645.73</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317,143.23</w:t>
            </w:r>
          </w:p>
        </w:tc>
      </w:tr>
      <w:tr>
        <w:trPr>
          <w:trHeight w:val="36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341,506,975.08</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208,527,076.74</w:t>
            </w:r>
          </w:p>
        </w:tc>
      </w:tr>
    </w:tbl>
    <w:p>
      <w:pPr>
        <w:spacing w:line="240" w:lineRule="auto" w:before="0"/>
        <w:rPr>
          <w:rFonts w:ascii="宋体" w:hAnsi="宋体" w:cs="宋体" w:eastAsia="宋体" w:hint="default"/>
          <w:b/>
          <w:bCs/>
          <w:sz w:val="26"/>
          <w:szCs w:val="26"/>
        </w:rPr>
      </w:pPr>
    </w:p>
    <w:p>
      <w:pPr>
        <w:spacing w:before="36"/>
        <w:ind w:left="524" w:right="46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283"/>
        <w:gridCol w:w="1198"/>
        <w:gridCol w:w="2009"/>
        <w:gridCol w:w="1298"/>
        <w:gridCol w:w="1991"/>
      </w:tblGrid>
      <w:tr>
        <w:trPr>
          <w:trHeight w:val="246"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税种</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27"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577,007.34</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484,423.30</w:t>
            </w:r>
          </w:p>
        </w:tc>
      </w:tr>
      <w:tr>
        <w:trPr>
          <w:trHeight w:val="31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pacing w:val="-1"/>
                <w:sz w:val="18"/>
              </w:rPr>
              <w:t>2,857,764.59</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pacing w:val="-1"/>
                <w:sz w:val="18"/>
              </w:rPr>
              <w:t>485,895.67</w:t>
            </w:r>
          </w:p>
        </w:tc>
      </w:tr>
      <w:tr>
        <w:trPr>
          <w:trHeight w:val="31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2,041,305.67</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617,609.83</w:t>
            </w:r>
          </w:p>
        </w:tc>
      </w:tr>
      <w:tr>
        <w:trPr>
          <w:trHeight w:val="319"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3,000.00</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6.75</w:t>
            </w:r>
          </w:p>
        </w:tc>
      </w:tr>
      <w:tr>
        <w:trPr>
          <w:trHeight w:val="33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5,479,077.60</w:t>
            </w:r>
          </w:p>
        </w:tc>
        <w:tc>
          <w:tcPr>
            <w:tcW w:w="1298"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1,587,935.55</w:t>
            </w:r>
          </w:p>
        </w:tc>
      </w:tr>
    </w:tbl>
    <w:p>
      <w:pPr>
        <w:spacing w:line="240" w:lineRule="auto" w:before="0"/>
        <w:rPr>
          <w:rFonts w:ascii="宋体" w:hAnsi="宋体" w:cs="宋体" w:eastAsia="宋体" w:hint="default"/>
          <w:b/>
          <w:bCs/>
          <w:sz w:val="26"/>
          <w:szCs w:val="26"/>
        </w:rPr>
      </w:pPr>
    </w:p>
    <w:p>
      <w:pPr>
        <w:spacing w:line="340" w:lineRule="auto" w:before="36"/>
        <w:ind w:left="461" w:right="4667" w:firstLine="6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z w:val="21"/>
          <w:szCs w:val="21"/>
        </w:rPr>
        <w:t>销售费用、管理费和、财务费用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08"/>
        <w:gridCol w:w="1306"/>
        <w:gridCol w:w="1983"/>
      </w:tblGrid>
      <w:tr>
        <w:trPr>
          <w:trHeight w:val="267"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12,419,345.38</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6,814,025.36</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9,070,289.81</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3,154,573.85</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4,086,142.82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4,255,048.08</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4,888,286.12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2,476,368.05</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13,206,793.65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3,886,427.64</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pacing w:val="-1"/>
                <w:sz w:val="18"/>
              </w:rPr>
              <w:t>10,489,306.50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pacing w:val="-1"/>
                <w:sz w:val="18"/>
              </w:rPr>
              <w:t>6,424,839.10</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3,303,762.26</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1,462,072.79</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1,838,562.79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1,298,146.47</w:t>
            </w:r>
          </w:p>
        </w:tc>
      </w:tr>
      <w:tr>
        <w:trPr>
          <w:trHeight w:val="34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667,088.12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757,145.10</w:t>
            </w:r>
          </w:p>
        </w:tc>
      </w:tr>
      <w:tr>
        <w:trPr>
          <w:trHeight w:val="36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59,969,577.45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30,528,646.44</w:t>
            </w:r>
          </w:p>
        </w:tc>
      </w:tr>
    </w:tbl>
    <w:p>
      <w:pPr>
        <w:spacing w:after="0" w:line="240" w:lineRule="auto"/>
        <w:jc w:val="right"/>
        <w:rPr>
          <w:rFonts w:ascii="宋体" w:hAnsi="宋体" w:cs="宋体" w:eastAsia="宋体" w:hint="default"/>
          <w:sz w:val="18"/>
          <w:szCs w:val="18"/>
        </w:rPr>
        <w:sectPr>
          <w:pgSz w:w="11910" w:h="16840"/>
          <w:pgMar w:header="0" w:footer="1195" w:top="1400" w:bottom="1380" w:left="1600" w:right="1300"/>
        </w:sectPr>
      </w:pPr>
    </w:p>
    <w:p>
      <w:pPr>
        <w:spacing w:line="316" w:lineRule="auto" w:before="140"/>
        <w:ind w:left="102" w:right="302"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本期销售费用较上期增加</w:t>
      </w:r>
      <w:r>
        <w:rPr>
          <w:rFonts w:ascii="宋体" w:hAnsi="宋体" w:cs="宋体" w:eastAsia="宋体" w:hint="default"/>
          <w:spacing w:val="-42"/>
          <w:sz w:val="18"/>
          <w:szCs w:val="18"/>
        </w:rPr>
        <w:t> </w:t>
      </w:r>
      <w:r>
        <w:rPr>
          <w:rFonts w:ascii="宋体" w:hAnsi="宋体" w:cs="宋体" w:eastAsia="宋体" w:hint="default"/>
          <w:sz w:val="18"/>
          <w:szCs w:val="18"/>
        </w:rPr>
        <w:t>29,440,931.01</w:t>
      </w:r>
      <w:r>
        <w:rPr>
          <w:rFonts w:ascii="宋体" w:hAnsi="宋体" w:cs="宋体" w:eastAsia="宋体" w:hint="default"/>
          <w:spacing w:val="-42"/>
          <w:sz w:val="18"/>
          <w:szCs w:val="18"/>
        </w:rPr>
        <w:t> </w:t>
      </w:r>
      <w:r>
        <w:rPr>
          <w:rFonts w:ascii="宋体" w:hAnsi="宋体" w:cs="宋体" w:eastAsia="宋体" w:hint="default"/>
          <w:sz w:val="18"/>
          <w:szCs w:val="18"/>
        </w:rPr>
        <w:t>元，增幅为</w:t>
      </w:r>
      <w:r>
        <w:rPr>
          <w:rFonts w:ascii="宋体" w:hAnsi="宋体" w:cs="宋体" w:eastAsia="宋体" w:hint="default"/>
          <w:spacing w:val="-43"/>
          <w:sz w:val="18"/>
          <w:szCs w:val="18"/>
        </w:rPr>
        <w:t> </w:t>
      </w:r>
      <w:r>
        <w:rPr>
          <w:rFonts w:ascii="宋体" w:hAnsi="宋体" w:cs="宋体" w:eastAsia="宋体" w:hint="default"/>
          <w:sz w:val="18"/>
          <w:szCs w:val="18"/>
        </w:rPr>
        <w:t>96.44%</w:t>
      </w:r>
      <w:r>
        <w:rPr>
          <w:rFonts w:ascii="宋体" w:hAnsi="宋体" w:cs="宋体" w:eastAsia="宋体" w:hint="default"/>
          <w:sz w:val="18"/>
          <w:szCs w:val="18"/>
        </w:rPr>
        <w:t>，增加的主要原因为本期销售收入及销售人 员的增加导致办公费用、技术维护费、宣传推广费和工资、社保费用的增加。</w:t>
      </w:r>
    </w:p>
    <w:p>
      <w:pPr>
        <w:spacing w:line="240" w:lineRule="auto" w:before="9"/>
        <w:rPr>
          <w:rFonts w:ascii="宋体" w:hAnsi="宋体" w:cs="宋体" w:eastAsia="宋体" w:hint="default"/>
          <w:sz w:val="23"/>
          <w:szCs w:val="23"/>
        </w:rPr>
      </w:pPr>
    </w:p>
    <w:p>
      <w:pPr>
        <w:spacing w:before="0"/>
        <w:ind w:left="416" w:right="3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08"/>
        <w:gridCol w:w="1306"/>
        <w:gridCol w:w="1983"/>
      </w:tblGrid>
      <w:tr>
        <w:trPr>
          <w:trHeight w:val="265"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46,014,535.73</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17,601,296.61</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9,409,276.31</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6,614,870.86</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3,538,073.55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1,317,301.51</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
              <w:jc w:val="right"/>
              <w:rPr>
                <w:rFonts w:ascii="宋体" w:hAnsi="宋体" w:cs="宋体" w:eastAsia="宋体" w:hint="default"/>
                <w:sz w:val="18"/>
                <w:szCs w:val="18"/>
              </w:rPr>
            </w:pPr>
            <w:r>
              <w:rPr>
                <w:rFonts w:ascii="宋体"/>
                <w:spacing w:val="-1"/>
                <w:sz w:val="18"/>
              </w:rPr>
              <w:t>774,257.19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宋体" w:hAnsi="宋体" w:cs="宋体" w:eastAsia="宋体" w:hint="default"/>
                <w:sz w:val="18"/>
                <w:szCs w:val="18"/>
              </w:rPr>
            </w:pPr>
            <w:r>
              <w:rPr>
                <w:rFonts w:ascii="宋体"/>
                <w:spacing w:val="-1"/>
                <w:sz w:val="18"/>
              </w:rPr>
              <w:t>621,269.40</w:t>
            </w:r>
          </w:p>
        </w:tc>
      </w:tr>
      <w:tr>
        <w:trPr>
          <w:trHeight w:val="34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635,682.25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502,929.29</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1,604,576.50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1,640,614.63</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414,941.80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313,461.90</w:t>
            </w:r>
          </w:p>
        </w:tc>
      </w:tr>
      <w:tr>
        <w:trPr>
          <w:trHeight w:val="34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3,631,880.72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2,684,852.35</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66,023,224.05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31,296,596.55</w:t>
            </w:r>
          </w:p>
        </w:tc>
      </w:tr>
    </w:tbl>
    <w:p>
      <w:pPr>
        <w:spacing w:line="240" w:lineRule="auto" w:before="1"/>
        <w:rPr>
          <w:rFonts w:ascii="宋体" w:hAnsi="宋体" w:cs="宋体" w:eastAsia="宋体" w:hint="default"/>
          <w:b/>
          <w:bCs/>
          <w:sz w:val="21"/>
          <w:szCs w:val="21"/>
        </w:rPr>
      </w:pPr>
    </w:p>
    <w:p>
      <w:pPr>
        <w:spacing w:line="316" w:lineRule="auto" w:before="44"/>
        <w:ind w:left="102" w:right="308"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本期管理费用较上期增加</w:t>
      </w:r>
      <w:r>
        <w:rPr>
          <w:rFonts w:ascii="宋体" w:hAnsi="宋体" w:cs="宋体" w:eastAsia="宋体" w:hint="default"/>
          <w:spacing w:val="-38"/>
          <w:sz w:val="18"/>
          <w:szCs w:val="18"/>
        </w:rPr>
        <w:t> </w:t>
      </w:r>
      <w:r>
        <w:rPr>
          <w:rFonts w:ascii="宋体" w:hAnsi="宋体" w:cs="宋体" w:eastAsia="宋体" w:hint="default"/>
          <w:sz w:val="18"/>
          <w:szCs w:val="18"/>
        </w:rPr>
        <w:t>34,726,627.50</w:t>
      </w:r>
      <w:r>
        <w:rPr>
          <w:rFonts w:ascii="宋体" w:hAnsi="宋体" w:cs="宋体" w:eastAsia="宋体" w:hint="default"/>
          <w:spacing w:val="-38"/>
          <w:sz w:val="18"/>
          <w:szCs w:val="18"/>
        </w:rPr>
        <w:t> </w:t>
      </w:r>
      <w:r>
        <w:rPr>
          <w:rFonts w:ascii="宋体" w:hAnsi="宋体" w:cs="宋体" w:eastAsia="宋体" w:hint="default"/>
          <w:spacing w:val="-6"/>
          <w:sz w:val="18"/>
          <w:szCs w:val="18"/>
        </w:rPr>
        <w:t>元，增幅为</w:t>
      </w:r>
      <w:r>
        <w:rPr>
          <w:rFonts w:ascii="宋体" w:hAnsi="宋体" w:cs="宋体" w:eastAsia="宋体" w:hint="default"/>
          <w:spacing w:val="-39"/>
          <w:sz w:val="18"/>
          <w:szCs w:val="18"/>
        </w:rPr>
        <w:t> </w:t>
      </w:r>
      <w:r>
        <w:rPr>
          <w:rFonts w:ascii="宋体" w:hAnsi="宋体" w:cs="宋体" w:eastAsia="宋体" w:hint="default"/>
          <w:spacing w:val="-3"/>
          <w:sz w:val="18"/>
          <w:szCs w:val="18"/>
        </w:rPr>
        <w:t>110.96%</w:t>
      </w:r>
      <w:r>
        <w:rPr>
          <w:rFonts w:ascii="宋体" w:hAnsi="宋体" w:cs="宋体" w:eastAsia="宋体" w:hint="default"/>
          <w:spacing w:val="-3"/>
          <w:sz w:val="18"/>
          <w:szCs w:val="18"/>
        </w:rPr>
        <w:t>，增加的主要原因为研发费用、办公费用和</w:t>
      </w:r>
      <w:r>
        <w:rPr>
          <w:rFonts w:ascii="宋体" w:hAnsi="宋体" w:cs="宋体" w:eastAsia="宋体" w:hint="default"/>
          <w:sz w:val="18"/>
          <w:szCs w:val="18"/>
        </w:rPr>
        <w:t> 工资、社保的增加。</w:t>
      </w:r>
    </w:p>
    <w:p>
      <w:pPr>
        <w:spacing w:line="240" w:lineRule="auto" w:before="10"/>
        <w:rPr>
          <w:rFonts w:ascii="宋体" w:hAnsi="宋体" w:cs="宋体" w:eastAsia="宋体" w:hint="default"/>
          <w:sz w:val="23"/>
          <w:szCs w:val="23"/>
        </w:rPr>
      </w:pPr>
    </w:p>
    <w:p>
      <w:pPr>
        <w:spacing w:before="0"/>
        <w:ind w:left="418" w:right="3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34"/>
        <w:gridCol w:w="1298"/>
        <w:gridCol w:w="1979"/>
      </w:tblGrid>
      <w:tr>
        <w:trPr>
          <w:trHeight w:val="258"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8"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259,043.66</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z w:val="18"/>
              </w:rPr>
              <w:t>---</w:t>
            </w:r>
          </w:p>
        </w:tc>
      </w:tr>
      <w:tr>
        <w:trPr>
          <w:trHeight w:val="34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13,868,660.73</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pacing w:val="-1"/>
                <w:sz w:val="18"/>
              </w:rPr>
              <w:t>3,214,027.12</w:t>
            </w:r>
          </w:p>
        </w:tc>
      </w:tr>
      <w:tr>
        <w:trPr>
          <w:trHeight w:val="3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1,516.07</w:t>
            </w:r>
          </w:p>
        </w:tc>
      </w:tr>
      <w:tr>
        <w:trPr>
          <w:trHeight w:val="33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138,746.86</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77,014.31</w:t>
            </w:r>
          </w:p>
        </w:tc>
      </w:tr>
      <w:tr>
        <w:trPr>
          <w:trHeight w:val="36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(13,470,870.21)</w:t>
            </w:r>
          </w:p>
        </w:tc>
        <w:tc>
          <w:tcPr>
            <w:tcW w:w="1298"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(3,135,496.74)</w:t>
            </w:r>
          </w:p>
        </w:tc>
      </w:tr>
    </w:tbl>
    <w:p>
      <w:pPr>
        <w:spacing w:line="240" w:lineRule="auto" w:before="2"/>
        <w:rPr>
          <w:rFonts w:ascii="宋体" w:hAnsi="宋体" w:cs="宋体" w:eastAsia="宋体" w:hint="default"/>
          <w:b/>
          <w:bCs/>
          <w:sz w:val="21"/>
          <w:szCs w:val="21"/>
        </w:rPr>
      </w:pPr>
    </w:p>
    <w:p>
      <w:pPr>
        <w:spacing w:line="316" w:lineRule="auto" w:before="44"/>
        <w:ind w:left="102" w:right="303" w:firstLine="4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本期财务费用较上期减少</w:t>
      </w:r>
      <w:r>
        <w:rPr>
          <w:rFonts w:ascii="宋体" w:hAnsi="宋体" w:cs="宋体" w:eastAsia="宋体" w:hint="default"/>
          <w:spacing w:val="-33"/>
          <w:sz w:val="18"/>
          <w:szCs w:val="18"/>
        </w:rPr>
        <w:t> </w:t>
      </w:r>
      <w:r>
        <w:rPr>
          <w:rFonts w:ascii="宋体" w:hAnsi="宋体" w:cs="宋体" w:eastAsia="宋体" w:hint="default"/>
          <w:sz w:val="18"/>
          <w:szCs w:val="18"/>
        </w:rPr>
        <w:t>10,335,373.47</w:t>
      </w:r>
      <w:r>
        <w:rPr>
          <w:rFonts w:ascii="宋体" w:hAnsi="宋体" w:cs="宋体" w:eastAsia="宋体" w:hint="default"/>
          <w:spacing w:val="-32"/>
          <w:sz w:val="18"/>
          <w:szCs w:val="18"/>
        </w:rPr>
        <w:t> </w:t>
      </w:r>
      <w:r>
        <w:rPr>
          <w:rFonts w:ascii="宋体" w:hAnsi="宋体" w:cs="宋体" w:eastAsia="宋体" w:hint="default"/>
          <w:sz w:val="18"/>
          <w:szCs w:val="18"/>
        </w:rPr>
        <w:t>元，减幅为</w:t>
      </w:r>
      <w:r>
        <w:rPr>
          <w:rFonts w:ascii="宋体" w:hAnsi="宋体" w:cs="宋体" w:eastAsia="宋体" w:hint="default"/>
          <w:spacing w:val="-33"/>
          <w:sz w:val="18"/>
          <w:szCs w:val="18"/>
        </w:rPr>
        <w:t> </w:t>
      </w:r>
      <w:r>
        <w:rPr>
          <w:rFonts w:ascii="宋体" w:hAnsi="宋体" w:cs="宋体" w:eastAsia="宋体" w:hint="default"/>
          <w:sz w:val="18"/>
          <w:szCs w:val="18"/>
        </w:rPr>
        <w:t>329.62%</w:t>
      </w:r>
      <w:r>
        <w:rPr>
          <w:rFonts w:ascii="宋体" w:hAnsi="宋体" w:cs="宋体" w:eastAsia="宋体" w:hint="default"/>
          <w:sz w:val="18"/>
          <w:szCs w:val="18"/>
        </w:rPr>
        <w:t>，减少的主要原因为本期募集资金的利息 收入增加所致。</w:t>
      </w:r>
    </w:p>
    <w:p>
      <w:pPr>
        <w:spacing w:line="240" w:lineRule="auto" w:before="0"/>
        <w:rPr>
          <w:rFonts w:ascii="宋体" w:hAnsi="宋体" w:cs="宋体" w:eastAsia="宋体" w:hint="default"/>
          <w:sz w:val="18"/>
          <w:szCs w:val="18"/>
        </w:rPr>
      </w:pPr>
    </w:p>
    <w:p>
      <w:pPr>
        <w:spacing w:before="151"/>
        <w:ind w:left="524" w:right="3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二十八</w:t>
      </w:r>
      <w:r>
        <w:rPr>
          <w:rFonts w:ascii="宋体" w:hAnsi="宋体" w:cs="宋体" w:eastAsia="宋体" w:hint="default"/>
          <w:b/>
          <w:bCs/>
          <w:sz w:val="21"/>
          <w:szCs w:val="21"/>
        </w:rPr>
        <w:t>)</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227"/>
        <w:gridCol w:w="2024"/>
        <w:gridCol w:w="1294"/>
        <w:gridCol w:w="1980"/>
      </w:tblGrid>
      <w:tr>
        <w:trPr>
          <w:trHeight w:val="267"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right="946"/>
              <w:jc w:val="right"/>
              <w:rPr>
                <w:rFonts w:ascii="宋体" w:hAnsi="宋体" w:cs="宋体" w:eastAsia="宋体" w:hint="default"/>
                <w:sz w:val="18"/>
                <w:szCs w:val="18"/>
              </w:rPr>
            </w:pPr>
            <w:r>
              <w:rPr>
                <w:rFonts w:ascii="宋体" w:hAnsi="宋体" w:cs="宋体" w:eastAsia="宋体" w:hint="default"/>
                <w:sz w:val="18"/>
                <w:szCs w:val="18"/>
              </w:rPr>
              <w:t>项目</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5"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4,956,844.19</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2,355,962.93</w:t>
            </w:r>
          </w:p>
        </w:tc>
      </w:tr>
      <w:tr>
        <w:trPr>
          <w:trHeight w:val="347"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6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6"/>
              <w:jc w:val="right"/>
              <w:rPr>
                <w:rFonts w:ascii="宋体" w:hAnsi="宋体" w:cs="宋体" w:eastAsia="宋体" w:hint="default"/>
                <w:sz w:val="18"/>
                <w:szCs w:val="18"/>
              </w:rPr>
            </w:pPr>
            <w:r>
              <w:rPr>
                <w:rFonts w:ascii="宋体" w:hAnsi="宋体" w:cs="宋体" w:eastAsia="宋体" w:hint="default"/>
                <w:sz w:val="18"/>
                <w:szCs w:val="18"/>
              </w:rPr>
              <w:t>合计</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4,956,844.19</w:t>
            </w:r>
          </w:p>
        </w:tc>
        <w:tc>
          <w:tcPr>
            <w:tcW w:w="1294"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2,355,962.93</w:t>
            </w:r>
          </w:p>
        </w:tc>
      </w:tr>
    </w:tbl>
    <w:p>
      <w:pPr>
        <w:spacing w:line="240" w:lineRule="auto" w:before="13"/>
        <w:rPr>
          <w:rFonts w:ascii="宋体" w:hAnsi="宋体" w:cs="宋体" w:eastAsia="宋体" w:hint="default"/>
          <w:b/>
          <w:bCs/>
          <w:sz w:val="25"/>
          <w:szCs w:val="25"/>
        </w:rPr>
      </w:pPr>
    </w:p>
    <w:p>
      <w:pPr>
        <w:spacing w:before="36"/>
        <w:ind w:left="524" w:right="3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w:t>
      </w:r>
      <w:r>
        <w:rPr>
          <w:rFonts w:ascii="宋体" w:hAnsi="宋体" w:cs="宋体" w:eastAsia="宋体" w:hint="default"/>
          <w:b/>
          <w:bCs/>
          <w:sz w:val="21"/>
          <w:szCs w:val="21"/>
        </w:rPr>
        <w:t>投资收益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580" w:bottom="1380" w:left="1600" w:right="1280"/>
        </w:sectPr>
      </w:pPr>
    </w:p>
    <w:p>
      <w:pPr>
        <w:spacing w:line="240" w:lineRule="auto" w:before="8"/>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410"/>
        <w:gridCol w:w="1071"/>
        <w:gridCol w:w="2093"/>
        <w:gridCol w:w="1112"/>
        <w:gridCol w:w="2093"/>
      </w:tblGrid>
      <w:tr>
        <w:trPr>
          <w:trHeight w:val="255"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071"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11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21" w:hRule="exact"/>
        </w:trPr>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1071"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
        </w:tc>
      </w:tr>
      <w:tr>
        <w:trPr>
          <w:trHeight w:val="632"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316" w:lineRule="auto" w:before="11"/>
              <w:ind w:left="28" w:right="39"/>
              <w:jc w:val="left"/>
              <w:rPr>
                <w:rFonts w:ascii="宋体" w:hAnsi="宋体" w:cs="宋体" w:eastAsia="宋体" w:hint="default"/>
                <w:sz w:val="18"/>
                <w:szCs w:val="18"/>
              </w:rPr>
            </w:pPr>
            <w:r>
              <w:rPr>
                <w:rFonts w:ascii="宋体" w:hAnsi="宋体" w:cs="宋体" w:eastAsia="宋体" w:hint="default"/>
                <w:sz w:val="18"/>
                <w:szCs w:val="18"/>
              </w:rPr>
              <w:t>权益法核算的长期股权投资收 益</w:t>
            </w:r>
          </w:p>
        </w:tc>
        <w:tc>
          <w:tcPr>
            <w:tcW w:w="1071"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595,966.25</w:t>
            </w:r>
          </w:p>
        </w:tc>
        <w:tc>
          <w:tcPr>
            <w:tcW w:w="111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590,335.95</w:t>
            </w:r>
          </w:p>
        </w:tc>
      </w:tr>
      <w:tr>
        <w:trPr>
          <w:trHeight w:val="338"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71"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595,966.25</w:t>
            </w:r>
          </w:p>
        </w:tc>
        <w:tc>
          <w:tcPr>
            <w:tcW w:w="1112"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590,335.95</w:t>
            </w:r>
          </w:p>
        </w:tc>
      </w:tr>
    </w:tbl>
    <w:p>
      <w:pPr>
        <w:spacing w:before="64"/>
        <w:ind w:left="524"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w:t>
      </w:r>
      <w:r>
        <w:rPr>
          <w:rFonts w:ascii="宋体" w:hAnsi="宋体" w:cs="宋体" w:eastAsia="宋体" w:hint="default"/>
          <w:b/>
          <w:bCs/>
          <w:sz w:val="21"/>
          <w:szCs w:val="21"/>
        </w:rPr>
        <w:t>)</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170"/>
        <w:gridCol w:w="519"/>
        <w:gridCol w:w="1707"/>
        <w:gridCol w:w="842"/>
        <w:gridCol w:w="1709"/>
        <w:gridCol w:w="559"/>
        <w:gridCol w:w="1580"/>
      </w:tblGrid>
      <w:tr>
        <w:trPr>
          <w:trHeight w:val="565" w:hRule="exact"/>
        </w:trPr>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51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7"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559"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00"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519"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2,054,085.00</w:t>
            </w:r>
          </w:p>
        </w:tc>
        <w:tc>
          <w:tcPr>
            <w:tcW w:w="842"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2,841,700.00</w:t>
            </w:r>
          </w:p>
        </w:tc>
        <w:tc>
          <w:tcPr>
            <w:tcW w:w="559"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2,054,085.00</w:t>
            </w:r>
          </w:p>
        </w:tc>
      </w:tr>
      <w:tr>
        <w:trPr>
          <w:trHeight w:val="39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51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23,051,982.63</w:t>
            </w:r>
          </w:p>
        </w:tc>
        <w:tc>
          <w:tcPr>
            <w:tcW w:w="8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8,275,568.46</w:t>
            </w:r>
          </w:p>
        </w:tc>
        <w:tc>
          <w:tcPr>
            <w:tcW w:w="559"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05"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23,478.63</w:t>
            </w:r>
          </w:p>
        </w:tc>
        <w:tc>
          <w:tcPr>
            <w:tcW w:w="8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36,226.46</w:t>
            </w:r>
          </w:p>
        </w:tc>
        <w:tc>
          <w:tcPr>
            <w:tcW w:w="559"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23,478.63</w:t>
            </w:r>
          </w:p>
        </w:tc>
      </w:tr>
      <w:tr>
        <w:trPr>
          <w:trHeight w:val="418"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05"/>
              <w:jc w:val="right"/>
              <w:rPr>
                <w:rFonts w:ascii="宋体" w:hAnsi="宋体" w:cs="宋体" w:eastAsia="宋体" w:hint="default"/>
                <w:sz w:val="18"/>
                <w:szCs w:val="18"/>
              </w:rPr>
            </w:pPr>
            <w:r>
              <w:rPr>
                <w:rFonts w:ascii="宋体" w:hAnsi="宋体" w:cs="宋体" w:eastAsia="宋体" w:hint="default"/>
                <w:sz w:val="18"/>
                <w:szCs w:val="18"/>
              </w:rPr>
              <w:t>合计</w:t>
            </w:r>
          </w:p>
        </w:tc>
        <w:tc>
          <w:tcPr>
            <w:tcW w:w="519"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25,129,546.26</w:t>
            </w:r>
          </w:p>
        </w:tc>
        <w:tc>
          <w:tcPr>
            <w:tcW w:w="842"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11,153,494.92</w:t>
            </w:r>
          </w:p>
        </w:tc>
        <w:tc>
          <w:tcPr>
            <w:tcW w:w="559"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2,077,563.63</w:t>
            </w:r>
          </w:p>
        </w:tc>
      </w:tr>
    </w:tbl>
    <w:p>
      <w:pPr>
        <w:spacing w:line="240" w:lineRule="auto" w:before="13"/>
        <w:rPr>
          <w:rFonts w:ascii="宋体" w:hAnsi="宋体" w:cs="宋体" w:eastAsia="宋体" w:hint="default"/>
          <w:b/>
          <w:bCs/>
          <w:sz w:val="25"/>
          <w:szCs w:val="25"/>
        </w:rPr>
      </w:pPr>
    </w:p>
    <w:p>
      <w:pPr>
        <w:spacing w:before="36"/>
        <w:ind w:left="620" w:right="5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．税收返还为本公司收到的按增值税实际税负超过</w:t>
      </w:r>
      <w:r>
        <w:rPr>
          <w:rFonts w:ascii="宋体" w:hAnsi="宋体" w:cs="宋体" w:eastAsia="宋体" w:hint="default"/>
          <w:b/>
          <w:bCs/>
          <w:spacing w:val="-6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％的部分即征即退的增值税。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20" w:right="50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．政府补助主要系：</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20"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）本公司收到的深圳市高新技术企业专项补助资金</w:t>
      </w:r>
      <w:r>
        <w:rPr>
          <w:rFonts w:ascii="宋体" w:hAnsi="宋体" w:cs="宋体" w:eastAsia="宋体" w:hint="default"/>
          <w:b/>
          <w:bCs/>
          <w:spacing w:val="-55"/>
          <w:sz w:val="21"/>
          <w:szCs w:val="21"/>
        </w:rPr>
        <w:t> </w:t>
      </w:r>
      <w:r>
        <w:rPr>
          <w:rFonts w:ascii="宋体" w:hAnsi="宋体" w:cs="宋体" w:eastAsia="宋体" w:hint="default"/>
          <w:b/>
          <w:bCs/>
          <w:sz w:val="21"/>
          <w:szCs w:val="21"/>
        </w:rPr>
        <w:t>120,385.00</w:t>
      </w:r>
      <w:r>
        <w:rPr>
          <w:rFonts w:ascii="宋体" w:hAnsi="宋体" w:cs="宋体" w:eastAsia="宋体" w:hint="default"/>
          <w:b/>
          <w:bCs/>
          <w:spacing w:val="-55"/>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20"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）本公司收到的深圳市福田区经济发展基金扶持信息服务业资助款</w:t>
      </w:r>
      <w:r>
        <w:rPr>
          <w:rFonts w:ascii="宋体" w:hAnsi="宋体" w:cs="宋体" w:eastAsia="宋体" w:hint="default"/>
          <w:b/>
          <w:bCs/>
          <w:spacing w:val="-56"/>
          <w:sz w:val="21"/>
          <w:szCs w:val="21"/>
        </w:rPr>
        <w:t> </w:t>
      </w:r>
      <w:r>
        <w:rPr>
          <w:rFonts w:ascii="宋体" w:hAnsi="宋体" w:cs="宋体" w:eastAsia="宋体" w:hint="default"/>
          <w:b/>
          <w:bCs/>
          <w:sz w:val="21"/>
          <w:szCs w:val="21"/>
        </w:rPr>
        <w:t>60</w:t>
      </w:r>
      <w:r>
        <w:rPr>
          <w:rFonts w:ascii="宋体" w:hAnsi="宋体" w:cs="宋体" w:eastAsia="宋体" w:hint="default"/>
          <w:b/>
          <w:bCs/>
          <w:spacing w:val="-57"/>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30"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）本公司收到的福田区经济发展基金扶持发展企业上市资助</w:t>
      </w:r>
      <w:r>
        <w:rPr>
          <w:rFonts w:ascii="宋体" w:hAnsi="宋体" w:cs="宋体" w:eastAsia="宋体" w:hint="default"/>
          <w:b/>
          <w:bCs/>
          <w:spacing w:val="-54"/>
          <w:sz w:val="21"/>
          <w:szCs w:val="21"/>
        </w:rPr>
        <w:t> </w:t>
      </w:r>
      <w:r>
        <w:rPr>
          <w:rFonts w:ascii="宋体" w:hAnsi="宋体" w:cs="宋体" w:eastAsia="宋体" w:hint="default"/>
          <w:b/>
          <w:bCs/>
          <w:sz w:val="21"/>
          <w:szCs w:val="21"/>
        </w:rPr>
        <w:t>120</w:t>
      </w:r>
      <w:r>
        <w:rPr>
          <w:rFonts w:ascii="宋体" w:hAnsi="宋体" w:cs="宋体" w:eastAsia="宋体" w:hint="default"/>
          <w:b/>
          <w:bCs/>
          <w:spacing w:val="-55"/>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30"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）本公司收到的</w:t>
      </w:r>
      <w:r>
        <w:rPr>
          <w:rFonts w:ascii="宋体" w:hAnsi="宋体" w:cs="宋体" w:eastAsia="宋体" w:hint="default"/>
          <w:b/>
          <w:bCs/>
          <w:spacing w:val="-54"/>
          <w:sz w:val="21"/>
          <w:szCs w:val="21"/>
        </w:rPr>
        <w:t> </w:t>
      </w:r>
      <w:r>
        <w:rPr>
          <w:rFonts w:ascii="宋体" w:hAnsi="宋体" w:cs="宋体" w:eastAsia="宋体" w:hint="default"/>
          <w:b/>
          <w:bCs/>
          <w:sz w:val="21"/>
          <w:szCs w:val="21"/>
        </w:rPr>
        <w:t>2011</w:t>
      </w:r>
      <w:r>
        <w:rPr>
          <w:rFonts w:ascii="宋体" w:hAnsi="宋体" w:cs="宋体" w:eastAsia="宋体" w:hint="default"/>
          <w:b/>
          <w:bCs/>
          <w:spacing w:val="-56"/>
          <w:sz w:val="21"/>
          <w:szCs w:val="21"/>
        </w:rPr>
        <w:t> </w:t>
      </w:r>
      <w:r>
        <w:rPr>
          <w:rFonts w:ascii="宋体" w:hAnsi="宋体" w:cs="宋体" w:eastAsia="宋体" w:hint="default"/>
          <w:b/>
          <w:bCs/>
          <w:sz w:val="21"/>
          <w:szCs w:val="21"/>
        </w:rPr>
        <w:t>年福田区科技发展资金知识产权资助款</w:t>
      </w:r>
      <w:r>
        <w:rPr>
          <w:rFonts w:ascii="宋体" w:hAnsi="宋体" w:cs="宋体" w:eastAsia="宋体" w:hint="default"/>
          <w:b/>
          <w:bCs/>
          <w:spacing w:val="-53"/>
          <w:sz w:val="21"/>
          <w:szCs w:val="21"/>
        </w:rPr>
        <w:t> </w:t>
      </w:r>
      <w:r>
        <w:rPr>
          <w:rFonts w:ascii="宋体" w:hAnsi="宋体" w:cs="宋体" w:eastAsia="宋体" w:hint="default"/>
          <w:b/>
          <w:bCs/>
          <w:sz w:val="21"/>
          <w:szCs w:val="21"/>
        </w:rPr>
        <w:t>20,200</w:t>
      </w:r>
      <w:r>
        <w:rPr>
          <w:rFonts w:ascii="宋体" w:hAnsi="宋体" w:cs="宋体" w:eastAsia="宋体" w:hint="default"/>
          <w:b/>
          <w:bCs/>
          <w:spacing w:val="-5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02" w:right="507" w:firstLine="527"/>
        <w:jc w:val="left"/>
        <w:rPr>
          <w:rFonts w:ascii="宋体" w:hAnsi="宋体" w:cs="宋体" w:eastAsia="宋体" w:hint="default"/>
          <w:sz w:val="21"/>
          <w:szCs w:val="21"/>
        </w:rPr>
      </w:pPr>
      <w:r>
        <w:rPr>
          <w:rFonts w:ascii="宋体" w:hAnsi="宋体" w:cs="宋体" w:eastAsia="宋体" w:hint="default"/>
          <w:b/>
          <w:bCs/>
          <w:spacing w:val="2"/>
          <w:sz w:val="21"/>
          <w:szCs w:val="21"/>
        </w:rPr>
        <w:t>（</w:t>
      </w:r>
      <w:r>
        <w:rPr>
          <w:rFonts w:ascii="宋体" w:hAnsi="宋体" w:cs="宋体" w:eastAsia="宋体" w:hint="default"/>
          <w:b/>
          <w:bCs/>
          <w:spacing w:val="2"/>
          <w:sz w:val="21"/>
          <w:szCs w:val="21"/>
        </w:rPr>
        <w:t>5</w:t>
      </w:r>
      <w:r>
        <w:rPr>
          <w:rFonts w:ascii="宋体" w:hAnsi="宋体" w:cs="宋体" w:eastAsia="宋体" w:hint="default"/>
          <w:b/>
          <w:bCs/>
          <w:spacing w:val="2"/>
          <w:sz w:val="21"/>
          <w:szCs w:val="21"/>
        </w:rPr>
        <w:t>）本公司之全资子公司南京新国都收到的南京市栖霞区科学技术局的技术创新补贴</w:t>
      </w:r>
      <w:r>
        <w:rPr>
          <w:rFonts w:ascii="宋体" w:hAnsi="宋体" w:cs="宋体" w:eastAsia="宋体" w:hint="default"/>
          <w:b/>
          <w:bCs/>
          <w:w w:val="100"/>
          <w:sz w:val="21"/>
          <w:szCs w:val="21"/>
        </w:rPr>
        <w:t> </w:t>
      </w:r>
      <w:r>
        <w:rPr>
          <w:rFonts w:ascii="宋体" w:hAnsi="宋体" w:cs="宋体" w:eastAsia="宋体" w:hint="default"/>
          <w:b/>
          <w:bCs/>
          <w:sz w:val="21"/>
          <w:szCs w:val="21"/>
        </w:rPr>
        <w:t>113,500.00</w:t>
      </w:r>
      <w:r>
        <w:rPr>
          <w:rFonts w:ascii="宋体" w:hAnsi="宋体" w:cs="宋体" w:eastAsia="宋体" w:hint="default"/>
          <w:b/>
          <w:bCs/>
          <w:spacing w:val="-5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524"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三十一</w:t>
      </w:r>
      <w:r>
        <w:rPr>
          <w:rFonts w:ascii="宋体" w:hAnsi="宋体" w:cs="宋体" w:eastAsia="宋体" w:hint="default"/>
          <w:b/>
          <w:bCs/>
          <w:sz w:val="21"/>
          <w:szCs w:val="21"/>
        </w:rPr>
        <w:t>)</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1892"/>
        <w:gridCol w:w="670"/>
        <w:gridCol w:w="1709"/>
        <w:gridCol w:w="701"/>
        <w:gridCol w:w="1692"/>
        <w:gridCol w:w="845"/>
        <w:gridCol w:w="1551"/>
      </w:tblGrid>
      <w:tr>
        <w:trPr>
          <w:trHeight w:val="447" w:hRule="exact"/>
        </w:trPr>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48" w:hRule="exact"/>
        </w:trPr>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23,680.00</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20,000.00</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pacing w:val="-1"/>
                <w:sz w:val="18"/>
              </w:rPr>
              <w:t>23,680.00</w:t>
            </w:r>
          </w:p>
        </w:tc>
      </w:tr>
      <w:tr>
        <w:trPr>
          <w:trHeight w:val="34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70,000.00</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70,000.00</w:t>
            </w:r>
          </w:p>
        </w:tc>
      </w:tr>
      <w:tr>
        <w:trPr>
          <w:trHeight w:val="34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18"/>
                <w:szCs w:val="18"/>
              </w:rPr>
            </w:pPr>
            <w:r>
              <w:rPr>
                <w:rFonts w:ascii="宋体"/>
                <w:sz w:val="18"/>
              </w:rPr>
              <w:t>---</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宋体" w:hAnsi="宋体" w:cs="宋体" w:eastAsia="宋体" w:hint="default"/>
                <w:sz w:val="18"/>
                <w:szCs w:val="18"/>
              </w:rPr>
            </w:pPr>
            <w:r>
              <w:rPr>
                <w:rFonts w:ascii="宋体"/>
                <w:spacing w:val="-1"/>
                <w:sz w:val="18"/>
              </w:rPr>
              <w:t>14,514.67</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w:t>
            </w:r>
          </w:p>
        </w:tc>
      </w:tr>
      <w:tr>
        <w:trPr>
          <w:trHeight w:val="343"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151.67</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400.00</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151.67</w:t>
            </w:r>
          </w:p>
        </w:tc>
      </w:tr>
      <w:tr>
        <w:trPr>
          <w:trHeight w:val="36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93,831.67</w:t>
            </w:r>
          </w:p>
        </w:tc>
        <w:tc>
          <w:tcPr>
            <w:tcW w:w="701"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34,914.67</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pacing w:val="-1"/>
                <w:sz w:val="18"/>
              </w:rPr>
              <w:t>93,831.67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24" w:right="5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524" w:right="5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所得税费用的组成</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380" w:bottom="1380" w:left="1600" w:right="1000"/>
        </w:sectPr>
      </w:pPr>
    </w:p>
    <w:p>
      <w:pPr>
        <w:spacing w:line="240" w:lineRule="auto" w:before="2"/>
        <w:rPr>
          <w:rFonts w:ascii="宋体" w:hAnsi="宋体" w:cs="宋体" w:eastAsia="宋体" w:hint="default"/>
          <w:b/>
          <w:bCs/>
          <w:sz w:val="15"/>
          <w:szCs w:val="15"/>
        </w:rPr>
      </w:pPr>
    </w:p>
    <w:tbl>
      <w:tblPr>
        <w:tblW w:w="0" w:type="auto"/>
        <w:jc w:val="left"/>
        <w:tblInd w:w="122" w:type="dxa"/>
        <w:tblLayout w:type="fixed"/>
        <w:tblCellMar>
          <w:top w:w="0" w:type="dxa"/>
          <w:left w:w="0" w:type="dxa"/>
          <w:bottom w:w="0" w:type="dxa"/>
          <w:right w:w="0" w:type="dxa"/>
        </w:tblCellMar>
        <w:tblLook w:val="01E0"/>
      </w:tblPr>
      <w:tblGrid>
        <w:gridCol w:w="2187"/>
        <w:gridCol w:w="1481"/>
        <w:gridCol w:w="2108"/>
        <w:gridCol w:w="1150"/>
        <w:gridCol w:w="2120"/>
      </w:tblGrid>
      <w:tr>
        <w:trPr>
          <w:trHeight w:val="255" w:hRule="exact"/>
        </w:trPr>
        <w:tc>
          <w:tcPr>
            <w:tcW w:w="2187"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22" w:hRule="exact"/>
        </w:trPr>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11,450,179.09</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27"/>
              <w:jc w:val="right"/>
              <w:rPr>
                <w:rFonts w:ascii="宋体" w:hAnsi="宋体" w:cs="宋体" w:eastAsia="宋体" w:hint="default"/>
                <w:sz w:val="18"/>
                <w:szCs w:val="18"/>
              </w:rPr>
            </w:pPr>
            <w:r>
              <w:rPr>
                <w:rFonts w:ascii="宋体"/>
                <w:spacing w:val="-1"/>
                <w:sz w:val="18"/>
              </w:rPr>
              <w:t>2,574,451.02</w:t>
            </w:r>
          </w:p>
        </w:tc>
      </w:tr>
      <w:tr>
        <w:trPr>
          <w:trHeight w:val="324"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(3,197,929.41)</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7"/>
              <w:jc w:val="right"/>
              <w:rPr>
                <w:rFonts w:ascii="宋体" w:hAnsi="宋体" w:cs="宋体" w:eastAsia="宋体" w:hint="default"/>
                <w:sz w:val="18"/>
                <w:szCs w:val="18"/>
              </w:rPr>
            </w:pPr>
            <w:r>
              <w:rPr>
                <w:rFonts w:ascii="宋体"/>
                <w:spacing w:val="-1"/>
                <w:sz w:val="18"/>
              </w:rPr>
              <w:t>(862,499.18)</w:t>
            </w:r>
          </w:p>
        </w:tc>
      </w:tr>
      <w:tr>
        <w:trPr>
          <w:trHeight w:val="341"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8,252,249.68</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27"/>
              <w:jc w:val="right"/>
              <w:rPr>
                <w:rFonts w:ascii="宋体" w:hAnsi="宋体" w:cs="宋体" w:eastAsia="宋体" w:hint="default"/>
                <w:sz w:val="18"/>
                <w:szCs w:val="18"/>
              </w:rPr>
            </w:pPr>
            <w:r>
              <w:rPr>
                <w:rFonts w:ascii="宋体"/>
                <w:spacing w:val="-1"/>
                <w:sz w:val="18"/>
              </w:rPr>
              <w:t>1,711,951.84</w:t>
            </w:r>
          </w:p>
        </w:tc>
      </w:tr>
    </w:tbl>
    <w:p>
      <w:pPr>
        <w:spacing w:line="240" w:lineRule="auto" w:before="13"/>
        <w:rPr>
          <w:rFonts w:ascii="宋体" w:hAnsi="宋体" w:cs="宋体" w:eastAsia="宋体" w:hint="default"/>
          <w:b/>
          <w:bCs/>
          <w:sz w:val="25"/>
          <w:szCs w:val="25"/>
        </w:rPr>
      </w:pPr>
    </w:p>
    <w:p>
      <w:pPr>
        <w:spacing w:line="681" w:lineRule="auto" w:before="36"/>
        <w:ind w:left="544" w:right="59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三十三</w:t>
      </w:r>
      <w:r>
        <w:rPr>
          <w:rFonts w:ascii="宋体" w:hAnsi="宋体" w:cs="宋体" w:eastAsia="宋体" w:hint="default"/>
          <w:b/>
          <w:bCs/>
          <w:sz w:val="21"/>
          <w:szCs w:val="21"/>
        </w:rPr>
        <w:t>)</w:t>
      </w:r>
      <w:r>
        <w:rPr>
          <w:rFonts w:ascii="宋体" w:hAnsi="宋体" w:cs="宋体" w:eastAsia="宋体" w:hint="default"/>
          <w:b/>
          <w:bCs/>
          <w:sz w:val="21"/>
          <w:szCs w:val="21"/>
        </w:rPr>
        <w:t>现金流量表附注</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其他与经营活动有关的现金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19"/>
          <w:szCs w:val="19"/>
        </w:rPr>
      </w:pPr>
    </w:p>
    <w:tbl>
      <w:tblPr>
        <w:tblW w:w="0" w:type="auto"/>
        <w:jc w:val="left"/>
        <w:tblInd w:w="119" w:type="dxa"/>
        <w:tblLayout w:type="fixed"/>
        <w:tblCellMar>
          <w:top w:w="0" w:type="dxa"/>
          <w:left w:w="0" w:type="dxa"/>
          <w:bottom w:w="0" w:type="dxa"/>
          <w:right w:w="0" w:type="dxa"/>
        </w:tblCellMar>
        <w:tblLook w:val="01E0"/>
      </w:tblPr>
      <w:tblGrid>
        <w:gridCol w:w="2780"/>
        <w:gridCol w:w="1043"/>
        <w:gridCol w:w="1964"/>
        <w:gridCol w:w="1013"/>
        <w:gridCol w:w="1980"/>
      </w:tblGrid>
      <w:tr>
        <w:trPr>
          <w:trHeight w:val="267"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6,131,038.89</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1,583,550.12</w:t>
            </w:r>
          </w:p>
        </w:tc>
      </w:tr>
      <w:tr>
        <w:trPr>
          <w:trHeight w:val="3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1,246,923.66</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613,000.65</w:t>
            </w:r>
          </w:p>
        </w:tc>
      </w:tr>
      <w:tr>
        <w:trPr>
          <w:trHeight w:val="34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2,054,085.00</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5,691,700.00</w:t>
            </w:r>
          </w:p>
        </w:tc>
      </w:tr>
      <w:tr>
        <w:trPr>
          <w:trHeight w:val="34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21,608.00</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5" name="image80.png" descr=""/>
                  <wp:cNvGraphicFramePr>
                    <a:graphicFrameLocks noChangeAspect="1"/>
                  </wp:cNvGraphicFramePr>
                  <a:graphic>
                    <a:graphicData uri="http://schemas.openxmlformats.org/drawingml/2006/picture">
                      <pic:pic>
                        <pic:nvPicPr>
                          <pic:cNvPr id="116" name="image80.png"/>
                          <pic:cNvPicPr/>
                        </pic:nvPicPr>
                        <pic:blipFill>
                          <a:blip r:embed="rId14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1,500.00</w:t>
            </w:r>
          </w:p>
        </w:tc>
      </w:tr>
      <w:tr>
        <w:trPr>
          <w:trHeight w:val="36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9,453,655.55</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7,889,750.77</w:t>
            </w:r>
          </w:p>
        </w:tc>
      </w:tr>
      <w:tr>
        <w:trPr>
          <w:trHeight w:val="35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single" w:sz="12" w:space="0" w:color="000000"/>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single" w:sz="12" w:space="0" w:color="000000"/>
              <w:left w:val="nil" w:sz="6" w:space="0" w:color="auto"/>
              <w:bottom w:val="nil" w:sz="6" w:space="0" w:color="auto"/>
              <w:right w:val="nil" w:sz="6" w:space="0" w:color="auto"/>
            </w:tcBorders>
          </w:tcPr>
          <w:p>
            <w:pPr/>
          </w:p>
        </w:tc>
      </w:tr>
      <w:tr>
        <w:trPr>
          <w:trHeight w:val="3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17,478,683.00</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3,073,863.45</w:t>
            </w:r>
          </w:p>
        </w:tc>
      </w:tr>
      <w:tr>
        <w:trPr>
          <w:trHeight w:val="34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55,747,232.94</w:t>
            </w:r>
          </w:p>
        </w:tc>
        <w:tc>
          <w:tcPr>
            <w:tcW w:w="10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28,701,464.52</w:t>
            </w:r>
          </w:p>
        </w:tc>
      </w:tr>
      <w:tr>
        <w:trPr>
          <w:trHeight w:val="34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298,895.54</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7" name="image80.png" descr=""/>
                  <wp:cNvGraphicFramePr>
                    <a:graphicFrameLocks noChangeAspect="1"/>
                  </wp:cNvGraphicFramePr>
                  <a:graphic>
                    <a:graphicData uri="http://schemas.openxmlformats.org/drawingml/2006/picture">
                      <pic:pic>
                        <pic:nvPicPr>
                          <pic:cNvPr id="118" name="image80.png"/>
                          <pic:cNvPicPr/>
                        </pic:nvPicPr>
                        <pic:blipFill>
                          <a:blip r:embed="rId141"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6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43"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73,524,811.48</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7"/>
                <w:szCs w:val="27"/>
              </w:rPr>
            </w:pP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31,775,327.97</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0"/>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其他与投资活动有关的现金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22" w:type="dxa"/>
        <w:tblLayout w:type="fixed"/>
        <w:tblCellMar>
          <w:top w:w="0" w:type="dxa"/>
          <w:left w:w="0" w:type="dxa"/>
          <w:bottom w:w="0" w:type="dxa"/>
          <w:right w:w="0" w:type="dxa"/>
        </w:tblCellMar>
        <w:tblLook w:val="01E0"/>
      </w:tblPr>
      <w:tblGrid>
        <w:gridCol w:w="2871"/>
        <w:gridCol w:w="935"/>
        <w:gridCol w:w="2017"/>
        <w:gridCol w:w="1005"/>
        <w:gridCol w:w="1950"/>
      </w:tblGrid>
      <w:tr>
        <w:trPr>
          <w:trHeight w:val="296" w:hRule="exact"/>
        </w:trPr>
        <w:tc>
          <w:tcPr>
            <w:tcW w:w="2871"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35"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0" w:hRule="exact"/>
        </w:trPr>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935" w:type="dxa"/>
            <w:tcBorders>
              <w:top w:val="nil" w:sz="6" w:space="0" w:color="auto"/>
              <w:left w:val="nil" w:sz="6" w:space="0" w:color="auto"/>
              <w:bottom w:val="nil" w:sz="6" w:space="0" w:color="auto"/>
              <w:right w:val="nil" w:sz="6" w:space="0" w:color="auto"/>
            </w:tcBorders>
          </w:tcPr>
          <w:p>
            <w:pPr/>
          </w:p>
        </w:tc>
        <w:tc>
          <w:tcPr>
            <w:tcW w:w="2017" w:type="dxa"/>
            <w:tcBorders>
              <w:top w:val="single" w:sz="4" w:space="0" w:color="000000"/>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nil" w:sz="6" w:space="0" w:color="auto"/>
              <w:right w:val="nil" w:sz="6" w:space="0" w:color="auto"/>
            </w:tcBorders>
          </w:tcPr>
          <w:p>
            <w:pPr/>
          </w:p>
        </w:tc>
      </w:tr>
      <w:tr>
        <w:trPr>
          <w:trHeight w:val="40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935"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1,900,000.00</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18"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935" w:type="dxa"/>
            <w:tcBorders>
              <w:top w:val="nil" w:sz="6" w:space="0" w:color="auto"/>
              <w:left w:val="nil" w:sz="6" w:space="0" w:color="auto"/>
              <w:bottom w:val="nil" w:sz="6" w:space="0" w:color="auto"/>
              <w:right w:val="nil" w:sz="6" w:space="0" w:color="auto"/>
            </w:tcBorders>
          </w:tcPr>
          <w:p>
            <w:pPr/>
          </w:p>
        </w:tc>
        <w:tc>
          <w:tcPr>
            <w:tcW w:w="20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1,900,000.00</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其他与筹资活动有关的现金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22" w:type="dxa"/>
        <w:tblLayout w:type="fixed"/>
        <w:tblCellMar>
          <w:top w:w="0" w:type="dxa"/>
          <w:left w:w="0" w:type="dxa"/>
          <w:bottom w:w="0" w:type="dxa"/>
          <w:right w:w="0" w:type="dxa"/>
        </w:tblCellMar>
        <w:tblLook w:val="01E0"/>
      </w:tblPr>
      <w:tblGrid>
        <w:gridCol w:w="2871"/>
        <w:gridCol w:w="939"/>
        <w:gridCol w:w="2014"/>
        <w:gridCol w:w="1009"/>
        <w:gridCol w:w="1947"/>
      </w:tblGrid>
      <w:tr>
        <w:trPr>
          <w:trHeight w:val="296" w:hRule="exact"/>
        </w:trPr>
        <w:tc>
          <w:tcPr>
            <w:tcW w:w="2871"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39"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09"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9" w:hRule="exact"/>
        </w:trPr>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939" w:type="dxa"/>
            <w:tcBorders>
              <w:top w:val="nil" w:sz="6" w:space="0" w:color="auto"/>
              <w:left w:val="nil" w:sz="6" w:space="0" w:color="auto"/>
              <w:bottom w:val="nil" w:sz="6" w:space="0" w:color="auto"/>
              <w:right w:val="nil" w:sz="6" w:space="0" w:color="auto"/>
            </w:tcBorders>
          </w:tcPr>
          <w:p>
            <w:pPr/>
          </w:p>
        </w:tc>
        <w:tc>
          <w:tcPr>
            <w:tcW w:w="2014" w:type="dxa"/>
            <w:tcBorders>
              <w:top w:val="single" w:sz="4" w:space="0" w:color="000000"/>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939"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4,878,274.20</w:t>
            </w:r>
          </w:p>
        </w:tc>
        <w:tc>
          <w:tcPr>
            <w:tcW w:w="1009"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1,353,450.83</w:t>
            </w:r>
          </w:p>
        </w:tc>
      </w:tr>
      <w:tr>
        <w:trPr>
          <w:trHeight w:val="29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939"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pacing w:val="-1"/>
                <w:sz w:val="18"/>
              </w:rPr>
              <w:t>13,290,445.88</w:t>
            </w:r>
          </w:p>
        </w:tc>
        <w:tc>
          <w:tcPr>
            <w:tcW w:w="1009"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1195" w:top="1580" w:bottom="1380" w:left="1580" w:right="1040"/>
        </w:sectPr>
      </w:pPr>
    </w:p>
    <w:p>
      <w:pPr>
        <w:spacing w:line="240" w:lineRule="auto" w:before="1"/>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3981"/>
        <w:gridCol w:w="2014"/>
        <w:gridCol w:w="1005"/>
        <w:gridCol w:w="1950"/>
      </w:tblGrid>
      <w:tr>
        <w:trPr>
          <w:trHeight w:val="41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1"/>
              <w:jc w:val="center"/>
              <w:rPr>
                <w:rFonts w:ascii="宋体" w:hAnsi="宋体" w:cs="宋体" w:eastAsia="宋体" w:hint="default"/>
                <w:sz w:val="18"/>
                <w:szCs w:val="18"/>
              </w:rPr>
            </w:pPr>
            <w:r>
              <w:rPr>
                <w:rFonts w:ascii="宋体" w:hAnsi="宋体" w:cs="宋体" w:eastAsia="宋体" w:hint="default"/>
                <w:sz w:val="18"/>
                <w:szCs w:val="18"/>
              </w:rPr>
              <w:t>小计</w:t>
            </w:r>
          </w:p>
        </w:tc>
        <w:tc>
          <w:tcPr>
            <w:tcW w:w="2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18,168,720.08</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1,353,450.83</w:t>
            </w:r>
          </w:p>
        </w:tc>
      </w:tr>
      <w:tr>
        <w:trPr>
          <w:trHeight w:val="412"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2014" w:type="dxa"/>
            <w:tcBorders>
              <w:top w:val="single" w:sz="12" w:space="0" w:color="000000"/>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single" w:sz="12" w:space="0" w:color="000000"/>
              <w:left w:val="nil" w:sz="6" w:space="0" w:color="auto"/>
              <w:bottom w:val="nil" w:sz="6" w:space="0" w:color="auto"/>
              <w:right w:val="nil" w:sz="6" w:space="0" w:color="auto"/>
            </w:tcBorders>
          </w:tcPr>
          <w:p>
            <w:pPr/>
          </w:p>
        </w:tc>
      </w:tr>
      <w:tr>
        <w:trPr>
          <w:trHeight w:val="401"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12,453,349.10</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4,878,274.20</w:t>
            </w:r>
          </w:p>
        </w:tc>
      </w:tr>
      <w:tr>
        <w:trPr>
          <w:trHeight w:val="399"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宋体" w:hAnsi="宋体" w:cs="宋体" w:eastAsia="宋体" w:hint="default"/>
                <w:sz w:val="18"/>
                <w:szCs w:val="18"/>
              </w:rPr>
            </w:pPr>
            <w:r>
              <w:rPr>
                <w:rFonts w:ascii="宋体"/>
                <w:sz w:val="18"/>
              </w:rPr>
              <w:t>---</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7"/>
              <w:jc w:val="right"/>
              <w:rPr>
                <w:rFonts w:ascii="宋体" w:hAnsi="宋体" w:cs="宋体" w:eastAsia="宋体" w:hint="default"/>
                <w:sz w:val="18"/>
                <w:szCs w:val="18"/>
              </w:rPr>
            </w:pPr>
            <w:r>
              <w:rPr>
                <w:rFonts w:ascii="宋体"/>
                <w:spacing w:val="-1"/>
                <w:sz w:val="18"/>
              </w:rPr>
              <w:t>6,945,065.67</w:t>
            </w:r>
          </w:p>
        </w:tc>
      </w:tr>
      <w:tr>
        <w:trPr>
          <w:trHeight w:val="418"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1"/>
              <w:jc w:val="center"/>
              <w:rPr>
                <w:rFonts w:ascii="宋体" w:hAnsi="宋体" w:cs="宋体" w:eastAsia="宋体" w:hint="default"/>
                <w:sz w:val="18"/>
                <w:szCs w:val="18"/>
              </w:rPr>
            </w:pPr>
            <w:r>
              <w:rPr>
                <w:rFonts w:ascii="宋体" w:hAnsi="宋体" w:cs="宋体" w:eastAsia="宋体" w:hint="default"/>
                <w:sz w:val="18"/>
                <w:szCs w:val="18"/>
              </w:rPr>
              <w:t>小计</w:t>
            </w:r>
          </w:p>
        </w:tc>
        <w:tc>
          <w:tcPr>
            <w:tcW w:w="2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12,453,349.10</w:t>
            </w:r>
          </w:p>
        </w:tc>
        <w:tc>
          <w:tcPr>
            <w:tcW w:w="1005"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11,823,339.87</w:t>
            </w:r>
          </w:p>
        </w:tc>
      </w:tr>
    </w:tbl>
    <w:p>
      <w:pPr>
        <w:spacing w:before="64"/>
        <w:ind w:left="70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282" w:type="dxa"/>
        <w:tblLayout w:type="fixed"/>
        <w:tblCellMar>
          <w:top w:w="0" w:type="dxa"/>
          <w:left w:w="0" w:type="dxa"/>
          <w:bottom w:w="0" w:type="dxa"/>
          <w:right w:w="0" w:type="dxa"/>
        </w:tblCellMar>
        <w:tblLook w:val="01E0"/>
      </w:tblPr>
      <w:tblGrid>
        <w:gridCol w:w="4676"/>
        <w:gridCol w:w="259"/>
        <w:gridCol w:w="1870"/>
        <w:gridCol w:w="307"/>
        <w:gridCol w:w="1863"/>
      </w:tblGrid>
      <w:tr>
        <w:trPr>
          <w:trHeight w:val="254" w:hRule="exact"/>
        </w:trPr>
        <w:tc>
          <w:tcPr>
            <w:tcW w:w="467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15"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75,726,386.86</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57,894,445.26</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4,956,844.19</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2,355,962.93</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3,910,652.59</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3,133,048.46</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389,465.74</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316,972.02</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1,579,273.13</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1,272,609.93</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14,514.67</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259,043.66</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(595,966.25)</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(590,335.95)</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(3,197,929.41)</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(862,499.18)</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(43,707,767.31)</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(24,281,326.30)</w:t>
            </w:r>
            <w:r>
              <w:rPr>
                <w:rFonts w:ascii="宋体"/>
                <w:sz w:val="18"/>
              </w:rPr>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(110,693,992.90)</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(74,886,614.38)</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110,163,249.48</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32,628,598.50</w:t>
            </w:r>
          </w:p>
        </w:tc>
      </w:tr>
      <w:tr>
        <w:trPr>
          <w:trHeight w:val="31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2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2"/>
              <w:jc w:val="right"/>
              <w:rPr>
                <w:rFonts w:ascii="宋体" w:hAnsi="宋体" w:cs="宋体" w:eastAsia="宋体" w:hint="default"/>
                <w:sz w:val="18"/>
                <w:szCs w:val="18"/>
              </w:rPr>
            </w:pPr>
            <w:r>
              <w:rPr>
                <w:rFonts w:ascii="宋体"/>
                <w:spacing w:val="-1"/>
                <w:sz w:val="18"/>
              </w:rPr>
              <w:t>38,789,259.78</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(3,004,624.04)</w:t>
            </w:r>
          </w:p>
        </w:tc>
      </w:tr>
      <w:tr>
        <w:trPr>
          <w:trHeight w:val="315"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742,461,696.56</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729,414,262.06</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pacing w:val="-1"/>
                <w:sz w:val="18"/>
              </w:rPr>
              <w:t>729,414,262.06</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91,199,601.64</w:t>
            </w:r>
          </w:p>
        </w:tc>
      </w:tr>
      <w:tr>
        <w:trPr>
          <w:trHeight w:val="3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1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4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32"/>
              <w:jc w:val="right"/>
              <w:rPr>
                <w:rFonts w:ascii="宋体" w:hAnsi="宋体" w:cs="宋体" w:eastAsia="宋体" w:hint="default"/>
                <w:sz w:val="18"/>
                <w:szCs w:val="18"/>
              </w:rPr>
            </w:pPr>
            <w:r>
              <w:rPr>
                <w:rFonts w:ascii="宋体"/>
                <w:spacing w:val="-1"/>
                <w:sz w:val="18"/>
              </w:rPr>
              <w:t>13,047,434.50</w:t>
            </w:r>
          </w:p>
        </w:tc>
        <w:tc>
          <w:tcPr>
            <w:tcW w:w="30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638,214,660.42</w:t>
            </w:r>
          </w:p>
        </w:tc>
      </w:tr>
    </w:tbl>
    <w:p>
      <w:pPr>
        <w:spacing w:line="240" w:lineRule="auto" w:before="7"/>
        <w:rPr>
          <w:rFonts w:ascii="宋体" w:hAnsi="宋体" w:cs="宋体" w:eastAsia="宋体" w:hint="default"/>
          <w:b/>
          <w:bCs/>
          <w:sz w:val="18"/>
          <w:szCs w:val="18"/>
        </w:rPr>
      </w:pPr>
    </w:p>
    <w:p>
      <w:pPr>
        <w:spacing w:before="36"/>
        <w:ind w:left="70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282" w:type="dxa"/>
        <w:tblLayout w:type="fixed"/>
        <w:tblCellMar>
          <w:top w:w="0" w:type="dxa"/>
          <w:left w:w="0" w:type="dxa"/>
          <w:bottom w:w="0" w:type="dxa"/>
          <w:right w:w="0" w:type="dxa"/>
        </w:tblCellMar>
        <w:tblLook w:val="01E0"/>
      </w:tblPr>
      <w:tblGrid>
        <w:gridCol w:w="3137"/>
        <w:gridCol w:w="994"/>
        <w:gridCol w:w="1834"/>
        <w:gridCol w:w="1119"/>
        <w:gridCol w:w="1892"/>
      </w:tblGrid>
      <w:tr>
        <w:trPr>
          <w:trHeight w:val="265"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19"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65" w:hRule="exact"/>
        </w:trPr>
        <w:tc>
          <w:tcPr>
            <w:tcW w:w="3137" w:type="dxa"/>
            <w:tcBorders>
              <w:top w:val="single" w:sz="4" w:space="0" w:color="000000"/>
              <w:left w:val="nil" w:sz="6" w:space="0" w:color="auto"/>
              <w:bottom w:val="nil" w:sz="6" w:space="0" w:color="auto"/>
              <w:right w:val="nil" w:sz="6" w:space="0" w:color="auto"/>
            </w:tcBorders>
          </w:tcPr>
          <w:p>
            <w:pPr>
              <w:pStyle w:val="TableParagraph"/>
              <w:tabs>
                <w:tab w:pos="926" w:val="left" w:leader="none"/>
              </w:tabs>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542" w:right="0"/>
              <w:jc w:val="left"/>
              <w:rPr>
                <w:rFonts w:ascii="宋体" w:hAnsi="宋体" w:cs="宋体" w:eastAsia="宋体" w:hint="default"/>
                <w:sz w:val="18"/>
                <w:szCs w:val="18"/>
              </w:rPr>
            </w:pPr>
            <w:r>
              <w:rPr>
                <w:rFonts w:ascii="宋体"/>
                <w:sz w:val="18"/>
              </w:rPr>
              <w:t>742,461,696.56</w:t>
            </w:r>
          </w:p>
        </w:tc>
        <w:tc>
          <w:tcPr>
            <w:tcW w:w="1119" w:type="dxa"/>
            <w:tcBorders>
              <w:top w:val="nil" w:sz="6" w:space="0" w:color="auto"/>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602" w:right="0"/>
              <w:jc w:val="left"/>
              <w:rPr>
                <w:rFonts w:ascii="宋体" w:hAnsi="宋体" w:cs="宋体" w:eastAsia="宋体" w:hint="default"/>
                <w:sz w:val="18"/>
                <w:szCs w:val="18"/>
              </w:rPr>
            </w:pPr>
            <w:r>
              <w:rPr>
                <w:rFonts w:ascii="宋体"/>
                <w:sz w:val="18"/>
              </w:rPr>
              <w:t>729,414,262.06</w:t>
            </w:r>
          </w:p>
        </w:tc>
      </w:tr>
    </w:tbl>
    <w:p>
      <w:pPr>
        <w:spacing w:after="0" w:line="240" w:lineRule="auto"/>
        <w:jc w:val="left"/>
        <w:rPr>
          <w:rFonts w:ascii="宋体" w:hAnsi="宋体" w:cs="宋体" w:eastAsia="宋体" w:hint="default"/>
          <w:sz w:val="18"/>
          <w:szCs w:val="18"/>
        </w:rPr>
        <w:sectPr>
          <w:pgSz w:w="11910" w:h="16840"/>
          <w:pgMar w:header="0" w:footer="1195" w:top="1320" w:bottom="1380" w:left="1420" w:right="1120"/>
        </w:sectPr>
      </w:pPr>
    </w:p>
    <w:p>
      <w:pPr>
        <w:spacing w:line="240" w:lineRule="auto" w:before="13"/>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3964"/>
        <w:gridCol w:w="3021"/>
        <w:gridCol w:w="2338"/>
      </w:tblGrid>
      <w:tr>
        <w:trPr>
          <w:trHeight w:val="260"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21" w:type="dxa"/>
            <w:tcBorders>
              <w:top w:val="nil" w:sz="6" w:space="0" w:color="auto"/>
              <w:left w:val="nil" w:sz="6" w:space="0" w:color="auto"/>
              <w:bottom w:val="nil" w:sz="6" w:space="0" w:color="auto"/>
              <w:right w:val="nil" w:sz="6" w:space="0" w:color="auto"/>
            </w:tcBorders>
          </w:tcPr>
          <w:p>
            <w:pPr>
              <w:pStyle w:val="TableParagraph"/>
              <w:spacing w:line="180" w:lineRule="exact"/>
              <w:ind w:right="875"/>
              <w:jc w:val="right"/>
              <w:rPr>
                <w:rFonts w:ascii="宋体" w:hAnsi="宋体" w:cs="宋体" w:eastAsia="宋体" w:hint="default"/>
                <w:sz w:val="18"/>
                <w:szCs w:val="18"/>
              </w:rPr>
            </w:pPr>
            <w:r>
              <w:rPr>
                <w:rFonts w:ascii="宋体"/>
                <w:spacing w:val="-1"/>
                <w:sz w:val="18"/>
              </w:rPr>
              <w:t>39,850.69</w:t>
            </w:r>
          </w:p>
        </w:tc>
        <w:tc>
          <w:tcPr>
            <w:tcW w:w="2338"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宋体" w:hAnsi="宋体" w:cs="宋体" w:eastAsia="宋体" w:hint="default"/>
                <w:sz w:val="18"/>
                <w:szCs w:val="18"/>
              </w:rPr>
            </w:pPr>
            <w:r>
              <w:rPr>
                <w:rFonts w:ascii="宋体"/>
                <w:spacing w:val="-1"/>
                <w:sz w:val="18"/>
              </w:rPr>
              <w:t>142,237.09</w:t>
            </w:r>
          </w:p>
        </w:tc>
      </w:tr>
      <w:tr>
        <w:trPr>
          <w:trHeight w:val="340"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5"/>
              <w:jc w:val="right"/>
              <w:rPr>
                <w:rFonts w:ascii="宋体" w:hAnsi="宋体" w:cs="宋体" w:eastAsia="宋体" w:hint="default"/>
                <w:sz w:val="18"/>
                <w:szCs w:val="18"/>
              </w:rPr>
            </w:pPr>
            <w:r>
              <w:rPr>
                <w:rFonts w:ascii="宋体"/>
                <w:spacing w:val="-1"/>
                <w:sz w:val="18"/>
              </w:rPr>
              <w:t>742,421,845.87</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0"/>
              <w:jc w:val="right"/>
              <w:rPr>
                <w:rFonts w:ascii="宋体" w:hAnsi="宋体" w:cs="宋体" w:eastAsia="宋体" w:hint="default"/>
                <w:sz w:val="18"/>
                <w:szCs w:val="18"/>
              </w:rPr>
            </w:pPr>
            <w:r>
              <w:rPr>
                <w:rFonts w:ascii="宋体"/>
                <w:spacing w:val="-1"/>
                <w:sz w:val="18"/>
              </w:rPr>
              <w:t>729,272,024.97</w:t>
            </w:r>
          </w:p>
        </w:tc>
      </w:tr>
      <w:tr>
        <w:trPr>
          <w:trHeight w:val="340"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59"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3"/>
              <w:jc w:val="right"/>
              <w:rPr>
                <w:rFonts w:ascii="宋体" w:hAnsi="宋体" w:cs="宋体" w:eastAsia="宋体" w:hint="default"/>
                <w:sz w:val="18"/>
                <w:szCs w:val="18"/>
              </w:rPr>
            </w:pPr>
            <w:r>
              <w:rPr>
                <w:rFonts w:ascii="宋体"/>
                <w:sz w:val="18"/>
              </w:rPr>
              <w:t>---</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41"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3"/>
              <w:jc w:val="right"/>
              <w:rPr>
                <w:rFonts w:ascii="宋体" w:hAnsi="宋体" w:cs="宋体" w:eastAsia="宋体" w:hint="default"/>
                <w:sz w:val="18"/>
                <w:szCs w:val="18"/>
              </w:rPr>
            </w:pPr>
            <w:r>
              <w:rPr>
                <w:rFonts w:ascii="宋体"/>
                <w:sz w:val="18"/>
              </w:rPr>
              <w:t>---</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40"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3"/>
              <w:jc w:val="right"/>
              <w:rPr>
                <w:rFonts w:ascii="宋体" w:hAnsi="宋体" w:cs="宋体" w:eastAsia="宋体" w:hint="default"/>
                <w:sz w:val="18"/>
                <w:szCs w:val="18"/>
              </w:rPr>
            </w:pPr>
            <w:r>
              <w:rPr>
                <w:rFonts w:ascii="宋体"/>
                <w:sz w:val="18"/>
              </w:rPr>
              <w:t>---</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259"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5"/>
              <w:jc w:val="right"/>
              <w:rPr>
                <w:rFonts w:ascii="宋体" w:hAnsi="宋体" w:cs="宋体" w:eastAsia="宋体" w:hint="default"/>
                <w:sz w:val="18"/>
                <w:szCs w:val="18"/>
              </w:rPr>
            </w:pPr>
            <w:r>
              <w:rPr>
                <w:rFonts w:ascii="宋体"/>
                <w:spacing w:val="-1"/>
                <w:sz w:val="18"/>
              </w:rPr>
              <w:t>742,461,696.56</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宋体" w:hAnsi="宋体" w:cs="宋体" w:eastAsia="宋体" w:hint="default"/>
                <w:sz w:val="18"/>
                <w:szCs w:val="18"/>
              </w:rPr>
            </w:pPr>
            <w:r>
              <w:rPr>
                <w:rFonts w:ascii="宋体"/>
                <w:spacing w:val="-1"/>
                <w:sz w:val="18"/>
              </w:rPr>
              <w:t>729,414,262.06</w:t>
            </w:r>
          </w:p>
        </w:tc>
      </w:tr>
    </w:tbl>
    <w:p>
      <w:pPr>
        <w:spacing w:line="240" w:lineRule="auto" w:before="6"/>
        <w:rPr>
          <w:rFonts w:ascii="宋体" w:hAnsi="宋体" w:cs="宋体" w:eastAsia="宋体" w:hint="default"/>
          <w:b/>
          <w:bCs/>
          <w:sz w:val="8"/>
          <w:szCs w:val="8"/>
        </w:rPr>
      </w:pPr>
    </w:p>
    <w:p>
      <w:pPr>
        <w:spacing w:before="36"/>
        <w:ind w:left="704" w:right="0"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0"/>
        <w:ind w:left="70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6"/>
        <w:ind w:left="81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tbl>
      <w:tblPr>
        <w:tblW w:w="0" w:type="auto"/>
        <w:jc w:val="left"/>
        <w:tblInd w:w="296" w:type="dxa"/>
        <w:tblLayout w:type="fixed"/>
        <w:tblCellMar>
          <w:top w:w="0" w:type="dxa"/>
          <w:left w:w="0" w:type="dxa"/>
          <w:bottom w:w="0" w:type="dxa"/>
          <w:right w:w="0" w:type="dxa"/>
        </w:tblCellMar>
        <w:tblLook w:val="01E0"/>
      </w:tblPr>
      <w:tblGrid>
        <w:gridCol w:w="1289"/>
        <w:gridCol w:w="1246"/>
        <w:gridCol w:w="1275"/>
        <w:gridCol w:w="1085"/>
        <w:gridCol w:w="1414"/>
        <w:gridCol w:w="1426"/>
        <w:gridCol w:w="1594"/>
      </w:tblGrid>
      <w:tr>
        <w:trPr>
          <w:trHeight w:val="284"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right"/>
              <w:rPr>
                <w:rFonts w:ascii="宋体" w:hAnsi="宋体" w:cs="宋体" w:eastAsia="宋体" w:hint="default"/>
                <w:sz w:val="18"/>
                <w:szCs w:val="18"/>
              </w:rPr>
            </w:pPr>
            <w:r>
              <w:rPr>
                <w:rFonts w:ascii="宋体" w:hAnsi="宋体" w:cs="宋体" w:eastAsia="宋体" w:hint="default"/>
                <w:sz w:val="18"/>
                <w:szCs w:val="18"/>
              </w:rPr>
              <w:t>法定代表人</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left="384"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0" w:lineRule="exact"/>
              <w:ind w:right="41"/>
              <w:jc w:val="right"/>
              <w:rPr>
                <w:rFonts w:ascii="宋体" w:hAnsi="宋体" w:cs="宋体" w:eastAsia="宋体" w:hint="default"/>
                <w:sz w:val="18"/>
                <w:szCs w:val="18"/>
              </w:rPr>
            </w:pPr>
            <w:r>
              <w:rPr>
                <w:rFonts w:ascii="宋体" w:hAnsi="宋体" w:cs="宋体" w:eastAsia="宋体" w:hint="default"/>
                <w:sz w:val="18"/>
                <w:szCs w:val="18"/>
              </w:rPr>
              <w:t>所持股份或权益</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411"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z w:val="18"/>
              </w:rPr>
              <w:t>---</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z w:val="18"/>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33.3071%</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79"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11.1024%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9" w:right="0"/>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288"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11.1024%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9" w:right="0"/>
              <w:jc w:val="center"/>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36"/>
        <w:ind w:left="701"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存在控制关系的关联方所持股份或权益及其变化：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282" w:type="dxa"/>
        <w:tblLayout w:type="fixed"/>
        <w:tblCellMar>
          <w:top w:w="0" w:type="dxa"/>
          <w:left w:w="0" w:type="dxa"/>
          <w:bottom w:w="0" w:type="dxa"/>
          <w:right w:w="0" w:type="dxa"/>
        </w:tblCellMar>
        <w:tblLook w:val="01E0"/>
      </w:tblPr>
      <w:tblGrid>
        <w:gridCol w:w="1709"/>
        <w:gridCol w:w="336"/>
        <w:gridCol w:w="2375"/>
        <w:gridCol w:w="1055"/>
        <w:gridCol w:w="350"/>
        <w:gridCol w:w="1558"/>
        <w:gridCol w:w="247"/>
        <w:gridCol w:w="1695"/>
      </w:tblGrid>
      <w:tr>
        <w:trPr>
          <w:trHeight w:val="253" w:hRule="exact"/>
        </w:trPr>
        <w:tc>
          <w:tcPr>
            <w:tcW w:w="1709" w:type="dxa"/>
            <w:vMerge w:val="restart"/>
            <w:tcBorders>
              <w:top w:val="nil" w:sz="6" w:space="0" w:color="auto"/>
              <w:left w:val="nil" w:sz="6" w:space="0" w:color="auto"/>
              <w:right w:val="nil" w:sz="6" w:space="0" w:color="auto"/>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名称</w:t>
            </w:r>
          </w:p>
        </w:tc>
        <w:tc>
          <w:tcPr>
            <w:tcW w:w="336" w:type="dxa"/>
            <w:vMerge w:val="restart"/>
            <w:tcBorders>
              <w:top w:val="nil" w:sz="6" w:space="0" w:color="auto"/>
              <w:left w:val="nil" w:sz="6" w:space="0" w:color="auto"/>
              <w:right w:val="nil" w:sz="6" w:space="0" w:color="auto"/>
            </w:tcBorders>
          </w:tcPr>
          <w:p>
            <w:pPr/>
          </w:p>
        </w:tc>
        <w:tc>
          <w:tcPr>
            <w:tcW w:w="2375" w:type="dxa"/>
            <w:tcBorders>
              <w:top w:val="nil" w:sz="6" w:space="0" w:color="auto"/>
              <w:left w:val="nil" w:sz="6" w:space="0" w:color="auto"/>
              <w:bottom w:val="single" w:sz="4" w:space="0" w:color="000000"/>
              <w:right w:val="nil" w:sz="6" w:space="0" w:color="auto"/>
            </w:tcBorders>
          </w:tcPr>
          <w:p>
            <w:pPr>
              <w:pStyle w:val="TableParagraph"/>
              <w:spacing w:line="180" w:lineRule="exact"/>
              <w:ind w:left="1084" w:right="0"/>
              <w:jc w:val="left"/>
              <w:rPr>
                <w:rFonts w:ascii="宋体" w:hAnsi="宋体" w:cs="宋体" w:eastAsia="宋体" w:hint="default"/>
                <w:sz w:val="18"/>
                <w:szCs w:val="18"/>
              </w:rPr>
            </w:pPr>
            <w:r>
              <w:rPr>
                <w:rFonts w:ascii="宋体" w:hAnsi="宋体" w:cs="宋体" w:eastAsia="宋体" w:hint="default"/>
                <w:sz w:val="18"/>
                <w:szCs w:val="18"/>
              </w:rPr>
              <w:t>持股金额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55" w:type="dxa"/>
            <w:tcBorders>
              <w:top w:val="nil" w:sz="6" w:space="0" w:color="auto"/>
              <w:left w:val="nil" w:sz="6" w:space="0" w:color="auto"/>
              <w:bottom w:val="single" w:sz="4" w:space="0" w:color="000000"/>
              <w:right w:val="nil" w:sz="6" w:space="0" w:color="auto"/>
            </w:tcBorders>
          </w:tcPr>
          <w:p>
            <w:pPr/>
          </w:p>
        </w:tc>
        <w:tc>
          <w:tcPr>
            <w:tcW w:w="385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160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r>
      <w:tr>
        <w:trPr>
          <w:trHeight w:val="322" w:hRule="exact"/>
        </w:trPr>
        <w:tc>
          <w:tcPr>
            <w:tcW w:w="1709" w:type="dxa"/>
            <w:vMerge/>
            <w:tcBorders>
              <w:left w:val="nil" w:sz="6" w:space="0" w:color="auto"/>
              <w:bottom w:val="single" w:sz="4" w:space="0" w:color="000000"/>
              <w:right w:val="nil" w:sz="6" w:space="0" w:color="auto"/>
            </w:tcBorders>
          </w:tcPr>
          <w:p>
            <w:pPr/>
          </w:p>
        </w:tc>
        <w:tc>
          <w:tcPr>
            <w:tcW w:w="336" w:type="dxa"/>
            <w:vMerge/>
            <w:tcBorders>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5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7"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15" w:hRule="exact"/>
        </w:trPr>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36" w:type="dxa"/>
            <w:tcBorders>
              <w:top w:val="nil" w:sz="6" w:space="0" w:color="auto"/>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ind w:left="868" w:right="0"/>
              <w:jc w:val="left"/>
              <w:rPr>
                <w:rFonts w:ascii="宋体" w:hAnsi="宋体" w:cs="宋体" w:eastAsia="宋体" w:hint="default"/>
                <w:sz w:val="18"/>
                <w:szCs w:val="18"/>
              </w:rPr>
            </w:pPr>
            <w:r>
              <w:rPr>
                <w:rFonts w:ascii="宋体"/>
                <w:sz w:val="18"/>
              </w:rPr>
              <w:t>3,807.00</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2,115.00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33.3071</w:t>
            </w:r>
          </w:p>
        </w:tc>
        <w:tc>
          <w:tcPr>
            <w:tcW w:w="247"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1"/>
              <w:jc w:val="right"/>
              <w:rPr>
                <w:rFonts w:ascii="宋体" w:hAnsi="宋体" w:cs="宋体" w:eastAsia="宋体" w:hint="default"/>
                <w:sz w:val="18"/>
                <w:szCs w:val="18"/>
              </w:rPr>
            </w:pPr>
            <w:r>
              <w:rPr>
                <w:rFonts w:ascii="宋体"/>
                <w:sz w:val="18"/>
              </w:rPr>
              <w:t>33.3071</w:t>
            </w:r>
          </w:p>
        </w:tc>
      </w:tr>
      <w:tr>
        <w:trPr>
          <w:trHeight w:val="312"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36"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68" w:right="0"/>
              <w:jc w:val="left"/>
              <w:rPr>
                <w:rFonts w:ascii="宋体" w:hAnsi="宋体" w:cs="宋体" w:eastAsia="宋体" w:hint="default"/>
                <w:sz w:val="18"/>
                <w:szCs w:val="18"/>
              </w:rPr>
            </w:pPr>
            <w:r>
              <w:rPr>
                <w:rFonts w:ascii="宋体"/>
                <w:sz w:val="18"/>
              </w:rPr>
              <w:t>1,269.00</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705.00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11.1024</w:t>
            </w:r>
          </w:p>
        </w:tc>
        <w:tc>
          <w:tcPr>
            <w:tcW w:w="24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11.1024</w:t>
            </w:r>
          </w:p>
        </w:tc>
      </w:tr>
      <w:tr>
        <w:trPr>
          <w:trHeight w:val="246"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36"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68" w:right="0"/>
              <w:jc w:val="left"/>
              <w:rPr>
                <w:rFonts w:ascii="宋体" w:hAnsi="宋体" w:cs="宋体" w:eastAsia="宋体" w:hint="default"/>
                <w:sz w:val="18"/>
                <w:szCs w:val="18"/>
              </w:rPr>
            </w:pPr>
            <w:r>
              <w:rPr>
                <w:rFonts w:ascii="宋体"/>
                <w:sz w:val="18"/>
              </w:rPr>
              <w:t>1,269.00</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705.00</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11.1024</w:t>
            </w:r>
          </w:p>
        </w:tc>
        <w:tc>
          <w:tcPr>
            <w:tcW w:w="24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11.1024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0"/>
        <w:ind w:left="70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before="135"/>
        <w:ind w:left="0" w:right="862" w:firstLine="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金额单位：万元</w:t>
      </w:r>
      <w:r>
        <w:rPr>
          <w:rFonts w:ascii="宋体" w:hAnsi="宋体" w:cs="宋体" w:eastAsia="宋体" w:hint="default"/>
          <w:spacing w:val="-1"/>
          <w:sz w:val="21"/>
          <w:szCs w:val="21"/>
        </w:rPr>
        <w:t>)</w:t>
      </w:r>
    </w:p>
    <w:p>
      <w:pPr>
        <w:spacing w:line="240" w:lineRule="auto" w:before="10"/>
        <w:rPr>
          <w:rFonts w:ascii="宋体" w:hAnsi="宋体" w:cs="宋体" w:eastAsia="宋体" w:hint="default"/>
          <w:sz w:val="12"/>
          <w:szCs w:val="12"/>
        </w:rPr>
      </w:pPr>
    </w:p>
    <w:tbl>
      <w:tblPr>
        <w:tblW w:w="0" w:type="auto"/>
        <w:jc w:val="left"/>
        <w:tblInd w:w="277" w:type="dxa"/>
        <w:tblLayout w:type="fixed"/>
        <w:tblCellMar>
          <w:top w:w="0" w:type="dxa"/>
          <w:left w:w="0" w:type="dxa"/>
          <w:bottom w:w="0" w:type="dxa"/>
          <w:right w:w="0" w:type="dxa"/>
        </w:tblCellMar>
        <w:tblLook w:val="01E0"/>
      </w:tblPr>
      <w:tblGrid>
        <w:gridCol w:w="1322"/>
        <w:gridCol w:w="761"/>
        <w:gridCol w:w="852"/>
        <w:gridCol w:w="852"/>
        <w:gridCol w:w="746"/>
        <w:gridCol w:w="876"/>
        <w:gridCol w:w="855"/>
        <w:gridCol w:w="924"/>
        <w:gridCol w:w="1008"/>
        <w:gridCol w:w="1157"/>
      </w:tblGrid>
      <w:tr>
        <w:trPr>
          <w:trHeight w:val="40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0"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225" w:right="146"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215" w:right="139" w:hanging="75"/>
              <w:jc w:val="left"/>
              <w:rPr>
                <w:rFonts w:ascii="宋体" w:hAnsi="宋体" w:cs="宋体" w:eastAsia="宋体" w:hint="default"/>
                <w:sz w:val="15"/>
                <w:szCs w:val="15"/>
              </w:rPr>
            </w:pPr>
            <w:r>
              <w:rPr>
                <w:rFonts w:ascii="宋体" w:hAnsi="宋体" w:cs="宋体" w:eastAsia="宋体" w:hint="default"/>
                <w:sz w:val="15"/>
                <w:szCs w:val="15"/>
              </w:rPr>
              <w:t>法定代</w:t>
            </w:r>
            <w:r>
              <w:rPr>
                <w:rFonts w:ascii="宋体" w:hAnsi="宋体" w:cs="宋体" w:eastAsia="宋体" w:hint="default"/>
                <w:spacing w:val="-72"/>
                <w:sz w:val="15"/>
                <w:szCs w:val="15"/>
              </w:rPr>
              <w:t> </w:t>
            </w:r>
            <w:r>
              <w:rPr>
                <w:rFonts w:ascii="宋体" w:hAnsi="宋体" w:cs="宋体" w:eastAsia="宋体" w:hint="default"/>
                <w:sz w:val="15"/>
                <w:szCs w:val="15"/>
              </w:rPr>
              <w:t>表人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1"/>
              <w:jc w:val="right"/>
              <w:rPr>
                <w:rFonts w:ascii="宋体" w:hAnsi="宋体" w:cs="宋体" w:eastAsia="宋体" w:hint="default"/>
                <w:sz w:val="15"/>
                <w:szCs w:val="15"/>
              </w:rPr>
            </w:pPr>
            <w:r>
              <w:rPr>
                <w:rFonts w:ascii="宋体" w:hAnsi="宋体" w:cs="宋体" w:eastAsia="宋体" w:hint="default"/>
                <w:spacing w:val="-1"/>
                <w:sz w:val="15"/>
                <w:szCs w:val="15"/>
              </w:rPr>
              <w:t>注册资本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6"/>
              <w:jc w:val="right"/>
              <w:rPr>
                <w:rFonts w:ascii="宋体" w:hAnsi="宋体" w:cs="宋体" w:eastAsia="宋体" w:hint="default"/>
                <w:sz w:val="15"/>
                <w:szCs w:val="15"/>
              </w:rPr>
            </w:pPr>
            <w:r>
              <w:rPr>
                <w:rFonts w:ascii="宋体" w:hAnsi="宋体" w:cs="宋体" w:eastAsia="宋体" w:hint="default"/>
                <w:spacing w:val="-1"/>
                <w:sz w:val="15"/>
                <w:szCs w:val="15"/>
              </w:rPr>
              <w:t>持股比例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3"/>
              <w:jc w:val="right"/>
              <w:rPr>
                <w:rFonts w:ascii="宋体" w:hAnsi="宋体" w:cs="宋体" w:eastAsia="宋体" w:hint="default"/>
                <w:sz w:val="15"/>
                <w:szCs w:val="15"/>
              </w:rPr>
            </w:pPr>
            <w:r>
              <w:rPr>
                <w:rFonts w:ascii="宋体" w:hAnsi="宋体" w:cs="宋体" w:eastAsia="宋体" w:hint="default"/>
                <w:spacing w:val="-1"/>
                <w:sz w:val="15"/>
                <w:szCs w:val="15"/>
              </w:rPr>
              <w:t>表决权比例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0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103" w:right="155"/>
              <w:jc w:val="left"/>
              <w:rPr>
                <w:rFonts w:ascii="宋体" w:hAnsi="宋体" w:cs="宋体" w:eastAsia="宋体" w:hint="default"/>
                <w:sz w:val="15"/>
                <w:szCs w:val="15"/>
              </w:rPr>
            </w:pPr>
            <w:r>
              <w:rPr>
                <w:rFonts w:ascii="宋体" w:hAnsi="宋体" w:cs="宋体" w:eastAsia="宋体" w:hint="default"/>
                <w:sz w:val="15"/>
                <w:szCs w:val="15"/>
              </w:rPr>
              <w:t>深圳市易联技术</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103" w:right="194"/>
              <w:jc w:val="left"/>
              <w:rPr>
                <w:rFonts w:ascii="宋体" w:hAnsi="宋体" w:cs="宋体" w:eastAsia="宋体" w:hint="default"/>
                <w:sz w:val="15"/>
                <w:szCs w:val="15"/>
              </w:rPr>
            </w:pPr>
            <w:r>
              <w:rPr>
                <w:rFonts w:ascii="宋体" w:hAnsi="宋体" w:cs="宋体" w:eastAsia="宋体" w:hint="default"/>
                <w:sz w:val="15"/>
                <w:szCs w:val="15"/>
              </w:rPr>
              <w:t>全资子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103" w:right="134"/>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4"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刘亚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5"/>
                <w:szCs w:val="15"/>
              </w:rPr>
            </w:pPr>
            <w:r>
              <w:rPr>
                <w:rFonts w:ascii="宋体"/>
                <w:spacing w:val="-1"/>
                <w:sz w:val="15"/>
              </w:rPr>
              <w:t>1,000.00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
              <w:jc w:val="center"/>
              <w:rPr>
                <w:rFonts w:ascii="宋体" w:hAnsi="宋体" w:cs="宋体" w:eastAsia="宋体" w:hint="default"/>
                <w:sz w:val="15"/>
                <w:szCs w:val="15"/>
              </w:rPr>
            </w:pPr>
            <w:r>
              <w:rPr>
                <w:rFonts w:ascii="宋体"/>
                <w:sz w:val="15"/>
              </w:rPr>
              <w:t>67004405-3</w:t>
            </w:r>
          </w:p>
        </w:tc>
      </w:tr>
      <w:tr>
        <w:trPr>
          <w:trHeight w:val="40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153"/>
              <w:jc w:val="left"/>
              <w:rPr>
                <w:rFonts w:ascii="宋体" w:hAnsi="宋体" w:cs="宋体" w:eastAsia="宋体" w:hint="default"/>
                <w:sz w:val="15"/>
                <w:szCs w:val="15"/>
              </w:rPr>
            </w:pPr>
            <w:r>
              <w:rPr>
                <w:rFonts w:ascii="宋体" w:hAnsi="宋体" w:cs="宋体" w:eastAsia="宋体" w:hint="default"/>
                <w:sz w:val="15"/>
                <w:szCs w:val="15"/>
              </w:rPr>
              <w:t>南京市新国都技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194"/>
              <w:jc w:val="left"/>
              <w:rPr>
                <w:rFonts w:ascii="宋体" w:hAnsi="宋体" w:cs="宋体" w:eastAsia="宋体" w:hint="default"/>
                <w:sz w:val="15"/>
                <w:szCs w:val="15"/>
              </w:rPr>
            </w:pPr>
            <w:r>
              <w:rPr>
                <w:rFonts w:ascii="宋体" w:hAnsi="宋体" w:cs="宋体" w:eastAsia="宋体" w:hint="default"/>
                <w:sz w:val="15"/>
                <w:szCs w:val="15"/>
              </w:rPr>
              <w:t>全资子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134"/>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 w:right="0"/>
              <w:jc w:val="left"/>
              <w:rPr>
                <w:rFonts w:ascii="宋体" w:hAnsi="宋体" w:cs="宋体" w:eastAsia="宋体" w:hint="default"/>
                <w:sz w:val="15"/>
                <w:szCs w:val="15"/>
              </w:rPr>
            </w:pPr>
            <w:r>
              <w:rPr>
                <w:rFonts w:ascii="宋体" w:hAnsi="宋体" w:cs="宋体" w:eastAsia="宋体" w:hint="default"/>
                <w:sz w:val="15"/>
                <w:szCs w:val="15"/>
              </w:rPr>
              <w:t>南京市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5"/>
                <w:szCs w:val="15"/>
              </w:rPr>
            </w:pPr>
            <w:r>
              <w:rPr>
                <w:rFonts w:ascii="宋体" w:hAnsi="宋体" w:cs="宋体" w:eastAsia="宋体" w:hint="default"/>
                <w:sz w:val="15"/>
                <w:szCs w:val="15"/>
              </w:rPr>
              <w:t>童卫东</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5"/>
                <w:szCs w:val="15"/>
              </w:rPr>
            </w:pPr>
            <w:r>
              <w:rPr>
                <w:rFonts w:ascii="宋体"/>
                <w:spacing w:val="-1"/>
                <w:sz w:val="15"/>
              </w:rPr>
              <w:t>1,300.00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center"/>
              <w:rPr>
                <w:rFonts w:ascii="宋体" w:hAnsi="宋体" w:cs="宋体" w:eastAsia="宋体" w:hint="default"/>
                <w:sz w:val="15"/>
                <w:szCs w:val="15"/>
              </w:rPr>
            </w:pPr>
            <w:r>
              <w:rPr>
                <w:rFonts w:ascii="宋体"/>
                <w:sz w:val="15"/>
              </w:rPr>
              <w:t>68672193-6</w:t>
            </w:r>
          </w:p>
        </w:tc>
      </w:tr>
      <w:tr>
        <w:trPr>
          <w:trHeight w:val="40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广州市新国都信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息科技有限公司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全资子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有限责任</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5"/>
                <w:szCs w:val="15"/>
              </w:rPr>
            </w:pPr>
            <w:r>
              <w:rPr>
                <w:rFonts w:ascii="宋体" w:hAnsi="宋体" w:cs="宋体" w:eastAsia="宋体" w:hint="default"/>
                <w:sz w:val="15"/>
                <w:szCs w:val="15"/>
              </w:rPr>
              <w:t>汪洋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5"/>
                <w:szCs w:val="15"/>
              </w:rPr>
            </w:pPr>
            <w:r>
              <w:rPr>
                <w:rFonts w:ascii="宋体"/>
                <w:spacing w:val="-1"/>
                <w:sz w:val="15"/>
              </w:rPr>
              <w:t>300.00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center"/>
              <w:rPr>
                <w:rFonts w:ascii="宋体" w:hAnsi="宋体" w:cs="宋体" w:eastAsia="宋体" w:hint="default"/>
                <w:sz w:val="15"/>
                <w:szCs w:val="15"/>
              </w:rPr>
            </w:pPr>
            <w:r>
              <w:rPr>
                <w:rFonts w:ascii="宋体"/>
                <w:sz w:val="15"/>
              </w:rPr>
              <w:t>68934614-X</w:t>
            </w:r>
          </w:p>
        </w:tc>
      </w:tr>
      <w:tr>
        <w:trPr>
          <w:trHeight w:val="40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103" w:right="153"/>
              <w:jc w:val="left"/>
              <w:rPr>
                <w:rFonts w:ascii="宋体" w:hAnsi="宋体" w:cs="宋体" w:eastAsia="宋体" w:hint="default"/>
                <w:sz w:val="15"/>
                <w:szCs w:val="15"/>
              </w:rPr>
            </w:pPr>
            <w:r>
              <w:rPr>
                <w:rFonts w:ascii="宋体" w:hAnsi="宋体" w:cs="宋体" w:eastAsia="宋体" w:hint="default"/>
                <w:sz w:val="15"/>
                <w:szCs w:val="15"/>
              </w:rPr>
              <w:t>苏州新国都电子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
              <w:ind w:left="103" w:right="194"/>
              <w:jc w:val="left"/>
              <w:rPr>
                <w:rFonts w:ascii="宋体" w:hAnsi="宋体" w:cs="宋体" w:eastAsia="宋体" w:hint="default"/>
                <w:sz w:val="15"/>
                <w:szCs w:val="15"/>
              </w:rPr>
            </w:pPr>
            <w:r>
              <w:rPr>
                <w:rFonts w:ascii="宋体" w:hAnsi="宋体" w:cs="宋体" w:eastAsia="宋体" w:hint="default"/>
                <w:sz w:val="15"/>
                <w:szCs w:val="15"/>
              </w:rPr>
              <w:t>控股子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1"/>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4"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童卫东</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5"/>
                <w:szCs w:val="15"/>
              </w:rPr>
            </w:pPr>
            <w:r>
              <w:rPr>
                <w:rFonts w:ascii="宋体"/>
                <w:spacing w:val="-1"/>
                <w:sz w:val="15"/>
              </w:rPr>
              <w:t>3,000.00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90%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
              <w:jc w:val="center"/>
              <w:rPr>
                <w:rFonts w:ascii="宋体" w:hAnsi="宋体" w:cs="宋体" w:eastAsia="宋体" w:hint="default"/>
                <w:sz w:val="15"/>
                <w:szCs w:val="15"/>
              </w:rPr>
            </w:pPr>
            <w:r>
              <w:rPr>
                <w:rFonts w:ascii="宋体"/>
                <w:sz w:val="15"/>
              </w:rPr>
              <w:t>58105547-6</w:t>
            </w:r>
          </w:p>
        </w:tc>
      </w:tr>
    </w:tbl>
    <w:p>
      <w:pPr>
        <w:spacing w:line="240" w:lineRule="auto" w:before="6"/>
        <w:rPr>
          <w:rFonts w:ascii="宋体" w:hAnsi="宋体" w:cs="宋体" w:eastAsia="宋体" w:hint="default"/>
          <w:sz w:val="27"/>
          <w:szCs w:val="27"/>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195" w:top="1400" w:bottom="1380" w:left="1420" w:right="720"/>
        </w:sectPr>
      </w:pPr>
    </w:p>
    <w:p>
      <w:pPr>
        <w:spacing w:line="240" w:lineRule="auto" w:before="4"/>
        <w:rPr>
          <w:rFonts w:ascii="宋体" w:hAnsi="宋体" w:cs="宋体" w:eastAsia="宋体" w:hint="default"/>
          <w:b/>
          <w:bCs/>
          <w:sz w:val="6"/>
          <w:szCs w:val="6"/>
        </w:rPr>
      </w:pPr>
    </w:p>
    <w:tbl>
      <w:tblPr>
        <w:tblW w:w="0" w:type="auto"/>
        <w:jc w:val="left"/>
        <w:tblInd w:w="116" w:type="dxa"/>
        <w:tblLayout w:type="fixed"/>
        <w:tblCellMar>
          <w:top w:w="0" w:type="dxa"/>
          <w:left w:w="0" w:type="dxa"/>
          <w:bottom w:w="0" w:type="dxa"/>
          <w:right w:w="0" w:type="dxa"/>
        </w:tblCellMar>
        <w:tblLook w:val="01E0"/>
      </w:tblPr>
      <w:tblGrid>
        <w:gridCol w:w="3039"/>
        <w:gridCol w:w="2884"/>
        <w:gridCol w:w="3411"/>
      </w:tblGrid>
      <w:tr>
        <w:trPr>
          <w:trHeight w:val="272"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884"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381"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884" w:type="dxa"/>
            <w:tcBorders>
              <w:top w:val="nil" w:sz="6" w:space="0" w:color="auto"/>
              <w:left w:val="nil" w:sz="6" w:space="0" w:color="auto"/>
              <w:bottom w:val="nil" w:sz="6" w:space="0" w:color="auto"/>
              <w:right w:val="nil" w:sz="6" w:space="0" w:color="auto"/>
            </w:tcBorders>
          </w:tcPr>
          <w:p>
            <w:pPr/>
          </w:p>
        </w:tc>
        <w:tc>
          <w:tcPr>
            <w:tcW w:w="34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r>
      <w:tr>
        <w:trPr>
          <w:trHeight w:val="274"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c>
          <w:tcPr>
            <w:tcW w:w="2884"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
              <w:jc w:val="center"/>
              <w:rPr>
                <w:rFonts w:ascii="宋体" w:hAnsi="宋体" w:cs="宋体" w:eastAsia="宋体" w:hint="default"/>
                <w:sz w:val="18"/>
                <w:szCs w:val="18"/>
              </w:rPr>
            </w:pPr>
            <w:r>
              <w:rPr>
                <w:rFonts w:ascii="宋体" w:hAnsi="宋体" w:cs="宋体" w:eastAsia="宋体" w:hint="default"/>
                <w:sz w:val="18"/>
                <w:szCs w:val="18"/>
              </w:rPr>
              <w:t>本公司联营公司</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line="408" w:lineRule="auto" w:before="36"/>
        <w:ind w:left="46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关联方交易</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存在控制关系且已纳入本公司合并财务报表范围的子公司，其相互间交易及母子公司交</w:t>
      </w:r>
    </w:p>
    <w:p>
      <w:pPr>
        <w:spacing w:line="408" w:lineRule="auto" w:before="46"/>
        <w:ind w:left="461" w:right="5523" w:hanging="360"/>
        <w:jc w:val="left"/>
        <w:rPr>
          <w:rFonts w:ascii="宋体" w:hAnsi="宋体" w:cs="宋体" w:eastAsia="宋体" w:hint="default"/>
          <w:sz w:val="21"/>
          <w:szCs w:val="21"/>
        </w:rPr>
      </w:pPr>
      <w:r>
        <w:rPr>
          <w:rFonts w:ascii="宋体" w:hAnsi="宋体" w:cs="宋体" w:eastAsia="宋体" w:hint="default"/>
          <w:sz w:val="21"/>
          <w:szCs w:val="21"/>
        </w:rPr>
        <w:t>易已作抵销。</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关联销售、采购及委托加工</w:t>
      </w:r>
    </w:p>
    <w:p>
      <w:pPr>
        <w:spacing w:before="46"/>
        <w:ind w:left="461"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年度无关联销售、采购及委托加工。</w:t>
      </w:r>
    </w:p>
    <w:p>
      <w:pPr>
        <w:spacing w:line="240" w:lineRule="auto" w:before="10"/>
        <w:rPr>
          <w:rFonts w:ascii="宋体" w:hAnsi="宋体" w:cs="宋体" w:eastAsia="宋体" w:hint="default"/>
          <w:sz w:val="14"/>
          <w:szCs w:val="14"/>
        </w:rPr>
      </w:pPr>
    </w:p>
    <w:p>
      <w:pPr>
        <w:spacing w:line="408" w:lineRule="auto" w:before="0"/>
        <w:ind w:left="4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房屋租赁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本公司与深圳市泰德信实业有限公司签订房屋租赁合同，深圳市泰德信实业有限公司将其</w:t>
      </w:r>
    </w:p>
    <w:p>
      <w:pPr>
        <w:spacing w:line="408" w:lineRule="auto" w:before="46"/>
        <w:ind w:left="102" w:right="844" w:firstLine="0"/>
        <w:jc w:val="both"/>
        <w:rPr>
          <w:rFonts w:ascii="宋体" w:hAnsi="宋体" w:cs="宋体" w:eastAsia="宋体" w:hint="default"/>
          <w:sz w:val="21"/>
          <w:szCs w:val="21"/>
        </w:rPr>
      </w:pPr>
      <w:r>
        <w:rPr>
          <w:rFonts w:ascii="宋体" w:hAnsi="宋体" w:cs="宋体" w:eastAsia="宋体" w:hint="default"/>
          <w:sz w:val="21"/>
          <w:szCs w:val="21"/>
        </w:rPr>
        <w:t>位于深圳市福田区泰然大道东路泰然劲松大厦</w:t>
      </w:r>
      <w:r>
        <w:rPr>
          <w:rFonts w:ascii="宋体" w:hAnsi="宋体" w:cs="宋体" w:eastAsia="宋体" w:hint="default"/>
          <w:spacing w:val="-49"/>
          <w:sz w:val="21"/>
          <w:szCs w:val="21"/>
        </w:rPr>
        <w:t> </w:t>
      </w:r>
      <w:r>
        <w:rPr>
          <w:rFonts w:ascii="宋体" w:hAnsi="宋体" w:cs="宋体" w:eastAsia="宋体" w:hint="default"/>
          <w:spacing w:val="-8"/>
          <w:sz w:val="21"/>
          <w:szCs w:val="21"/>
        </w:rPr>
        <w:t>17A</w:t>
      </w:r>
      <w:r>
        <w:rPr>
          <w:rFonts w:ascii="宋体" w:hAnsi="宋体" w:cs="宋体" w:eastAsia="宋体" w:hint="default"/>
          <w:spacing w:val="-8"/>
          <w:sz w:val="21"/>
          <w:szCs w:val="21"/>
        </w:rPr>
        <w:t>、</w:t>
      </w:r>
      <w:r>
        <w:rPr>
          <w:rFonts w:ascii="宋体" w:hAnsi="宋体" w:cs="宋体" w:eastAsia="宋体" w:hint="default"/>
          <w:spacing w:val="-8"/>
          <w:sz w:val="21"/>
          <w:szCs w:val="21"/>
        </w:rPr>
        <w:t>17B</w:t>
      </w:r>
      <w:r>
        <w:rPr>
          <w:rFonts w:ascii="宋体" w:hAnsi="宋体" w:cs="宋体" w:eastAsia="宋体" w:hint="default"/>
          <w:spacing w:val="-8"/>
          <w:sz w:val="21"/>
          <w:szCs w:val="21"/>
        </w:rPr>
        <w:t>、</w:t>
      </w:r>
      <w:r>
        <w:rPr>
          <w:rFonts w:ascii="宋体" w:hAnsi="宋体" w:cs="宋体" w:eastAsia="宋体" w:hint="default"/>
          <w:spacing w:val="-8"/>
          <w:sz w:val="21"/>
          <w:szCs w:val="21"/>
        </w:rPr>
        <w:t>17C</w:t>
      </w:r>
      <w:r>
        <w:rPr>
          <w:rFonts w:ascii="宋体" w:hAnsi="宋体" w:cs="宋体" w:eastAsia="宋体" w:hint="default"/>
          <w:spacing w:val="-8"/>
          <w:sz w:val="21"/>
          <w:szCs w:val="21"/>
        </w:rPr>
        <w:t>、</w:t>
      </w:r>
      <w:r>
        <w:rPr>
          <w:rFonts w:ascii="宋体" w:hAnsi="宋体" w:cs="宋体" w:eastAsia="宋体" w:hint="default"/>
          <w:spacing w:val="-8"/>
          <w:sz w:val="21"/>
          <w:szCs w:val="21"/>
        </w:rPr>
        <w:t>17D</w:t>
      </w:r>
      <w:r>
        <w:rPr>
          <w:rFonts w:ascii="宋体" w:hAnsi="宋体" w:cs="宋体" w:eastAsia="宋体" w:hint="default"/>
          <w:spacing w:val="-51"/>
          <w:sz w:val="21"/>
          <w:szCs w:val="21"/>
        </w:rPr>
        <w:t> </w:t>
      </w:r>
      <w:r>
        <w:rPr>
          <w:rFonts w:ascii="宋体" w:hAnsi="宋体" w:cs="宋体" w:eastAsia="宋体" w:hint="default"/>
          <w:sz w:val="21"/>
          <w:szCs w:val="21"/>
        </w:rPr>
        <w:t>建筑面积</w:t>
      </w:r>
      <w:r>
        <w:rPr>
          <w:rFonts w:ascii="宋体" w:hAnsi="宋体" w:cs="宋体" w:eastAsia="宋体" w:hint="default"/>
          <w:spacing w:val="-52"/>
          <w:sz w:val="21"/>
          <w:szCs w:val="21"/>
        </w:rPr>
        <w:t> </w:t>
      </w:r>
      <w:r>
        <w:rPr>
          <w:rFonts w:ascii="宋体" w:hAnsi="宋体" w:cs="宋体" w:eastAsia="宋体" w:hint="default"/>
          <w:sz w:val="21"/>
          <w:szCs w:val="21"/>
        </w:rPr>
        <w:t>886.6</w:t>
      </w:r>
      <w:r>
        <w:rPr>
          <w:rFonts w:ascii="宋体" w:hAnsi="宋体" w:cs="宋体" w:eastAsia="宋体" w:hint="default"/>
          <w:spacing w:val="-50"/>
          <w:sz w:val="21"/>
          <w:szCs w:val="21"/>
        </w:rPr>
        <w:t> </w:t>
      </w:r>
      <w:r>
        <w:rPr>
          <w:rFonts w:ascii="宋体" w:hAnsi="宋体" w:cs="宋体" w:eastAsia="宋体" w:hint="default"/>
          <w:sz w:val="21"/>
          <w:szCs w:val="21"/>
        </w:rPr>
        <w:t>平方米的房</w:t>
      </w:r>
      <w:r>
        <w:rPr>
          <w:rFonts w:ascii="宋体" w:hAnsi="宋体" w:cs="宋体" w:eastAsia="宋体" w:hint="default"/>
          <w:w w:val="100"/>
          <w:sz w:val="21"/>
          <w:szCs w:val="21"/>
        </w:rPr>
        <w:t> </w:t>
      </w:r>
      <w:r>
        <w:rPr>
          <w:rFonts w:ascii="宋体" w:hAnsi="宋体" w:cs="宋体" w:eastAsia="宋体" w:hint="default"/>
          <w:spacing w:val="-9"/>
          <w:w w:val="100"/>
          <w:sz w:val="21"/>
          <w:szCs w:val="21"/>
        </w:rPr>
        <w:t>屋租赁给本公司使用，租赁期自</w:t>
      </w:r>
      <w:r>
        <w:rPr>
          <w:rFonts w:ascii="宋体" w:hAnsi="宋体" w:cs="宋体" w:eastAsia="宋体" w:hint="default"/>
          <w:spacing w:val="-74"/>
          <w:w w:val="100"/>
          <w:sz w:val="21"/>
          <w:szCs w:val="21"/>
        </w:rPr>
        <w:t> </w:t>
      </w:r>
      <w:r>
        <w:rPr>
          <w:rFonts w:ascii="宋体" w:hAnsi="宋体" w:cs="宋体" w:eastAsia="宋体" w:hint="default"/>
          <w:w w:val="100"/>
          <w:sz w:val="21"/>
          <w:szCs w:val="21"/>
        </w:rPr>
        <w:t>2011</w:t>
      </w:r>
      <w:r>
        <w:rPr>
          <w:rFonts w:ascii="宋体" w:hAnsi="宋体" w:cs="宋体" w:eastAsia="宋体" w:hint="default"/>
          <w:spacing w:val="-74"/>
          <w:w w:val="100"/>
          <w:sz w:val="21"/>
          <w:szCs w:val="21"/>
        </w:rPr>
        <w:t> </w:t>
      </w:r>
      <w:r>
        <w:rPr>
          <w:rFonts w:ascii="宋体" w:hAnsi="宋体" w:cs="宋体" w:eastAsia="宋体" w:hint="default"/>
          <w:w w:val="100"/>
          <w:sz w:val="21"/>
          <w:szCs w:val="21"/>
        </w:rPr>
        <w:t>年</w:t>
      </w:r>
      <w:r>
        <w:rPr>
          <w:rFonts w:ascii="宋体" w:hAnsi="宋体" w:cs="宋体" w:eastAsia="宋体" w:hint="default"/>
          <w:spacing w:val="-74"/>
          <w:w w:val="100"/>
          <w:sz w:val="21"/>
          <w:szCs w:val="21"/>
        </w:rPr>
        <w:t> </w:t>
      </w:r>
      <w:r>
        <w:rPr>
          <w:rFonts w:ascii="宋体" w:hAnsi="宋体" w:cs="宋体" w:eastAsia="宋体" w:hint="default"/>
          <w:w w:val="100"/>
          <w:sz w:val="21"/>
          <w:szCs w:val="21"/>
        </w:rPr>
        <w:t>11</w:t>
      </w:r>
      <w:r>
        <w:rPr>
          <w:rFonts w:ascii="宋体" w:hAnsi="宋体" w:cs="宋体" w:eastAsia="宋体" w:hint="default"/>
          <w:spacing w:val="-74"/>
          <w:w w:val="100"/>
          <w:sz w:val="21"/>
          <w:szCs w:val="21"/>
        </w:rPr>
        <w:t> </w:t>
      </w:r>
      <w:r>
        <w:rPr>
          <w:rFonts w:ascii="宋体" w:hAnsi="宋体" w:cs="宋体" w:eastAsia="宋体" w:hint="default"/>
          <w:w w:val="100"/>
          <w:sz w:val="21"/>
          <w:szCs w:val="21"/>
        </w:rPr>
        <w:t>月</w:t>
      </w:r>
      <w:r>
        <w:rPr>
          <w:rFonts w:ascii="宋体" w:hAnsi="宋体" w:cs="宋体" w:eastAsia="宋体" w:hint="default"/>
          <w:spacing w:val="-74"/>
          <w:w w:val="100"/>
          <w:sz w:val="21"/>
          <w:szCs w:val="21"/>
        </w:rPr>
        <w:t> </w:t>
      </w:r>
      <w:r>
        <w:rPr>
          <w:rFonts w:ascii="宋体" w:hAnsi="宋体" w:cs="宋体" w:eastAsia="宋体" w:hint="default"/>
          <w:w w:val="100"/>
          <w:sz w:val="21"/>
          <w:szCs w:val="21"/>
        </w:rPr>
        <w:t>1</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日起至</w:t>
      </w:r>
      <w:r>
        <w:rPr>
          <w:rFonts w:ascii="宋体" w:hAnsi="宋体" w:cs="宋体" w:eastAsia="宋体" w:hint="default"/>
          <w:spacing w:val="-77"/>
          <w:w w:val="100"/>
          <w:sz w:val="21"/>
          <w:szCs w:val="21"/>
        </w:rPr>
        <w:t> </w:t>
      </w:r>
      <w:r>
        <w:rPr>
          <w:rFonts w:ascii="宋体" w:hAnsi="宋体" w:cs="宋体" w:eastAsia="宋体" w:hint="default"/>
          <w:w w:val="100"/>
          <w:sz w:val="21"/>
          <w:szCs w:val="21"/>
        </w:rPr>
        <w:t>2014</w:t>
      </w:r>
      <w:r>
        <w:rPr>
          <w:rFonts w:ascii="宋体" w:hAnsi="宋体" w:cs="宋体" w:eastAsia="宋体" w:hint="default"/>
          <w:spacing w:val="-74"/>
          <w:w w:val="100"/>
          <w:sz w:val="21"/>
          <w:szCs w:val="21"/>
        </w:rPr>
        <w:t> </w:t>
      </w:r>
      <w:r>
        <w:rPr>
          <w:rFonts w:ascii="宋体" w:hAnsi="宋体" w:cs="宋体" w:eastAsia="宋体" w:hint="default"/>
          <w:w w:val="100"/>
          <w:sz w:val="21"/>
          <w:szCs w:val="21"/>
        </w:rPr>
        <w:t>年</w:t>
      </w:r>
      <w:r>
        <w:rPr>
          <w:rFonts w:ascii="宋体" w:hAnsi="宋体" w:cs="宋体" w:eastAsia="宋体" w:hint="default"/>
          <w:spacing w:val="-74"/>
          <w:w w:val="100"/>
          <w:sz w:val="21"/>
          <w:szCs w:val="21"/>
        </w:rPr>
        <w:t> </w:t>
      </w:r>
      <w:r>
        <w:rPr>
          <w:rFonts w:ascii="宋体" w:hAnsi="宋体" w:cs="宋体" w:eastAsia="宋体" w:hint="default"/>
          <w:w w:val="100"/>
          <w:sz w:val="21"/>
          <w:szCs w:val="21"/>
        </w:rPr>
        <w:t>12</w:t>
      </w:r>
      <w:r>
        <w:rPr>
          <w:rFonts w:ascii="宋体" w:hAnsi="宋体" w:cs="宋体" w:eastAsia="宋体" w:hint="default"/>
          <w:spacing w:val="-74"/>
          <w:w w:val="100"/>
          <w:sz w:val="21"/>
          <w:szCs w:val="21"/>
        </w:rPr>
        <w:t> </w:t>
      </w:r>
      <w:r>
        <w:rPr>
          <w:rFonts w:ascii="宋体" w:hAnsi="宋体" w:cs="宋体" w:eastAsia="宋体" w:hint="default"/>
          <w:w w:val="100"/>
          <w:sz w:val="21"/>
          <w:szCs w:val="21"/>
        </w:rPr>
        <w:t>月</w:t>
      </w:r>
      <w:r>
        <w:rPr>
          <w:rFonts w:ascii="宋体" w:hAnsi="宋体" w:cs="宋体" w:eastAsia="宋体" w:hint="default"/>
          <w:spacing w:val="-74"/>
          <w:w w:val="100"/>
          <w:sz w:val="21"/>
          <w:szCs w:val="21"/>
        </w:rPr>
        <w:t> </w:t>
      </w:r>
      <w:r>
        <w:rPr>
          <w:rFonts w:ascii="宋体" w:hAnsi="宋体" w:cs="宋体" w:eastAsia="宋体" w:hint="default"/>
          <w:w w:val="100"/>
          <w:sz w:val="21"/>
          <w:szCs w:val="21"/>
        </w:rPr>
        <w:t>31</w:t>
      </w:r>
      <w:r>
        <w:rPr>
          <w:rFonts w:ascii="宋体" w:hAnsi="宋体" w:cs="宋体" w:eastAsia="宋体" w:hint="default"/>
          <w:spacing w:val="-74"/>
          <w:w w:val="100"/>
          <w:sz w:val="21"/>
          <w:szCs w:val="21"/>
        </w:rPr>
        <w:t> </w:t>
      </w:r>
      <w:r>
        <w:rPr>
          <w:rFonts w:ascii="宋体" w:hAnsi="宋体" w:cs="宋体" w:eastAsia="宋体" w:hint="default"/>
          <w:spacing w:val="-17"/>
          <w:w w:val="100"/>
          <w:sz w:val="21"/>
          <w:szCs w:val="21"/>
        </w:rPr>
        <w:t>日止，月租金为</w:t>
      </w:r>
      <w:r>
        <w:rPr>
          <w:rFonts w:ascii="宋体" w:hAnsi="宋体" w:cs="宋体" w:eastAsia="宋体" w:hint="default"/>
          <w:spacing w:val="-75"/>
          <w:w w:val="100"/>
          <w:sz w:val="21"/>
          <w:szCs w:val="21"/>
        </w:rPr>
        <w:t> </w:t>
      </w:r>
      <w:r>
        <w:rPr>
          <w:rFonts w:ascii="宋体" w:hAnsi="宋体" w:cs="宋体" w:eastAsia="宋体" w:hint="default"/>
          <w:spacing w:val="-1"/>
          <w:w w:val="100"/>
          <w:sz w:val="21"/>
          <w:szCs w:val="21"/>
        </w:rPr>
        <w:t>84,227.00</w:t>
      </w:r>
      <w:r>
        <w:rPr>
          <w:rFonts w:ascii="宋体" w:hAnsi="宋体" w:cs="宋体" w:eastAsia="宋体" w:hint="default"/>
          <w:w w:val="100"/>
          <w:sz w:val="21"/>
          <w:szCs w:val="21"/>
        </w:rPr>
        <w:t> </w:t>
      </w:r>
      <w:r>
        <w:rPr>
          <w:rFonts w:ascii="宋体" w:hAnsi="宋体" w:cs="宋体" w:eastAsia="宋体" w:hint="default"/>
          <w:sz w:val="21"/>
          <w:szCs w:val="21"/>
        </w:rPr>
        <w:t>元。</w:t>
      </w:r>
    </w:p>
    <w:p>
      <w:pPr>
        <w:spacing w:before="4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日，本公司无关联方应收应付款项。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717" w:lineRule="auto" w:before="0"/>
        <w:ind w:left="524" w:right="3676"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日，本公司无需要披露的或有事项。</w:t>
      </w:r>
      <w:r>
        <w:rPr>
          <w:rFonts w:ascii="宋体" w:hAnsi="宋体" w:cs="宋体" w:eastAsia="宋体" w:hint="default"/>
          <w:w w:val="100"/>
          <w:sz w:val="21"/>
          <w:szCs w:val="21"/>
        </w:rPr>
        <w:t> </w:t>
      </w:r>
      <w:r>
        <w:rPr>
          <w:rFonts w:ascii="宋体" w:hAnsi="宋体" w:cs="宋体" w:eastAsia="宋体" w:hint="default"/>
          <w:b/>
          <w:bCs/>
          <w:sz w:val="21"/>
          <w:szCs w:val="21"/>
        </w:rPr>
        <w:t>八、承诺事项</w:t>
      </w:r>
      <w:r>
        <w:rPr>
          <w:rFonts w:ascii="宋体" w:hAnsi="宋体" w:cs="宋体" w:eastAsia="宋体" w:hint="default"/>
          <w:sz w:val="21"/>
          <w:szCs w:val="21"/>
        </w:rPr>
      </w:r>
    </w:p>
    <w:p>
      <w:pPr>
        <w:spacing w:line="715" w:lineRule="auto" w:before="85"/>
        <w:ind w:left="524" w:right="3256"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日，本公司无需要披露的重大承诺事项。</w:t>
      </w:r>
      <w:r>
        <w:rPr>
          <w:rFonts w:ascii="宋体" w:hAnsi="宋体" w:cs="宋体" w:eastAsia="宋体" w:hint="default"/>
          <w:w w:val="100"/>
          <w:sz w:val="21"/>
          <w:szCs w:val="21"/>
        </w:rPr>
        <w:t> </w:t>
      </w: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before="89"/>
        <w:ind w:left="521" w:right="0" w:firstLine="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pacing w:val="-5"/>
          <w:sz w:val="21"/>
          <w:szCs w:val="21"/>
        </w:rPr>
        <w:t>日召开第二届董事会第五次会议，会议通过了《关于审议</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w w:val="100"/>
          <w:sz w:val="21"/>
          <w:szCs w:val="21"/>
        </w:rPr>
        <w:t>度利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同意</w:t>
      </w:r>
      <w:r>
        <w:rPr>
          <w:rFonts w:ascii="宋体" w:hAnsi="宋体" w:cs="宋体" w:eastAsia="宋体" w:hint="default"/>
          <w:w w:val="100"/>
          <w:sz w:val="21"/>
          <w:szCs w:val="21"/>
        </w:rPr>
        <w:t>以</w:t>
      </w:r>
      <w:r>
        <w:rPr>
          <w:rFonts w:ascii="宋体" w:hAnsi="宋体" w:cs="宋体" w:eastAsia="宋体" w:hint="default"/>
          <w:spacing w:val="-50"/>
          <w:sz w:val="21"/>
          <w:szCs w:val="21"/>
        </w:rPr>
        <w:t> </w:t>
      </w:r>
      <w:r>
        <w:rPr>
          <w:rFonts w:ascii="宋体" w:hAnsi="宋体" w:cs="宋体" w:eastAsia="宋体" w:hint="default"/>
          <w:w w:val="100"/>
          <w:sz w:val="21"/>
          <w:szCs w:val="21"/>
        </w:rPr>
        <w:t>2011</w:t>
      </w:r>
      <w:r>
        <w:rPr>
          <w:rFonts w:ascii="宋体" w:hAnsi="宋体" w:cs="宋体" w:eastAsia="宋体" w:hint="default"/>
          <w:spacing w:val="-50"/>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宋体" w:hAnsi="宋体" w:cs="宋体" w:eastAsia="宋体" w:hint="default"/>
          <w:w w:val="100"/>
          <w:sz w:val="21"/>
          <w:szCs w:val="21"/>
        </w:rPr>
        <w:t>12</w:t>
      </w:r>
      <w:r>
        <w:rPr>
          <w:rFonts w:ascii="宋体" w:hAnsi="宋体" w:cs="宋体" w:eastAsia="宋体" w:hint="default"/>
          <w:spacing w:val="-50"/>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31</w:t>
      </w:r>
      <w:r>
        <w:rPr>
          <w:rFonts w:ascii="宋体" w:hAnsi="宋体" w:cs="宋体" w:eastAsia="宋体" w:hint="default"/>
          <w:spacing w:val="-50"/>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司总股</w:t>
      </w:r>
      <w:r>
        <w:rPr>
          <w:rFonts w:ascii="宋体" w:hAnsi="宋体" w:cs="宋体" w:eastAsia="宋体" w:hint="default"/>
          <w:spacing w:val="-50"/>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1,430</w:t>
      </w:r>
      <w:r>
        <w:rPr>
          <w:rFonts w:ascii="宋体" w:hAnsi="宋体" w:cs="宋体" w:eastAsia="宋体" w:hint="default"/>
          <w:spacing w:val="-5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基数</w:t>
      </w:r>
      <w:r>
        <w:rPr>
          <w:rFonts w:ascii="宋体" w:hAnsi="宋体" w:cs="宋体" w:eastAsia="宋体" w:hint="default"/>
          <w:w w:val="100"/>
          <w:sz w:val="21"/>
          <w:szCs w:val="21"/>
        </w:rPr>
        <w:t>，按每</w:t>
      </w:r>
      <w:r>
        <w:rPr>
          <w:rFonts w:ascii="宋体" w:hAnsi="宋体" w:cs="宋体" w:eastAsia="宋体" w:hint="default"/>
          <w:spacing w:val="-51"/>
          <w:sz w:val="21"/>
          <w:szCs w:val="21"/>
        </w:rPr>
        <w:t> </w:t>
      </w:r>
      <w:r>
        <w:rPr>
          <w:rFonts w:ascii="宋体" w:hAnsi="宋体" w:cs="宋体" w:eastAsia="宋体" w:hint="default"/>
          <w:w w:val="100"/>
          <w:sz w:val="21"/>
          <w:szCs w:val="21"/>
        </w:rPr>
        <w:t>10</w:t>
      </w:r>
      <w:r>
        <w:rPr>
          <w:rFonts w:ascii="宋体" w:hAnsi="宋体" w:cs="宋体" w:eastAsia="宋体" w:hint="default"/>
          <w:spacing w:val="-52"/>
          <w:sz w:val="21"/>
          <w:szCs w:val="21"/>
        </w:rPr>
        <w:t> </w:t>
      </w:r>
      <w:r>
        <w:rPr>
          <w:rFonts w:ascii="宋体" w:hAnsi="宋体" w:cs="宋体" w:eastAsia="宋体" w:hint="default"/>
          <w:w w:val="100"/>
          <w:sz w:val="21"/>
          <w:szCs w:val="21"/>
        </w:rPr>
        <w:t>股派</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w w:val="100"/>
          <w:sz w:val="21"/>
          <w:szCs w:val="21"/>
        </w:rPr>
        <w:t>发现</w:t>
      </w:r>
      <w:r>
        <w:rPr>
          <w:rFonts w:ascii="宋体" w:hAnsi="宋体" w:cs="宋体" w:eastAsia="宋体" w:hint="default"/>
          <w:spacing w:val="-3"/>
          <w:w w:val="100"/>
          <w:sz w:val="21"/>
          <w:szCs w:val="21"/>
        </w:rPr>
        <w:t>金红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20"/>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共分</w:t>
      </w:r>
      <w:r>
        <w:rPr>
          <w:rFonts w:ascii="宋体" w:hAnsi="宋体" w:cs="宋体" w:eastAsia="宋体" w:hint="default"/>
          <w:spacing w:val="-3"/>
          <w:w w:val="100"/>
          <w:sz w:val="21"/>
          <w:szCs w:val="21"/>
        </w:rPr>
        <w:t>配</w:t>
      </w:r>
      <w:r>
        <w:rPr>
          <w:rFonts w:ascii="宋体" w:hAnsi="宋体" w:cs="宋体" w:eastAsia="宋体" w:hint="default"/>
          <w:w w:val="100"/>
          <w:sz w:val="21"/>
          <w:szCs w:val="21"/>
        </w:rPr>
        <w:t>现</w:t>
      </w:r>
      <w:r>
        <w:rPr>
          <w:rFonts w:ascii="宋体" w:hAnsi="宋体" w:cs="宋体" w:eastAsia="宋体" w:hint="default"/>
          <w:spacing w:val="-3"/>
          <w:w w:val="100"/>
          <w:sz w:val="21"/>
          <w:szCs w:val="21"/>
        </w:rPr>
        <w:t>金股</w:t>
      </w:r>
      <w:r>
        <w:rPr>
          <w:rFonts w:ascii="宋体" w:hAnsi="宋体" w:cs="宋体" w:eastAsia="宋体" w:hint="default"/>
          <w:w w:val="100"/>
          <w:sz w:val="21"/>
          <w:szCs w:val="21"/>
        </w:rPr>
        <w:t>利</w:t>
      </w:r>
      <w:r>
        <w:rPr>
          <w:rFonts w:ascii="宋体" w:hAnsi="宋体" w:cs="宋体" w:eastAsia="宋体" w:hint="default"/>
          <w:spacing w:val="-52"/>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1</w:t>
      </w:r>
      <w:r>
        <w:rPr>
          <w:rFonts w:ascii="宋体" w:hAnsi="宋体" w:cs="宋体" w:eastAsia="宋体" w:hint="default"/>
          <w:w w:val="100"/>
          <w:sz w:val="21"/>
          <w:szCs w:val="21"/>
        </w:rPr>
        <w:t>43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20"/>
          <w:w w:val="100"/>
          <w:sz w:val="21"/>
          <w:szCs w:val="21"/>
        </w:rPr>
        <w:t>，</w:t>
      </w:r>
      <w:r>
        <w:rPr>
          <w:rFonts w:ascii="宋体" w:hAnsi="宋体" w:cs="宋体" w:eastAsia="宋体" w:hint="default"/>
          <w:w w:val="100"/>
          <w:sz w:val="21"/>
          <w:szCs w:val="21"/>
        </w:rPr>
        <w:t>剩</w:t>
      </w:r>
      <w:r>
        <w:rPr>
          <w:rFonts w:ascii="宋体" w:hAnsi="宋体" w:cs="宋体" w:eastAsia="宋体" w:hint="default"/>
          <w:spacing w:val="-3"/>
          <w:w w:val="100"/>
          <w:sz w:val="21"/>
          <w:szCs w:val="21"/>
        </w:rPr>
        <w:t>余</w:t>
      </w:r>
      <w:r>
        <w:rPr>
          <w:rFonts w:ascii="宋体" w:hAnsi="宋体" w:cs="宋体" w:eastAsia="宋体" w:hint="default"/>
          <w:spacing w:val="-1"/>
          <w:w w:val="100"/>
          <w:sz w:val="21"/>
          <w:szCs w:val="21"/>
        </w:rPr>
        <w:t>未</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结转</w:t>
      </w:r>
      <w:r>
        <w:rPr>
          <w:rFonts w:ascii="宋体" w:hAnsi="宋体" w:cs="宋体" w:eastAsia="宋体" w:hint="default"/>
          <w:w w:val="100"/>
          <w:sz w:val="21"/>
          <w:szCs w:val="21"/>
        </w:rPr>
        <w:t>以后</w:t>
      </w:r>
      <w:r>
        <w:rPr>
          <w:rFonts w:ascii="宋体" w:hAnsi="宋体" w:cs="宋体" w:eastAsia="宋体" w:hint="default"/>
          <w:spacing w:val="-3"/>
          <w:w w:val="100"/>
          <w:sz w:val="21"/>
          <w:szCs w:val="21"/>
        </w:rPr>
        <w:t>年度</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同意</w:t>
      </w:r>
    </w:p>
    <w:p>
      <w:pPr>
        <w:spacing w:line="240" w:lineRule="auto" w:before="10"/>
        <w:rPr>
          <w:rFonts w:ascii="宋体" w:hAnsi="宋体" w:cs="宋体" w:eastAsia="宋体" w:hint="default"/>
          <w:sz w:val="14"/>
          <w:szCs w:val="14"/>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sz w:val="21"/>
          <w:szCs w:val="21"/>
        </w:rPr>
        <w:t>提交</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年度股东大会审议。</w:t>
      </w:r>
    </w:p>
    <w:p>
      <w:pPr>
        <w:spacing w:after="0"/>
        <w:jc w:val="both"/>
        <w:rPr>
          <w:rFonts w:ascii="宋体" w:hAnsi="宋体" w:cs="宋体" w:eastAsia="宋体" w:hint="default"/>
          <w:sz w:val="21"/>
          <w:szCs w:val="21"/>
        </w:rPr>
        <w:sectPr>
          <w:pgSz w:w="11910" w:h="16840"/>
          <w:pgMar w:header="0" w:footer="1195" w:top="1420" w:bottom="1380" w:left="1600" w:right="740"/>
        </w:sectPr>
      </w:pPr>
    </w:p>
    <w:p>
      <w:pPr>
        <w:spacing w:line="240" w:lineRule="auto" w:before="3"/>
        <w:rPr>
          <w:rFonts w:ascii="宋体" w:hAnsi="宋体" w:cs="宋体" w:eastAsia="宋体" w:hint="default"/>
          <w:sz w:val="12"/>
          <w:szCs w:val="12"/>
        </w:rPr>
      </w:pPr>
    </w:p>
    <w:p>
      <w:pPr>
        <w:tabs>
          <w:tab w:pos="1281" w:val="left" w:leader="none"/>
        </w:tabs>
        <w:spacing w:before="36"/>
        <w:ind w:left="444" w:right="0" w:firstLine="0"/>
        <w:jc w:val="left"/>
        <w:rPr>
          <w:rFonts w:ascii="宋体" w:hAnsi="宋体" w:cs="宋体" w:eastAsia="宋体" w:hint="default"/>
          <w:sz w:val="21"/>
          <w:szCs w:val="21"/>
        </w:rPr>
      </w:pPr>
      <w:r>
        <w:rPr>
          <w:rFonts w:ascii="宋体" w:hAnsi="宋体" w:cs="宋体" w:eastAsia="宋体" w:hint="default"/>
          <w:b/>
          <w:bCs/>
          <w:sz w:val="21"/>
          <w:szCs w:val="21"/>
        </w:rPr>
        <w:t>十、</w:t>
        <w:tab/>
        <w:t>其他重要事项说明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44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日，本公司无其他重要事项。</w:t>
      </w:r>
    </w:p>
    <w:p>
      <w:pPr>
        <w:spacing w:after="0"/>
        <w:jc w:val="left"/>
        <w:rPr>
          <w:rFonts w:ascii="宋体" w:hAnsi="宋体" w:cs="宋体" w:eastAsia="宋体" w:hint="default"/>
          <w:sz w:val="21"/>
          <w:szCs w:val="21"/>
        </w:rPr>
        <w:sectPr>
          <w:pgSz w:w="11910" w:h="16840"/>
          <w:pgMar w:header="0" w:footer="1195" w:top="1580" w:bottom="1380" w:left="1680" w:right="1680"/>
        </w:sectPr>
      </w:pPr>
    </w:p>
    <w:p>
      <w:pPr>
        <w:spacing w:before="45"/>
        <w:ind w:left="521" w:right="573" w:firstLine="0"/>
        <w:jc w:val="left"/>
        <w:rPr>
          <w:rFonts w:ascii="宋体" w:hAnsi="宋体" w:cs="宋体" w:eastAsia="宋体" w:hint="default"/>
          <w:sz w:val="21"/>
          <w:szCs w:val="21"/>
        </w:rPr>
      </w:pPr>
      <w:r>
        <w:rPr>
          <w:rFonts w:ascii="宋体" w:hAnsi="宋体" w:cs="宋体" w:eastAsia="宋体" w:hint="default"/>
          <w:sz w:val="21"/>
          <w:szCs w:val="21"/>
        </w:rPr>
        <w:t>十一、母公司财务报表主要项目注释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528" w:lineRule="auto" w:before="0"/>
        <w:ind w:left="630" w:right="6651"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1764"/>
        <w:gridCol w:w="142"/>
        <w:gridCol w:w="1166"/>
        <w:gridCol w:w="880"/>
        <w:gridCol w:w="935"/>
        <w:gridCol w:w="648"/>
        <w:gridCol w:w="134"/>
        <w:gridCol w:w="1112"/>
        <w:gridCol w:w="137"/>
        <w:gridCol w:w="715"/>
        <w:gridCol w:w="134"/>
        <w:gridCol w:w="1102"/>
        <w:gridCol w:w="646"/>
      </w:tblGrid>
      <w:tr>
        <w:trPr>
          <w:trHeight w:val="233" w:hRule="exact"/>
        </w:trPr>
        <w:tc>
          <w:tcPr>
            <w:tcW w:w="17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Style w:val="TableParagraph"/>
              <w:spacing w:line="151" w:lineRule="exact"/>
              <w:ind w:left="42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935" w:type="dxa"/>
            <w:tcBorders>
              <w:top w:val="nil" w:sz="6" w:space="0" w:color="auto"/>
              <w:left w:val="nil" w:sz="6" w:space="0" w:color="auto"/>
              <w:bottom w:val="single" w:sz="4" w:space="0" w:color="000000"/>
              <w:right w:val="nil" w:sz="6" w:space="0" w:color="auto"/>
            </w:tcBorders>
          </w:tcPr>
          <w:p>
            <w:pPr/>
          </w:p>
        </w:tc>
        <w:tc>
          <w:tcPr>
            <w:tcW w:w="64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single" w:sz="4" w:space="0" w:color="000000"/>
              <w:right w:val="nil" w:sz="6" w:space="0" w:color="auto"/>
            </w:tcBorders>
          </w:tcPr>
          <w:p>
            <w:pPr/>
          </w:p>
        </w:tc>
        <w:tc>
          <w:tcPr>
            <w:tcW w:w="2089" w:type="dxa"/>
            <w:gridSpan w:val="4"/>
            <w:tcBorders>
              <w:top w:val="nil" w:sz="6" w:space="0" w:color="auto"/>
              <w:left w:val="nil" w:sz="6" w:space="0" w:color="auto"/>
              <w:bottom w:val="single" w:sz="4" w:space="0" w:color="000000"/>
              <w:right w:val="nil" w:sz="6" w:space="0" w:color="auto"/>
            </w:tcBorders>
          </w:tcPr>
          <w:p>
            <w:pPr>
              <w:pStyle w:val="TableParagraph"/>
              <w:spacing w:line="151" w:lineRule="exact"/>
              <w:ind w:left="58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646"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1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35"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3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22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7"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37" w:type="dxa"/>
            <w:tcBorders>
              <w:top w:val="single" w:sz="4" w:space="0" w:color="000000"/>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20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single" w:sz="4" w:space="0" w:color="000000"/>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2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46"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436"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00" w:lineRule="exact" w:before="1"/>
              <w:ind w:left="28" w:right="28"/>
              <w:jc w:val="left"/>
              <w:rPr>
                <w:rFonts w:ascii="宋体" w:hAnsi="宋体" w:cs="宋体" w:eastAsia="宋体" w:hint="default"/>
                <w:sz w:val="15"/>
                <w:szCs w:val="15"/>
              </w:rPr>
            </w:pPr>
            <w:r>
              <w:rPr>
                <w:rFonts w:ascii="宋体" w:hAnsi="宋体" w:cs="宋体" w:eastAsia="宋体" w:hint="default"/>
                <w:spacing w:val="2"/>
                <w:sz w:val="15"/>
                <w:szCs w:val="15"/>
              </w:rPr>
              <w:t>一、单项金额重大并单项</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计提坏账准备的应收账款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880"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31.95pt;height:.5pt;mso-position-horizontal-relative:char;mso-position-vertical-relative:line" coordorigin="0,0" coordsize="639,10">
                  <v:group style="position:absolute;left:5;top:5;width:630;height:2" coordorigin="5,5" coordsize="630,2">
                    <v:shape style="position:absolute;left:5;top:5;width:630;height:2" coordorigin="5,5" coordsize="630,0" path="m5,5l6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6"/>
              <w:ind w:left="453" w:right="0"/>
              <w:jc w:val="left"/>
              <w:rPr>
                <w:rFonts w:ascii="宋体" w:hAnsi="宋体" w:cs="宋体" w:eastAsia="宋体" w:hint="default"/>
                <w:sz w:val="15"/>
                <w:szCs w:val="15"/>
              </w:rPr>
            </w:pPr>
            <w:r>
              <w:rPr>
                <w:rFonts w:ascii="宋体"/>
                <w:sz w:val="15"/>
              </w:rPr>
              <w:t>---</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w:t>
            </w:r>
          </w:p>
        </w:tc>
        <w:tc>
          <w:tcPr>
            <w:tcW w:w="64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137" w:type="dxa"/>
            <w:tcBorders>
              <w:top w:val="nil" w:sz="6" w:space="0" w:color="auto"/>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0"/>
              <w:jc w:val="right"/>
              <w:rPr>
                <w:rFonts w:ascii="宋体" w:hAnsi="宋体" w:cs="宋体" w:eastAsia="宋体" w:hint="default"/>
                <w:sz w:val="15"/>
                <w:szCs w:val="15"/>
              </w:rPr>
            </w:pPr>
            <w:r>
              <w:rPr>
                <w:rFonts w:ascii="宋体"/>
                <w:spacing w:val="-1"/>
                <w:sz w:val="15"/>
              </w:rPr>
              <w:t>---</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r>
      <w:tr>
        <w:trPr>
          <w:trHeight w:val="593"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381" w:lineRule="auto" w:before="4"/>
              <w:ind w:left="28" w:right="28"/>
              <w:jc w:val="left"/>
              <w:rPr>
                <w:rFonts w:ascii="宋体" w:hAnsi="宋体" w:cs="宋体" w:eastAsia="宋体" w:hint="default"/>
                <w:sz w:val="15"/>
                <w:szCs w:val="15"/>
              </w:rPr>
            </w:pPr>
            <w:r>
              <w:rPr>
                <w:rFonts w:ascii="宋体" w:hAnsi="宋体" w:cs="宋体" w:eastAsia="宋体" w:hint="default"/>
                <w:spacing w:val="2"/>
                <w:sz w:val="15"/>
                <w:szCs w:val="15"/>
              </w:rPr>
              <w:t>二、按账龄组合计提坏账</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准备的应收账款</w:t>
            </w: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149,371,218.58</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28" w:right="0"/>
              <w:jc w:val="left"/>
              <w:rPr>
                <w:rFonts w:ascii="宋体" w:hAnsi="宋体" w:cs="宋体" w:eastAsia="宋体" w:hint="default"/>
                <w:sz w:val="15"/>
                <w:szCs w:val="15"/>
              </w:rPr>
            </w:pPr>
            <w:r>
              <w:rPr>
                <w:rFonts w:ascii="宋体"/>
                <w:sz w:val="15"/>
              </w:rPr>
              <w:t>99.96%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8,530,082.43</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5.71%</w:t>
            </w: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73,808,341.89</w:t>
            </w:r>
          </w:p>
        </w:tc>
        <w:tc>
          <w:tcPr>
            <w:tcW w:w="137"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99.92%</w:t>
            </w:r>
          </w:p>
        </w:tc>
        <w:tc>
          <w:tcPr>
            <w:tcW w:w="13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31"/>
              <w:jc w:val="right"/>
              <w:rPr>
                <w:rFonts w:ascii="宋体" w:hAnsi="宋体" w:cs="宋体" w:eastAsia="宋体" w:hint="default"/>
                <w:sz w:val="15"/>
                <w:szCs w:val="15"/>
              </w:rPr>
            </w:pPr>
            <w:r>
              <w:rPr>
                <w:rFonts w:ascii="宋体"/>
                <w:spacing w:val="-2"/>
                <w:sz w:val="15"/>
              </w:rPr>
              <w:t>3,933,679.89</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5.33%</w:t>
            </w:r>
          </w:p>
        </w:tc>
      </w:tr>
      <w:tr>
        <w:trPr>
          <w:trHeight w:val="96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381" w:lineRule="auto" w:before="35"/>
              <w:ind w:left="28" w:right="28"/>
              <w:jc w:val="both"/>
              <w:rPr>
                <w:rFonts w:ascii="宋体" w:hAnsi="宋体" w:cs="宋体" w:eastAsia="宋体" w:hint="default"/>
                <w:sz w:val="15"/>
                <w:szCs w:val="15"/>
              </w:rPr>
            </w:pPr>
            <w:r>
              <w:rPr>
                <w:rFonts w:ascii="宋体" w:hAnsi="宋体" w:cs="宋体" w:eastAsia="宋体" w:hint="default"/>
                <w:spacing w:val="2"/>
                <w:sz w:val="15"/>
                <w:szCs w:val="15"/>
              </w:rPr>
              <w:t>三、单项金额虽不重大但</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pacing w:val="2"/>
                <w:sz w:val="15"/>
                <w:szCs w:val="15"/>
              </w:rPr>
              <w:t>单项计提坏账准备的应收</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账款</w:t>
            </w: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59,840.00</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0633" cy="9144"/>
                  <wp:effectExtent l="0" t="0" r="0" b="0"/>
                  <wp:docPr id="119" name="image81.png" descr=""/>
                  <wp:cNvGraphicFramePr>
                    <a:graphicFrameLocks noChangeAspect="1"/>
                  </wp:cNvGraphicFramePr>
                  <a:graphic>
                    <a:graphicData uri="http://schemas.openxmlformats.org/drawingml/2006/picture">
                      <pic:pic>
                        <pic:nvPicPr>
                          <pic:cNvPr id="120" name="image81.png"/>
                          <pic:cNvPicPr/>
                        </pic:nvPicPr>
                        <pic:blipFill>
                          <a:blip r:embed="rId143" cstate="print"/>
                          <a:stretch>
                            <a:fillRect/>
                          </a:stretch>
                        </pic:blipFill>
                        <pic:spPr>
                          <a:xfrm>
                            <a:off x="0" y="0"/>
                            <a:ext cx="740633" cy="9144"/>
                          </a:xfrm>
                          <a:prstGeom prst="rect">
                            <a:avLst/>
                          </a:prstGeom>
                        </pic:spPr>
                      </pic:pic>
                    </a:graphicData>
                  </a:graphic>
                </wp:inline>
              </w:drawing>
            </w:r>
            <w:r>
              <w:rPr>
                <w:rFonts w:ascii="宋体" w:hAnsi="宋体" w:cs="宋体" w:eastAsia="宋体" w:hint="default"/>
                <w:sz w:val="2"/>
                <w:szCs w:val="2"/>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04" w:right="0"/>
              <w:jc w:val="left"/>
              <w:rPr>
                <w:rFonts w:ascii="宋体" w:hAnsi="宋体" w:cs="宋体" w:eastAsia="宋体" w:hint="default"/>
                <w:sz w:val="15"/>
                <w:szCs w:val="15"/>
              </w:rPr>
            </w:pPr>
            <w:r>
              <w:rPr>
                <w:rFonts w:ascii="宋体"/>
                <w:sz w:val="15"/>
              </w:rPr>
              <w:t>0.04%</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525" cy="9144"/>
                  <wp:effectExtent l="0" t="0" r="0" b="0"/>
                  <wp:docPr id="121" name="image82.png" descr=""/>
                  <wp:cNvGraphicFramePr>
                    <a:graphicFrameLocks noChangeAspect="1"/>
                  </wp:cNvGraphicFramePr>
                  <a:graphic>
                    <a:graphicData uri="http://schemas.openxmlformats.org/drawingml/2006/picture">
                      <pic:pic>
                        <pic:nvPicPr>
                          <pic:cNvPr id="122" name="image82.png"/>
                          <pic:cNvPicPr/>
                        </pic:nvPicPr>
                        <pic:blipFill>
                          <a:blip r:embed="rId144" cstate="print"/>
                          <a:stretch>
                            <a:fillRect/>
                          </a:stretch>
                        </pic:blipFill>
                        <pic:spPr>
                          <a:xfrm>
                            <a:off x="0" y="0"/>
                            <a:ext cx="399525" cy="9144"/>
                          </a:xfrm>
                          <a:prstGeom prst="rect">
                            <a:avLst/>
                          </a:prstGeom>
                        </pic:spPr>
                      </pic:pic>
                    </a:graphicData>
                  </a:graphic>
                </wp:inline>
              </w:drawing>
            </w:r>
            <w:r>
              <w:rPr>
                <w:rFonts w:ascii="宋体" w:hAnsi="宋体" w:cs="宋体" w:eastAsia="宋体" w:hint="default"/>
                <w:sz w:val="2"/>
                <w:szCs w:val="2"/>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59,840.00</w:t>
            </w:r>
          </w:p>
        </w:tc>
        <w:tc>
          <w:tcPr>
            <w:tcW w:w="137"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0.08%</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7"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9561" cy="9144"/>
                  <wp:effectExtent l="0" t="0" r="0" b="0"/>
                  <wp:docPr id="123" name="image83.png" descr=""/>
                  <wp:cNvGraphicFramePr>
                    <a:graphicFrameLocks noChangeAspect="1"/>
                  </wp:cNvGraphicFramePr>
                  <a:graphic>
                    <a:graphicData uri="http://schemas.openxmlformats.org/drawingml/2006/picture">
                      <pic:pic>
                        <pic:nvPicPr>
                          <pic:cNvPr id="124" name="image83.png"/>
                          <pic:cNvPicPr/>
                        </pic:nvPicPr>
                        <pic:blipFill>
                          <a:blip r:embed="rId145" cstate="print"/>
                          <a:stretch>
                            <a:fillRect/>
                          </a:stretch>
                        </pic:blipFill>
                        <pic:spPr>
                          <a:xfrm>
                            <a:off x="0" y="0"/>
                            <a:ext cx="449561" cy="9144"/>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5169" cy="9144"/>
                  <wp:effectExtent l="0" t="0" r="0" b="0"/>
                  <wp:docPr id="125" name="image84.png" descr=""/>
                  <wp:cNvGraphicFramePr>
                    <a:graphicFrameLocks noChangeAspect="1"/>
                  </wp:cNvGraphicFramePr>
                  <a:graphic>
                    <a:graphicData uri="http://schemas.openxmlformats.org/drawingml/2006/picture">
                      <pic:pic>
                        <pic:nvPicPr>
                          <pic:cNvPr id="126" name="image84.png"/>
                          <pic:cNvPicPr/>
                        </pic:nvPicPr>
                        <pic:blipFill>
                          <a:blip r:embed="rId146" cstate="print"/>
                          <a:stretch>
                            <a:fillRect/>
                          </a:stretch>
                        </pic:blipFill>
                        <pic:spPr>
                          <a:xfrm>
                            <a:off x="0" y="0"/>
                            <a:ext cx="695169" cy="9144"/>
                          </a:xfrm>
                          <a:prstGeom prst="rect">
                            <a:avLst/>
                          </a:prstGeom>
                        </pic:spPr>
                      </pic:pic>
                    </a:graphicData>
                  </a:graphic>
                </wp:inline>
              </w:drawing>
            </w:r>
            <w:r>
              <w:rPr>
                <w:rFonts w:ascii="宋体" w:hAnsi="宋体" w:cs="宋体" w:eastAsia="宋体" w:hint="default"/>
                <w:sz w:val="2"/>
                <w:szCs w:val="2"/>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47"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149,431,058.58</w:t>
            </w:r>
          </w:p>
        </w:tc>
        <w:tc>
          <w:tcPr>
            <w:tcW w:w="880"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379" w:right="0"/>
              <w:jc w:val="left"/>
              <w:rPr>
                <w:rFonts w:ascii="宋体" w:hAnsi="宋体" w:cs="宋体" w:eastAsia="宋体" w:hint="default"/>
                <w:sz w:val="15"/>
                <w:szCs w:val="15"/>
              </w:rPr>
            </w:pPr>
            <w:r>
              <w:rPr>
                <w:rFonts w:ascii="宋体"/>
                <w:sz w:val="15"/>
              </w:rPr>
              <w:t>100%</w:t>
            </w:r>
          </w:p>
        </w:tc>
        <w:tc>
          <w:tcPr>
            <w:tcW w:w="935"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6"/>
              <w:jc w:val="right"/>
              <w:rPr>
                <w:rFonts w:ascii="宋体" w:hAnsi="宋体" w:cs="宋体" w:eastAsia="宋体" w:hint="default"/>
                <w:sz w:val="15"/>
                <w:szCs w:val="15"/>
              </w:rPr>
            </w:pPr>
            <w:r>
              <w:rPr>
                <w:rFonts w:ascii="宋体"/>
                <w:spacing w:val="-2"/>
                <w:sz w:val="15"/>
              </w:rPr>
              <w:t>8,530,082.43</w:t>
            </w:r>
          </w:p>
        </w:tc>
        <w:tc>
          <w:tcPr>
            <w:tcW w:w="648"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5.71%</w:t>
            </w:r>
          </w:p>
        </w:tc>
        <w:tc>
          <w:tcPr>
            <w:tcW w:w="13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9"/>
              <w:jc w:val="right"/>
              <w:rPr>
                <w:rFonts w:ascii="宋体" w:hAnsi="宋体" w:cs="宋体" w:eastAsia="宋体" w:hint="default"/>
                <w:sz w:val="15"/>
                <w:szCs w:val="15"/>
              </w:rPr>
            </w:pPr>
            <w:r>
              <w:rPr>
                <w:rFonts w:ascii="宋体"/>
                <w:spacing w:val="-2"/>
                <w:sz w:val="15"/>
              </w:rPr>
              <w:t>73,868,181.89</w:t>
            </w:r>
            <w:r>
              <w:rPr>
                <w:rFonts w:ascii="宋体"/>
                <w:sz w:val="15"/>
              </w:rPr>
            </w:r>
          </w:p>
        </w:tc>
        <w:tc>
          <w:tcPr>
            <w:tcW w:w="137"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31"/>
              <w:jc w:val="right"/>
              <w:rPr>
                <w:rFonts w:ascii="宋体" w:hAnsi="宋体" w:cs="宋体" w:eastAsia="宋体" w:hint="default"/>
                <w:sz w:val="15"/>
                <w:szCs w:val="15"/>
              </w:rPr>
            </w:pPr>
            <w:r>
              <w:rPr>
                <w:rFonts w:ascii="宋体"/>
                <w:spacing w:val="-2"/>
                <w:sz w:val="15"/>
              </w:rPr>
              <w:t>3,933,679.89</w:t>
            </w:r>
          </w:p>
        </w:tc>
        <w:tc>
          <w:tcPr>
            <w:tcW w:w="646"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5.33%</w:t>
            </w:r>
          </w:p>
        </w:tc>
      </w:tr>
    </w:tbl>
    <w:p>
      <w:pPr>
        <w:spacing w:line="240" w:lineRule="auto" w:before="13"/>
        <w:rPr>
          <w:rFonts w:ascii="宋体" w:hAnsi="宋体" w:cs="宋体" w:eastAsia="宋体" w:hint="default"/>
          <w:b/>
          <w:bCs/>
          <w:sz w:val="25"/>
          <w:szCs w:val="25"/>
        </w:rPr>
      </w:pPr>
    </w:p>
    <w:p>
      <w:pPr>
        <w:spacing w:before="36"/>
        <w:ind w:left="524" w:right="573" w:firstLine="0"/>
        <w:jc w:val="left"/>
        <w:rPr>
          <w:rFonts w:ascii="宋体" w:hAnsi="宋体" w:cs="宋体" w:eastAsia="宋体" w:hint="default"/>
          <w:sz w:val="21"/>
          <w:szCs w:val="21"/>
        </w:rPr>
      </w:pPr>
      <w:r>
        <w:rPr/>
        <w:pict>
          <v:shape style="position:absolute;margin-left:278.230011pt;margin-top:-36.216354pt;width:51.237865pt;height:.72pt;mso-position-horizontal-relative:page;mso-position-vertical-relative:paragraph;z-index:-645592" type="#_x0000_t75" stroked="false">
            <v:imagedata r:id="rId147" o:title=""/>
          </v:shape>
        </w:pict>
      </w:r>
      <w:r>
        <w:rPr/>
        <w:pict>
          <v:shape style="position:absolute;margin-left:333.549988pt;margin-top:-36.216354pt;width:28.31884pt;height:.72pt;mso-position-horizontal-relative:page;mso-position-vertical-relative:paragraph;z-index:6568" type="#_x0000_t75" stroked="false">
            <v:imagedata r:id="rId148" o:title=""/>
          </v:shape>
        </w:pict>
      </w:r>
      <w:r>
        <w:rPr/>
        <w:pict>
          <v:shape style="position:absolute;margin-left:368.950012pt;margin-top:-36.216354pt;width:55.227679pt;height:.72pt;mso-position-horizontal-relative:page;mso-position-vertical-relative:paragraph;z-index:-645544" type="#_x0000_t75" stroked="false">
            <v:imagedata r:id="rId149" o:title=""/>
          </v:shape>
        </w:pict>
      </w:r>
      <w:r>
        <w:rPr/>
        <w:pict>
          <v:shape style="position:absolute;margin-left:532.559998pt;margin-top:-36.216354pt;width:28.31884pt;height:.72pt;mso-position-horizontal-relative:page;mso-position-vertical-relative:paragraph;z-index:6616" type="#_x0000_t75" stroked="false">
            <v:imagedata r:id="rId150"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1803"/>
        <w:gridCol w:w="1334"/>
        <w:gridCol w:w="1148"/>
        <w:gridCol w:w="1315"/>
        <w:gridCol w:w="1428"/>
        <w:gridCol w:w="1093"/>
        <w:gridCol w:w="1385"/>
      </w:tblGrid>
      <w:tr>
        <w:trPr>
          <w:trHeight w:val="272" w:hRule="exact"/>
        </w:trPr>
        <w:tc>
          <w:tcPr>
            <w:tcW w:w="180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15" w:type="dxa"/>
            <w:tcBorders>
              <w:top w:val="nil" w:sz="6" w:space="0" w:color="auto"/>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
        </w:tc>
        <w:tc>
          <w:tcPr>
            <w:tcW w:w="1093" w:type="dxa"/>
            <w:tcBorders>
              <w:top w:val="nil" w:sz="6" w:space="0" w:color="auto"/>
              <w:left w:val="nil" w:sz="6" w:space="0" w:color="auto"/>
              <w:bottom w:val="single" w:sz="4" w:space="0" w:color="000000"/>
              <w:right w:val="nil" w:sz="6" w:space="0" w:color="auto"/>
            </w:tcBorders>
          </w:tcPr>
          <w:p>
            <w:pPr>
              <w:pStyle w:val="TableParagraph"/>
              <w:spacing w:line="180" w:lineRule="exact"/>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5"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sz w:val="18"/>
                <w:szCs w:val="18"/>
              </w:rPr>
              <w:t>账龄</w:t>
            </w:r>
          </w:p>
        </w:tc>
        <w:tc>
          <w:tcPr>
            <w:tcW w:w="1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8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8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1" w:hRule="exact"/>
        </w:trPr>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144,632,780.57</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96.79%</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7,231,639.03</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72,186,589.89</w:t>
            </w: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97.72%</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3,609,329.49</w:t>
            </w:r>
          </w:p>
        </w:tc>
      </w:tr>
      <w:tr>
        <w:trPr>
          <w:trHeight w:val="368"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3,569,252.01</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2.39%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713,850.40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宋体" w:hAnsi="宋体" w:cs="宋体" w:eastAsia="宋体" w:hint="default"/>
                <w:sz w:val="18"/>
                <w:szCs w:val="18"/>
              </w:rPr>
            </w:pPr>
            <w:r>
              <w:rPr>
                <w:rFonts w:ascii="宋体"/>
                <w:spacing w:val="-1"/>
                <w:sz w:val="18"/>
              </w:rPr>
              <w:t>1,621,752.00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2.20%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8"/>
                <w:szCs w:val="18"/>
              </w:rPr>
            </w:pPr>
            <w:r>
              <w:rPr>
                <w:rFonts w:ascii="宋体"/>
                <w:spacing w:val="-1"/>
                <w:sz w:val="18"/>
              </w:rPr>
              <w:t>324,350.40</w:t>
            </w:r>
          </w:p>
        </w:tc>
      </w:tr>
      <w:tr>
        <w:trPr>
          <w:trHeight w:val="370"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1,169,186.00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0.78%</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584,593.00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7"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7379" cy="9144"/>
                  <wp:effectExtent l="0" t="0" r="0" b="0"/>
                  <wp:docPr id="127" name="image89.png" descr=""/>
                  <wp:cNvGraphicFramePr>
                    <a:graphicFrameLocks noChangeAspect="1"/>
                  </wp:cNvGraphicFramePr>
                  <a:graphic>
                    <a:graphicData uri="http://schemas.openxmlformats.org/drawingml/2006/picture">
                      <pic:pic>
                        <pic:nvPicPr>
                          <pic:cNvPr id="128" name="image89.png"/>
                          <pic:cNvPicPr/>
                        </pic:nvPicPr>
                        <pic:blipFill>
                          <a:blip r:embed="rId151" cstate="print"/>
                          <a:stretch>
                            <a:fillRect/>
                          </a:stretch>
                        </pic:blipFill>
                        <pic:spPr>
                          <a:xfrm>
                            <a:off x="0" y="0"/>
                            <a:ext cx="847379" cy="9144"/>
                          </a:xfrm>
                          <a:prstGeom prst="rect">
                            <a:avLst/>
                          </a:prstGeom>
                        </pic:spPr>
                      </pic:pic>
                    </a:graphicData>
                  </a:graphic>
                </wp:inline>
              </w:drawing>
            </w:r>
            <w:r>
              <w:rPr>
                <w:rFonts w:ascii="宋体" w:hAnsi="宋体" w:cs="宋体" w:eastAsia="宋体" w:hint="default"/>
                <w:sz w:val="2"/>
                <w:szCs w:val="2"/>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5414" cy="9144"/>
                  <wp:effectExtent l="0" t="0" r="0" b="0"/>
                  <wp:docPr id="129" name="image90.png" descr=""/>
                  <wp:cNvGraphicFramePr>
                    <a:graphicFrameLocks noChangeAspect="1"/>
                  </wp:cNvGraphicFramePr>
                  <a:graphic>
                    <a:graphicData uri="http://schemas.openxmlformats.org/drawingml/2006/picture">
                      <pic:pic>
                        <pic:nvPicPr>
                          <pic:cNvPr id="130" name="image90.png"/>
                          <pic:cNvPicPr/>
                        </pic:nvPicPr>
                        <pic:blipFill>
                          <a:blip r:embed="rId152" cstate="print"/>
                          <a:stretch>
                            <a:fillRect/>
                          </a:stretch>
                        </pic:blipFill>
                        <pic:spPr>
                          <a:xfrm>
                            <a:off x="0" y="0"/>
                            <a:ext cx="675414" cy="9144"/>
                          </a:xfrm>
                          <a:prstGeom prst="rect">
                            <a:avLst/>
                          </a:prstGeom>
                        </pic:spPr>
                      </pic:pic>
                    </a:graphicData>
                  </a:graphic>
                </wp:inline>
              </w:drawing>
            </w:r>
            <w:r>
              <w:rPr>
                <w:rFonts w:ascii="宋体" w:hAnsi="宋体" w:cs="宋体" w:eastAsia="宋体" w:hint="default"/>
                <w:sz w:val="2"/>
                <w:szCs w:val="2"/>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81844" cy="9144"/>
                  <wp:effectExtent l="0" t="0" r="0" b="0"/>
                  <wp:docPr id="131" name="image91.png" descr=""/>
                  <wp:cNvGraphicFramePr>
                    <a:graphicFrameLocks noChangeAspect="1"/>
                  </wp:cNvGraphicFramePr>
                  <a:graphic>
                    <a:graphicData uri="http://schemas.openxmlformats.org/drawingml/2006/picture">
                      <pic:pic>
                        <pic:nvPicPr>
                          <pic:cNvPr id="132" name="image91.png"/>
                          <pic:cNvPicPr/>
                        </pic:nvPicPr>
                        <pic:blipFill>
                          <a:blip r:embed="rId153" cstate="print"/>
                          <a:stretch>
                            <a:fillRect/>
                          </a:stretch>
                        </pic:blipFill>
                        <pic:spPr>
                          <a:xfrm>
                            <a:off x="0" y="0"/>
                            <a:ext cx="781844" cy="9144"/>
                          </a:xfrm>
                          <a:prstGeom prst="rect">
                            <a:avLst/>
                          </a:prstGeom>
                        </pic:spPr>
                      </pic:pic>
                    </a:graphicData>
                  </a:graphic>
                </wp:inline>
              </w:drawing>
            </w:r>
            <w:r>
              <w:rPr>
                <w:rFonts w:ascii="宋体" w:hAnsi="宋体" w:cs="宋体" w:eastAsia="宋体" w:hint="default"/>
                <w:sz w:val="2"/>
                <w:szCs w:val="2"/>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411" cy="9144"/>
                  <wp:effectExtent l="0" t="0" r="0" b="0"/>
                  <wp:docPr id="133" name="image92.png" descr=""/>
                  <wp:cNvGraphicFramePr>
                    <a:graphicFrameLocks noChangeAspect="1"/>
                  </wp:cNvGraphicFramePr>
                  <a:graphic>
                    <a:graphicData uri="http://schemas.openxmlformats.org/drawingml/2006/picture">
                      <pic:pic>
                        <pic:nvPicPr>
                          <pic:cNvPr id="134" name="image92.png"/>
                          <pic:cNvPicPr/>
                        </pic:nvPicPr>
                        <pic:blipFill>
                          <a:blip r:embed="rId154" cstate="print"/>
                          <a:stretch>
                            <a:fillRect/>
                          </a:stretch>
                        </pic:blipFill>
                        <pic:spPr>
                          <a:xfrm>
                            <a:off x="0" y="0"/>
                            <a:ext cx="640411" cy="9144"/>
                          </a:xfrm>
                          <a:prstGeom prst="rect">
                            <a:avLst/>
                          </a:prstGeom>
                        </pic:spPr>
                      </pic:pic>
                    </a:graphicData>
                  </a:graphic>
                </wp:inline>
              </w:drawing>
            </w:r>
            <w:r>
              <w:rPr>
                <w:rFonts w:ascii="宋体" w:hAnsi="宋体" w:cs="宋体" w:eastAsia="宋体" w:hint="default"/>
                <w:sz w:val="2"/>
                <w:szCs w:val="2"/>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93"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2"/>
              <w:jc w:val="center"/>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149,371,218.58</w:t>
            </w:r>
          </w:p>
        </w:tc>
        <w:tc>
          <w:tcPr>
            <w:tcW w:w="1148"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99.96%</w:t>
            </w:r>
          </w:p>
        </w:tc>
        <w:tc>
          <w:tcPr>
            <w:tcW w:w="1315"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8,530,082.43</w:t>
            </w:r>
          </w:p>
        </w:tc>
        <w:tc>
          <w:tcPr>
            <w:tcW w:w="142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856" cy="9144"/>
                  <wp:effectExtent l="0" t="0" r="0" b="0"/>
                  <wp:docPr id="135" name="image93.png" descr=""/>
                  <wp:cNvGraphicFramePr>
                    <a:graphicFrameLocks noChangeAspect="1"/>
                  </wp:cNvGraphicFramePr>
                  <a:graphic>
                    <a:graphicData uri="http://schemas.openxmlformats.org/drawingml/2006/picture">
                      <pic:pic>
                        <pic:nvPicPr>
                          <pic:cNvPr id="136" name="image93.png"/>
                          <pic:cNvPicPr/>
                        </pic:nvPicPr>
                        <pic:blipFill>
                          <a:blip r:embed="rId155" cstate="print"/>
                          <a:stretch>
                            <a:fillRect/>
                          </a:stretch>
                        </pic:blipFill>
                        <pic:spPr>
                          <a:xfrm>
                            <a:off x="0" y="0"/>
                            <a:ext cx="85385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7"/>
              <w:jc w:val="right"/>
              <w:rPr>
                <w:rFonts w:ascii="宋体" w:hAnsi="宋体" w:cs="宋体" w:eastAsia="宋体" w:hint="default"/>
                <w:sz w:val="18"/>
                <w:szCs w:val="18"/>
              </w:rPr>
            </w:pPr>
            <w:r>
              <w:rPr>
                <w:rFonts w:ascii="宋体"/>
                <w:spacing w:val="-1"/>
                <w:sz w:val="18"/>
              </w:rPr>
              <w:t>73,808,341.89</w:t>
            </w:r>
          </w:p>
        </w:tc>
        <w:tc>
          <w:tcPr>
            <w:tcW w:w="1093"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99.92%</w:t>
            </w:r>
          </w:p>
        </w:tc>
        <w:tc>
          <w:tcPr>
            <w:tcW w:w="138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9091" cy="9144"/>
                  <wp:effectExtent l="0" t="0" r="0" b="0"/>
                  <wp:docPr id="137" name="image94.png" descr=""/>
                  <wp:cNvGraphicFramePr>
                    <a:graphicFrameLocks noChangeAspect="1"/>
                  </wp:cNvGraphicFramePr>
                  <a:graphic>
                    <a:graphicData uri="http://schemas.openxmlformats.org/drawingml/2006/picture">
                      <pic:pic>
                        <pic:nvPicPr>
                          <pic:cNvPr id="138" name="image94.png"/>
                          <pic:cNvPicPr/>
                        </pic:nvPicPr>
                        <pic:blipFill>
                          <a:blip r:embed="rId156" cstate="print"/>
                          <a:stretch>
                            <a:fillRect/>
                          </a:stretch>
                        </pic:blipFill>
                        <pic:spPr>
                          <a:xfrm>
                            <a:off x="0" y="0"/>
                            <a:ext cx="82909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6"/>
              <w:jc w:val="right"/>
              <w:rPr>
                <w:rFonts w:ascii="宋体" w:hAnsi="宋体" w:cs="宋体" w:eastAsia="宋体" w:hint="default"/>
                <w:sz w:val="18"/>
                <w:szCs w:val="18"/>
              </w:rPr>
            </w:pPr>
            <w:r>
              <w:rPr>
                <w:rFonts w:ascii="宋体"/>
                <w:spacing w:val="-1"/>
                <w:sz w:val="18"/>
              </w:rPr>
              <w:t>3,933,679.89</w:t>
            </w:r>
          </w:p>
        </w:tc>
      </w:tr>
    </w:tbl>
    <w:p>
      <w:pPr>
        <w:spacing w:line="240" w:lineRule="auto" w:before="0"/>
        <w:rPr>
          <w:rFonts w:ascii="宋体" w:hAnsi="宋体" w:cs="宋体" w:eastAsia="宋体" w:hint="default"/>
          <w:b/>
          <w:bCs/>
          <w:sz w:val="26"/>
          <w:szCs w:val="26"/>
        </w:rPr>
      </w:pPr>
    </w:p>
    <w:p>
      <w:pPr>
        <w:spacing w:before="36"/>
        <w:ind w:left="524" w:right="57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．应收账款期末数中无持本公司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24" w:right="57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．应收账款期末数中欠款金额前五名：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3178"/>
        <w:gridCol w:w="154"/>
        <w:gridCol w:w="1443"/>
        <w:gridCol w:w="120"/>
        <w:gridCol w:w="1407"/>
        <w:gridCol w:w="1611"/>
        <w:gridCol w:w="136"/>
        <w:gridCol w:w="1389"/>
      </w:tblGrid>
      <w:tr>
        <w:trPr>
          <w:trHeight w:val="447" w:hRule="exact"/>
        </w:trPr>
        <w:tc>
          <w:tcPr>
            <w:tcW w:w="317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0"/>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35"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single" w:sz="4" w:space="0" w:color="000000"/>
              <w:right w:val="nil" w:sz="6" w:space="0" w:color="auto"/>
            </w:tcBorders>
          </w:tcPr>
          <w:p>
            <w:pPr>
              <w:pStyle w:val="TableParagraph"/>
              <w:spacing w:line="180" w:lineRule="exact"/>
              <w:ind w:left="239"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43" w:hRule="exact"/>
        </w:trPr>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银联商务有限公司</w:t>
            </w:r>
            <w:r>
              <w:rPr>
                <w:rFonts w:ascii="宋体" w:hAnsi="宋体" w:cs="宋体" w:eastAsia="宋体" w:hint="default"/>
                <w:sz w:val="18"/>
                <w:szCs w:val="18"/>
              </w:rPr>
              <w:t>(</w:t>
            </w:r>
            <w:r>
              <w:rPr>
                <w:rFonts w:ascii="宋体" w:hAnsi="宋体" w:cs="宋体" w:eastAsia="宋体" w:hint="default"/>
                <w:sz w:val="18"/>
                <w:szCs w:val="18"/>
              </w:rPr>
              <w:t>含广银联、深银联</w:t>
            </w:r>
            <w:r>
              <w:rPr>
                <w:rFonts w:ascii="宋体" w:hAnsi="宋体" w:cs="宋体" w:eastAsia="宋体" w:hint="default"/>
                <w:sz w:val="18"/>
                <w:szCs w:val="18"/>
              </w:rPr>
              <w:t>)</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92,546,689.32</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61.96%</w:t>
            </w:r>
          </w:p>
        </w:tc>
      </w:tr>
      <w:tr>
        <w:trPr>
          <w:trHeight w:val="341"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12,517,310.00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8.38%</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4,097,942.00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2.74%</w:t>
            </w:r>
          </w:p>
        </w:tc>
      </w:tr>
      <w:tr>
        <w:trPr>
          <w:trHeight w:val="3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 w:right="0"/>
              <w:jc w:val="left"/>
              <w:rPr>
                <w:rFonts w:ascii="宋体" w:hAnsi="宋体" w:cs="宋体" w:eastAsia="宋体" w:hint="default"/>
                <w:sz w:val="18"/>
                <w:szCs w:val="18"/>
              </w:rPr>
            </w:pPr>
            <w:r>
              <w:rPr>
                <w:rFonts w:ascii="宋体" w:hAnsi="宋体" w:cs="宋体" w:eastAsia="宋体" w:hint="default"/>
                <w:sz w:val="18"/>
                <w:szCs w:val="18"/>
              </w:rPr>
              <w:t>长沙卡友信息服务有限公司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pacing w:val="-1"/>
                <w:sz w:val="18"/>
              </w:rPr>
              <w:t>4,067,600.00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8"/>
                <w:szCs w:val="18"/>
              </w:rPr>
            </w:pPr>
            <w:r>
              <w:rPr>
                <w:rFonts w:ascii="宋体"/>
                <w:sz w:val="18"/>
              </w:rPr>
              <w:t>2.72%</w:t>
            </w:r>
          </w:p>
        </w:tc>
      </w:tr>
      <w:tr>
        <w:trPr>
          <w:trHeight w:val="348"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3,090,429.60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2.07%</w:t>
            </w:r>
          </w:p>
        </w:tc>
      </w:tr>
      <w:tr>
        <w:trPr>
          <w:trHeight w:val="36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116,319,970.92</w:t>
            </w:r>
          </w:p>
        </w:tc>
        <w:tc>
          <w:tcPr>
            <w:tcW w:w="161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77.87%</w:t>
            </w:r>
          </w:p>
        </w:tc>
      </w:tr>
    </w:tbl>
    <w:p>
      <w:pPr>
        <w:spacing w:after="0" w:line="240" w:lineRule="auto"/>
        <w:jc w:val="right"/>
        <w:rPr>
          <w:rFonts w:ascii="宋体" w:hAnsi="宋体" w:cs="宋体" w:eastAsia="宋体" w:hint="default"/>
          <w:sz w:val="18"/>
          <w:szCs w:val="18"/>
        </w:rPr>
        <w:sectPr>
          <w:footerReference w:type="default" r:id="rId142"/>
          <w:pgSz w:w="11910" w:h="16840"/>
          <w:pgMar w:footer="1195" w:header="0" w:top="1580" w:bottom="1380" w:left="1600" w:right="580"/>
        </w:sectPr>
      </w:pPr>
    </w:p>
    <w:p>
      <w:pPr>
        <w:spacing w:line="408" w:lineRule="auto" w:before="24"/>
        <w:ind w:left="102" w:right="724" w:firstLine="422"/>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6"/>
          <w:sz w:val="21"/>
          <w:szCs w:val="21"/>
        </w:rPr>
        <w:t> </w:t>
      </w:r>
      <w:r>
        <w:rPr>
          <w:rFonts w:ascii="宋体" w:hAnsi="宋体" w:cs="宋体" w:eastAsia="宋体" w:hint="default"/>
          <w:b/>
          <w:bCs/>
          <w:sz w:val="21"/>
          <w:szCs w:val="21"/>
        </w:rPr>
        <w:t>应收账款期末数比期初数增加</w:t>
      </w:r>
      <w:r>
        <w:rPr>
          <w:rFonts w:ascii="宋体" w:hAnsi="宋体" w:cs="宋体" w:eastAsia="宋体" w:hint="default"/>
          <w:b/>
          <w:bCs/>
          <w:spacing w:val="-51"/>
          <w:sz w:val="21"/>
          <w:szCs w:val="21"/>
        </w:rPr>
        <w:t> </w:t>
      </w:r>
      <w:r>
        <w:rPr>
          <w:rFonts w:ascii="宋体" w:hAnsi="宋体" w:cs="宋体" w:eastAsia="宋体" w:hint="default"/>
          <w:b/>
          <w:bCs/>
          <w:sz w:val="21"/>
          <w:szCs w:val="21"/>
        </w:rPr>
        <w:t>75,562,876.69</w:t>
      </w:r>
      <w:r>
        <w:rPr>
          <w:rFonts w:ascii="宋体" w:hAnsi="宋体" w:cs="宋体" w:eastAsia="宋体" w:hint="default"/>
          <w:b/>
          <w:bCs/>
          <w:spacing w:val="-50"/>
          <w:sz w:val="21"/>
          <w:szCs w:val="21"/>
        </w:rPr>
        <w:t> </w:t>
      </w:r>
      <w:r>
        <w:rPr>
          <w:rFonts w:ascii="宋体" w:hAnsi="宋体" w:cs="宋体" w:eastAsia="宋体" w:hint="default"/>
          <w:b/>
          <w:bCs/>
          <w:spacing w:val="-7"/>
          <w:sz w:val="21"/>
          <w:szCs w:val="21"/>
        </w:rPr>
        <w:t>元，增幅为</w:t>
      </w:r>
      <w:r>
        <w:rPr>
          <w:rFonts w:ascii="宋体" w:hAnsi="宋体" w:cs="宋体" w:eastAsia="宋体" w:hint="default"/>
          <w:b/>
          <w:bCs/>
          <w:spacing w:val="-50"/>
          <w:sz w:val="21"/>
          <w:szCs w:val="21"/>
        </w:rPr>
        <w:t> </w:t>
      </w:r>
      <w:r>
        <w:rPr>
          <w:rFonts w:ascii="宋体" w:hAnsi="宋体" w:cs="宋体" w:eastAsia="宋体" w:hint="default"/>
          <w:b/>
          <w:bCs/>
          <w:spacing w:val="-5"/>
          <w:sz w:val="21"/>
          <w:szCs w:val="21"/>
        </w:rPr>
        <w:t>102.29%</w:t>
      </w:r>
      <w:r>
        <w:rPr>
          <w:rFonts w:ascii="宋体" w:hAnsi="宋体" w:cs="宋体" w:eastAsia="宋体" w:hint="default"/>
          <w:b/>
          <w:bCs/>
          <w:spacing w:val="-5"/>
          <w:sz w:val="21"/>
          <w:szCs w:val="21"/>
        </w:rPr>
        <w:t>，增加原因为：本期</w:t>
      </w:r>
      <w:r>
        <w:rPr>
          <w:rFonts w:ascii="宋体" w:hAnsi="宋体" w:cs="宋体" w:eastAsia="宋体" w:hint="default"/>
          <w:b/>
          <w:bCs/>
          <w:w w:val="100"/>
          <w:sz w:val="21"/>
          <w:szCs w:val="21"/>
        </w:rPr>
        <w:t> </w:t>
      </w:r>
      <w:r>
        <w:rPr>
          <w:rFonts w:ascii="宋体" w:hAnsi="宋体" w:cs="宋体" w:eastAsia="宋体" w:hint="default"/>
          <w:b/>
          <w:bCs/>
          <w:spacing w:val="-2"/>
          <w:sz w:val="21"/>
          <w:szCs w:val="21"/>
        </w:rPr>
        <w:t>销售规模扩大；受行业主要客户招标期间的影响，本公司的销售大部分集中在下半年，同时对</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1"/>
          <w:szCs w:val="21"/>
        </w:rPr>
        <w:t>主要客户合同约定销售回款有</w:t>
      </w:r>
      <w:r>
        <w:rPr>
          <w:rFonts w:ascii="宋体" w:hAnsi="宋体" w:cs="宋体" w:eastAsia="宋体" w:hint="default"/>
          <w:b/>
          <w:bCs/>
          <w:spacing w:val="-55"/>
          <w:sz w:val="21"/>
          <w:szCs w:val="21"/>
        </w:rPr>
        <w:t> </w:t>
      </w:r>
      <w:r>
        <w:rPr>
          <w:rFonts w:ascii="宋体" w:hAnsi="宋体" w:cs="宋体" w:eastAsia="宋体" w:hint="default"/>
          <w:b/>
          <w:bCs/>
          <w:sz w:val="21"/>
          <w:szCs w:val="21"/>
        </w:rPr>
        <w:t>3-6</w:t>
      </w:r>
      <w:r>
        <w:rPr>
          <w:rFonts w:ascii="宋体" w:hAnsi="宋体" w:cs="宋体" w:eastAsia="宋体" w:hint="default"/>
          <w:b/>
          <w:bCs/>
          <w:spacing w:val="-56"/>
          <w:sz w:val="21"/>
          <w:szCs w:val="21"/>
        </w:rPr>
        <w:t> </w:t>
      </w:r>
      <w:r>
        <w:rPr>
          <w:rFonts w:ascii="宋体" w:hAnsi="宋体" w:cs="宋体" w:eastAsia="宋体" w:hint="default"/>
          <w:b/>
          <w:bCs/>
          <w:sz w:val="21"/>
          <w:szCs w:val="21"/>
        </w:rPr>
        <w:t>个月的账期，导致应收账款期末余额增加。</w:t>
      </w:r>
      <w:r>
        <w:rPr>
          <w:rFonts w:ascii="宋体" w:hAnsi="宋体" w:cs="宋体" w:eastAsia="宋体" w:hint="default"/>
          <w:sz w:val="21"/>
          <w:szCs w:val="21"/>
        </w:rPr>
      </w:r>
    </w:p>
    <w:p>
      <w:pPr>
        <w:spacing w:before="46"/>
        <w:ind w:left="630" w:right="7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tabs>
          <w:tab w:pos="1361" w:val="left" w:leader="none"/>
        </w:tabs>
        <w:spacing w:before="0"/>
        <w:ind w:left="630" w:right="72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tbl>
      <w:tblPr>
        <w:tblW w:w="0" w:type="auto"/>
        <w:jc w:val="left"/>
        <w:tblInd w:w="102" w:type="dxa"/>
        <w:tblLayout w:type="fixed"/>
        <w:tblCellMar>
          <w:top w:w="0" w:type="dxa"/>
          <w:left w:w="0" w:type="dxa"/>
          <w:bottom w:w="0" w:type="dxa"/>
          <w:right w:w="0" w:type="dxa"/>
        </w:tblCellMar>
        <w:tblLook w:val="01E0"/>
      </w:tblPr>
      <w:tblGrid>
        <w:gridCol w:w="1844"/>
        <w:gridCol w:w="142"/>
        <w:gridCol w:w="1109"/>
        <w:gridCol w:w="1023"/>
        <w:gridCol w:w="869"/>
        <w:gridCol w:w="778"/>
        <w:gridCol w:w="1138"/>
        <w:gridCol w:w="711"/>
        <w:gridCol w:w="999"/>
        <w:gridCol w:w="631"/>
      </w:tblGrid>
      <w:tr>
        <w:trPr>
          <w:trHeight w:val="248" w:hRule="exact"/>
        </w:trPr>
        <w:tc>
          <w:tcPr>
            <w:tcW w:w="184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151" w:lineRule="exact"/>
              <w:ind w:left="552"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869" w:type="dxa"/>
            <w:tcBorders>
              <w:top w:val="nil" w:sz="6" w:space="0" w:color="auto"/>
              <w:left w:val="nil" w:sz="6" w:space="0" w:color="auto"/>
              <w:bottom w:val="single" w:sz="4" w:space="0" w:color="000000"/>
              <w:right w:val="nil" w:sz="6" w:space="0" w:color="auto"/>
            </w:tcBorders>
          </w:tcPr>
          <w:p>
            <w:pPr/>
          </w:p>
        </w:tc>
        <w:tc>
          <w:tcPr>
            <w:tcW w:w="778"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
        </w:tc>
        <w:tc>
          <w:tcPr>
            <w:tcW w:w="1709"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41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631"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768"/>
              <w:jc w:val="right"/>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15"/>
                <w:szCs w:val="15"/>
              </w:rPr>
            </w:pPr>
            <w:r>
              <w:rPr>
                <w:rFonts w:ascii="宋体" w:hAnsi="宋体" w:cs="宋体" w:eastAsia="宋体" w:hint="default"/>
                <w:sz w:val="15"/>
                <w:szCs w:val="15"/>
              </w:rPr>
              <w:t>比例</w:t>
            </w:r>
          </w:p>
        </w:tc>
        <w:tc>
          <w:tcPr>
            <w:tcW w:w="86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4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7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30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5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5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3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20"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435" w:hRule="exact"/>
        </w:trPr>
        <w:tc>
          <w:tcPr>
            <w:tcW w:w="1844" w:type="dxa"/>
            <w:tcBorders>
              <w:top w:val="single" w:sz="4" w:space="0" w:color="000000"/>
              <w:left w:val="nil" w:sz="6" w:space="0" w:color="auto"/>
              <w:bottom w:val="nil" w:sz="6" w:space="0" w:color="auto"/>
              <w:right w:val="nil" w:sz="6" w:space="0" w:color="auto"/>
            </w:tcBorders>
          </w:tcPr>
          <w:p>
            <w:pPr>
              <w:pStyle w:val="TableParagraph"/>
              <w:spacing w:line="200" w:lineRule="exact"/>
              <w:ind w:left="28" w:right="27"/>
              <w:jc w:val="left"/>
              <w:rPr>
                <w:rFonts w:ascii="宋体" w:hAnsi="宋体" w:cs="宋体" w:eastAsia="宋体" w:hint="default"/>
                <w:sz w:val="15"/>
                <w:szCs w:val="15"/>
              </w:rPr>
            </w:pPr>
            <w:r>
              <w:rPr>
                <w:rFonts w:ascii="宋体" w:hAnsi="宋体" w:cs="宋体" w:eastAsia="宋体" w:hint="default"/>
                <w:spacing w:val="-3"/>
                <w:sz w:val="15"/>
                <w:szCs w:val="15"/>
              </w:rPr>
              <w:t>一、单项金额重大并单项计</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提坏账准备的其他应收款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2"/>
                <w:sz w:val="15"/>
              </w:rPr>
              <w:t>2,087,518.60</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451" w:right="0"/>
              <w:jc w:val="left"/>
              <w:rPr>
                <w:rFonts w:ascii="宋体" w:hAnsi="宋体" w:cs="宋体" w:eastAsia="宋体" w:hint="default"/>
                <w:sz w:val="15"/>
                <w:szCs w:val="15"/>
              </w:rPr>
            </w:pPr>
            <w:r>
              <w:rPr>
                <w:rFonts w:ascii="宋体"/>
                <w:sz w:val="15"/>
              </w:rPr>
              <w:t>20.44%</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7"/>
              <w:jc w:val="right"/>
              <w:rPr>
                <w:rFonts w:ascii="宋体" w:hAnsi="宋体" w:cs="宋体" w:eastAsia="宋体" w:hint="default"/>
                <w:sz w:val="15"/>
                <w:szCs w:val="15"/>
              </w:rPr>
            </w:pPr>
            <w:r>
              <w:rPr>
                <w:rFonts w:ascii="宋体"/>
                <w:spacing w:val="-2"/>
                <w:sz w:val="15"/>
              </w:rPr>
              <w:t>1,470,000.00</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8"/>
              <w:jc w:val="right"/>
              <w:rPr>
                <w:rFonts w:ascii="宋体" w:hAnsi="宋体" w:cs="宋体" w:eastAsia="宋体" w:hint="default"/>
                <w:sz w:val="15"/>
                <w:szCs w:val="15"/>
              </w:rPr>
            </w:pPr>
            <w:r>
              <w:rPr>
                <w:rFonts w:ascii="宋体"/>
                <w:spacing w:val="-1"/>
                <w:sz w:val="15"/>
              </w:rPr>
              <w:t>41.81%</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63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r>
      <w:tr>
        <w:trPr>
          <w:trHeight w:val="593"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381" w:lineRule="auto" w:before="4"/>
              <w:ind w:left="28" w:right="27"/>
              <w:jc w:val="left"/>
              <w:rPr>
                <w:rFonts w:ascii="宋体" w:hAnsi="宋体" w:cs="宋体" w:eastAsia="宋体" w:hint="default"/>
                <w:sz w:val="15"/>
                <w:szCs w:val="15"/>
              </w:rPr>
            </w:pPr>
            <w:r>
              <w:rPr>
                <w:rFonts w:ascii="宋体" w:hAnsi="宋体" w:cs="宋体" w:eastAsia="宋体" w:hint="default"/>
                <w:spacing w:val="-3"/>
                <w:sz w:val="15"/>
                <w:szCs w:val="15"/>
              </w:rPr>
              <w:t>二、按账龄组合计提坏账准</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7,439,462.34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451" w:right="0"/>
              <w:jc w:val="left"/>
              <w:rPr>
                <w:rFonts w:ascii="宋体" w:hAnsi="宋体" w:cs="宋体" w:eastAsia="宋体" w:hint="default"/>
                <w:sz w:val="15"/>
                <w:szCs w:val="15"/>
              </w:rPr>
            </w:pPr>
            <w:r>
              <w:rPr>
                <w:rFonts w:ascii="宋体"/>
                <w:sz w:val="15"/>
              </w:rPr>
              <w:t>72.84%</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602,375.38</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8.10%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7"/>
              <w:jc w:val="right"/>
              <w:rPr>
                <w:rFonts w:ascii="宋体" w:hAnsi="宋体" w:cs="宋体" w:eastAsia="宋体" w:hint="default"/>
                <w:sz w:val="15"/>
                <w:szCs w:val="15"/>
              </w:rPr>
            </w:pPr>
            <w:r>
              <w:rPr>
                <w:rFonts w:ascii="宋体"/>
                <w:spacing w:val="-2"/>
                <w:sz w:val="15"/>
              </w:rPr>
              <w:t>2,045,921.68</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58.19%</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267,311.84</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13.07%</w:t>
            </w:r>
          </w:p>
        </w:tc>
      </w:tr>
      <w:tr>
        <w:trPr>
          <w:trHeight w:val="967"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381" w:lineRule="auto" w:before="35"/>
              <w:ind w:left="28" w:right="27"/>
              <w:jc w:val="both"/>
              <w:rPr>
                <w:rFonts w:ascii="宋体" w:hAnsi="宋体" w:cs="宋体" w:eastAsia="宋体" w:hint="default"/>
                <w:sz w:val="15"/>
                <w:szCs w:val="15"/>
              </w:rPr>
            </w:pPr>
            <w:r>
              <w:rPr>
                <w:rFonts w:ascii="宋体" w:hAnsi="宋体" w:cs="宋体" w:eastAsia="宋体" w:hint="default"/>
                <w:spacing w:val="-3"/>
                <w:sz w:val="15"/>
                <w:szCs w:val="15"/>
              </w:rPr>
              <w:t>三、单项金额虽不重大但单</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0"/>
                <w:sz w:val="15"/>
                <w:szCs w:val="15"/>
              </w:rPr>
              <w:t>项计提坏账准备的其他应</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686,159.00</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4087" cy="9144"/>
                  <wp:effectExtent l="0" t="0" r="0" b="0"/>
                  <wp:docPr id="139" name="image95.png" descr=""/>
                  <wp:cNvGraphicFramePr>
                    <a:graphicFrameLocks noChangeAspect="1"/>
                  </wp:cNvGraphicFramePr>
                  <a:graphic>
                    <a:graphicData uri="http://schemas.openxmlformats.org/drawingml/2006/picture">
                      <pic:pic>
                        <pic:nvPicPr>
                          <pic:cNvPr id="140" name="image95.png"/>
                          <pic:cNvPicPr/>
                        </pic:nvPicPr>
                        <pic:blipFill>
                          <a:blip r:embed="rId158" cstate="print"/>
                          <a:stretch>
                            <a:fillRect/>
                          </a:stretch>
                        </pic:blipFill>
                        <pic:spPr>
                          <a:xfrm>
                            <a:off x="0" y="0"/>
                            <a:ext cx="704087" cy="9144"/>
                          </a:xfrm>
                          <a:prstGeom prst="rect">
                            <a:avLst/>
                          </a:prstGeom>
                        </pic:spPr>
                      </pic:pic>
                    </a:graphicData>
                  </a:graphic>
                </wp:inline>
              </w:drawing>
            </w:r>
            <w:r>
              <w:rPr>
                <w:rFonts w:ascii="宋体" w:hAnsi="宋体" w:cs="宋体" w:eastAsia="宋体" w:hint="default"/>
                <w:sz w:val="2"/>
                <w:szCs w:val="2"/>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527" w:right="0"/>
              <w:jc w:val="left"/>
              <w:rPr>
                <w:rFonts w:ascii="宋体" w:hAnsi="宋体" w:cs="宋体" w:eastAsia="宋体" w:hint="default"/>
                <w:sz w:val="15"/>
                <w:szCs w:val="15"/>
              </w:rPr>
            </w:pPr>
            <w:r>
              <w:rPr>
                <w:rFonts w:ascii="宋体"/>
                <w:sz w:val="15"/>
              </w:rPr>
              <w:t>6.72%</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9749" cy="9144"/>
                  <wp:effectExtent l="0" t="0" r="0" b="0"/>
                  <wp:docPr id="141" name="image96.png" descr=""/>
                  <wp:cNvGraphicFramePr>
                    <a:graphicFrameLocks noChangeAspect="1"/>
                  </wp:cNvGraphicFramePr>
                  <a:graphic>
                    <a:graphicData uri="http://schemas.openxmlformats.org/drawingml/2006/picture">
                      <pic:pic>
                        <pic:nvPicPr>
                          <pic:cNvPr id="142" name="image96.png"/>
                          <pic:cNvPicPr/>
                        </pic:nvPicPr>
                        <pic:blipFill>
                          <a:blip r:embed="rId159" cstate="print"/>
                          <a:stretch>
                            <a:fillRect/>
                          </a:stretch>
                        </pic:blipFill>
                        <pic:spPr>
                          <a:xfrm>
                            <a:off x="0" y="0"/>
                            <a:ext cx="539749" cy="9144"/>
                          </a:xfrm>
                          <a:prstGeom prst="rect">
                            <a:avLst/>
                          </a:prstGeom>
                        </pic:spPr>
                      </pic:pic>
                    </a:graphicData>
                  </a:graphic>
                </wp:inline>
              </w:drawing>
            </w:r>
            <w:r>
              <w:rPr>
                <w:rFonts w:ascii="宋体" w:hAnsi="宋体" w:cs="宋体" w:eastAsia="宋体" w:hint="default"/>
                <w:sz w:val="2"/>
                <w:szCs w:val="2"/>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51687" cy="9144"/>
                  <wp:effectExtent l="0" t="0" r="0" b="0"/>
                  <wp:docPr id="143" name="image97.png" descr=""/>
                  <wp:cNvGraphicFramePr>
                    <a:graphicFrameLocks noChangeAspect="1"/>
                  </wp:cNvGraphicFramePr>
                  <a:graphic>
                    <a:graphicData uri="http://schemas.openxmlformats.org/drawingml/2006/picture">
                      <pic:pic>
                        <pic:nvPicPr>
                          <pic:cNvPr id="144" name="image97.png"/>
                          <pic:cNvPicPr/>
                        </pic:nvPicPr>
                        <pic:blipFill>
                          <a:blip r:embed="rId160" cstate="print"/>
                          <a:stretch>
                            <a:fillRect/>
                          </a:stretch>
                        </pic:blipFill>
                        <pic:spPr>
                          <a:xfrm>
                            <a:off x="0" y="0"/>
                            <a:ext cx="551687" cy="9144"/>
                          </a:xfrm>
                          <a:prstGeom prst="rect">
                            <a:avLst/>
                          </a:prstGeom>
                        </pic:spPr>
                      </pic:pic>
                    </a:graphicData>
                  </a:graphic>
                </wp:inline>
              </w:drawing>
            </w:r>
            <w:r>
              <w:rPr>
                <w:rFonts w:ascii="宋体" w:hAnsi="宋体" w:cs="宋体" w:eastAsia="宋体" w:hint="default"/>
                <w:sz w:val="2"/>
                <w:szCs w:val="2"/>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9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31291" cy="9144"/>
                  <wp:effectExtent l="0" t="0" r="0" b="0"/>
                  <wp:docPr id="145" name="image98.png" descr=""/>
                  <wp:cNvGraphicFramePr>
                    <a:graphicFrameLocks noChangeAspect="1"/>
                  </wp:cNvGraphicFramePr>
                  <a:graphic>
                    <a:graphicData uri="http://schemas.openxmlformats.org/drawingml/2006/picture">
                      <pic:pic>
                        <pic:nvPicPr>
                          <pic:cNvPr id="146" name="image98.png"/>
                          <pic:cNvPicPr/>
                        </pic:nvPicPr>
                        <pic:blipFill>
                          <a:blip r:embed="rId161" cstate="print"/>
                          <a:stretch>
                            <a:fillRect/>
                          </a:stretch>
                        </pic:blipFill>
                        <pic:spPr>
                          <a:xfrm>
                            <a:off x="0" y="0"/>
                            <a:ext cx="431291" cy="9144"/>
                          </a:xfrm>
                          <a:prstGeom prst="rect">
                            <a:avLst/>
                          </a:prstGeom>
                        </pic:spPr>
                      </pic:pic>
                    </a:graphicData>
                  </a:graphic>
                </wp:inline>
              </w:drawing>
            </w:r>
            <w:r>
              <w:rPr>
                <w:rFonts w:ascii="宋体" w:hAnsi="宋体" w:cs="宋体" w:eastAsia="宋体" w:hint="default"/>
                <w:sz w:val="2"/>
                <w:szCs w:val="2"/>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87" cy="9144"/>
                  <wp:effectExtent l="0" t="0" r="0" b="0"/>
                  <wp:docPr id="147" name="image99.png" descr=""/>
                  <wp:cNvGraphicFramePr>
                    <a:graphicFrameLocks noChangeAspect="1"/>
                  </wp:cNvGraphicFramePr>
                  <a:graphic>
                    <a:graphicData uri="http://schemas.openxmlformats.org/drawingml/2006/picture">
                      <pic:pic>
                        <pic:nvPicPr>
                          <pic:cNvPr id="148" name="image99.png"/>
                          <pic:cNvPicPr/>
                        </pic:nvPicPr>
                        <pic:blipFill>
                          <a:blip r:embed="rId162" cstate="print"/>
                          <a:stretch>
                            <a:fillRect/>
                          </a:stretch>
                        </pic:blipFill>
                        <pic:spPr>
                          <a:xfrm>
                            <a:off x="0" y="0"/>
                            <a:ext cx="399287" cy="9144"/>
                          </a:xfrm>
                          <a:prstGeom prst="rect">
                            <a:avLst/>
                          </a:prstGeom>
                        </pic:spPr>
                      </pic:pic>
                    </a:graphicData>
                  </a:graphic>
                </wp:inline>
              </w:drawing>
            </w:r>
            <w:r>
              <w:rPr>
                <w:rFonts w:ascii="宋体" w:hAnsi="宋体" w:cs="宋体" w:eastAsia="宋体" w:hint="default"/>
                <w:sz w:val="2"/>
                <w:szCs w:val="2"/>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88"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77850" cy="9144"/>
                  <wp:effectExtent l="0" t="0" r="0" b="0"/>
                  <wp:docPr id="149" name="image100.png" descr=""/>
                  <wp:cNvGraphicFramePr>
                    <a:graphicFrameLocks noChangeAspect="1"/>
                  </wp:cNvGraphicFramePr>
                  <a:graphic>
                    <a:graphicData uri="http://schemas.openxmlformats.org/drawingml/2006/picture">
                      <pic:pic>
                        <pic:nvPicPr>
                          <pic:cNvPr id="150" name="image100.png"/>
                          <pic:cNvPicPr/>
                        </pic:nvPicPr>
                        <pic:blipFill>
                          <a:blip r:embed="rId163" cstate="print"/>
                          <a:stretch>
                            <a:fillRect/>
                          </a:stretch>
                        </pic:blipFill>
                        <pic:spPr>
                          <a:xfrm>
                            <a:off x="0" y="0"/>
                            <a:ext cx="577850" cy="9144"/>
                          </a:xfrm>
                          <a:prstGeom prst="rect">
                            <a:avLst/>
                          </a:prstGeom>
                        </pic:spPr>
                      </pic:pic>
                    </a:graphicData>
                  </a:graphic>
                </wp:inline>
              </w:drawing>
            </w:r>
            <w:r>
              <w:rPr>
                <w:rFonts w:ascii="宋体" w:hAnsi="宋体" w:cs="宋体" w:eastAsia="宋体" w:hint="default"/>
                <w:sz w:val="2"/>
                <w:szCs w:val="2"/>
              </w:rPr>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w:t>
            </w:r>
            <w:r>
              <w:rPr>
                <w:rFonts w:ascii="宋体"/>
                <w:sz w:val="15"/>
              </w:rPr>
            </w: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0" w:lineRule="exact"/>
              <w:ind w:left="79"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0519" cy="9144"/>
                  <wp:effectExtent l="0" t="0" r="0" b="0"/>
                  <wp:docPr id="151" name="image101.png" descr=""/>
                  <wp:cNvGraphicFramePr>
                    <a:graphicFrameLocks noChangeAspect="1"/>
                  </wp:cNvGraphicFramePr>
                  <a:graphic>
                    <a:graphicData uri="http://schemas.openxmlformats.org/drawingml/2006/picture">
                      <pic:pic>
                        <pic:nvPicPr>
                          <pic:cNvPr id="152" name="image101.png"/>
                          <pic:cNvPicPr/>
                        </pic:nvPicPr>
                        <pic:blipFill>
                          <a:blip r:embed="rId164" cstate="print"/>
                          <a:stretch>
                            <a:fillRect/>
                          </a:stretch>
                        </pic:blipFill>
                        <pic:spPr>
                          <a:xfrm>
                            <a:off x="0" y="0"/>
                            <a:ext cx="350519" cy="9144"/>
                          </a:xfrm>
                          <a:prstGeom prst="rect">
                            <a:avLst/>
                          </a:prstGeom>
                        </pic:spPr>
                      </pic:pic>
                    </a:graphicData>
                  </a:graphic>
                </wp:inline>
              </w:drawing>
            </w:r>
            <w:r>
              <w:rPr>
                <w:rFonts w:ascii="宋体" w:hAnsi="宋体" w:cs="宋体" w:eastAsia="宋体" w:hint="default"/>
                <w:sz w:val="2"/>
                <w:szCs w:val="2"/>
              </w:rPr>
            </w:r>
          </w:p>
        </w:tc>
      </w:tr>
      <w:tr>
        <w:trPr>
          <w:trHeight w:val="378"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8"/>
              <w:jc w:val="right"/>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2"/>
                <w:sz w:val="15"/>
              </w:rPr>
              <w:t>10,213,139.94</w:t>
            </w:r>
          </w:p>
        </w:tc>
        <w:tc>
          <w:tcPr>
            <w:tcW w:w="1023"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left="602" w:right="0"/>
              <w:jc w:val="left"/>
              <w:rPr>
                <w:rFonts w:ascii="宋体" w:hAnsi="宋体" w:cs="宋体" w:eastAsia="宋体" w:hint="default"/>
                <w:sz w:val="15"/>
                <w:szCs w:val="15"/>
              </w:rPr>
            </w:pPr>
            <w:r>
              <w:rPr>
                <w:rFonts w:ascii="宋体"/>
                <w:sz w:val="15"/>
              </w:rPr>
              <w:t>100%</w:t>
            </w:r>
          </w:p>
        </w:tc>
        <w:tc>
          <w:tcPr>
            <w:tcW w:w="869"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602,375.38</w:t>
            </w:r>
          </w:p>
        </w:tc>
        <w:tc>
          <w:tcPr>
            <w:tcW w:w="778"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5"/>
              <w:jc w:val="right"/>
              <w:rPr>
                <w:rFonts w:ascii="宋体" w:hAnsi="宋体" w:cs="宋体" w:eastAsia="宋体" w:hint="default"/>
                <w:sz w:val="15"/>
                <w:szCs w:val="15"/>
              </w:rPr>
            </w:pPr>
            <w:r>
              <w:rPr>
                <w:rFonts w:ascii="宋体"/>
                <w:spacing w:val="-1"/>
                <w:sz w:val="15"/>
              </w:rPr>
              <w:t>8.10%</w:t>
            </w:r>
          </w:p>
        </w:tc>
        <w:tc>
          <w:tcPr>
            <w:tcW w:w="1138"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7"/>
              <w:jc w:val="right"/>
              <w:rPr>
                <w:rFonts w:ascii="宋体" w:hAnsi="宋体" w:cs="宋体" w:eastAsia="宋体" w:hint="default"/>
                <w:sz w:val="15"/>
                <w:szCs w:val="15"/>
              </w:rPr>
            </w:pPr>
            <w:r>
              <w:rPr>
                <w:rFonts w:ascii="宋体"/>
                <w:spacing w:val="-2"/>
                <w:sz w:val="15"/>
              </w:rPr>
              <w:t>3,515,921.68</w:t>
            </w:r>
          </w:p>
        </w:tc>
        <w:tc>
          <w:tcPr>
            <w:tcW w:w="711"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100%</w:t>
            </w:r>
          </w:p>
        </w:tc>
        <w:tc>
          <w:tcPr>
            <w:tcW w:w="999"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267,311.84</w:t>
            </w:r>
          </w:p>
        </w:tc>
        <w:tc>
          <w:tcPr>
            <w:tcW w:w="631" w:type="dxa"/>
            <w:tcBorders>
              <w:top w:val="nil" w:sz="6" w:space="0" w:color="auto"/>
              <w:left w:val="nil" w:sz="6" w:space="0" w:color="auto"/>
              <w:bottom w:val="single" w:sz="17" w:space="0" w:color="000000"/>
              <w:right w:val="nil" w:sz="6" w:space="0" w:color="auto"/>
            </w:tcBorders>
          </w:tcPr>
          <w:p>
            <w:pPr>
              <w:pStyle w:val="TableParagraph"/>
              <w:spacing w:line="240" w:lineRule="auto" w:before="66"/>
              <w:ind w:right="28"/>
              <w:jc w:val="right"/>
              <w:rPr>
                <w:rFonts w:ascii="宋体" w:hAnsi="宋体" w:cs="宋体" w:eastAsia="宋体" w:hint="default"/>
                <w:sz w:val="15"/>
                <w:szCs w:val="15"/>
              </w:rPr>
            </w:pPr>
            <w:r>
              <w:rPr>
                <w:rFonts w:ascii="宋体"/>
                <w:spacing w:val="-1"/>
                <w:sz w:val="15"/>
              </w:rPr>
              <w:t>7.60%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24" w:right="726" w:firstLine="0"/>
        <w:jc w:val="left"/>
        <w:rPr>
          <w:rFonts w:ascii="宋体" w:hAnsi="宋体" w:cs="宋体" w:eastAsia="宋体" w:hint="default"/>
          <w:sz w:val="21"/>
          <w:szCs w:val="21"/>
        </w:rPr>
      </w:pPr>
      <w:r>
        <w:rPr/>
        <w:pict>
          <v:shape style="position:absolute;margin-left:377.350006pt;margin-top:-46.316322pt;width:52.82999pt;height:.72pt;mso-position-horizontal-relative:page;mso-position-vertical-relative:paragraph;z-index:6640" type="#_x0000_t75" stroked="false">
            <v:imagedata r:id="rId165" o:title=""/>
          </v:shape>
        </w:pict>
      </w: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1724"/>
        <w:gridCol w:w="103"/>
        <w:gridCol w:w="1325"/>
        <w:gridCol w:w="1176"/>
        <w:gridCol w:w="1246"/>
        <w:gridCol w:w="1359"/>
        <w:gridCol w:w="103"/>
        <w:gridCol w:w="1001"/>
        <w:gridCol w:w="1205"/>
      </w:tblGrid>
      <w:tr>
        <w:trPr>
          <w:trHeight w:val="267" w:hRule="exact"/>
        </w:trPr>
        <w:tc>
          <w:tcPr>
            <w:tcW w:w="1724"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27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46" w:type="dxa"/>
            <w:tcBorders>
              <w:top w:val="nil" w:sz="6" w:space="0" w:color="auto"/>
              <w:left w:val="nil" w:sz="6" w:space="0" w:color="auto"/>
              <w:bottom w:val="single" w:sz="4" w:space="0" w:color="000000"/>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5"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8"/>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6,750,678.98</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66.10%</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337,533.95</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1"/>
              <w:jc w:val="right"/>
              <w:rPr>
                <w:rFonts w:ascii="宋体" w:hAnsi="宋体" w:cs="宋体" w:eastAsia="宋体" w:hint="default"/>
                <w:sz w:val="18"/>
                <w:szCs w:val="18"/>
              </w:rPr>
            </w:pPr>
            <w:r>
              <w:rPr>
                <w:rFonts w:ascii="宋体"/>
                <w:spacing w:val="-1"/>
                <w:sz w:val="18"/>
              </w:rPr>
              <w:t>1,513,717.32</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43.05%</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75,685.86</w:t>
            </w:r>
          </w:p>
        </w:tc>
      </w:tr>
      <w:tr>
        <w:trPr>
          <w:trHeight w:val="340"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467,427.41</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4.58%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93,485.48</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
              <w:jc w:val="right"/>
              <w:rPr>
                <w:rFonts w:ascii="宋体" w:hAnsi="宋体" w:cs="宋体" w:eastAsia="宋体" w:hint="default"/>
                <w:sz w:val="18"/>
                <w:szCs w:val="18"/>
              </w:rPr>
            </w:pPr>
            <w:r>
              <w:rPr>
                <w:rFonts w:ascii="宋体"/>
                <w:spacing w:val="-1"/>
                <w:sz w:val="18"/>
              </w:rPr>
              <w:t>248,254.00</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7.06%</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49,650.80</w:t>
            </w:r>
          </w:p>
        </w:tc>
      </w:tr>
      <w:tr>
        <w:trPr>
          <w:trHeight w:val="340"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100,000.00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z w:val="18"/>
              </w:rPr>
              <w:t>0.98%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50,000.00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
              <w:jc w:val="right"/>
              <w:rPr>
                <w:rFonts w:ascii="宋体" w:hAnsi="宋体" w:cs="宋体" w:eastAsia="宋体" w:hint="default"/>
                <w:sz w:val="18"/>
                <w:szCs w:val="18"/>
              </w:rPr>
            </w:pPr>
            <w:r>
              <w:rPr>
                <w:rFonts w:ascii="宋体"/>
                <w:spacing w:val="-1"/>
                <w:sz w:val="18"/>
              </w:rPr>
              <w:t>283,950.36</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8.08%</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141,975.18</w:t>
            </w:r>
          </w:p>
        </w:tc>
      </w:tr>
      <w:tr>
        <w:trPr>
          <w:trHeight w:val="348"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121,355.95</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1.19%</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121,355.95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74"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1283" cy="9144"/>
                  <wp:effectExtent l="0" t="0" r="0" b="0"/>
                  <wp:docPr id="153" name="image103.png" descr=""/>
                  <wp:cNvGraphicFramePr>
                    <a:graphicFrameLocks noChangeAspect="1"/>
                  </wp:cNvGraphicFramePr>
                  <a:graphic>
                    <a:graphicData uri="http://schemas.openxmlformats.org/drawingml/2006/picture">
                      <pic:pic>
                        <pic:nvPicPr>
                          <pic:cNvPr id="154" name="image103.png"/>
                          <pic:cNvPicPr/>
                        </pic:nvPicPr>
                        <pic:blipFill>
                          <a:blip r:embed="rId166" cstate="print"/>
                          <a:stretch>
                            <a:fillRect/>
                          </a:stretch>
                        </pic:blipFill>
                        <pic:spPr>
                          <a:xfrm>
                            <a:off x="0" y="0"/>
                            <a:ext cx="84128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9"/>
              <w:jc w:val="right"/>
              <w:rPr>
                <w:rFonts w:ascii="宋体" w:hAnsi="宋体" w:cs="宋体" w:eastAsia="宋体" w:hint="default"/>
                <w:sz w:val="18"/>
                <w:szCs w:val="18"/>
              </w:rPr>
            </w:pPr>
            <w:r>
              <w:rPr>
                <w:rFonts w:ascii="宋体"/>
                <w:spacing w:val="-1"/>
                <w:sz w:val="18"/>
              </w:rPr>
              <w:t>7,439,462.34</w:t>
            </w:r>
          </w:p>
        </w:tc>
        <w:tc>
          <w:tcPr>
            <w:tcW w:w="1176"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6751" cy="9144"/>
                  <wp:effectExtent l="0" t="0" r="0" b="0"/>
                  <wp:docPr id="155" name="image104.png" descr=""/>
                  <wp:cNvGraphicFramePr>
                    <a:graphicFrameLocks noChangeAspect="1"/>
                  </wp:cNvGraphicFramePr>
                  <a:graphic>
                    <a:graphicData uri="http://schemas.openxmlformats.org/drawingml/2006/picture">
                      <pic:pic>
                        <pic:nvPicPr>
                          <pic:cNvPr id="156" name="image104.png"/>
                          <pic:cNvPicPr/>
                        </pic:nvPicPr>
                        <pic:blipFill>
                          <a:blip r:embed="rId167" cstate="print"/>
                          <a:stretch>
                            <a:fillRect/>
                          </a:stretch>
                        </pic:blipFill>
                        <pic:spPr>
                          <a:xfrm>
                            <a:off x="0" y="0"/>
                            <a:ext cx="6967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72.85%</w:t>
            </w:r>
          </w:p>
        </w:tc>
        <w:tc>
          <w:tcPr>
            <w:tcW w:w="1246"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7646" cy="9144"/>
                  <wp:effectExtent l="0" t="0" r="0" b="0"/>
                  <wp:docPr id="157" name="image105.png" descr=""/>
                  <wp:cNvGraphicFramePr>
                    <a:graphicFrameLocks noChangeAspect="1"/>
                  </wp:cNvGraphicFramePr>
                  <a:graphic>
                    <a:graphicData uri="http://schemas.openxmlformats.org/drawingml/2006/picture">
                      <pic:pic>
                        <pic:nvPicPr>
                          <pic:cNvPr id="158" name="image105.png"/>
                          <pic:cNvPicPr/>
                        </pic:nvPicPr>
                        <pic:blipFill>
                          <a:blip r:embed="rId168" cstate="print"/>
                          <a:stretch>
                            <a:fillRect/>
                          </a:stretch>
                        </pic:blipFill>
                        <pic:spPr>
                          <a:xfrm>
                            <a:off x="0" y="0"/>
                            <a:ext cx="73764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602,375.38</w:t>
            </w:r>
          </w:p>
        </w:tc>
        <w:tc>
          <w:tcPr>
            <w:tcW w:w="1359"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2706" cy="9144"/>
                  <wp:effectExtent l="0" t="0" r="0" b="0"/>
                  <wp:docPr id="159" name="image106.png" descr=""/>
                  <wp:cNvGraphicFramePr>
                    <a:graphicFrameLocks noChangeAspect="1"/>
                  </wp:cNvGraphicFramePr>
                  <a:graphic>
                    <a:graphicData uri="http://schemas.openxmlformats.org/drawingml/2006/picture">
                      <pic:pic>
                        <pic:nvPicPr>
                          <pic:cNvPr id="160" name="image106.png"/>
                          <pic:cNvPicPr/>
                        </pic:nvPicPr>
                        <pic:blipFill>
                          <a:blip r:embed="rId169" cstate="print"/>
                          <a:stretch>
                            <a:fillRect/>
                          </a:stretch>
                        </pic:blipFill>
                        <pic:spPr>
                          <a:xfrm>
                            <a:off x="0" y="0"/>
                            <a:ext cx="81270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31"/>
              <w:jc w:val="right"/>
              <w:rPr>
                <w:rFonts w:ascii="宋体" w:hAnsi="宋体" w:cs="宋体" w:eastAsia="宋体" w:hint="default"/>
                <w:sz w:val="18"/>
                <w:szCs w:val="18"/>
              </w:rPr>
            </w:pPr>
            <w:r>
              <w:rPr>
                <w:rFonts w:ascii="宋体"/>
                <w:spacing w:val="-1"/>
                <w:sz w:val="18"/>
              </w:rPr>
              <w:t>2,045,921.68</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5534" cy="9144"/>
                  <wp:effectExtent l="0" t="0" r="0" b="0"/>
                  <wp:docPr id="161" name="image107.png" descr=""/>
                  <wp:cNvGraphicFramePr>
                    <a:graphicFrameLocks noChangeAspect="1"/>
                  </wp:cNvGraphicFramePr>
                  <a:graphic>
                    <a:graphicData uri="http://schemas.openxmlformats.org/drawingml/2006/picture">
                      <pic:pic>
                        <pic:nvPicPr>
                          <pic:cNvPr id="162" name="image107.png"/>
                          <pic:cNvPicPr/>
                        </pic:nvPicPr>
                        <pic:blipFill>
                          <a:blip r:embed="rId170" cstate="print"/>
                          <a:stretch>
                            <a:fillRect/>
                          </a:stretch>
                        </pic:blipFill>
                        <pic:spPr>
                          <a:xfrm>
                            <a:off x="0" y="0"/>
                            <a:ext cx="63553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6"/>
              <w:jc w:val="right"/>
              <w:rPr>
                <w:rFonts w:ascii="宋体" w:hAnsi="宋体" w:cs="宋体" w:eastAsia="宋体" w:hint="default"/>
                <w:sz w:val="18"/>
                <w:szCs w:val="18"/>
              </w:rPr>
            </w:pPr>
            <w:r>
              <w:rPr>
                <w:rFonts w:ascii="宋体"/>
                <w:spacing w:val="-1"/>
                <w:sz w:val="18"/>
              </w:rPr>
              <w:t>58.19%</w:t>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1737" cy="9144"/>
                  <wp:effectExtent l="0" t="0" r="0" b="0"/>
                  <wp:docPr id="163" name="image108.png" descr=""/>
                  <wp:cNvGraphicFramePr>
                    <a:graphicFrameLocks noChangeAspect="1"/>
                  </wp:cNvGraphicFramePr>
                  <a:graphic>
                    <a:graphicData uri="http://schemas.openxmlformats.org/drawingml/2006/picture">
                      <pic:pic>
                        <pic:nvPicPr>
                          <pic:cNvPr id="164" name="image108.png"/>
                          <pic:cNvPicPr/>
                        </pic:nvPicPr>
                        <pic:blipFill>
                          <a:blip r:embed="rId171" cstate="print"/>
                          <a:stretch>
                            <a:fillRect/>
                          </a:stretch>
                        </pic:blipFill>
                        <pic:spPr>
                          <a:xfrm>
                            <a:off x="0" y="0"/>
                            <a:ext cx="71173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267,311.84</w:t>
            </w:r>
          </w:p>
        </w:tc>
      </w:tr>
    </w:tbl>
    <w:p>
      <w:pPr>
        <w:spacing w:line="240" w:lineRule="auto" w:before="13"/>
        <w:rPr>
          <w:rFonts w:ascii="宋体" w:hAnsi="宋体" w:cs="宋体" w:eastAsia="宋体" w:hint="default"/>
          <w:b/>
          <w:bCs/>
          <w:sz w:val="25"/>
          <w:szCs w:val="25"/>
        </w:rPr>
      </w:pPr>
    </w:p>
    <w:p>
      <w:pPr>
        <w:spacing w:before="36"/>
        <w:ind w:left="524" w:right="72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其他应收款期末数中无持本公司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表决权的股东单位欠款。</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before="36"/>
        <w:ind w:left="524" w:right="61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其他应收款期末数比期初数增加</w:t>
      </w:r>
      <w:r>
        <w:rPr>
          <w:rFonts w:ascii="宋体" w:hAnsi="宋体" w:cs="宋体" w:eastAsia="宋体" w:hint="default"/>
          <w:b/>
          <w:bCs/>
          <w:spacing w:val="-48"/>
          <w:sz w:val="21"/>
          <w:szCs w:val="21"/>
        </w:rPr>
        <w:t> </w:t>
      </w:r>
      <w:r>
        <w:rPr>
          <w:rFonts w:ascii="宋体" w:hAnsi="宋体" w:cs="宋体" w:eastAsia="宋体" w:hint="default"/>
          <w:b/>
          <w:bCs/>
          <w:sz w:val="21"/>
          <w:szCs w:val="21"/>
        </w:rPr>
        <w:t>6,697,218.26</w:t>
      </w:r>
      <w:r>
        <w:rPr>
          <w:rFonts w:ascii="宋体" w:hAnsi="宋体" w:cs="宋体" w:eastAsia="宋体" w:hint="default"/>
          <w:b/>
          <w:bCs/>
          <w:spacing w:val="-47"/>
          <w:sz w:val="21"/>
          <w:szCs w:val="21"/>
        </w:rPr>
        <w:t> </w:t>
      </w:r>
      <w:r>
        <w:rPr>
          <w:rFonts w:ascii="宋体" w:hAnsi="宋体" w:cs="宋体" w:eastAsia="宋体" w:hint="default"/>
          <w:b/>
          <w:bCs/>
          <w:spacing w:val="-10"/>
          <w:sz w:val="21"/>
          <w:szCs w:val="21"/>
        </w:rPr>
        <w:t>元，增幅为</w:t>
      </w:r>
      <w:r>
        <w:rPr>
          <w:rFonts w:ascii="宋体" w:hAnsi="宋体" w:cs="宋体" w:eastAsia="宋体" w:hint="default"/>
          <w:b/>
          <w:bCs/>
          <w:spacing w:val="-47"/>
          <w:sz w:val="21"/>
          <w:szCs w:val="21"/>
        </w:rPr>
        <w:t> </w:t>
      </w:r>
      <w:r>
        <w:rPr>
          <w:rFonts w:ascii="宋体" w:hAnsi="宋体" w:cs="宋体" w:eastAsia="宋体" w:hint="default"/>
          <w:b/>
          <w:bCs/>
          <w:spacing w:val="-4"/>
          <w:sz w:val="21"/>
          <w:szCs w:val="21"/>
        </w:rPr>
        <w:t>190.48%</w:t>
      </w:r>
      <w:r>
        <w:rPr>
          <w:rFonts w:ascii="宋体" w:hAnsi="宋体" w:cs="宋体" w:eastAsia="宋体" w:hint="default"/>
          <w:b/>
          <w:bCs/>
          <w:spacing w:val="-4"/>
          <w:sz w:val="21"/>
          <w:szCs w:val="21"/>
        </w:rPr>
        <w:t>，增加的主要原因为</w:t>
      </w:r>
      <w:r>
        <w:rPr>
          <w:rFonts w:ascii="宋体" w:hAnsi="宋体" w:cs="宋体" w:eastAsia="宋体" w:hint="default"/>
          <w:spacing w:val="-4"/>
          <w:sz w:val="21"/>
          <w:szCs w:val="21"/>
        </w:rPr>
      </w:r>
    </w:p>
    <w:p>
      <w:pPr>
        <w:spacing w:line="240" w:lineRule="auto" w:before="10"/>
        <w:rPr>
          <w:rFonts w:ascii="宋体" w:hAnsi="宋体" w:cs="宋体" w:eastAsia="宋体" w:hint="default"/>
          <w:b/>
          <w:bCs/>
          <w:sz w:val="14"/>
          <w:szCs w:val="14"/>
        </w:rPr>
      </w:pPr>
    </w:p>
    <w:p>
      <w:pPr>
        <w:spacing w:before="0"/>
        <w:ind w:left="102" w:right="616" w:firstLine="0"/>
        <w:jc w:val="left"/>
        <w:rPr>
          <w:rFonts w:ascii="宋体" w:hAnsi="宋体" w:cs="宋体" w:eastAsia="宋体" w:hint="default"/>
          <w:sz w:val="21"/>
          <w:szCs w:val="21"/>
        </w:rPr>
      </w:pPr>
      <w:r>
        <w:rPr>
          <w:rFonts w:ascii="宋体" w:hAnsi="宋体" w:cs="宋体" w:eastAsia="宋体" w:hint="default"/>
          <w:b/>
          <w:bCs/>
          <w:sz w:val="21"/>
          <w:szCs w:val="21"/>
        </w:rPr>
        <w:t>①本期由于业务开展需要，销售人员备用金增加了 </w:t>
      </w:r>
      <w:r>
        <w:rPr>
          <w:rFonts w:ascii="宋体" w:hAnsi="宋体" w:cs="宋体" w:eastAsia="宋体" w:hint="default"/>
          <w:b/>
          <w:bCs/>
          <w:sz w:val="21"/>
          <w:szCs w:val="21"/>
        </w:rPr>
        <w:t>4,090,176.04</w:t>
      </w:r>
      <w:r>
        <w:rPr>
          <w:rFonts w:ascii="宋体" w:hAnsi="宋体" w:cs="宋体" w:eastAsia="宋体" w:hint="default"/>
          <w:b/>
          <w:bCs/>
          <w:spacing w:val="-42"/>
          <w:sz w:val="21"/>
          <w:szCs w:val="21"/>
        </w:rPr>
        <w:t> </w:t>
      </w:r>
      <w:r>
        <w:rPr>
          <w:rFonts w:ascii="宋体" w:hAnsi="宋体" w:cs="宋体" w:eastAsia="宋体" w:hint="default"/>
          <w:b/>
          <w:bCs/>
          <w:sz w:val="21"/>
          <w:szCs w:val="21"/>
        </w:rPr>
        <w:t>元；②本期新增应收子公司</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24" w:right="1311" w:hanging="423"/>
        <w:jc w:val="left"/>
        <w:rPr>
          <w:rFonts w:ascii="宋体" w:hAnsi="宋体" w:cs="宋体" w:eastAsia="宋体" w:hint="default"/>
          <w:sz w:val="21"/>
          <w:szCs w:val="21"/>
        </w:rPr>
      </w:pPr>
      <w:r>
        <w:rPr>
          <w:rFonts w:ascii="宋体" w:hAnsi="宋体" w:cs="宋体" w:eastAsia="宋体" w:hint="default"/>
          <w:b/>
          <w:bCs/>
          <w:sz w:val="21"/>
          <w:szCs w:val="21"/>
        </w:rPr>
        <w:t>南京新国都款项</w:t>
      </w:r>
      <w:r>
        <w:rPr>
          <w:rFonts w:ascii="宋体" w:hAnsi="宋体" w:cs="宋体" w:eastAsia="宋体" w:hint="default"/>
          <w:b/>
          <w:bCs/>
          <w:spacing w:val="-55"/>
          <w:sz w:val="21"/>
          <w:szCs w:val="21"/>
        </w:rPr>
        <w:t> </w:t>
      </w:r>
      <w:r>
        <w:rPr>
          <w:rFonts w:ascii="宋体" w:hAnsi="宋体" w:cs="宋体" w:eastAsia="宋体" w:hint="default"/>
          <w:b/>
          <w:bCs/>
          <w:sz w:val="21"/>
          <w:szCs w:val="21"/>
        </w:rPr>
        <w:t>617,518.60</w:t>
      </w:r>
      <w:r>
        <w:rPr>
          <w:rFonts w:ascii="宋体" w:hAnsi="宋体" w:cs="宋体" w:eastAsia="宋体" w:hint="default"/>
          <w:b/>
          <w:bCs/>
          <w:spacing w:val="-54"/>
          <w:sz w:val="21"/>
          <w:szCs w:val="21"/>
        </w:rPr>
        <w:t> </w:t>
      </w:r>
      <w:r>
        <w:rPr>
          <w:rFonts w:ascii="宋体" w:hAnsi="宋体" w:cs="宋体" w:eastAsia="宋体" w:hint="default"/>
          <w:b/>
          <w:bCs/>
          <w:sz w:val="21"/>
          <w:szCs w:val="21"/>
        </w:rPr>
        <w:t>元；③本期新增应收子公司易联技术款项</w:t>
      </w:r>
      <w:r>
        <w:rPr>
          <w:rFonts w:ascii="宋体" w:hAnsi="宋体" w:cs="宋体" w:eastAsia="宋体" w:hint="default"/>
          <w:b/>
          <w:bCs/>
          <w:spacing w:val="-54"/>
          <w:sz w:val="21"/>
          <w:szCs w:val="21"/>
        </w:rPr>
        <w:t> </w:t>
      </w:r>
      <w:r>
        <w:rPr>
          <w:rFonts w:ascii="宋体" w:hAnsi="宋体" w:cs="宋体" w:eastAsia="宋体" w:hint="default"/>
          <w:b/>
          <w:bCs/>
          <w:sz w:val="21"/>
          <w:szCs w:val="21"/>
        </w:rPr>
        <w:t>686,159.00</w:t>
      </w:r>
      <w:r>
        <w:rPr>
          <w:rFonts w:ascii="宋体" w:hAnsi="宋体" w:cs="宋体" w:eastAsia="宋体" w:hint="default"/>
          <w:b/>
          <w:bCs/>
          <w:spacing w:val="-55"/>
          <w:sz w:val="21"/>
          <w:szCs w:val="21"/>
        </w:rPr>
        <w:t> </w:t>
      </w:r>
      <w:r>
        <w:rPr>
          <w:rFonts w:ascii="宋体" w:hAnsi="宋体" w:cs="宋体" w:eastAsia="宋体" w:hint="default"/>
          <w:b/>
          <w:bCs/>
          <w:sz w:val="21"/>
          <w:szCs w:val="21"/>
        </w:rPr>
        <w:t>元。</w:t>
      </w:r>
      <w:r>
        <w:rPr>
          <w:rFonts w:ascii="宋体" w:hAnsi="宋体" w:cs="宋体" w:eastAsia="宋体" w:hint="default"/>
          <w:b/>
          <w:bCs/>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其他应收款期末数中欠款金额前五名：</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2590"/>
        <w:gridCol w:w="154"/>
        <w:gridCol w:w="1443"/>
        <w:gridCol w:w="127"/>
        <w:gridCol w:w="1637"/>
        <w:gridCol w:w="1716"/>
        <w:gridCol w:w="139"/>
        <w:gridCol w:w="1421"/>
      </w:tblGrid>
      <w:tr>
        <w:trPr>
          <w:trHeight w:val="447"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835"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48"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179" w:lineRule="exact"/>
              <w:ind w:left="249"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43"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3"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27"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2,087,518.60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7"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9"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20.44%</w:t>
            </w:r>
          </w:p>
        </w:tc>
      </w:tr>
      <w:tr>
        <w:trPr>
          <w:trHeight w:val="260"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2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686,159.00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6.72%</w:t>
            </w:r>
          </w:p>
        </w:tc>
      </w:tr>
    </w:tbl>
    <w:p>
      <w:pPr>
        <w:spacing w:after="0" w:line="240" w:lineRule="auto"/>
        <w:jc w:val="right"/>
        <w:rPr>
          <w:rFonts w:ascii="宋体" w:hAnsi="宋体" w:cs="宋体" w:eastAsia="宋体" w:hint="default"/>
          <w:sz w:val="18"/>
          <w:szCs w:val="18"/>
        </w:rPr>
        <w:sectPr>
          <w:footerReference w:type="default" r:id="rId157"/>
          <w:pgSz w:w="11910" w:h="16840"/>
          <w:pgMar w:footer="1175" w:header="0" w:top="1440" w:bottom="1360" w:left="1600" w:right="860"/>
          <w:pgNumType w:start="141"/>
        </w:sectPr>
      </w:pPr>
    </w:p>
    <w:p>
      <w:pPr>
        <w:spacing w:line="240" w:lineRule="auto" w:before="10"/>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63"/>
        <w:gridCol w:w="2024"/>
        <w:gridCol w:w="1637"/>
        <w:gridCol w:w="1855"/>
        <w:gridCol w:w="1421"/>
      </w:tblGrid>
      <w:tr>
        <w:trPr>
          <w:trHeight w:val="259"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李胜富</w:t>
            </w:r>
          </w:p>
        </w:tc>
        <w:tc>
          <w:tcPr>
            <w:tcW w:w="2024" w:type="dxa"/>
            <w:tcBorders>
              <w:top w:val="nil" w:sz="6" w:space="0" w:color="auto"/>
              <w:left w:val="nil" w:sz="6" w:space="0" w:color="auto"/>
              <w:bottom w:val="nil" w:sz="6" w:space="0" w:color="auto"/>
              <w:right w:val="nil" w:sz="6" w:space="0" w:color="auto"/>
            </w:tcBorders>
          </w:tcPr>
          <w:p>
            <w:pPr>
              <w:pStyle w:val="TableParagraph"/>
              <w:spacing w:line="180" w:lineRule="exact"/>
              <w:ind w:right="471"/>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637" w:type="dxa"/>
            <w:tcBorders>
              <w:top w:val="nil" w:sz="6" w:space="0" w:color="auto"/>
              <w:left w:val="nil" w:sz="6" w:space="0" w:color="auto"/>
              <w:bottom w:val="nil" w:sz="6" w:space="0" w:color="auto"/>
              <w:right w:val="nil" w:sz="6" w:space="0" w:color="auto"/>
            </w:tcBorders>
          </w:tcPr>
          <w:p>
            <w:pPr>
              <w:pStyle w:val="TableParagraph"/>
              <w:spacing w:line="180" w:lineRule="exact"/>
              <w:ind w:right="27"/>
              <w:jc w:val="right"/>
              <w:rPr>
                <w:rFonts w:ascii="宋体" w:hAnsi="宋体" w:cs="宋体" w:eastAsia="宋体" w:hint="default"/>
                <w:sz w:val="18"/>
                <w:szCs w:val="18"/>
              </w:rPr>
            </w:pPr>
            <w:r>
              <w:rPr>
                <w:rFonts w:ascii="宋体"/>
                <w:spacing w:val="-1"/>
                <w:sz w:val="18"/>
              </w:rPr>
              <w:t>531,300.00</w:t>
            </w:r>
          </w:p>
        </w:tc>
        <w:tc>
          <w:tcPr>
            <w:tcW w:w="1855" w:type="dxa"/>
            <w:tcBorders>
              <w:top w:val="nil" w:sz="6" w:space="0" w:color="auto"/>
              <w:left w:val="nil" w:sz="6" w:space="0" w:color="auto"/>
              <w:bottom w:val="nil" w:sz="6" w:space="0" w:color="auto"/>
              <w:right w:val="nil" w:sz="6" w:space="0" w:color="auto"/>
            </w:tcBorders>
          </w:tcPr>
          <w:p>
            <w:pPr>
              <w:pStyle w:val="TableParagraph"/>
              <w:spacing w:line="180" w:lineRule="exact"/>
              <w:ind w:left="56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1" w:type="dxa"/>
            <w:tcBorders>
              <w:top w:val="nil" w:sz="6" w:space="0" w:color="auto"/>
              <w:left w:val="nil" w:sz="6" w:space="0" w:color="auto"/>
              <w:bottom w:val="nil" w:sz="6" w:space="0" w:color="auto"/>
              <w:right w:val="nil" w:sz="6" w:space="0" w:color="auto"/>
            </w:tcBorders>
          </w:tcPr>
          <w:p>
            <w:pPr>
              <w:pStyle w:val="TableParagraph"/>
              <w:spacing w:line="180" w:lineRule="exact"/>
              <w:ind w:right="28"/>
              <w:jc w:val="right"/>
              <w:rPr>
                <w:rFonts w:ascii="宋体" w:hAnsi="宋体" w:cs="宋体" w:eastAsia="宋体" w:hint="default"/>
                <w:sz w:val="18"/>
                <w:szCs w:val="18"/>
              </w:rPr>
            </w:pPr>
            <w:r>
              <w:rPr>
                <w:rFonts w:ascii="宋体"/>
                <w:sz w:val="18"/>
              </w:rPr>
              <w:t>5.20%</w:t>
            </w:r>
          </w:p>
        </w:tc>
      </w:tr>
      <w:tr>
        <w:trPr>
          <w:trHeight w:val="341"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宋体" w:hAnsi="宋体" w:cs="宋体" w:eastAsia="宋体" w:hint="default"/>
                <w:sz w:val="18"/>
                <w:szCs w:val="18"/>
              </w:rPr>
            </w:pPr>
            <w:r>
              <w:rPr>
                <w:rFonts w:ascii="宋体" w:hAnsi="宋体" w:cs="宋体" w:eastAsia="宋体" w:hint="default"/>
                <w:sz w:val="18"/>
                <w:szCs w:val="18"/>
              </w:rPr>
              <w:t>杨民</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85"/>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
              <w:jc w:val="right"/>
              <w:rPr>
                <w:rFonts w:ascii="宋体" w:hAnsi="宋体" w:cs="宋体" w:eastAsia="宋体" w:hint="default"/>
                <w:sz w:val="18"/>
                <w:szCs w:val="18"/>
              </w:rPr>
            </w:pPr>
            <w:r>
              <w:rPr>
                <w:rFonts w:ascii="宋体"/>
                <w:spacing w:val="-1"/>
                <w:sz w:val="18"/>
              </w:rPr>
              <w:t>526,280.00</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4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
              <w:jc w:val="right"/>
              <w:rPr>
                <w:rFonts w:ascii="宋体" w:hAnsi="宋体" w:cs="宋体" w:eastAsia="宋体" w:hint="default"/>
                <w:sz w:val="18"/>
                <w:szCs w:val="18"/>
              </w:rPr>
            </w:pPr>
            <w:r>
              <w:rPr>
                <w:rFonts w:ascii="宋体"/>
                <w:sz w:val="18"/>
              </w:rPr>
              <w:t>5.15%</w:t>
            </w:r>
          </w:p>
        </w:tc>
      </w:tr>
      <w:tr>
        <w:trPr>
          <w:trHeight w:val="347"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宋体" w:hAnsi="宋体" w:cs="宋体" w:eastAsia="宋体" w:hint="default"/>
                <w:sz w:val="18"/>
                <w:szCs w:val="18"/>
              </w:rPr>
            </w:pPr>
            <w:r>
              <w:rPr>
                <w:rFonts w:ascii="宋体" w:hAnsi="宋体" w:cs="宋体" w:eastAsia="宋体" w:hint="default"/>
                <w:sz w:val="18"/>
                <w:szCs w:val="18"/>
              </w:rPr>
              <w:t>林清华</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85"/>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511,200.00</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4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z w:val="18"/>
              </w:rPr>
              <w:t>5.01%</w:t>
            </w:r>
          </w:p>
        </w:tc>
      </w:tr>
      <w:tr>
        <w:trPr>
          <w:trHeight w:val="360"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8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4"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4,342,457.60</w:t>
            </w:r>
          </w:p>
        </w:tc>
        <w:tc>
          <w:tcPr>
            <w:tcW w:w="1855"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42.52%</w:t>
            </w:r>
          </w:p>
        </w:tc>
      </w:tr>
    </w:tbl>
    <w:p>
      <w:pPr>
        <w:spacing w:after="0" w:line="240" w:lineRule="auto"/>
        <w:jc w:val="right"/>
        <w:rPr>
          <w:rFonts w:ascii="宋体" w:hAnsi="宋体" w:cs="宋体" w:eastAsia="宋体" w:hint="default"/>
          <w:sz w:val="18"/>
          <w:szCs w:val="18"/>
        </w:rPr>
        <w:sectPr>
          <w:pgSz w:w="11910" w:h="16840"/>
          <w:pgMar w:header="0" w:footer="1175" w:top="1400" w:bottom="1360" w:left="142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before="36"/>
        <w:ind w:left="66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383"/>
        <w:gridCol w:w="113"/>
        <w:gridCol w:w="799"/>
        <w:gridCol w:w="110"/>
        <w:gridCol w:w="1376"/>
        <w:gridCol w:w="108"/>
        <w:gridCol w:w="1447"/>
        <w:gridCol w:w="106"/>
        <w:gridCol w:w="1498"/>
        <w:gridCol w:w="103"/>
        <w:gridCol w:w="1553"/>
        <w:gridCol w:w="103"/>
        <w:gridCol w:w="900"/>
        <w:gridCol w:w="103"/>
        <w:gridCol w:w="828"/>
        <w:gridCol w:w="103"/>
        <w:gridCol w:w="1246"/>
        <w:gridCol w:w="106"/>
        <w:gridCol w:w="512"/>
        <w:gridCol w:w="103"/>
        <w:gridCol w:w="730"/>
        <w:gridCol w:w="103"/>
        <w:gridCol w:w="634"/>
      </w:tblGrid>
      <w:tr>
        <w:trPr>
          <w:trHeight w:val="1190" w:hRule="exact"/>
        </w:trPr>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319" w:lineRule="auto" w:before="100"/>
              <w:ind w:left="88" w:right="8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single" w:sz="4" w:space="0" w:color="000000"/>
              <w:right w:val="nil" w:sz="6" w:space="0" w:color="auto"/>
            </w:tcBorders>
          </w:tcPr>
          <w:p>
            <w:pPr>
              <w:pStyle w:val="TableParagraph"/>
              <w:spacing w:line="319" w:lineRule="auto" w:before="100"/>
              <w:ind w:left="52" w:right="53" w:firstLine="134"/>
              <w:jc w:val="both"/>
              <w:rPr>
                <w:rFonts w:ascii="宋体" w:hAnsi="宋体" w:cs="宋体" w:eastAsia="宋体" w:hint="default"/>
                <w:sz w:val="18"/>
                <w:szCs w:val="18"/>
              </w:rPr>
            </w:pPr>
            <w:r>
              <w:rPr>
                <w:rFonts w:ascii="宋体" w:hAnsi="宋体" w:cs="宋体" w:eastAsia="宋体" w:hint="default"/>
                <w:sz w:val="18"/>
                <w:szCs w:val="18"/>
              </w:rPr>
              <w:t>在被投 资单位表 决权比例</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319" w:lineRule="auto" w:before="76"/>
              <w:ind w:left="81" w:right="83"/>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6" w:lineRule="auto"/>
              <w:ind w:left="74" w:right="7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00" w:lineRule="exact"/>
              <w:ind w:left="4" w:right="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00" w:lineRule="exact"/>
              <w:ind w:left="45" w:right="47"/>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518" w:hRule="exact"/>
        </w:trPr>
        <w:tc>
          <w:tcPr>
            <w:tcW w:w="1383" w:type="dxa"/>
            <w:tcBorders>
              <w:top w:val="single" w:sz="4" w:space="0" w:color="000000"/>
              <w:left w:val="nil" w:sz="6" w:space="0" w:color="auto"/>
              <w:bottom w:val="nil" w:sz="6" w:space="0" w:color="auto"/>
              <w:right w:val="nil" w:sz="6" w:space="0" w:color="auto"/>
            </w:tcBorders>
          </w:tcPr>
          <w:p>
            <w:pPr>
              <w:pStyle w:val="TableParagraph"/>
              <w:spacing w:line="232" w:lineRule="exact" w:before="16"/>
              <w:ind w:left="31" w:right="89"/>
              <w:jc w:val="left"/>
              <w:rPr>
                <w:rFonts w:ascii="宋体" w:hAnsi="宋体" w:cs="宋体" w:eastAsia="宋体" w:hint="default"/>
                <w:sz w:val="18"/>
                <w:szCs w:val="18"/>
              </w:rPr>
            </w:pPr>
            <w:r>
              <w:rPr>
                <w:rFonts w:ascii="宋体" w:hAnsi="宋体" w:cs="宋体" w:eastAsia="宋体" w:hint="default"/>
                <w:sz w:val="18"/>
                <w:szCs w:val="18"/>
              </w:rPr>
              <w:t>肇庆市好易联网 络有限公司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8"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29"/>
              <w:jc w:val="right"/>
              <w:rPr>
                <w:rFonts w:ascii="宋体" w:hAnsi="宋体" w:cs="宋体" w:eastAsia="宋体" w:hint="default"/>
                <w:sz w:val="18"/>
                <w:szCs w:val="18"/>
              </w:rPr>
            </w:pPr>
            <w:r>
              <w:rPr>
                <w:rFonts w:ascii="宋体"/>
                <w:spacing w:val="-1"/>
                <w:sz w:val="18"/>
              </w:rPr>
              <w:t>1,250,624.65</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29"/>
              <w:jc w:val="right"/>
              <w:rPr>
                <w:rFonts w:ascii="宋体" w:hAnsi="宋体" w:cs="宋体" w:eastAsia="宋体" w:hint="default"/>
                <w:sz w:val="18"/>
                <w:szCs w:val="18"/>
              </w:rPr>
            </w:pPr>
            <w:r>
              <w:rPr>
                <w:rFonts w:ascii="宋体"/>
                <w:spacing w:val="-1"/>
                <w:sz w:val="18"/>
              </w:rPr>
              <w:t>2,658,215.20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31"/>
              <w:jc w:val="right"/>
              <w:rPr>
                <w:rFonts w:ascii="宋体" w:hAnsi="宋体" w:cs="宋体" w:eastAsia="宋体" w:hint="default"/>
                <w:sz w:val="18"/>
                <w:szCs w:val="18"/>
              </w:rPr>
            </w:pPr>
            <w:r>
              <w:rPr>
                <w:rFonts w:ascii="宋体"/>
                <w:spacing w:val="-1"/>
                <w:sz w:val="18"/>
              </w:rPr>
              <w:t>595,966.25</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29"/>
              <w:jc w:val="right"/>
              <w:rPr>
                <w:rFonts w:ascii="宋体" w:hAnsi="宋体" w:cs="宋体" w:eastAsia="宋体" w:hint="default"/>
                <w:sz w:val="18"/>
                <w:szCs w:val="18"/>
              </w:rPr>
            </w:pPr>
            <w:r>
              <w:rPr>
                <w:rFonts w:ascii="宋体"/>
                <w:spacing w:val="-1"/>
                <w:sz w:val="18"/>
              </w:rPr>
              <w:t>3,254,181.45</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4"/>
              <w:jc w:val="right"/>
              <w:rPr>
                <w:rFonts w:ascii="宋体" w:hAnsi="宋体" w:cs="宋体" w:eastAsia="宋体" w:hint="default"/>
                <w:sz w:val="18"/>
                <w:szCs w:val="18"/>
              </w:rPr>
            </w:pPr>
            <w:r>
              <w:rPr>
                <w:rFonts w:ascii="宋体"/>
                <w:sz w:val="18"/>
              </w:rPr>
              <w:t>49%</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3"/>
              <w:jc w:val="right"/>
              <w:rPr>
                <w:rFonts w:ascii="宋体" w:hAnsi="宋体" w:cs="宋体" w:eastAsia="宋体" w:hint="default"/>
                <w:sz w:val="18"/>
                <w:szCs w:val="18"/>
              </w:rPr>
            </w:pPr>
            <w:r>
              <w:rPr>
                <w:rFonts w:ascii="宋体"/>
                <w:sz w:val="18"/>
              </w:rPr>
              <w:t>49%</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4"/>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3"/>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43"/>
              <w:jc w:val="right"/>
              <w:rPr>
                <w:rFonts w:ascii="宋体" w:hAnsi="宋体" w:cs="宋体" w:eastAsia="宋体" w:hint="default"/>
                <w:sz w:val="18"/>
                <w:szCs w:val="18"/>
              </w:rPr>
            </w:pPr>
            <w:r>
              <w:rPr>
                <w:rFonts w:ascii="宋体"/>
                <w:sz w:val="18"/>
              </w:rPr>
              <w:t>---</w:t>
            </w:r>
          </w:p>
        </w:tc>
      </w:tr>
      <w:tr>
        <w:trPr>
          <w:trHeight w:val="521"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1" w:right="0"/>
              <w:jc w:val="left"/>
              <w:rPr>
                <w:rFonts w:ascii="宋体" w:hAnsi="宋体" w:cs="宋体" w:eastAsia="宋体" w:hint="default"/>
                <w:sz w:val="18"/>
                <w:szCs w:val="18"/>
              </w:rPr>
            </w:pPr>
            <w:r>
              <w:rPr>
                <w:rFonts w:ascii="宋体" w:hAnsi="宋体" w:cs="宋体" w:eastAsia="宋体" w:hint="default"/>
                <w:sz w:val="18"/>
                <w:szCs w:val="18"/>
              </w:rPr>
              <w:t>权益法小计</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1,250,624.65</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2,658,215.20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31"/>
              <w:jc w:val="right"/>
              <w:rPr>
                <w:rFonts w:ascii="宋体" w:hAnsi="宋体" w:cs="宋体" w:eastAsia="宋体" w:hint="default"/>
                <w:sz w:val="18"/>
                <w:szCs w:val="18"/>
              </w:rPr>
            </w:pPr>
            <w:r>
              <w:rPr>
                <w:rFonts w:ascii="宋体"/>
                <w:spacing w:val="-1"/>
                <w:sz w:val="18"/>
              </w:rPr>
              <w:t>595,966.25</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3,254,181.45</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r>
      <w:tr>
        <w:trPr>
          <w:trHeight w:val="514"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32" w:lineRule="exact" w:before="20"/>
              <w:ind w:left="31" w:right="89"/>
              <w:jc w:val="left"/>
              <w:rPr>
                <w:rFonts w:ascii="宋体" w:hAnsi="宋体" w:cs="宋体" w:eastAsia="宋体" w:hint="default"/>
                <w:sz w:val="18"/>
                <w:szCs w:val="18"/>
              </w:rPr>
            </w:pPr>
            <w:r>
              <w:rPr>
                <w:rFonts w:ascii="宋体" w:hAnsi="宋体" w:cs="宋体" w:eastAsia="宋体" w:hint="default"/>
                <w:sz w:val="18"/>
                <w:szCs w:val="18"/>
              </w:rPr>
              <w:t>深圳市易联技术 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8"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10,000,000.00</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10,000,000.00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30"/>
              <w:jc w:val="right"/>
              <w:rPr>
                <w:rFonts w:ascii="宋体" w:hAnsi="宋体" w:cs="宋体" w:eastAsia="宋体" w:hint="default"/>
                <w:sz w:val="18"/>
                <w:szCs w:val="18"/>
              </w:rPr>
            </w:pPr>
            <w:r>
              <w:rPr>
                <w:rFonts w:ascii="宋体"/>
                <w:spacing w:val="-1"/>
                <w:sz w:val="18"/>
              </w:rPr>
              <w:t>100,000,000.00</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110,000,000.00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
              <w:jc w:val="right"/>
              <w:rPr>
                <w:rFonts w:ascii="宋体" w:hAnsi="宋体" w:cs="宋体" w:eastAsia="宋体" w:hint="default"/>
                <w:sz w:val="18"/>
                <w:szCs w:val="18"/>
              </w:rPr>
            </w:pPr>
            <w:r>
              <w:rPr>
                <w:rFonts w:ascii="宋体"/>
                <w:sz w:val="18"/>
              </w:rPr>
              <w:t>---</w:t>
            </w:r>
          </w:p>
        </w:tc>
      </w:tr>
      <w:tr>
        <w:trPr>
          <w:trHeight w:val="51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34" w:lineRule="exact" w:before="16"/>
              <w:ind w:left="31" w:right="89"/>
              <w:jc w:val="left"/>
              <w:rPr>
                <w:rFonts w:ascii="宋体" w:hAnsi="宋体" w:cs="宋体" w:eastAsia="宋体" w:hint="default"/>
                <w:sz w:val="18"/>
                <w:szCs w:val="18"/>
              </w:rPr>
            </w:pPr>
            <w:r>
              <w:rPr>
                <w:rFonts w:ascii="宋体" w:hAnsi="宋体" w:cs="宋体" w:eastAsia="宋体" w:hint="default"/>
                <w:sz w:val="18"/>
                <w:szCs w:val="18"/>
              </w:rPr>
              <w:t>南京市新国都技 术有限公司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13,000,000.00</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13,000,000.00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13,000,000.00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4"/>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r>
      <w:tr>
        <w:trPr>
          <w:trHeight w:val="51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32" w:lineRule="exact" w:before="17"/>
              <w:ind w:left="31" w:right="89"/>
              <w:jc w:val="left"/>
              <w:rPr>
                <w:rFonts w:ascii="宋体" w:hAnsi="宋体" w:cs="宋体" w:eastAsia="宋体" w:hint="default"/>
                <w:sz w:val="18"/>
                <w:szCs w:val="18"/>
              </w:rPr>
            </w:pPr>
            <w:r>
              <w:rPr>
                <w:rFonts w:ascii="宋体" w:hAnsi="宋体" w:cs="宋体" w:eastAsia="宋体" w:hint="default"/>
                <w:sz w:val="18"/>
                <w:szCs w:val="18"/>
              </w:rPr>
              <w:t>广州市新国都信 息科技有限公司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8"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宋体" w:hAnsi="宋体" w:cs="宋体" w:eastAsia="宋体" w:hint="default"/>
                <w:sz w:val="18"/>
                <w:szCs w:val="18"/>
              </w:rPr>
            </w:pPr>
            <w:r>
              <w:rPr>
                <w:rFonts w:ascii="宋体"/>
                <w:spacing w:val="-1"/>
                <w:sz w:val="18"/>
              </w:rPr>
              <w:t>3,000,000.00</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宋体" w:hAnsi="宋体" w:cs="宋体" w:eastAsia="宋体" w:hint="default"/>
                <w:sz w:val="18"/>
                <w:szCs w:val="18"/>
              </w:rPr>
            </w:pPr>
            <w:r>
              <w:rPr>
                <w:rFonts w:ascii="宋体"/>
                <w:spacing w:val="-1"/>
                <w:sz w:val="18"/>
              </w:rPr>
              <w:t>3,000,000.00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宋体" w:hAnsi="宋体" w:cs="宋体" w:eastAsia="宋体" w:hint="default"/>
                <w:sz w:val="18"/>
                <w:szCs w:val="18"/>
              </w:rPr>
            </w:pPr>
            <w:r>
              <w:rPr>
                <w:rFonts w:ascii="宋体"/>
                <w:spacing w:val="-1"/>
                <w:sz w:val="18"/>
              </w:rPr>
              <w:t>3,000,000.00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5"/>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4"/>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
              <w:jc w:val="right"/>
              <w:rPr>
                <w:rFonts w:ascii="宋体" w:hAnsi="宋体" w:cs="宋体" w:eastAsia="宋体" w:hint="default"/>
                <w:sz w:val="18"/>
                <w:szCs w:val="18"/>
              </w:rPr>
            </w:pPr>
            <w:r>
              <w:rPr>
                <w:rFonts w:ascii="宋体"/>
                <w:sz w:val="18"/>
              </w:rPr>
              <w:t>---</w:t>
            </w:r>
          </w:p>
        </w:tc>
      </w:tr>
      <w:tr>
        <w:trPr>
          <w:trHeight w:val="516"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32" w:lineRule="exact" w:before="18"/>
              <w:ind w:left="31" w:right="89"/>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27,000,000.00</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32"/>
              <w:jc w:val="right"/>
              <w:rPr>
                <w:rFonts w:ascii="宋体" w:hAnsi="宋体" w:cs="宋体" w:eastAsia="宋体" w:hint="default"/>
                <w:sz w:val="18"/>
                <w:szCs w:val="18"/>
              </w:rPr>
            </w:pPr>
            <w:r>
              <w:rPr>
                <w:rFonts w:ascii="宋体"/>
                <w:spacing w:val="-1"/>
                <w:sz w:val="18"/>
              </w:rPr>
              <w:t>27,000,000.00</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27,000,000.00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4"/>
              <w:jc w:val="right"/>
              <w:rPr>
                <w:rFonts w:ascii="宋体" w:hAnsi="宋体" w:cs="宋体" w:eastAsia="宋体" w:hint="default"/>
                <w:sz w:val="18"/>
                <w:szCs w:val="18"/>
              </w:rPr>
            </w:pPr>
            <w:r>
              <w:rPr>
                <w:rFonts w:ascii="宋体"/>
                <w:sz w:val="18"/>
              </w:rPr>
              <w:t>90%</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90%</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4"/>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
              <w:jc w:val="right"/>
              <w:rPr>
                <w:rFonts w:ascii="宋体" w:hAnsi="宋体" w:cs="宋体" w:eastAsia="宋体" w:hint="default"/>
                <w:sz w:val="18"/>
                <w:szCs w:val="18"/>
              </w:rPr>
            </w:pPr>
            <w:r>
              <w:rPr>
                <w:rFonts w:ascii="宋体"/>
                <w:sz w:val="18"/>
              </w:rPr>
              <w:t>---</w:t>
            </w:r>
          </w:p>
        </w:tc>
      </w:tr>
      <w:tr>
        <w:trPr>
          <w:trHeight w:val="521"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1" w:right="0"/>
              <w:jc w:val="left"/>
              <w:rPr>
                <w:rFonts w:ascii="宋体" w:hAnsi="宋体" w:cs="宋体" w:eastAsia="宋体" w:hint="default"/>
                <w:sz w:val="18"/>
                <w:szCs w:val="18"/>
              </w:rPr>
            </w:pPr>
            <w:r>
              <w:rPr>
                <w:rFonts w:ascii="宋体" w:hAnsi="宋体" w:cs="宋体" w:eastAsia="宋体" w:hint="default"/>
                <w:sz w:val="18"/>
                <w:szCs w:val="18"/>
              </w:rPr>
              <w:t>成本法小计</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53,000,000.00</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spacing w:val="-1"/>
                <w:sz w:val="18"/>
              </w:rPr>
              <w:t>26,000,000.00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32"/>
              <w:jc w:val="right"/>
              <w:rPr>
                <w:rFonts w:ascii="宋体" w:hAnsi="宋体" w:cs="宋体" w:eastAsia="宋体" w:hint="default"/>
                <w:sz w:val="18"/>
                <w:szCs w:val="18"/>
              </w:rPr>
            </w:pPr>
            <w:r>
              <w:rPr>
                <w:rFonts w:ascii="宋体"/>
                <w:spacing w:val="-1"/>
                <w:sz w:val="18"/>
              </w:rPr>
              <w:t>127,000,000.00</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28"/>
              <w:jc w:val="right"/>
              <w:rPr>
                <w:rFonts w:ascii="宋体" w:hAnsi="宋体" w:cs="宋体" w:eastAsia="宋体" w:hint="default"/>
                <w:sz w:val="18"/>
                <w:szCs w:val="18"/>
              </w:rPr>
            </w:pPr>
            <w:r>
              <w:rPr>
                <w:rFonts w:ascii="宋体"/>
                <w:spacing w:val="-1"/>
                <w:sz w:val="18"/>
              </w:rPr>
              <w:t>153,000,000.00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r>
      <w:tr>
        <w:trPr>
          <w:trHeight w:val="53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46"/>
              <w:jc w:val="right"/>
              <w:rPr>
                <w:rFonts w:ascii="宋体" w:hAnsi="宋体" w:cs="宋体" w:eastAsia="宋体" w:hint="default"/>
                <w:sz w:val="18"/>
                <w:szCs w:val="18"/>
              </w:rPr>
            </w:pPr>
            <w:r>
              <w:rPr>
                <w:rFonts w:ascii="宋体"/>
                <w:spacing w:val="-1"/>
                <w:sz w:val="18"/>
              </w:rPr>
              <w:t>54,250,624.65</w:t>
            </w:r>
          </w:p>
        </w:tc>
        <w:tc>
          <w:tcPr>
            <w:tcW w:w="10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69"/>
              <w:jc w:val="right"/>
              <w:rPr>
                <w:rFonts w:ascii="宋体" w:hAnsi="宋体" w:cs="宋体" w:eastAsia="宋体" w:hint="default"/>
                <w:sz w:val="18"/>
                <w:szCs w:val="18"/>
              </w:rPr>
            </w:pPr>
            <w:r>
              <w:rPr>
                <w:rFonts w:ascii="宋体"/>
                <w:spacing w:val="-1"/>
                <w:sz w:val="18"/>
              </w:rPr>
              <w:t>28,658,215.20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70"/>
              <w:jc w:val="right"/>
              <w:rPr>
                <w:rFonts w:ascii="宋体" w:hAnsi="宋体" w:cs="宋体" w:eastAsia="宋体" w:hint="default"/>
                <w:sz w:val="18"/>
                <w:szCs w:val="18"/>
              </w:rPr>
            </w:pPr>
            <w:r>
              <w:rPr>
                <w:rFonts w:ascii="宋体"/>
                <w:spacing w:val="-1"/>
                <w:sz w:val="18"/>
              </w:rPr>
              <w:t>127,595,966.25</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71"/>
              <w:jc w:val="right"/>
              <w:rPr>
                <w:rFonts w:ascii="宋体" w:hAnsi="宋体" w:cs="宋体" w:eastAsia="宋体" w:hint="default"/>
                <w:sz w:val="18"/>
                <w:szCs w:val="18"/>
              </w:rPr>
            </w:pPr>
            <w:r>
              <w:rPr>
                <w:rFonts w:ascii="宋体"/>
                <w:spacing w:val="-1"/>
                <w:sz w:val="18"/>
              </w:rPr>
              <w:t>156,254,181.45</w:t>
            </w:r>
            <w:r>
              <w:rPr>
                <w:rFonts w:ascii="宋体"/>
                <w:sz w:val="18"/>
              </w:rPr>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63"/>
        <w:ind w:left="6983" w:right="6981" w:firstLine="0"/>
        <w:jc w:val="center"/>
        <w:rPr>
          <w:rFonts w:ascii="Calibri" w:hAnsi="Calibri" w:cs="Calibri" w:eastAsia="Calibri" w:hint="default"/>
          <w:sz w:val="18"/>
          <w:szCs w:val="18"/>
        </w:rPr>
      </w:pPr>
      <w:r>
        <w:rPr>
          <w:rFonts w:ascii="Calibri"/>
          <w:sz w:val="18"/>
        </w:rPr>
        <w:t>143</w:t>
      </w:r>
    </w:p>
    <w:p>
      <w:pPr>
        <w:spacing w:after="0"/>
        <w:jc w:val="center"/>
        <w:rPr>
          <w:rFonts w:ascii="Calibri" w:hAnsi="Calibri" w:cs="Calibri" w:eastAsia="Calibri" w:hint="default"/>
          <w:sz w:val="18"/>
          <w:szCs w:val="18"/>
        </w:rPr>
        <w:sectPr>
          <w:footerReference w:type="default" r:id="rId172"/>
          <w:pgSz w:w="16840" w:h="11910" w:orient="landscape"/>
          <w:pgMar w:footer="0" w:header="0" w:top="1100" w:bottom="280" w:left="1280" w:right="1280"/>
        </w:sectPr>
      </w:pPr>
    </w:p>
    <w:p>
      <w:pPr>
        <w:spacing w:line="544" w:lineRule="auto" w:before="9"/>
        <w:ind w:left="1010" w:right="5951" w:firstLine="105"/>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营业收入及营业成本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tbl>
      <w:tblPr>
        <w:tblW w:w="0" w:type="auto"/>
        <w:jc w:val="left"/>
        <w:tblInd w:w="588" w:type="dxa"/>
        <w:tblLayout w:type="fixed"/>
        <w:tblCellMar>
          <w:top w:w="0" w:type="dxa"/>
          <w:left w:w="0" w:type="dxa"/>
          <w:bottom w:w="0" w:type="dxa"/>
          <w:right w:w="0" w:type="dxa"/>
        </w:tblCellMar>
        <w:tblLook w:val="01E0"/>
      </w:tblPr>
      <w:tblGrid>
        <w:gridCol w:w="1892"/>
        <w:gridCol w:w="1253"/>
        <w:gridCol w:w="2050"/>
        <w:gridCol w:w="1575"/>
        <w:gridCol w:w="1870"/>
      </w:tblGrid>
      <w:tr>
        <w:trPr>
          <w:trHeight w:val="267" w:hRule="exact"/>
        </w:trPr>
        <w:tc>
          <w:tcPr>
            <w:tcW w:w="1892" w:type="dxa"/>
            <w:tcBorders>
              <w:top w:val="nil" w:sz="6" w:space="0" w:color="auto"/>
              <w:left w:val="nil" w:sz="6" w:space="0" w:color="auto"/>
              <w:bottom w:val="single" w:sz="4" w:space="0" w:color="000000"/>
              <w:right w:val="nil" w:sz="6" w:space="0" w:color="auto"/>
            </w:tcBorders>
          </w:tcPr>
          <w:p>
            <w:pPr>
              <w:pStyle w:val="TableParagraph"/>
              <w:spacing w:line="180" w:lineRule="exact"/>
              <w:ind w:right="766"/>
              <w:jc w:val="right"/>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75"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80"/>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253"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339,231,718.62</w:t>
            </w:r>
          </w:p>
        </w:tc>
        <w:tc>
          <w:tcPr>
            <w:tcW w:w="1575"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205,299,993.01</w:t>
            </w:r>
          </w:p>
        </w:tc>
      </w:tr>
      <w:tr>
        <w:trPr>
          <w:trHeight w:val="347"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80"/>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253"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z w:val="18"/>
              </w:rPr>
              <w:t>---</w:t>
            </w:r>
          </w:p>
        </w:tc>
      </w:tr>
      <w:tr>
        <w:trPr>
          <w:trHeight w:val="37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07"/>
              <w:jc w:val="righ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339,231,718.62</w:t>
            </w:r>
          </w:p>
        </w:tc>
        <w:tc>
          <w:tcPr>
            <w:tcW w:w="1575"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205,299,993.01</w:t>
            </w:r>
          </w:p>
        </w:tc>
      </w:tr>
    </w:tbl>
    <w:p>
      <w:pPr>
        <w:spacing w:line="240" w:lineRule="auto" w:before="2"/>
        <w:rPr>
          <w:rFonts w:ascii="宋体" w:hAnsi="宋体" w:cs="宋体" w:eastAsia="宋体" w:hint="default"/>
          <w:b/>
          <w:bCs/>
          <w:sz w:val="20"/>
          <w:szCs w:val="20"/>
        </w:rPr>
      </w:pPr>
    </w:p>
    <w:p>
      <w:pPr>
        <w:spacing w:before="36"/>
        <w:ind w:left="1010" w:right="595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602" w:type="dxa"/>
        <w:tblLayout w:type="fixed"/>
        <w:tblCellMar>
          <w:top w:w="0" w:type="dxa"/>
          <w:left w:w="0" w:type="dxa"/>
          <w:bottom w:w="0" w:type="dxa"/>
          <w:right w:w="0" w:type="dxa"/>
        </w:tblCellMar>
        <w:tblLook w:val="01E0"/>
      </w:tblPr>
      <w:tblGrid>
        <w:gridCol w:w="1877"/>
        <w:gridCol w:w="1253"/>
        <w:gridCol w:w="2036"/>
        <w:gridCol w:w="1589"/>
        <w:gridCol w:w="1856"/>
      </w:tblGrid>
      <w:tr>
        <w:trPr>
          <w:trHeight w:val="265"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right="759"/>
              <w:jc w:val="right"/>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89"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66"/>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125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223,696,714.28</w:t>
            </w:r>
          </w:p>
        </w:tc>
        <w:tc>
          <w:tcPr>
            <w:tcW w:w="1589"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138,681,008.53</w:t>
            </w:r>
          </w:p>
        </w:tc>
      </w:tr>
      <w:tr>
        <w:trPr>
          <w:trHeight w:val="348"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6"/>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1253"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w:t>
            </w:r>
          </w:p>
        </w:tc>
        <w:tc>
          <w:tcPr>
            <w:tcW w:w="1589"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w:t>
            </w:r>
          </w:p>
        </w:tc>
      </w:tr>
      <w:tr>
        <w:trPr>
          <w:trHeight w:val="36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00"/>
              <w:jc w:val="righ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223,696,714.28</w:t>
            </w:r>
          </w:p>
        </w:tc>
        <w:tc>
          <w:tcPr>
            <w:tcW w:w="1589"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spacing w:val="-1"/>
                <w:sz w:val="18"/>
              </w:rPr>
              <w:t>138,681,008.53</w:t>
            </w:r>
          </w:p>
        </w:tc>
      </w:tr>
    </w:tbl>
    <w:p>
      <w:pPr>
        <w:spacing w:line="240" w:lineRule="auto" w:before="2"/>
        <w:rPr>
          <w:rFonts w:ascii="宋体" w:hAnsi="宋体" w:cs="宋体" w:eastAsia="宋体" w:hint="default"/>
          <w:b/>
          <w:bCs/>
          <w:sz w:val="20"/>
          <w:szCs w:val="20"/>
        </w:rPr>
      </w:pPr>
    </w:p>
    <w:p>
      <w:pPr>
        <w:spacing w:before="36"/>
        <w:ind w:left="101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公司前五名客户的主营业务收入情况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588" w:type="dxa"/>
        <w:tblLayout w:type="fixed"/>
        <w:tblCellMar>
          <w:top w:w="0" w:type="dxa"/>
          <w:left w:w="0" w:type="dxa"/>
          <w:bottom w:w="0" w:type="dxa"/>
          <w:right w:w="0" w:type="dxa"/>
        </w:tblCellMar>
        <w:tblLook w:val="01E0"/>
      </w:tblPr>
      <w:tblGrid>
        <w:gridCol w:w="2132"/>
        <w:gridCol w:w="1020"/>
        <w:gridCol w:w="2028"/>
        <w:gridCol w:w="1582"/>
        <w:gridCol w:w="1877"/>
      </w:tblGrid>
      <w:tr>
        <w:trPr>
          <w:trHeight w:val="268" w:hRule="exact"/>
        </w:trPr>
        <w:tc>
          <w:tcPr>
            <w:tcW w:w="213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8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1020" w:type="dxa"/>
            <w:tcBorders>
              <w:top w:val="nil" w:sz="6" w:space="0" w:color="auto"/>
              <w:left w:val="nil" w:sz="6" w:space="0" w:color="auto"/>
              <w:bottom w:val="nil" w:sz="6" w:space="0" w:color="auto"/>
              <w:right w:val="nil" w:sz="6" w:space="0" w:color="auto"/>
            </w:tcBorders>
          </w:tcPr>
          <w:p>
            <w:pPr/>
          </w:p>
        </w:tc>
        <w:tc>
          <w:tcPr>
            <w:tcW w:w="20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262,896,537.79</w:t>
            </w:r>
          </w:p>
        </w:tc>
        <w:tc>
          <w:tcPr>
            <w:tcW w:w="1582"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146,479,696.29</w:t>
            </w:r>
          </w:p>
        </w:tc>
      </w:tr>
      <w:tr>
        <w:trPr>
          <w:trHeight w:val="260"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102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77.50%</w:t>
            </w:r>
          </w:p>
        </w:tc>
        <w:tc>
          <w:tcPr>
            <w:tcW w:w="158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71.35%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101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主营业务收入及成本</w:t>
      </w:r>
      <w:r>
        <w:rPr>
          <w:rFonts w:ascii="宋体" w:hAnsi="宋体" w:cs="宋体" w:eastAsia="宋体" w:hint="default"/>
          <w:b/>
          <w:bCs/>
          <w:sz w:val="21"/>
          <w:szCs w:val="21"/>
        </w:rPr>
        <w:t>-</w:t>
      </w:r>
      <w:r>
        <w:rPr>
          <w:rFonts w:ascii="宋体" w:hAnsi="宋体" w:cs="宋体" w:eastAsia="宋体" w:hint="default"/>
          <w:b/>
          <w:bCs/>
          <w:sz w:val="21"/>
          <w:szCs w:val="21"/>
        </w:rPr>
        <w:t>按业务分类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588" w:type="dxa"/>
        <w:tblLayout w:type="fixed"/>
        <w:tblCellMar>
          <w:top w:w="0" w:type="dxa"/>
          <w:left w:w="0" w:type="dxa"/>
          <w:bottom w:w="0" w:type="dxa"/>
          <w:right w:w="0" w:type="dxa"/>
        </w:tblCellMar>
        <w:tblLook w:val="01E0"/>
      </w:tblPr>
      <w:tblGrid>
        <w:gridCol w:w="2100"/>
        <w:gridCol w:w="1505"/>
        <w:gridCol w:w="2120"/>
        <w:gridCol w:w="891"/>
        <w:gridCol w:w="2086"/>
      </w:tblGrid>
      <w:tr>
        <w:trPr>
          <w:trHeight w:val="267"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nil" w:sz="6" w:space="0" w:color="auto"/>
              <w:right w:val="nil" w:sz="6" w:space="0" w:color="auto"/>
            </w:tcBorders>
          </w:tcPr>
          <w:p>
            <w:pP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322,561,999.74</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190,202,408.87</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7"/>
              <w:jc w:val="righ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11,086,822.35</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9,632,415.88</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273,504.27</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513,299.08</w:t>
            </w: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78,594.87</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123,946.61</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6"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4,867,395.56</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4,705,127.79</w:t>
            </w:r>
          </w:p>
        </w:tc>
      </w:tr>
      <w:tr>
        <w:trPr>
          <w:trHeight w:val="34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363,401.83</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122,794.78</w:t>
            </w:r>
          </w:p>
        </w:tc>
      </w:tr>
      <w:tr>
        <w:trPr>
          <w:trHeight w:val="36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339,231,718.62</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205,299,993.01</w:t>
            </w:r>
          </w:p>
        </w:tc>
      </w:tr>
      <w:tr>
        <w:trPr>
          <w:trHeight w:val="353"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single" w:sz="12" w:space="0" w:color="000000"/>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single" w:sz="12" w:space="0" w:color="000000"/>
              <w:left w:val="nil" w:sz="6" w:space="0" w:color="auto"/>
              <w:bottom w:val="nil" w:sz="6" w:space="0" w:color="auto"/>
              <w:right w:val="nil" w:sz="6" w:space="0" w:color="auto"/>
            </w:tcBorders>
          </w:tcPr>
          <w:p>
            <w:pP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219,785,145.66</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134,630,010.80</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17"/>
              <w:jc w:val="righ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2,236,549.10</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1,925,369.20</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8"/>
                <w:szCs w:val="18"/>
              </w:rPr>
            </w:pPr>
            <w:r>
              <w:rPr>
                <w:rFonts w:ascii="宋体"/>
                <w:spacing w:val="-1"/>
                <w:sz w:val="18"/>
              </w:rPr>
              <w:t>94,336.00</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8"/>
                <w:szCs w:val="18"/>
              </w:rPr>
            </w:pPr>
            <w:r>
              <w:rPr>
                <w:rFonts w:ascii="宋体"/>
                <w:spacing w:val="-1"/>
                <w:sz w:val="18"/>
              </w:rPr>
              <w:t>209,545.61</w:t>
            </w: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6"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1,580,683.52</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1,916,082.92</w:t>
            </w:r>
          </w:p>
        </w:tc>
      </w:tr>
      <w:tr>
        <w:trPr>
          <w:trHeight w:val="34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5"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c>
          <w:tcPr>
            <w:tcW w:w="89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footerReference w:type="default" r:id="rId173"/>
          <w:pgSz w:w="11910" w:h="16840"/>
          <w:pgMar w:footer="1240" w:header="0" w:top="1400" w:bottom="1420" w:left="1680" w:right="820"/>
          <w:pgNumType w:start="144"/>
        </w:sectPr>
      </w:pPr>
    </w:p>
    <w:p>
      <w:pPr>
        <w:spacing w:line="240" w:lineRule="auto" w:before="3"/>
        <w:rPr>
          <w:rFonts w:ascii="宋体" w:hAnsi="宋体" w:cs="宋体" w:eastAsia="宋体" w:hint="default"/>
          <w:b/>
          <w:bCs/>
          <w:sz w:val="6"/>
          <w:szCs w:val="6"/>
        </w:rPr>
      </w:pPr>
    </w:p>
    <w:tbl>
      <w:tblPr>
        <w:tblW w:w="0" w:type="auto"/>
        <w:jc w:val="left"/>
        <w:tblInd w:w="588" w:type="dxa"/>
        <w:tblLayout w:type="fixed"/>
        <w:tblCellMar>
          <w:top w:w="0" w:type="dxa"/>
          <w:left w:w="0" w:type="dxa"/>
          <w:bottom w:w="0" w:type="dxa"/>
          <w:right w:w="0" w:type="dxa"/>
        </w:tblCellMar>
        <w:tblLook w:val="01E0"/>
      </w:tblPr>
      <w:tblGrid>
        <w:gridCol w:w="2100"/>
        <w:gridCol w:w="1513"/>
        <w:gridCol w:w="2113"/>
        <w:gridCol w:w="883"/>
        <w:gridCol w:w="2093"/>
      </w:tblGrid>
      <w:tr>
        <w:trPr>
          <w:trHeight w:val="36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223,696,714.28</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138,681,008.53</w:t>
            </w:r>
          </w:p>
        </w:tc>
      </w:tr>
      <w:tr>
        <w:trPr>
          <w:trHeight w:val="360"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3"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POS</w:t>
            </w:r>
            <w:r>
              <w:rPr>
                <w:rFonts w:ascii="宋体" w:hAnsi="宋体" w:cs="宋体" w:eastAsia="宋体" w:hint="default"/>
                <w:sz w:val="18"/>
                <w:szCs w:val="18"/>
              </w:rPr>
              <w:t>机销售</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102,776,854.08</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55,572,398.07</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8" w:right="0"/>
              <w:jc w:val="lef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z w:val="18"/>
                <w:szCs w:val="18"/>
              </w:rPr>
              <w:t>机出租</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8,850,273.25</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7,707,046.68</w:t>
            </w: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179,168.27</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303,753.47</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78,594.87</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123,946.61</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8"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3,286,712.04</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2,789,044.87</w:t>
            </w:r>
          </w:p>
        </w:tc>
      </w:tr>
      <w:tr>
        <w:trPr>
          <w:trHeight w:val="348"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363,401.83</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122,794.78</w:t>
            </w:r>
          </w:p>
        </w:tc>
      </w:tr>
      <w:tr>
        <w:trPr>
          <w:trHeight w:val="36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115,535,004.34</w:t>
            </w:r>
          </w:p>
        </w:tc>
        <w:tc>
          <w:tcPr>
            <w:tcW w:w="883"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66,618,984.48</w:t>
            </w:r>
          </w:p>
        </w:tc>
      </w:tr>
    </w:tbl>
    <w:p>
      <w:pPr>
        <w:spacing w:line="240" w:lineRule="auto" w:before="2"/>
        <w:rPr>
          <w:rFonts w:ascii="宋体" w:hAnsi="宋体" w:cs="宋体" w:eastAsia="宋体" w:hint="default"/>
          <w:b/>
          <w:bCs/>
          <w:sz w:val="20"/>
          <w:szCs w:val="20"/>
        </w:rPr>
      </w:pPr>
    </w:p>
    <w:p>
      <w:pPr>
        <w:spacing w:before="36"/>
        <w:ind w:left="101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主营业务收入</w:t>
      </w:r>
      <w:r>
        <w:rPr>
          <w:rFonts w:ascii="宋体" w:hAnsi="宋体" w:cs="宋体" w:eastAsia="宋体" w:hint="default"/>
          <w:b/>
          <w:bCs/>
          <w:sz w:val="21"/>
          <w:szCs w:val="21"/>
        </w:rPr>
        <w:t>-</w:t>
      </w:r>
      <w:r>
        <w:rPr>
          <w:rFonts w:ascii="宋体" w:hAnsi="宋体" w:cs="宋体" w:eastAsia="宋体" w:hint="default"/>
          <w:b/>
          <w:bCs/>
          <w:sz w:val="21"/>
          <w:szCs w:val="21"/>
        </w:rPr>
        <w:t>按地区分类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588" w:type="dxa"/>
        <w:tblLayout w:type="fixed"/>
        <w:tblCellMar>
          <w:top w:w="0" w:type="dxa"/>
          <w:left w:w="0" w:type="dxa"/>
          <w:bottom w:w="0" w:type="dxa"/>
          <w:right w:w="0" w:type="dxa"/>
        </w:tblCellMar>
        <w:tblLook w:val="01E0"/>
      </w:tblPr>
      <w:tblGrid>
        <w:gridCol w:w="2086"/>
        <w:gridCol w:w="1505"/>
        <w:gridCol w:w="2134"/>
        <w:gridCol w:w="883"/>
        <w:gridCol w:w="2108"/>
      </w:tblGrid>
      <w:tr>
        <w:trPr>
          <w:trHeight w:val="267" w:hRule="exact"/>
        </w:trPr>
        <w:tc>
          <w:tcPr>
            <w:tcW w:w="20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10,687,317.95</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9,445,485.01</w:t>
            </w:r>
          </w:p>
        </w:tc>
      </w:tr>
      <w:tr>
        <w:trPr>
          <w:trHeight w:val="34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55,072,974.37</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31,713,735.92</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11,699,947.86</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6,546,023.37</w:t>
            </w:r>
          </w:p>
        </w:tc>
      </w:tr>
      <w:tr>
        <w:trPr>
          <w:trHeight w:val="34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37,989,196.58</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27,890,234.82</w:t>
            </w:r>
          </w:p>
        </w:tc>
      </w:tr>
      <w:tr>
        <w:trPr>
          <w:trHeight w:val="34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pacing w:val="-1"/>
                <w:sz w:val="18"/>
              </w:rPr>
              <w:t>76,825,538.46</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pacing w:val="-1"/>
                <w:sz w:val="18"/>
              </w:rPr>
              <w:t>43,100,019.13</w:t>
            </w:r>
          </w:p>
        </w:tc>
      </w:tr>
      <w:tr>
        <w:trPr>
          <w:trHeight w:val="34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138,469,187.41</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79,213,818.91</w:t>
            </w:r>
          </w:p>
        </w:tc>
      </w:tr>
      <w:tr>
        <w:trPr>
          <w:trHeight w:val="34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7,297,910.26</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7,073,532.62</w:t>
            </w:r>
          </w:p>
        </w:tc>
      </w:tr>
      <w:tr>
        <w:trPr>
          <w:trHeight w:val="34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1,189,645.73</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317,143.23</w:t>
            </w:r>
          </w:p>
        </w:tc>
      </w:tr>
      <w:tr>
        <w:trPr>
          <w:trHeight w:val="362"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339,231,718.62</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205,299,993.01</w:t>
            </w:r>
          </w:p>
        </w:tc>
      </w:tr>
    </w:tbl>
    <w:p>
      <w:pPr>
        <w:spacing w:line="240" w:lineRule="auto" w:before="2"/>
        <w:rPr>
          <w:rFonts w:ascii="宋体" w:hAnsi="宋体" w:cs="宋体" w:eastAsia="宋体" w:hint="default"/>
          <w:b/>
          <w:bCs/>
          <w:sz w:val="20"/>
          <w:szCs w:val="20"/>
        </w:rPr>
      </w:pPr>
    </w:p>
    <w:p>
      <w:pPr>
        <w:spacing w:before="36"/>
        <w:ind w:left="1010" w:right="595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588" w:type="dxa"/>
        <w:tblLayout w:type="fixed"/>
        <w:tblCellMar>
          <w:top w:w="0" w:type="dxa"/>
          <w:left w:w="0" w:type="dxa"/>
          <w:bottom w:w="0" w:type="dxa"/>
          <w:right w:w="0" w:type="dxa"/>
        </w:tblCellMar>
        <w:tblLook w:val="01E0"/>
      </w:tblPr>
      <w:tblGrid>
        <w:gridCol w:w="2072"/>
        <w:gridCol w:w="1493"/>
        <w:gridCol w:w="2160"/>
        <w:gridCol w:w="883"/>
        <w:gridCol w:w="2108"/>
      </w:tblGrid>
      <w:tr>
        <w:trPr>
          <w:trHeight w:val="258" w:hRule="exact"/>
        </w:trPr>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2" w:hRule="exact"/>
        </w:trPr>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149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
        </w:tc>
      </w:tr>
      <w:tr>
        <w:trPr>
          <w:trHeight w:val="633"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316" w:lineRule="auto" w:before="13"/>
              <w:ind w:left="28" w:right="60"/>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w:t>
            </w:r>
          </w:p>
        </w:tc>
        <w:tc>
          <w:tcPr>
            <w:tcW w:w="14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595,966.25</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590,335.95</w:t>
            </w:r>
          </w:p>
        </w:tc>
      </w:tr>
      <w:tr>
        <w:trPr>
          <w:trHeight w:val="360"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595,966.25</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590,335.95</w:t>
            </w:r>
          </w:p>
        </w:tc>
      </w:tr>
    </w:tbl>
    <w:p>
      <w:pPr>
        <w:spacing w:line="240" w:lineRule="auto" w:before="1"/>
        <w:rPr>
          <w:rFonts w:ascii="宋体" w:hAnsi="宋体" w:cs="宋体" w:eastAsia="宋体" w:hint="default"/>
          <w:b/>
          <w:bCs/>
          <w:sz w:val="23"/>
          <w:szCs w:val="23"/>
        </w:rPr>
      </w:pPr>
    </w:p>
    <w:p>
      <w:pPr>
        <w:spacing w:before="36"/>
        <w:ind w:left="101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tbl>
      <w:tblPr>
        <w:tblW w:w="0" w:type="auto"/>
        <w:jc w:val="left"/>
        <w:tblInd w:w="588" w:type="dxa"/>
        <w:tblLayout w:type="fixed"/>
        <w:tblCellMar>
          <w:top w:w="0" w:type="dxa"/>
          <w:left w:w="0" w:type="dxa"/>
          <w:bottom w:w="0" w:type="dxa"/>
          <w:right w:w="0" w:type="dxa"/>
        </w:tblCellMar>
        <w:tblLook w:val="01E0"/>
      </w:tblPr>
      <w:tblGrid>
        <w:gridCol w:w="3113"/>
        <w:gridCol w:w="459"/>
        <w:gridCol w:w="2168"/>
        <w:gridCol w:w="876"/>
        <w:gridCol w:w="2100"/>
      </w:tblGrid>
      <w:tr>
        <w:trPr>
          <w:trHeight w:val="265"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4"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623,560,987.90</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715,590,749.97</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12,423.86</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108,492.27</w:t>
            </w:r>
          </w:p>
        </w:tc>
      </w:tr>
      <w:tr>
        <w:trPr>
          <w:trHeight w:val="34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623,548,564.04</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715,482,257.70</w:t>
            </w:r>
          </w:p>
        </w:tc>
      </w:tr>
      <w:tr>
        <w:trPr>
          <w:trHeight w:val="34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r>
      <w:tr>
        <w:trPr>
          <w:trHeight w:val="26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1240" w:top="1340" w:bottom="1420" w:left="1680" w:right="820"/>
        </w:sectPr>
      </w:pPr>
    </w:p>
    <w:p>
      <w:pPr>
        <w:spacing w:line="240" w:lineRule="auto" w:before="2"/>
        <w:rPr>
          <w:rFonts w:ascii="宋体" w:hAnsi="宋体" w:cs="宋体" w:eastAsia="宋体" w:hint="default"/>
          <w:b/>
          <w:bCs/>
          <w:sz w:val="6"/>
          <w:szCs w:val="6"/>
        </w:rPr>
      </w:pPr>
    </w:p>
    <w:tbl>
      <w:tblPr>
        <w:tblW w:w="0" w:type="auto"/>
        <w:jc w:val="left"/>
        <w:tblInd w:w="417" w:type="dxa"/>
        <w:tblLayout w:type="fixed"/>
        <w:tblCellMar>
          <w:top w:w="0" w:type="dxa"/>
          <w:left w:w="0" w:type="dxa"/>
          <w:bottom w:w="0" w:type="dxa"/>
          <w:right w:w="0" w:type="dxa"/>
        </w:tblCellMar>
        <w:tblLook w:val="01E0"/>
      </w:tblPr>
      <w:tblGrid>
        <w:gridCol w:w="3671"/>
        <w:gridCol w:w="3072"/>
        <w:gridCol w:w="2321"/>
      </w:tblGrid>
      <w:tr>
        <w:trPr>
          <w:trHeight w:val="260"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72" w:type="dxa"/>
            <w:tcBorders>
              <w:top w:val="nil" w:sz="6" w:space="0" w:color="auto"/>
              <w:left w:val="nil" w:sz="6" w:space="0" w:color="auto"/>
              <w:bottom w:val="nil" w:sz="6" w:space="0" w:color="auto"/>
              <w:right w:val="nil" w:sz="6" w:space="0" w:color="auto"/>
            </w:tcBorders>
          </w:tcPr>
          <w:p>
            <w:pPr>
              <w:pStyle w:val="TableParagraph"/>
              <w:spacing w:line="180" w:lineRule="exact"/>
              <w:ind w:right="857"/>
              <w:jc w:val="right"/>
              <w:rPr>
                <w:rFonts w:ascii="宋体" w:hAnsi="宋体" w:cs="宋体" w:eastAsia="宋体" w:hint="default"/>
                <w:sz w:val="18"/>
                <w:szCs w:val="18"/>
              </w:rPr>
            </w:pPr>
            <w:r>
              <w:rPr>
                <w:rFonts w:ascii="宋体"/>
                <w:sz w:val="18"/>
              </w:rPr>
              <w:t>---</w:t>
            </w:r>
          </w:p>
        </w:tc>
        <w:tc>
          <w:tcPr>
            <w:tcW w:w="232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z w:val="18"/>
              </w:rPr>
              <w:t>---</w:t>
            </w:r>
          </w:p>
        </w:tc>
      </w:tr>
      <w:tr>
        <w:trPr>
          <w:trHeight w:val="260"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60"/>
              <w:jc w:val="right"/>
              <w:rPr>
                <w:rFonts w:ascii="宋体" w:hAnsi="宋体" w:cs="宋体" w:eastAsia="宋体" w:hint="default"/>
                <w:sz w:val="18"/>
                <w:szCs w:val="18"/>
              </w:rPr>
            </w:pPr>
            <w:r>
              <w:rPr>
                <w:rFonts w:ascii="宋体"/>
                <w:spacing w:val="-1"/>
                <w:sz w:val="18"/>
              </w:rPr>
              <w:t>623,560,987.90</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0"/>
              <w:jc w:val="right"/>
              <w:rPr>
                <w:rFonts w:ascii="宋体" w:hAnsi="宋体" w:cs="宋体" w:eastAsia="宋体" w:hint="default"/>
                <w:sz w:val="18"/>
                <w:szCs w:val="18"/>
              </w:rPr>
            </w:pPr>
            <w:r>
              <w:rPr>
                <w:rFonts w:ascii="宋体"/>
                <w:spacing w:val="-1"/>
                <w:sz w:val="18"/>
              </w:rPr>
              <w:t>715,590,749.97</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36"/>
        <w:ind w:left="101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tbl>
      <w:tblPr>
        <w:tblW w:w="0" w:type="auto"/>
        <w:jc w:val="left"/>
        <w:tblInd w:w="588" w:type="dxa"/>
        <w:tblLayout w:type="fixed"/>
        <w:tblCellMar>
          <w:top w:w="0" w:type="dxa"/>
          <w:left w:w="0" w:type="dxa"/>
          <w:bottom w:w="0" w:type="dxa"/>
          <w:right w:w="0" w:type="dxa"/>
        </w:tblCellMar>
        <w:tblLook w:val="01E0"/>
      </w:tblPr>
      <w:tblGrid>
        <w:gridCol w:w="4820"/>
        <w:gridCol w:w="1985"/>
        <w:gridCol w:w="1985"/>
      </w:tblGrid>
      <w:tr>
        <w:trPr>
          <w:trHeight w:val="296" w:hRule="exact"/>
        </w:trPr>
        <w:tc>
          <w:tcPr>
            <w:tcW w:w="4820" w:type="dxa"/>
            <w:tcBorders>
              <w:top w:val="nil" w:sz="6" w:space="0" w:color="auto"/>
              <w:left w:val="nil" w:sz="6" w:space="0" w:color="auto"/>
              <w:bottom w:val="single" w:sz="4" w:space="0" w:color="000000"/>
              <w:right w:val="nil" w:sz="6" w:space="0" w:color="auto"/>
            </w:tcBorders>
          </w:tcPr>
          <w:p>
            <w:pPr>
              <w:pStyle w:val="TableParagraph"/>
              <w:spacing w:line="182" w:lineRule="exact"/>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8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0" w:hRule="exact"/>
        </w:trPr>
        <w:tc>
          <w:tcPr>
            <w:tcW w:w="48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985"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r>
      <w:tr>
        <w:trPr>
          <w:trHeight w:val="39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37,753,847.23</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26,440,382.38</w:t>
            </w:r>
          </w:p>
        </w:tc>
      </w:tr>
      <w:tr>
        <w:trPr>
          <w:trHeight w:val="39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pacing w:val="-1"/>
                <w:sz w:val="18"/>
              </w:rPr>
              <w:t>4,931,466.08</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pacing w:val="-1"/>
                <w:sz w:val="18"/>
              </w:rPr>
              <w:t>2,201,953.83</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3,699,425.37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3,045,743.81</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99,951.10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60,733.98</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1,579,273.13</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1,272,609.93</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14,514.67</w:t>
            </w:r>
          </w:p>
        </w:tc>
      </w:tr>
      <w:tr>
        <w:trPr>
          <w:trHeight w:val="396"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259,043.66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(595,966.25)</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(590,335.95)</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(883,215.03)</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(816,494.37)</w:t>
            </w:r>
          </w:p>
        </w:tc>
      </w:tr>
      <w:tr>
        <w:trPr>
          <w:trHeight w:val="396"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(58,220,465.60)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(21,040,144.80)</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(112,913,890.06)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(73,166,722.40)</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167,827,324.98</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65,539,338.32</w:t>
            </w:r>
          </w:p>
        </w:tc>
      </w:tr>
      <w:tr>
        <w:trPr>
          <w:trHeight w:val="403"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409"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43,536,794.61</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2,961,579.40</w:t>
            </w:r>
          </w:p>
        </w:tc>
      </w:tr>
      <w:tr>
        <w:trPr>
          <w:trHeight w:val="486"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985"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r>
      <w:tr>
        <w:trPr>
          <w:trHeight w:val="426"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396"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623,560,987.90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715,590,749.97</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715,590,749.97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71,324,861.61</w:t>
            </w:r>
          </w:p>
        </w:tc>
      </w:tr>
      <w:tr>
        <w:trPr>
          <w:trHeight w:val="397"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宋体" w:hAnsi="宋体" w:cs="宋体" w:eastAsia="宋体" w:hint="default"/>
                <w:sz w:val="18"/>
                <w:szCs w:val="18"/>
              </w:rPr>
            </w:pPr>
            <w:r>
              <w:rPr>
                <w:rFonts w:ascii="宋体"/>
                <w:sz w:val="18"/>
              </w:rPr>
              <w:t>---</w:t>
            </w:r>
          </w:p>
        </w:tc>
      </w:tr>
      <w:tr>
        <w:trPr>
          <w:trHeight w:val="404"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25"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(92,029,762.07)</w:t>
            </w:r>
          </w:p>
        </w:tc>
        <w:tc>
          <w:tcPr>
            <w:tcW w:w="19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644,265,888.36</w:t>
            </w:r>
          </w:p>
        </w:tc>
      </w:tr>
    </w:tbl>
    <w:p>
      <w:pPr>
        <w:spacing w:after="0" w:line="240" w:lineRule="auto"/>
        <w:jc w:val="right"/>
        <w:rPr>
          <w:rFonts w:ascii="宋体" w:hAnsi="宋体" w:cs="宋体" w:eastAsia="宋体" w:hint="default"/>
          <w:sz w:val="18"/>
          <w:szCs w:val="18"/>
        </w:rPr>
        <w:sectPr>
          <w:pgSz w:w="11910" w:h="16840"/>
          <w:pgMar w:header="0" w:footer="1240" w:top="1420" w:bottom="1420" w:left="1680" w:right="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1008" w:right="507" w:firstLine="0"/>
        <w:jc w:val="left"/>
        <w:rPr>
          <w:rFonts w:ascii="宋体" w:hAnsi="宋体" w:cs="宋体" w:eastAsia="宋体" w:hint="default"/>
          <w:sz w:val="21"/>
          <w:szCs w:val="21"/>
        </w:rPr>
      </w:pPr>
      <w:r>
        <w:rPr>
          <w:rFonts w:ascii="宋体" w:hAnsi="宋体" w:cs="宋体" w:eastAsia="宋体" w:hint="default"/>
          <w:sz w:val="21"/>
          <w:szCs w:val="21"/>
        </w:rPr>
        <w:t>十二、补充资料</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tabs>
          <w:tab w:pos="1848" w:val="left" w:leader="none"/>
        </w:tabs>
        <w:spacing w:before="0"/>
        <w:ind w:left="1008" w:right="507"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3"/>
        <w:rPr>
          <w:rFonts w:ascii="宋体" w:hAnsi="宋体" w:cs="宋体" w:eastAsia="宋体" w:hint="default"/>
          <w:b/>
          <w:bCs/>
          <w:sz w:val="29"/>
          <w:szCs w:val="29"/>
        </w:rPr>
      </w:pPr>
    </w:p>
    <w:tbl>
      <w:tblPr>
        <w:tblW w:w="0" w:type="auto"/>
        <w:jc w:val="left"/>
        <w:tblInd w:w="588" w:type="dxa"/>
        <w:tblLayout w:type="fixed"/>
        <w:tblCellMar>
          <w:top w:w="0" w:type="dxa"/>
          <w:left w:w="0" w:type="dxa"/>
          <w:bottom w:w="0" w:type="dxa"/>
          <w:right w:w="0" w:type="dxa"/>
        </w:tblCellMar>
        <w:tblLook w:val="01E0"/>
      </w:tblPr>
      <w:tblGrid>
        <w:gridCol w:w="4019"/>
        <w:gridCol w:w="2345"/>
        <w:gridCol w:w="2249"/>
      </w:tblGrid>
      <w:tr>
        <w:trPr>
          <w:trHeight w:val="253" w:hRule="exact"/>
        </w:trPr>
        <w:tc>
          <w:tcPr>
            <w:tcW w:w="4019"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627" w:hRule="exact"/>
        </w:trPr>
        <w:tc>
          <w:tcPr>
            <w:tcW w:w="4019"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23"/>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非流动性资产处置损益</w:t>
            </w:r>
            <w:r>
              <w:rPr>
                <w:rFonts w:ascii="宋体" w:hAnsi="宋体" w:cs="宋体" w:eastAsia="宋体" w:hint="default"/>
                <w:spacing w:val="3"/>
                <w:sz w:val="18"/>
                <w:szCs w:val="18"/>
              </w:rPr>
              <w:t>(</w:t>
            </w:r>
            <w:r>
              <w:rPr>
                <w:rFonts w:ascii="宋体" w:hAnsi="宋体" w:cs="宋体" w:eastAsia="宋体" w:hint="default"/>
                <w:spacing w:val="3"/>
                <w:sz w:val="18"/>
                <w:szCs w:val="18"/>
              </w:rPr>
              <w:t>包括已计提资产减值准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备的冲销部分</w:t>
            </w:r>
            <w:r>
              <w:rPr>
                <w:rFonts w:ascii="宋体" w:hAnsi="宋体" w:cs="宋体" w:eastAsia="宋体"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处置长期资产收入</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319"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其中：固定资产清理收入</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处置长期资产支出</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r>
      <w:tr>
        <w:trPr>
          <w:trHeight w:val="324"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31"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非流动资产处置损益净额</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r>
      <w:tr>
        <w:trPr>
          <w:trHeight w:val="608"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319" w:lineRule="auto" w:before="22"/>
              <w:ind w:left="28" w:right="2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 返还、减免</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r>
      <w:tr>
        <w:trPr>
          <w:trHeight w:val="656"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04" w:lineRule="auto" w:before="13"/>
              <w:ind w:left="28" w:right="17"/>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计入当期损益的政府补助</w:t>
            </w:r>
            <w:r>
              <w:rPr>
                <w:rFonts w:ascii="宋体" w:hAnsi="宋体" w:cs="宋体" w:eastAsia="宋体" w:hint="default"/>
                <w:spacing w:val="3"/>
                <w:sz w:val="18"/>
                <w:szCs w:val="18"/>
              </w:rPr>
              <w:t>(</w:t>
            </w:r>
            <w:r>
              <w:rPr>
                <w:rFonts w:ascii="宋体" w:hAnsi="宋体" w:cs="宋体" w:eastAsia="宋体" w:hint="default"/>
                <w:spacing w:val="3"/>
                <w:sz w:val="18"/>
                <w:szCs w:val="18"/>
              </w:rPr>
              <w:t>与公司正常经营业务</w:t>
            </w:r>
            <w:r>
              <w:rPr>
                <w:rFonts w:ascii="宋体" w:hAnsi="宋体" w:cs="宋体" w:eastAsia="宋体" w:hint="default"/>
                <w:spacing w:val="-74"/>
                <w:sz w:val="18"/>
                <w:szCs w:val="18"/>
              </w:rPr>
              <w:t> </w:t>
            </w:r>
            <w:r>
              <w:rPr>
                <w:rFonts w:ascii="宋体" w:hAnsi="宋体" w:cs="宋体" w:eastAsia="宋体" w:hint="default"/>
                <w:sz w:val="18"/>
                <w:szCs w:val="18"/>
              </w:rPr>
              <w:t>密切相关，符合国家政策规定，按照一定标准定额</w:t>
            </w:r>
            <w:r>
              <w:rPr>
                <w:rFonts w:ascii="宋体" w:hAnsi="宋体" w:cs="宋体" w:eastAsia="宋体" w:hint="default"/>
                <w:sz w:val="18"/>
                <w:szCs w:val="18"/>
              </w:rPr>
              <w:t> 或定量持续享受的政府补助除外</w:t>
            </w:r>
            <w:r>
              <w:rPr>
                <w:rFonts w:ascii="宋体" w:hAnsi="宋体" w:cs="宋体" w:eastAsia="宋体"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2,054,085.00</w:t>
            </w:r>
          </w:p>
        </w:tc>
      </w:tr>
      <w:tr>
        <w:trPr>
          <w:trHeight w:val="284"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除上述各项之外的其他营业外收入和支出</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31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营业外收入：</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23,478.63</w:t>
            </w:r>
          </w:p>
        </w:tc>
      </w:tr>
      <w:tr>
        <w:trPr>
          <w:trHeight w:val="319"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23,478.63</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23,478.63</w:t>
            </w:r>
          </w:p>
        </w:tc>
      </w:tr>
      <w:tr>
        <w:trPr>
          <w:trHeight w:val="317"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减：营业外支出：</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93,831.67</w:t>
            </w:r>
          </w:p>
        </w:tc>
      </w:tr>
      <w:tr>
        <w:trPr>
          <w:trHeight w:val="31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其中：捐赠支出</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70,000.00</w:t>
            </w:r>
          </w:p>
        </w:tc>
      </w:tr>
      <w:tr>
        <w:trPr>
          <w:trHeight w:val="31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8"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23,680.00</w:t>
            </w:r>
          </w:p>
        </w:tc>
      </w:tr>
      <w:tr>
        <w:trPr>
          <w:trHeight w:val="319"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151.67</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93,831.67</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(70,353.04)</w:t>
            </w:r>
          </w:p>
        </w:tc>
      </w:tr>
      <w:tr>
        <w:trPr>
          <w:trHeight w:val="322"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308,834.79</w:t>
            </w:r>
          </w:p>
        </w:tc>
      </w:tr>
      <w:tr>
        <w:trPr>
          <w:trHeight w:val="331"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扣除所得税影响后非经常性损益合计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1,674,897.17</w:t>
            </w:r>
          </w:p>
        </w:tc>
      </w:tr>
      <w:tr>
        <w:trPr>
          <w:trHeight w:val="343"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减：少数股东损益影响金额</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343"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2345" w:type="dxa"/>
            <w:tcBorders>
              <w:top w:val="nil" w:sz="6" w:space="0" w:color="auto"/>
              <w:left w:val="nil" w:sz="6" w:space="0" w:color="auto"/>
              <w:bottom w:val="nil" w:sz="6" w:space="0" w:color="auto"/>
              <w:right w:val="nil" w:sz="6" w:space="0" w:color="auto"/>
            </w:tcBorders>
          </w:tcPr>
          <w:p>
            <w:pPr/>
          </w:p>
        </w:tc>
        <w:tc>
          <w:tcPr>
            <w:tcW w:w="2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1,674,897.17</w:t>
            </w:r>
          </w:p>
        </w:tc>
      </w:tr>
    </w:tbl>
    <w:p>
      <w:pPr>
        <w:spacing w:line="240" w:lineRule="auto" w:before="2"/>
        <w:rPr>
          <w:rFonts w:ascii="宋体" w:hAnsi="宋体" w:cs="宋体" w:eastAsia="宋体" w:hint="default"/>
          <w:b/>
          <w:bCs/>
          <w:sz w:val="20"/>
          <w:szCs w:val="20"/>
        </w:rPr>
      </w:pPr>
    </w:p>
    <w:p>
      <w:pPr>
        <w:tabs>
          <w:tab w:pos="1642" w:val="left" w:leader="none"/>
        </w:tabs>
        <w:spacing w:before="36"/>
        <w:ind w:left="1008" w:right="507" w:firstLine="0"/>
        <w:jc w:val="left"/>
        <w:rPr>
          <w:rFonts w:ascii="宋体" w:hAnsi="宋体" w:cs="宋体" w:eastAsia="宋体" w:hint="default"/>
          <w:sz w:val="21"/>
          <w:szCs w:val="21"/>
        </w:rPr>
      </w:pPr>
      <w:r>
        <w:rPr/>
        <w:pict>
          <v:group style="position:absolute;margin-left:111.980003pt;margin-top:72.523674pt;width:115.7pt;height:.1pt;mso-position-horizontal-relative:page;mso-position-vertical-relative:paragraph;z-index:-645472" coordorigin="2240,1450" coordsize="2314,2">
            <v:shape style="position:absolute;left:2240;top:1450;width:2314;height:2" coordorigin="2240,1450" coordsize="2314,0" path="m2240,1450l4554,1450e" filled="false" stroked="true" strokeweight=".47998pt" strokecolor="#000000">
              <v:path arrowok="t"/>
            </v:shape>
            <w10:wrap type="none"/>
          </v:group>
        </w:pict>
      </w:r>
      <w:r>
        <w:rPr/>
        <w:pict>
          <v:group style="position:absolute;margin-left:235.610001pt;margin-top:72.523674pt;width:107.9pt;height:.1pt;mso-position-horizontal-relative:page;mso-position-vertical-relative:paragraph;z-index:-645448" coordorigin="4712,1450" coordsize="2158,2">
            <v:shape style="position:absolute;left:4712;top:1450;width:2158;height:2" coordorigin="4712,1450" coordsize="2158,0" path="m4712,1450l6870,1450e" filled="false" stroked="true" strokeweight=".47998pt" strokecolor="#000000">
              <v:path arrowok="t"/>
            </v:shape>
            <w10:wrap type="none"/>
          </v:group>
        </w:pict>
      </w:r>
      <w:r>
        <w:rPr/>
        <w:pict>
          <v:group style="position:absolute;margin-left:351.309998pt;margin-top:64.48365pt;width:173pt;height:.1pt;mso-position-horizontal-relative:page;mso-position-vertical-relative:paragraph;z-index:-645424" coordorigin="7026,1290" coordsize="3460,2">
            <v:shape style="position:absolute;left:7026;top:1290;width:3460;height:2" coordorigin="7026,1290" coordsize="3460,0" path="m7026,1290l10486,1290e" filled="false" stroked="true" strokeweight=".48004pt" strokecolor="#000000">
              <v:path arrowok="t"/>
            </v:shape>
            <w10:wrap type="none"/>
          </v:group>
        </w:pic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359" w:type="dxa"/>
        <w:tblLayout w:type="fixed"/>
        <w:tblCellMar>
          <w:top w:w="0" w:type="dxa"/>
          <w:left w:w="0" w:type="dxa"/>
          <w:bottom w:w="0" w:type="dxa"/>
          <w:right w:w="0" w:type="dxa"/>
        </w:tblCellMar>
        <w:tblLook w:val="01E0"/>
      </w:tblPr>
      <w:tblGrid>
        <w:gridCol w:w="2261"/>
        <w:gridCol w:w="4440"/>
        <w:gridCol w:w="1817"/>
      </w:tblGrid>
      <w:tr>
        <w:trPr>
          <w:trHeight w:val="170" w:hRule="exact"/>
        </w:trPr>
        <w:tc>
          <w:tcPr>
            <w:tcW w:w="2261" w:type="dxa"/>
            <w:tcBorders>
              <w:top w:val="nil" w:sz="6" w:space="0" w:color="auto"/>
              <w:left w:val="nil" w:sz="6" w:space="0" w:color="auto"/>
              <w:bottom w:val="nil" w:sz="6" w:space="0" w:color="auto"/>
              <w:right w:val="nil" w:sz="6" w:space="0" w:color="auto"/>
            </w:tcBorders>
          </w:tcPr>
          <w:p>
            <w:pPr/>
          </w:p>
        </w:tc>
        <w:tc>
          <w:tcPr>
            <w:tcW w:w="625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4094"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161"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170" w:lineRule="exact"/>
              <w:ind w:left="90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6257" w:type="dxa"/>
            <w:gridSpan w:val="2"/>
            <w:tcBorders>
              <w:top w:val="nil" w:sz="6" w:space="0" w:color="auto"/>
              <w:left w:val="nil" w:sz="6" w:space="0" w:color="auto"/>
              <w:bottom w:val="nil" w:sz="6" w:space="0" w:color="auto"/>
              <w:right w:val="nil" w:sz="6" w:space="0" w:color="auto"/>
            </w:tcBorders>
          </w:tcPr>
          <w:p>
            <w:pPr>
              <w:pStyle w:val="TableParagraph"/>
              <w:spacing w:line="170" w:lineRule="exact"/>
              <w:ind w:left="45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r>
      <w:tr>
        <w:trPr>
          <w:trHeight w:val="243" w:hRule="exact"/>
        </w:trPr>
        <w:tc>
          <w:tcPr>
            <w:tcW w:w="2261" w:type="dxa"/>
            <w:tcBorders>
              <w:top w:val="nil" w:sz="6" w:space="0" w:color="auto"/>
              <w:left w:val="nil" w:sz="6" w:space="0" w:color="auto"/>
              <w:bottom w:val="nil" w:sz="6" w:space="0" w:color="auto"/>
              <w:right w:val="nil" w:sz="6" w:space="0" w:color="auto"/>
            </w:tcBorders>
          </w:tcPr>
          <w:p>
            <w:pPr/>
          </w:p>
        </w:tc>
        <w:tc>
          <w:tcPr>
            <w:tcW w:w="4440" w:type="dxa"/>
            <w:tcBorders>
              <w:top w:val="nil" w:sz="6" w:space="0" w:color="auto"/>
              <w:left w:val="nil" w:sz="6" w:space="0" w:color="auto"/>
              <w:bottom w:val="single" w:sz="4" w:space="0" w:color="000000"/>
              <w:right w:val="nil" w:sz="6" w:space="0" w:color="auto"/>
            </w:tcBorders>
          </w:tcPr>
          <w:p>
            <w:pPr>
              <w:pStyle w:val="TableParagraph"/>
              <w:spacing w:line="170" w:lineRule="exact"/>
              <w:ind w:right="315"/>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170" w:lineRule="exact"/>
              <w:ind w:left="41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170" w:lineRule="exact"/>
        <w:jc w:val="left"/>
        <w:rPr>
          <w:rFonts w:ascii="宋体" w:hAnsi="宋体" w:cs="宋体" w:eastAsia="宋体" w:hint="default"/>
          <w:sz w:val="18"/>
          <w:szCs w:val="18"/>
        </w:rPr>
        <w:sectPr>
          <w:pgSz w:w="11910" w:h="16840"/>
          <w:pgMar w:header="0" w:footer="1240" w:top="1580" w:bottom="1420" w:left="1680" w:right="920"/>
        </w:sectPr>
      </w:pPr>
    </w:p>
    <w:p>
      <w:pPr>
        <w:spacing w:line="240" w:lineRule="auto" w:before="7"/>
        <w:rPr>
          <w:rFonts w:ascii="宋体" w:hAnsi="宋体" w:cs="宋体" w:eastAsia="宋体" w:hint="default"/>
          <w:b/>
          <w:bCs/>
          <w:sz w:val="6"/>
          <w:szCs w:val="6"/>
        </w:rPr>
      </w:pPr>
    </w:p>
    <w:tbl>
      <w:tblPr>
        <w:tblW w:w="0" w:type="auto"/>
        <w:jc w:val="left"/>
        <w:tblInd w:w="388" w:type="dxa"/>
        <w:tblLayout w:type="fixed"/>
        <w:tblCellMar>
          <w:top w:w="0" w:type="dxa"/>
          <w:left w:w="0" w:type="dxa"/>
          <w:bottom w:w="0" w:type="dxa"/>
          <w:right w:w="0" w:type="dxa"/>
        </w:tblCellMar>
        <w:tblLook w:val="01E0"/>
      </w:tblPr>
      <w:tblGrid>
        <w:gridCol w:w="3389"/>
        <w:gridCol w:w="2104"/>
        <w:gridCol w:w="1809"/>
        <w:gridCol w:w="1290"/>
      </w:tblGrid>
      <w:tr>
        <w:trPr>
          <w:trHeight w:val="55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pacing w:val="7"/>
                <w:sz w:val="18"/>
                <w:szCs w:val="18"/>
              </w:rPr>
              <w:t>归属于公司普通股股东的净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16"/>
              <w:jc w:val="right"/>
              <w:rPr>
                <w:rFonts w:ascii="宋体" w:hAnsi="宋体" w:cs="宋体" w:eastAsia="宋体" w:hint="default"/>
                <w:sz w:val="18"/>
                <w:szCs w:val="18"/>
              </w:rPr>
            </w:pPr>
            <w:r>
              <w:rPr>
                <w:rFonts w:ascii="宋体"/>
                <w:sz w:val="18"/>
              </w:rPr>
              <w:t>8.60%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18" w:right="0"/>
              <w:jc w:val="left"/>
              <w:rPr>
                <w:rFonts w:ascii="宋体" w:hAnsi="宋体" w:cs="宋体" w:eastAsia="宋体" w:hint="default"/>
                <w:sz w:val="18"/>
                <w:szCs w:val="18"/>
              </w:rPr>
            </w:pPr>
            <w:r>
              <w:rPr>
                <w:rFonts w:ascii="宋体"/>
                <w:sz w:val="18"/>
              </w:rPr>
              <w:t>0.66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18"/>
                <w:szCs w:val="18"/>
              </w:rPr>
            </w:pPr>
            <w:r>
              <w:rPr>
                <w:rFonts w:ascii="宋体"/>
                <w:sz w:val="18"/>
              </w:rPr>
              <w:t>0.66</w:t>
            </w:r>
          </w:p>
        </w:tc>
      </w:tr>
      <w:tr>
        <w:trPr>
          <w:trHeight w:val="55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16"/>
              <w:jc w:val="right"/>
              <w:rPr>
                <w:rFonts w:ascii="宋体" w:hAnsi="宋体" w:cs="宋体" w:eastAsia="宋体" w:hint="default"/>
                <w:sz w:val="18"/>
                <w:szCs w:val="18"/>
              </w:rPr>
            </w:pPr>
            <w:r>
              <w:rPr>
                <w:rFonts w:ascii="宋体"/>
                <w:sz w:val="18"/>
              </w:rPr>
              <w:t>8.41%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18" w:right="0"/>
              <w:jc w:val="left"/>
              <w:rPr>
                <w:rFonts w:ascii="宋体" w:hAnsi="宋体" w:cs="宋体" w:eastAsia="宋体" w:hint="default"/>
                <w:sz w:val="18"/>
                <w:szCs w:val="18"/>
              </w:rPr>
            </w:pPr>
            <w:r>
              <w:rPr>
                <w:rFonts w:ascii="宋体"/>
                <w:sz w:val="18"/>
              </w:rPr>
              <w:t>0.65</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8"/>
              <w:jc w:val="right"/>
              <w:rPr>
                <w:rFonts w:ascii="宋体" w:hAnsi="宋体" w:cs="宋体" w:eastAsia="宋体" w:hint="default"/>
                <w:sz w:val="18"/>
                <w:szCs w:val="18"/>
              </w:rPr>
            </w:pPr>
            <w:r>
              <w:rPr>
                <w:rFonts w:ascii="宋体"/>
                <w:sz w:val="18"/>
              </w:rPr>
              <w:t>0.65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spacing w:before="26"/>
        <w:ind w:left="1070" w:right="0" w:firstLine="0"/>
        <w:jc w:val="left"/>
        <w:rPr>
          <w:rFonts w:ascii="宋体" w:hAnsi="宋体" w:cs="宋体" w:eastAsia="宋体" w:hint="default"/>
          <w:sz w:val="21"/>
          <w:szCs w:val="21"/>
        </w:rPr>
      </w:pPr>
      <w:bookmarkStart w:name="_bookmark8" w:id="10"/>
      <w:bookmarkEnd w:id="10"/>
      <w:r>
        <w:rPr/>
      </w:r>
      <w:r>
        <w:rPr>
          <w:rFonts w:ascii="宋体" w:hAnsi="宋体" w:cs="宋体" w:eastAsia="宋体" w:hint="default"/>
          <w:b/>
          <w:bCs/>
          <w:sz w:val="24"/>
          <w:szCs w:val="24"/>
        </w:rPr>
        <w:t>十三、</w:t>
      </w:r>
      <w:r>
        <w:rPr>
          <w:rFonts w:ascii="宋体" w:hAnsi="宋体" w:cs="宋体" w:eastAsia="宋体" w:hint="default"/>
          <w:b/>
          <w:bCs/>
          <w:sz w:val="21"/>
          <w:szCs w:val="21"/>
        </w:rPr>
        <w:t>财务报表的批准</w:t>
      </w:r>
      <w:r>
        <w:rPr>
          <w:rFonts w:ascii="宋体" w:hAnsi="宋体" w:cs="宋体" w:eastAsia="宋体" w:hint="default"/>
          <w:sz w:val="21"/>
          <w:szCs w:val="21"/>
        </w:rPr>
      </w:r>
    </w:p>
    <w:p>
      <w:pPr>
        <w:spacing w:before="179"/>
        <w:ind w:left="1008" w:right="0"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4" w:lineRule="auto" w:before="138"/>
        <w:ind w:left="5629" w:right="0" w:hanging="250"/>
        <w:jc w:val="left"/>
        <w:rPr>
          <w:rFonts w:ascii="宋体" w:hAnsi="宋体" w:cs="宋体" w:eastAsia="宋体" w:hint="default"/>
          <w:sz w:val="21"/>
          <w:szCs w:val="21"/>
        </w:rPr>
      </w:pPr>
      <w:r>
        <w:rPr>
          <w:rFonts w:ascii="宋体" w:hAnsi="宋体" w:cs="宋体" w:eastAsia="宋体" w:hint="default"/>
          <w:spacing w:val="-2"/>
          <w:sz w:val="21"/>
          <w:szCs w:val="21"/>
        </w:rPr>
        <w:t>深圳市新国都技术股份有限公司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二〇一二年三月三十一日</w:t>
      </w:r>
    </w:p>
    <w:p>
      <w:pPr>
        <w:spacing w:after="0" w:line="434" w:lineRule="auto"/>
        <w:jc w:val="left"/>
        <w:rPr>
          <w:rFonts w:ascii="宋体" w:hAnsi="宋体" w:cs="宋体" w:eastAsia="宋体" w:hint="default"/>
          <w:sz w:val="21"/>
          <w:szCs w:val="21"/>
        </w:rPr>
        <w:sectPr>
          <w:pgSz w:w="11910" w:h="16840"/>
          <w:pgMar w:header="0" w:footer="1240" w:top="1400" w:bottom="1420" w:left="1680" w:right="1140"/>
        </w:sectPr>
      </w:pPr>
    </w:p>
    <w:p>
      <w:pPr>
        <w:pStyle w:val="Heading1"/>
        <w:tabs>
          <w:tab w:pos="4263" w:val="left" w:leader="none"/>
        </w:tabs>
        <w:spacing w:line="433" w:lineRule="exact"/>
        <w:ind w:left="2583" w:right="0"/>
        <w:jc w:val="left"/>
        <w:rPr>
          <w:b w:val="0"/>
          <w:bCs w:val="0"/>
        </w:rPr>
      </w:pPr>
      <w:r>
        <w:rPr>
          <w:w w:val="95"/>
        </w:rPr>
        <w:t>第十节</w:t>
        <w:tab/>
      </w:r>
      <w:r>
        <w:rPr/>
        <w:t>备查文件目录</w:t>
      </w:r>
      <w:r>
        <w:rPr>
          <w:b w:val="0"/>
          <w:bCs w:val="0"/>
        </w:rPr>
      </w:r>
    </w:p>
    <w:p>
      <w:pPr>
        <w:pStyle w:val="BodyText"/>
        <w:spacing w:line="357" w:lineRule="auto" w:before="250"/>
        <w:ind w:left="588" w:right="0"/>
        <w:jc w:val="left"/>
      </w:pPr>
      <w:r>
        <w:rPr>
          <w:spacing w:val="-3"/>
        </w:rPr>
        <w:t>一、载有公司法定代表人、主管会计工作的公司负责人、公司会计机构负责</w:t>
      </w:r>
      <w:r>
        <w:rPr>
          <w:spacing w:val="-102"/>
        </w:rPr>
        <w:t> </w:t>
      </w:r>
      <w:r>
        <w:rPr>
          <w:spacing w:val="-102"/>
        </w:rPr>
      </w:r>
      <w:r>
        <w:rPr/>
        <w:t>人（会计主管人员）签名并盖章的财务报表。 二、载有会计师事务所盖章、注册会计师签名并盖章的审计报告原件。 </w:t>
      </w:r>
      <w:r>
        <w:rPr>
          <w:spacing w:val="-3"/>
        </w:rPr>
        <w:t>三、报告期内在中国证监会指定网站上公开披露过的所有公司文件的正本及</w:t>
      </w:r>
      <w:r>
        <w:rPr>
          <w:spacing w:val="-103"/>
        </w:rPr>
        <w:t> </w:t>
      </w:r>
      <w:r>
        <w:rPr>
          <w:spacing w:val="-103"/>
        </w:rPr>
      </w:r>
      <w:r>
        <w:rPr/>
        <w:t>公告的原稿。</w:t>
      </w:r>
    </w:p>
    <w:p>
      <w:pPr>
        <w:pStyle w:val="BodyText"/>
        <w:spacing w:line="357" w:lineRule="auto" w:before="34"/>
        <w:ind w:left="588" w:right="2298"/>
        <w:jc w:val="left"/>
      </w:pPr>
      <w:r>
        <w:rPr/>
        <w:t>四、经公司法定代表人签名的</w:t>
      </w:r>
      <w:r>
        <w:rPr>
          <w:spacing w:val="-60"/>
        </w:rPr>
        <w:t> </w:t>
      </w:r>
      <w:r>
        <w:rPr>
          <w:rFonts w:ascii="宋体" w:hAnsi="宋体" w:cs="宋体" w:eastAsia="宋体" w:hint="default"/>
        </w:rPr>
        <w:t>2011</w:t>
      </w:r>
      <w:r>
        <w:rPr>
          <w:rFonts w:ascii="宋体" w:hAnsi="宋体" w:cs="宋体" w:eastAsia="宋体" w:hint="default"/>
          <w:spacing w:val="-60"/>
        </w:rPr>
        <w:t> </w:t>
      </w:r>
      <w:r>
        <w:rPr/>
        <w:t>年度报告文本原件 五、其他相关资料。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4"/>
        <w:spacing w:line="712" w:lineRule="auto"/>
        <w:ind w:left="4650" w:right="0" w:hanging="982"/>
        <w:jc w:val="left"/>
        <w:rPr>
          <w:rFonts w:ascii="宋体" w:hAnsi="宋体" w:cs="宋体" w:eastAsia="宋体" w:hint="default"/>
        </w:rPr>
      </w:pPr>
      <w:r>
        <w:rPr>
          <w:rFonts w:ascii="宋体" w:hAnsi="宋体" w:cs="宋体" w:eastAsia="宋体" w:hint="default"/>
          <w:spacing w:val="-2"/>
        </w:rPr>
        <w:t>深圳市新国都技术股份有限公司董事会</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公司法定代表人：刘祥</w:t>
      </w:r>
    </w:p>
    <w:p>
      <w:pPr>
        <w:pStyle w:val="Heading4"/>
        <w:spacing w:line="240" w:lineRule="auto" w:before="171"/>
        <w:ind w:left="5348" w:right="0"/>
        <w:jc w:val="left"/>
        <w:rPr>
          <w:rFonts w:ascii="宋体" w:hAnsi="宋体" w:cs="宋体" w:eastAsia="宋体" w:hint="default"/>
        </w:rPr>
      </w:pPr>
      <w:r>
        <w:rPr>
          <w:rFonts w:ascii="宋体" w:hAnsi="宋体" w:cs="宋体" w:eastAsia="宋体" w:hint="default"/>
        </w:rPr>
        <w:t>二〇一二年三月三十一日</w:t>
      </w:r>
    </w:p>
    <w:sectPr>
      <w:pgSz w:w="11910" w:h="16840"/>
      <w:pgMar w:header="0" w:footer="1240" w:top="1400" w:bottom="14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390015pt;margin-top:771.169983pt;width:8.6pt;height:11pt;mso-position-horizontal-relative:page;mso-position-vertical-relative:page;z-index:-65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36</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44</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48</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2.15pt;height:11pt;mso-position-horizontal-relative:page;mso-position-vertical-relative:page;z-index:-650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w:t>
                </w:r>
                <w:r>
                  <w:rPr/>
                  <w:fldChar w:fldCharType="end"/>
                </w:r>
                <w:r>
                  <w:rPr>
                    <w:rFonts w:ascii="Calibri"/>
                    <w:sz w:val="18"/>
                  </w:rPr>
                  <w:t>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30011pt;margin-top:771.169983pt;width:10.9pt;height:11pt;mso-position-horizontal-relative:page;mso-position-vertical-relative:page;z-index:-650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1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4pt;height:11pt;mso-position-horizontal-relative:page;mso-position-vertical-relative:page;z-index:-650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71.169983pt;width:12.9pt;height:11pt;mso-position-horizontal-relative:page;mso-position-vertical-relative:page;z-index:-650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72</w:t>
                </w:r>
                <w:r>
                  <w:rPr/>
                  <w:fldChar w:fldCharType="end"/>
                </w:r>
                <w:r>
                  <w:rPr>
                    <w:rFonts w:ascii="Calibri"/>
                    <w:spacing w:val="-3"/>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73</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71.169983pt;width:12.9pt;height:11pt;mso-position-horizontal-relative:page;mso-position-vertical-relative:page;z-index:-650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76</w:t>
                </w:r>
                <w:r>
                  <w:rPr/>
                  <w:fldChar w:fldCharType="end"/>
                </w:r>
                <w:r>
                  <w:rPr>
                    <w:rFonts w:ascii="Calibri"/>
                    <w:spacing w:val="-3"/>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4pt;height:11pt;mso-position-horizontal-relative:page;mso-position-vertical-relative:page;z-index:-650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r>
                  <w:rPr>
                    <w:rFonts w:ascii="Calibri"/>
                    <w:spacing w:val="2"/>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09985pt;margin-top:771.169983pt;width:13.15pt;height:11pt;mso-position-horizontal-relative:page;mso-position-vertical-relative:page;z-index:-650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85</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4.570007pt;width:13.15pt;height:11pt;mso-position-horizontal-relative:page;mso-position-vertical-relative:page;z-index:-650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86</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88</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09985pt;margin-top:771.169983pt;width:13.15pt;height:11pt;mso-position-horizontal-relative:page;mso-position-vertical-relative:page;z-index:-65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91</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4.570007pt;width:13.15pt;height:11pt;mso-position-horizontal-relative:page;mso-position-vertical-relative:page;z-index:-650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93</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89990pt;margin-top:771.169983pt;width:13.15pt;height:11pt;mso-position-horizontal-relative:page;mso-position-vertical-relative:page;z-index:-65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94</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89990pt;margin-top:771.169983pt;width:13.15pt;height:11pt;mso-position-horizontal-relative:page;mso-position-vertical-relative:page;z-index:-650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98</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89990pt;margin-top:771.169983pt;width:13.15pt;height:11pt;mso-position-horizontal-relative:page;mso-position-vertical-relative:page;z-index:-650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99</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50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103</w:t>
                </w:r>
                <w:r>
                  <w:rPr/>
                  <w:fldChar w:fldCharType="end"/>
                </w:r>
                <w:r>
                  <w:rPr>
                    <w:rFonts w:ascii="Calibri"/>
                    <w:spacing w:val="-1"/>
                    <w:sz w:val="18"/>
                  </w:rPr>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104</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105</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1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106</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50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50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111</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112</w:t>
                </w:r>
                <w:r>
                  <w:rPr/>
                  <w:fldChar w:fldCharType="end"/>
                </w:r>
                <w:r>
                  <w:rPr>
                    <w:rFonts w:ascii="Calibri"/>
                    <w:spacing w:val="-1"/>
                    <w:sz w:val="18"/>
                  </w:rPr>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113</w:t>
                </w:r>
                <w:r>
                  <w:rPr/>
                  <w:fldChar w:fldCharType="end"/>
                </w:r>
                <w:r>
                  <w:rPr>
                    <w:rFonts w:ascii="Calibri"/>
                    <w:spacing w:val="-1"/>
                    <w:sz w:val="18"/>
                  </w:rPr>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50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50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49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49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128</w:t>
                </w:r>
                <w:r>
                  <w:rPr/>
                  <w:fldChar w:fldCharType="end"/>
                </w:r>
                <w:r>
                  <w:rPr>
                    <w:rFonts w:ascii="Calibri"/>
                    <w:spacing w:val="-1"/>
                    <w:sz w:val="18"/>
                  </w:rPr>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49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9991pt;margin-top:771.169983pt;width:17.7pt;height:11pt;mso-position-horizontal-relative:page;mso-position-vertical-relative:page;z-index:-64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9991pt;margin-top:771.169983pt;width:15.7pt;height:11pt;mso-position-horizontal-relative:page;mso-position-vertical-relative:page;z-index:-649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709991pt;margin-top:771.169983pt;width:17.7pt;height:11pt;mso-position-horizontal-relative:page;mso-position-vertical-relative:page;z-index:-649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142</w:t>
                </w:r>
                <w:r>
                  <w:rPr/>
                  <w:fldChar w:fldCharType="end"/>
                </w:r>
                <w:r>
                  <w:rPr>
                    <w:rFonts w:ascii="Calibri"/>
                    <w:spacing w:val="-1"/>
                    <w:sz w:val="18"/>
                  </w:rPr>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869995pt;margin-top:768.940308pt;width:19.150pt;height:11pt;mso-position-horizontal-relative:page;mso-position-vertical-relative:page;z-index:-649840" type="#_x0000_t202" filled="false" stroked="false">
          <v:textbox inset="0,0,0,0">
            <w:txbxContent>
              <w:p>
                <w:pPr>
                  <w:spacing w:line="202" w:lineRule="exact" w:before="0"/>
                  <w:ind w:left="40" w:right="0" w:firstLine="0"/>
                  <w:jc w:val="left"/>
                  <w:rPr>
                    <w:rFonts w:ascii="Arial" w:hAnsi="Arial" w:cs="Arial" w:eastAsia="Arial" w:hint="default"/>
                    <w:sz w:val="18"/>
                    <w:szCs w:val="18"/>
                  </w:rPr>
                </w:pPr>
                <w:r>
                  <w:rPr>
                    <w:rFonts w:ascii="Arial"/>
                    <w:sz w:val="18"/>
                  </w:rPr>
                </w:r>
                <w:r>
                  <w:rPr/>
                  <w:fldChar w:fldCharType="begin"/>
                </w:r>
                <w:r>
                  <w:rPr>
                    <w:rFonts w:ascii="Arial"/>
                    <w:sz w:val="18"/>
                  </w:rPr>
                  <w:instrText> PAGE </w:instrText>
                </w:r>
                <w:r>
                  <w:rPr/>
                  <w:fldChar w:fldCharType="separate"/>
                </w:r>
                <w:r>
                  <w:rPr/>
                  <w:t>144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9985pt;margin-top:771.169983pt;width:11.15pt;height:11pt;mso-position-horizontal-relative:page;mso-position-vertical-relative:page;z-index:-650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34</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169983pt;width:13.15pt;height:11pt;mso-position-horizontal-relative:page;mso-position-vertical-relative:page;z-index:-650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35</w:t>
                </w:r>
                <w:r>
                  <w:rPr/>
                  <w:fldChar w:fldCharType="end"/>
                </w:r>
                <w:r>
                  <w:rPr>
                    <w:rFonts w:ascii="Calibri"/>
                    <w:spacing w:val="-1"/>
                    <w:sz w:val="18"/>
                  </w:rPr>
                </w:r>
                <w:r>
                  <w:rPr>
                    <w:rFonts w:ascii="Calibri"/>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90"/>
      <w:ind w:left="125"/>
    </w:pPr>
    <w:rPr>
      <w:rFonts w:ascii="宋体" w:hAnsi="宋体" w:eastAsia="宋体"/>
      <w:b/>
      <w:bCs/>
      <w:sz w:val="28"/>
      <w:szCs w:val="28"/>
    </w:rPr>
  </w:style>
  <w:style w:styleId="BodyText" w:type="paragraph">
    <w:name w:val="Body Text"/>
    <w:basedOn w:val="Normal"/>
    <w:uiPriority w:val="1"/>
    <w:qFormat/>
    <w:pPr>
      <w:ind w:left="12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ind w:left="2168"/>
      <w:outlineLvl w:val="2"/>
    </w:pPr>
    <w:rPr>
      <w:rFonts w:ascii="黑体" w:hAnsi="黑体" w:eastAsia="黑体"/>
      <w:sz w:val="32"/>
      <w:szCs w:val="32"/>
    </w:rPr>
  </w:style>
  <w:style w:styleId="Heading3" w:type="paragraph">
    <w:name w:val="Heading 3"/>
    <w:basedOn w:val="Normal"/>
    <w:uiPriority w:val="1"/>
    <w:qFormat/>
    <w:pPr>
      <w:ind w:left="120"/>
      <w:outlineLvl w:val="3"/>
    </w:pPr>
    <w:rPr>
      <w:rFonts w:ascii="宋体" w:hAnsi="宋体" w:eastAsia="宋体"/>
      <w:b/>
      <w:bCs/>
      <w:sz w:val="28"/>
      <w:szCs w:val="28"/>
    </w:rPr>
  </w:style>
  <w:style w:styleId="Heading4" w:type="paragraph">
    <w:name w:val="Heading 4"/>
    <w:basedOn w:val="Normal"/>
    <w:uiPriority w:val="1"/>
    <w:qFormat/>
    <w:pPr>
      <w:ind w:left="300"/>
      <w:outlineLvl w:val="4"/>
    </w:pPr>
    <w:rPr>
      <w:rFonts w:ascii="宋体" w:hAnsi="宋体" w:eastAsia="宋体"/>
      <w:sz w:val="28"/>
      <w:szCs w:val="28"/>
    </w:rPr>
  </w:style>
  <w:style w:styleId="Heading5" w:type="paragraph">
    <w:name w:val="Heading 5"/>
    <w:basedOn w:val="Normal"/>
    <w:uiPriority w:val="1"/>
    <w:qFormat/>
    <w:pPr>
      <w:spacing w:before="58"/>
      <w:ind w:left="2463"/>
      <w:outlineLvl w:val="5"/>
    </w:pPr>
    <w:rPr>
      <w:rFonts w:ascii="黑体" w:hAnsi="黑体" w:eastAsia="黑体"/>
      <w:sz w:val="26"/>
      <w:szCs w:val="26"/>
    </w:rPr>
  </w:style>
  <w:style w:styleId="Heading6" w:type="paragraph">
    <w:name w:val="Heading 6"/>
    <w:basedOn w:val="Normal"/>
    <w:uiPriority w:val="1"/>
    <w:qFormat/>
    <w:pPr>
      <w:ind w:left="1991" w:hanging="775"/>
      <w:outlineLvl w:val="6"/>
    </w:pPr>
    <w:rPr>
      <w:rFonts w:ascii="黑体" w:hAnsi="黑体" w:eastAsia="黑体"/>
      <w:sz w:val="25"/>
      <w:szCs w:val="25"/>
    </w:rPr>
  </w:style>
  <w:style w:styleId="Heading7" w:type="paragraph">
    <w:name w:val="Heading 7"/>
    <w:basedOn w:val="Normal"/>
    <w:uiPriority w:val="1"/>
    <w:qFormat/>
    <w:pPr>
      <w:spacing w:before="192"/>
      <w:ind w:left="120"/>
      <w:outlineLvl w:val="7"/>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www.xinguodu.com/" TargetMode="External"/><Relationship Id="rId8" Type="http://schemas.openxmlformats.org/officeDocument/2006/relationships/hyperlink" Target="mailto:xgd-zqb@xinguodu.com" TargetMode="External"/><Relationship Id="rId9" Type="http://schemas.openxmlformats.org/officeDocument/2006/relationships/hyperlink" Target="mailto:zhaohui@xinguodu.com" TargetMode="External"/><Relationship Id="rId10" Type="http://schemas.openxmlformats.org/officeDocument/2006/relationships/hyperlink" Target="mailto:liyanfang@xinguodu.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image" Target="media/image12.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footer" Target="footer29.xml"/><Relationship Id="rId53" Type="http://schemas.openxmlformats.org/officeDocument/2006/relationships/footer" Target="footer30.xml"/><Relationship Id="rId54" Type="http://schemas.openxmlformats.org/officeDocument/2006/relationships/image" Target="media/image15.png"/><Relationship Id="rId55" Type="http://schemas.openxmlformats.org/officeDocument/2006/relationships/footer" Target="footer31.xml"/><Relationship Id="rId56" Type="http://schemas.openxmlformats.org/officeDocument/2006/relationships/footer" Target="footer32.xml"/><Relationship Id="rId57" Type="http://schemas.openxmlformats.org/officeDocument/2006/relationships/footer" Target="footer33.xml"/><Relationship Id="rId58" Type="http://schemas.openxmlformats.org/officeDocument/2006/relationships/footer" Target="footer34.xml"/><Relationship Id="rId59" Type="http://schemas.openxmlformats.org/officeDocument/2006/relationships/footer" Target="footer35.xml"/><Relationship Id="rId60" Type="http://schemas.openxmlformats.org/officeDocument/2006/relationships/footer" Target="footer36.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image" Target="media/image16.png"/><Relationship Id="rId71" Type="http://schemas.openxmlformats.org/officeDocument/2006/relationships/image" Target="media/image17.png"/><Relationship Id="rId72" Type="http://schemas.openxmlformats.org/officeDocument/2006/relationships/image" Target="media/image18.png"/><Relationship Id="rId73" Type="http://schemas.openxmlformats.org/officeDocument/2006/relationships/image" Target="media/image19.png"/><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image" Target="media/image22.png"/><Relationship Id="rId77" Type="http://schemas.openxmlformats.org/officeDocument/2006/relationships/image" Target="media/image23.png"/><Relationship Id="rId78" Type="http://schemas.openxmlformats.org/officeDocument/2006/relationships/image" Target="media/image24.png"/><Relationship Id="rId79" Type="http://schemas.openxmlformats.org/officeDocument/2006/relationships/footer" Target="footer46.xml"/><Relationship Id="rId80" Type="http://schemas.openxmlformats.org/officeDocument/2006/relationships/image" Target="media/image25.png"/><Relationship Id="rId81" Type="http://schemas.openxmlformats.org/officeDocument/2006/relationships/image" Target="media/image26.png"/><Relationship Id="rId82" Type="http://schemas.openxmlformats.org/officeDocument/2006/relationships/image" Target="media/image27.png"/><Relationship Id="rId83" Type="http://schemas.openxmlformats.org/officeDocument/2006/relationships/image" Target="media/image28.png"/><Relationship Id="rId84" Type="http://schemas.openxmlformats.org/officeDocument/2006/relationships/image" Target="media/image29.png"/><Relationship Id="rId85" Type="http://schemas.openxmlformats.org/officeDocument/2006/relationships/image" Target="media/image30.png"/><Relationship Id="rId86" Type="http://schemas.openxmlformats.org/officeDocument/2006/relationships/image" Target="media/image31.png"/><Relationship Id="rId87" Type="http://schemas.openxmlformats.org/officeDocument/2006/relationships/image" Target="media/image32.png"/><Relationship Id="rId88" Type="http://schemas.openxmlformats.org/officeDocument/2006/relationships/image" Target="media/image33.png"/><Relationship Id="rId89" Type="http://schemas.openxmlformats.org/officeDocument/2006/relationships/image" Target="media/image34.png"/><Relationship Id="rId90" Type="http://schemas.openxmlformats.org/officeDocument/2006/relationships/footer" Target="footer47.xml"/><Relationship Id="rId91" Type="http://schemas.openxmlformats.org/officeDocument/2006/relationships/image" Target="media/image35.png"/><Relationship Id="rId92" Type="http://schemas.openxmlformats.org/officeDocument/2006/relationships/image" Target="media/image36.png"/><Relationship Id="rId93" Type="http://schemas.openxmlformats.org/officeDocument/2006/relationships/image" Target="media/image37.png"/><Relationship Id="rId94" Type="http://schemas.openxmlformats.org/officeDocument/2006/relationships/image" Target="media/image38.png"/><Relationship Id="rId95" Type="http://schemas.openxmlformats.org/officeDocument/2006/relationships/image" Target="media/image39.png"/><Relationship Id="rId96" Type="http://schemas.openxmlformats.org/officeDocument/2006/relationships/image" Target="media/image40.png"/><Relationship Id="rId97" Type="http://schemas.openxmlformats.org/officeDocument/2006/relationships/image" Target="media/image41.png"/><Relationship Id="rId98" Type="http://schemas.openxmlformats.org/officeDocument/2006/relationships/image" Target="media/image42.png"/><Relationship Id="rId99" Type="http://schemas.openxmlformats.org/officeDocument/2006/relationships/image" Target="media/image43.png"/><Relationship Id="rId100" Type="http://schemas.openxmlformats.org/officeDocument/2006/relationships/image" Target="media/image44.png"/><Relationship Id="rId101" Type="http://schemas.openxmlformats.org/officeDocument/2006/relationships/image" Target="media/image45.png"/><Relationship Id="rId102" Type="http://schemas.openxmlformats.org/officeDocument/2006/relationships/image" Target="media/image46.png"/><Relationship Id="rId103" Type="http://schemas.openxmlformats.org/officeDocument/2006/relationships/image" Target="media/image47.png"/><Relationship Id="rId104" Type="http://schemas.openxmlformats.org/officeDocument/2006/relationships/image" Target="media/image48.png"/><Relationship Id="rId105" Type="http://schemas.openxmlformats.org/officeDocument/2006/relationships/image" Target="media/image49.png"/><Relationship Id="rId106" Type="http://schemas.openxmlformats.org/officeDocument/2006/relationships/image" Target="media/image50.png"/><Relationship Id="rId107" Type="http://schemas.openxmlformats.org/officeDocument/2006/relationships/image" Target="media/image51.png"/><Relationship Id="rId108" Type="http://schemas.openxmlformats.org/officeDocument/2006/relationships/footer" Target="footer48.xml"/><Relationship Id="rId109" Type="http://schemas.openxmlformats.org/officeDocument/2006/relationships/image" Target="media/image52.png"/><Relationship Id="rId110" Type="http://schemas.openxmlformats.org/officeDocument/2006/relationships/footer" Target="footer49.xml"/><Relationship Id="rId111" Type="http://schemas.openxmlformats.org/officeDocument/2006/relationships/image" Target="media/image53.png"/><Relationship Id="rId112" Type="http://schemas.openxmlformats.org/officeDocument/2006/relationships/image" Target="media/image54.png"/><Relationship Id="rId113" Type="http://schemas.openxmlformats.org/officeDocument/2006/relationships/image" Target="media/image55.png"/><Relationship Id="rId114" Type="http://schemas.openxmlformats.org/officeDocument/2006/relationships/image" Target="media/image56.png"/><Relationship Id="rId115" Type="http://schemas.openxmlformats.org/officeDocument/2006/relationships/image" Target="media/image57.png"/><Relationship Id="rId116" Type="http://schemas.openxmlformats.org/officeDocument/2006/relationships/image" Target="media/image58.png"/><Relationship Id="rId117" Type="http://schemas.openxmlformats.org/officeDocument/2006/relationships/image" Target="media/image59.png"/><Relationship Id="rId118" Type="http://schemas.openxmlformats.org/officeDocument/2006/relationships/image" Target="media/image60.png"/><Relationship Id="rId119" Type="http://schemas.openxmlformats.org/officeDocument/2006/relationships/image" Target="media/image61.png"/><Relationship Id="rId120" Type="http://schemas.openxmlformats.org/officeDocument/2006/relationships/image" Target="media/image62.png"/><Relationship Id="rId121" Type="http://schemas.openxmlformats.org/officeDocument/2006/relationships/image" Target="media/image63.png"/><Relationship Id="rId122" Type="http://schemas.openxmlformats.org/officeDocument/2006/relationships/image" Target="media/image64.png"/><Relationship Id="rId123" Type="http://schemas.openxmlformats.org/officeDocument/2006/relationships/image" Target="media/image65.png"/><Relationship Id="rId124" Type="http://schemas.openxmlformats.org/officeDocument/2006/relationships/footer" Target="footer50.xml"/><Relationship Id="rId125" Type="http://schemas.openxmlformats.org/officeDocument/2006/relationships/image" Target="media/image66.png"/><Relationship Id="rId126" Type="http://schemas.openxmlformats.org/officeDocument/2006/relationships/image" Target="media/image67.png"/><Relationship Id="rId127" Type="http://schemas.openxmlformats.org/officeDocument/2006/relationships/image" Target="media/image68.png"/><Relationship Id="rId128" Type="http://schemas.openxmlformats.org/officeDocument/2006/relationships/image" Target="media/image69.png"/><Relationship Id="rId129" Type="http://schemas.openxmlformats.org/officeDocument/2006/relationships/image" Target="media/image70.png"/><Relationship Id="rId130" Type="http://schemas.openxmlformats.org/officeDocument/2006/relationships/image" Target="media/image71.png"/><Relationship Id="rId131" Type="http://schemas.openxmlformats.org/officeDocument/2006/relationships/image" Target="media/image72.png"/><Relationship Id="rId132" Type="http://schemas.openxmlformats.org/officeDocument/2006/relationships/footer" Target="footer51.xml"/><Relationship Id="rId133" Type="http://schemas.openxmlformats.org/officeDocument/2006/relationships/image" Target="media/image73.png"/><Relationship Id="rId134" Type="http://schemas.openxmlformats.org/officeDocument/2006/relationships/image" Target="media/image74.png"/><Relationship Id="rId135" Type="http://schemas.openxmlformats.org/officeDocument/2006/relationships/image" Target="media/image75.png"/><Relationship Id="rId136" Type="http://schemas.openxmlformats.org/officeDocument/2006/relationships/image" Target="media/image76.png"/><Relationship Id="rId137" Type="http://schemas.openxmlformats.org/officeDocument/2006/relationships/image" Target="media/image77.png"/><Relationship Id="rId138" Type="http://schemas.openxmlformats.org/officeDocument/2006/relationships/image" Target="media/image78.png"/><Relationship Id="rId139" Type="http://schemas.openxmlformats.org/officeDocument/2006/relationships/image" Target="media/image79.png"/><Relationship Id="rId140" Type="http://schemas.openxmlformats.org/officeDocument/2006/relationships/footer" Target="footer52.xml"/><Relationship Id="rId141" Type="http://schemas.openxmlformats.org/officeDocument/2006/relationships/image" Target="media/image80.png"/><Relationship Id="rId142" Type="http://schemas.openxmlformats.org/officeDocument/2006/relationships/footer" Target="footer53.xml"/><Relationship Id="rId143" Type="http://schemas.openxmlformats.org/officeDocument/2006/relationships/image" Target="media/image81.png"/><Relationship Id="rId144" Type="http://schemas.openxmlformats.org/officeDocument/2006/relationships/image" Target="media/image82.png"/><Relationship Id="rId145" Type="http://schemas.openxmlformats.org/officeDocument/2006/relationships/image" Target="media/image83.png"/><Relationship Id="rId146" Type="http://schemas.openxmlformats.org/officeDocument/2006/relationships/image" Target="media/image84.png"/><Relationship Id="rId147" Type="http://schemas.openxmlformats.org/officeDocument/2006/relationships/image" Target="media/image85.png"/><Relationship Id="rId148" Type="http://schemas.openxmlformats.org/officeDocument/2006/relationships/image" Target="media/image86.png"/><Relationship Id="rId149" Type="http://schemas.openxmlformats.org/officeDocument/2006/relationships/image" Target="media/image87.png"/><Relationship Id="rId150" Type="http://schemas.openxmlformats.org/officeDocument/2006/relationships/image" Target="media/image88.png"/><Relationship Id="rId151" Type="http://schemas.openxmlformats.org/officeDocument/2006/relationships/image" Target="media/image89.png"/><Relationship Id="rId152" Type="http://schemas.openxmlformats.org/officeDocument/2006/relationships/image" Target="media/image90.png"/><Relationship Id="rId153" Type="http://schemas.openxmlformats.org/officeDocument/2006/relationships/image" Target="media/image91.png"/><Relationship Id="rId154" Type="http://schemas.openxmlformats.org/officeDocument/2006/relationships/image" Target="media/image92.png"/><Relationship Id="rId155" Type="http://schemas.openxmlformats.org/officeDocument/2006/relationships/image" Target="media/image93.png"/><Relationship Id="rId156" Type="http://schemas.openxmlformats.org/officeDocument/2006/relationships/image" Target="media/image94.png"/><Relationship Id="rId157" Type="http://schemas.openxmlformats.org/officeDocument/2006/relationships/footer" Target="footer54.xml"/><Relationship Id="rId158" Type="http://schemas.openxmlformats.org/officeDocument/2006/relationships/image" Target="media/image95.png"/><Relationship Id="rId159" Type="http://schemas.openxmlformats.org/officeDocument/2006/relationships/image" Target="media/image96.png"/><Relationship Id="rId160" Type="http://schemas.openxmlformats.org/officeDocument/2006/relationships/image" Target="media/image97.png"/><Relationship Id="rId161" Type="http://schemas.openxmlformats.org/officeDocument/2006/relationships/image" Target="media/image98.png"/><Relationship Id="rId162" Type="http://schemas.openxmlformats.org/officeDocument/2006/relationships/image" Target="media/image99.png"/><Relationship Id="rId163" Type="http://schemas.openxmlformats.org/officeDocument/2006/relationships/image" Target="media/image100.png"/><Relationship Id="rId164" Type="http://schemas.openxmlformats.org/officeDocument/2006/relationships/image" Target="media/image101.png"/><Relationship Id="rId165" Type="http://schemas.openxmlformats.org/officeDocument/2006/relationships/image" Target="media/image102.png"/><Relationship Id="rId166" Type="http://schemas.openxmlformats.org/officeDocument/2006/relationships/image" Target="media/image103.png"/><Relationship Id="rId167" Type="http://schemas.openxmlformats.org/officeDocument/2006/relationships/image" Target="media/image104.png"/><Relationship Id="rId168" Type="http://schemas.openxmlformats.org/officeDocument/2006/relationships/image" Target="media/image105.png"/><Relationship Id="rId169" Type="http://schemas.openxmlformats.org/officeDocument/2006/relationships/image" Target="media/image106.png"/><Relationship Id="rId170" Type="http://schemas.openxmlformats.org/officeDocument/2006/relationships/image" Target="media/image107.png"/><Relationship Id="rId171" Type="http://schemas.openxmlformats.org/officeDocument/2006/relationships/image" Target="media/image108.png"/><Relationship Id="rId172" Type="http://schemas.openxmlformats.org/officeDocument/2006/relationships/footer" Target="footer55.xml"/><Relationship Id="rId173" Type="http://schemas.openxmlformats.org/officeDocument/2006/relationships/footer" Target="footer5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fangyuan</dc:creator>
  <dcterms:created xsi:type="dcterms:W3CDTF">2020-05-03T16:42:36Z</dcterms:created>
  <dcterms:modified xsi:type="dcterms:W3CDTF">2020-05-03T16:42:36Z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2012-04-05T00:00:00Z</vt:filetime>
  </property>
  <property fmtid="{D5CDD505-2E9C-101B-9397-08002B2CF9AE}" pid="3" name="Creator">
    <vt:lpwstr>Microsoft® Office Word 2007</vt:lpwstr>
  </property>
  <property fmtid="{D5CDD505-2E9C-101B-9397-08002B2CF9AE}" pid="4" name="LastSaved">
    <vt:filetime>2020-05-03T00:00:00Z</vt:filetime>
  </property>
</Properties>
</file>