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720" w:lineRule="exact"/>
        <w:ind w:left="30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2423813" cy="10927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423813" cy="1092707"/>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深圳市新国都技术股份有限公司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48"/>
          <w:szCs w:val="48"/>
        </w:rPr>
      </w:pPr>
    </w:p>
    <w:p>
      <w:pPr>
        <w:spacing w:before="0"/>
        <w:ind w:left="2421" w:right="2420" w:firstLine="0"/>
        <w:jc w:val="center"/>
        <w:rPr>
          <w:rFonts w:ascii="宋体" w:hAnsi="宋体" w:cs="宋体" w:eastAsia="宋体" w:hint="default"/>
          <w:sz w:val="32"/>
          <w:szCs w:val="32"/>
        </w:rPr>
      </w:pPr>
      <w:r>
        <w:rPr>
          <w:rFonts w:ascii="宋体" w:hAnsi="宋体" w:cs="宋体" w:eastAsia="宋体" w:hint="default"/>
          <w:b/>
          <w:bCs/>
          <w:sz w:val="32"/>
          <w:szCs w:val="32"/>
        </w:rPr>
        <w:t>2012</w:t>
      </w:r>
      <w:r>
        <w:rPr>
          <w:rFonts w:ascii="宋体" w:hAnsi="宋体" w:cs="宋体" w:eastAsia="宋体" w:hint="default"/>
          <w:b/>
          <w:bCs/>
          <w:spacing w:val="-82"/>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26"/>
          <w:szCs w:val="26"/>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2013</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spacing w:line="240" w:lineRule="auto"/>
        <w:ind w:left="2778" w:right="141"/>
        <w:jc w:val="left"/>
        <w:rPr>
          <w:b w:val="0"/>
          <w:bCs w:val="0"/>
        </w:rPr>
      </w:pPr>
      <w:bookmarkStart w:name="_TOC_250009" w:id="1"/>
      <w:r>
        <w:rPr/>
        <w:t>第一节</w:t>
      </w:r>
      <w:r>
        <w:rPr>
          <w:spacing w:val="41"/>
        </w:rPr>
        <w:t> </w:t>
      </w:r>
      <w:r>
        <w:rPr/>
        <w:t>重要提示、目录和释义</w:t>
      </w:r>
      <w:bookmarkEnd w:id="1"/>
      <w:r>
        <w:rPr>
          <w:b w:val="0"/>
          <w:bCs w:val="0"/>
        </w:rPr>
      </w:r>
    </w:p>
    <w:p>
      <w:pPr>
        <w:spacing w:line="240" w:lineRule="auto" w:before="11"/>
        <w:rPr>
          <w:rFonts w:ascii="宋体" w:hAnsi="宋体" w:cs="宋体" w:eastAsia="宋体" w:hint="default"/>
          <w:b/>
          <w:bCs/>
          <w:sz w:val="40"/>
          <w:szCs w:val="40"/>
        </w:rPr>
      </w:pPr>
    </w:p>
    <w:p>
      <w:pPr>
        <w:spacing w:before="0"/>
        <w:ind w:left="714" w:right="141" w:firstLine="3826"/>
        <w:jc w:val="left"/>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44"/>
          <w:szCs w:val="44"/>
        </w:rPr>
      </w:pPr>
    </w:p>
    <w:p>
      <w:pPr>
        <w:pStyle w:val="Heading2"/>
        <w:spacing w:line="408" w:lineRule="auto"/>
        <w:ind w:right="156" w:firstLine="562"/>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w w:val="99"/>
        </w:rPr>
        <w:t> </w:t>
      </w:r>
      <w:r>
        <w:rPr/>
        <w:t>性和完整性承担个别及连带责任。</w:t>
      </w:r>
      <w:r>
        <w:rPr>
          <w:b w:val="0"/>
          <w:bCs w:val="0"/>
        </w:rPr>
      </w:r>
    </w:p>
    <w:p>
      <w:pPr>
        <w:pStyle w:val="Heading2"/>
        <w:spacing w:line="475" w:lineRule="auto" w:before="162"/>
        <w:ind w:left="714" w:right="141"/>
        <w:jc w:val="left"/>
        <w:rPr>
          <w:b w:val="0"/>
          <w:bCs w:val="0"/>
        </w:rPr>
      </w:pPr>
      <w:r>
        <w:rPr/>
        <w:t>所有董事均已出席了审议本报告的董事会会议。</w:t>
      </w:r>
      <w:r>
        <w:rPr>
          <w:w w:val="99"/>
        </w:rPr>
        <w:t> </w:t>
      </w:r>
      <w:r>
        <w:rPr>
          <w:spacing w:val="-3"/>
        </w:rPr>
        <w:t>大华会计师事务所（特殊普通合伙）为本公司</w:t>
      </w:r>
      <w:r>
        <w:rPr>
          <w:spacing w:val="-74"/>
        </w:rPr>
        <w:t> </w:t>
      </w:r>
      <w:r>
        <w:rPr>
          <w:rFonts w:ascii="宋体" w:hAnsi="宋体" w:cs="宋体" w:eastAsia="宋体" w:hint="default"/>
        </w:rPr>
        <w:t>2012</w:t>
      </w:r>
      <w:r>
        <w:rPr>
          <w:rFonts w:ascii="宋体" w:hAnsi="宋体" w:cs="宋体" w:eastAsia="宋体" w:hint="default"/>
          <w:spacing w:val="-74"/>
        </w:rPr>
        <w:t> </w:t>
      </w:r>
      <w:r>
        <w:rPr/>
        <w:t>年度财务报告出具了标</w:t>
      </w:r>
      <w:r>
        <w:rPr>
          <w:b w:val="0"/>
          <w:bCs w:val="0"/>
        </w:rPr>
      </w:r>
    </w:p>
    <w:p>
      <w:pPr>
        <w:pStyle w:val="Heading2"/>
        <w:spacing w:line="350" w:lineRule="exact"/>
        <w:ind w:right="0"/>
        <w:jc w:val="left"/>
        <w:rPr>
          <w:b w:val="0"/>
          <w:bCs w:val="0"/>
        </w:rPr>
      </w:pPr>
      <w:r>
        <w:rPr>
          <w:spacing w:val="2"/>
        </w:rPr>
        <w:t>准无保留意见的审计报告，本公司董事会、监事会对相关事项亦有详细说明，</w:t>
      </w:r>
      <w:r>
        <w:rPr>
          <w:b w:val="0"/>
          <w:bCs w:val="0"/>
          <w:spacing w:val="2"/>
        </w:rPr>
      </w:r>
    </w:p>
    <w:p>
      <w:pPr>
        <w:spacing w:line="240" w:lineRule="auto" w:before="9"/>
        <w:rPr>
          <w:rFonts w:ascii="宋体" w:hAnsi="宋体" w:cs="宋体" w:eastAsia="宋体" w:hint="default"/>
          <w:b/>
          <w:bCs/>
          <w:sz w:val="19"/>
          <w:szCs w:val="19"/>
        </w:rPr>
      </w:pPr>
    </w:p>
    <w:p>
      <w:pPr>
        <w:pStyle w:val="Heading2"/>
        <w:spacing w:line="472" w:lineRule="auto"/>
        <w:ind w:left="714" w:right="142" w:hanging="563"/>
        <w:jc w:val="left"/>
        <w:rPr>
          <w:b w:val="0"/>
          <w:bCs w:val="0"/>
        </w:rPr>
      </w:pPr>
      <w:r>
        <w:rPr/>
        <w:t>请投资者注意阅读。</w:t>
      </w:r>
      <w:r>
        <w:rPr>
          <w:w w:val="99"/>
        </w:rPr>
        <w:t> </w:t>
      </w:r>
      <w:r>
        <w:rPr>
          <w:spacing w:val="-2"/>
        </w:rPr>
        <w:t>公司负责人刘祥、主管会计工作负责人赵辉及会计机构负责人</w:t>
      </w:r>
      <w:r>
        <w:rPr>
          <w:rFonts w:ascii="宋体" w:hAnsi="宋体" w:cs="宋体" w:eastAsia="宋体" w:hint="default"/>
          <w:spacing w:val="-2"/>
        </w:rPr>
        <w:t>(</w:t>
      </w:r>
      <w:r>
        <w:rPr>
          <w:spacing w:val="-2"/>
        </w:rPr>
        <w:t>会计主管人</w:t>
      </w:r>
      <w:r>
        <w:rPr>
          <w:b w:val="0"/>
          <w:bCs w:val="0"/>
          <w:spacing w:val="-2"/>
        </w:rPr>
      </w:r>
    </w:p>
    <w:p>
      <w:pPr>
        <w:pStyle w:val="Heading2"/>
        <w:spacing w:line="475" w:lineRule="auto"/>
        <w:ind w:left="714" w:right="153" w:hanging="563"/>
        <w:jc w:val="left"/>
        <w:rPr>
          <w:b w:val="0"/>
          <w:bCs w:val="0"/>
        </w:rPr>
      </w:pPr>
      <w:r>
        <w:rPr/>
        <w:t>员</w:t>
      </w:r>
      <w:r>
        <w:rPr>
          <w:rFonts w:ascii="宋体" w:hAnsi="宋体" w:cs="宋体" w:eastAsia="宋体" w:hint="default"/>
        </w:rPr>
        <w:t>)</w:t>
      </w:r>
      <w:r>
        <w:rPr/>
        <w:t>赵辉声明：保证年度报告中财务报告的真实、准确、完整。</w:t>
      </w:r>
      <w:r>
        <w:rPr>
          <w:w w:val="99"/>
        </w:rPr>
        <w:t> </w:t>
      </w:r>
      <w:r>
        <w:rPr>
          <w:spacing w:val="2"/>
        </w:rPr>
        <w:t>本报告中如有涉及未来的计划、业绩预测等方面的内容，均不构成本公司</w:t>
      </w:r>
      <w:r>
        <w:rPr>
          <w:b w:val="0"/>
          <w:bCs w:val="0"/>
          <w:spacing w:val="2"/>
        </w:rPr>
      </w:r>
    </w:p>
    <w:p>
      <w:pPr>
        <w:pStyle w:val="Heading2"/>
        <w:spacing w:line="350" w:lineRule="exact"/>
        <w:ind w:right="0"/>
        <w:jc w:val="left"/>
        <w:rPr>
          <w:b w:val="0"/>
          <w:bCs w:val="0"/>
        </w:rPr>
      </w:pPr>
      <w:r>
        <w:rPr>
          <w:spacing w:val="2"/>
        </w:rPr>
        <w:t>对任何投资者及相关人士的承诺，投资者及相关人士均应对此保持足够的风险</w:t>
      </w:r>
      <w:r>
        <w:rPr>
          <w:b w:val="0"/>
          <w:bCs w:val="0"/>
          <w:spacing w:val="2"/>
        </w:rPr>
      </w:r>
    </w:p>
    <w:p>
      <w:pPr>
        <w:spacing w:line="240" w:lineRule="auto" w:before="9"/>
        <w:rPr>
          <w:rFonts w:ascii="宋体" w:hAnsi="宋体" w:cs="宋体" w:eastAsia="宋体" w:hint="default"/>
          <w:b/>
          <w:bCs/>
          <w:sz w:val="19"/>
          <w:szCs w:val="19"/>
        </w:rPr>
      </w:pPr>
    </w:p>
    <w:p>
      <w:pPr>
        <w:pStyle w:val="Heading2"/>
        <w:spacing w:line="240" w:lineRule="auto"/>
        <w:ind w:right="141"/>
        <w:jc w:val="left"/>
        <w:rPr>
          <w:b w:val="0"/>
          <w:bCs w:val="0"/>
        </w:rPr>
      </w:pPr>
      <w:r>
        <w:rPr/>
        <w:t>认识，并且应当理解计划、预测与承诺之间的差异。</w:t>
      </w:r>
      <w:r>
        <w:rPr>
          <w:b w:val="0"/>
          <w:bCs w:val="0"/>
        </w:rPr>
      </w:r>
    </w:p>
    <w:p>
      <w:pPr>
        <w:spacing w:after="0" w:line="240" w:lineRule="auto"/>
        <w:jc w:val="left"/>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w:t>
            </w:r>
            <w:r>
              <w:rPr>
                <w:spacing w:val="-4"/>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
              </w:rPr>
              <w:t> </w:t>
            </w:r>
            <w:r>
              <w:rPr/>
              <w:t>董事会报告</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01">
            <w:r>
              <w:rPr/>
              <w:t>第九节</w:t>
            </w:r>
            <w:r>
              <w:rPr>
                <w:spacing w:val="1"/>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
              </w:rPr>
              <w:t> </w:t>
            </w:r>
            <w:r>
              <w:rPr/>
              <w:t>备查文件目录</w:t>
            </w:r>
            <w:r>
              <w:rPr>
                <w:rFonts w:ascii="Times New Roman" w:hAnsi="Times New Roman" w:cs="Times New Roman" w:eastAsia="Times New Roman" w:hint="default"/>
              </w:rPr>
              <w:tab/>
              <w:t>203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0"/>
          <w:szCs w:val="30"/>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557"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240" w:hRule="exact"/>
        </w:trPr>
        <w:tc>
          <w:tcPr>
            <w:tcW w:w="3536" w:type="dxa"/>
            <w:vMerge w:val="restart"/>
            <w:tcBorders>
              <w:top w:val="single" w:sz="4" w:space="0" w:color="000000"/>
              <w:left w:val="single" w:sz="4" w:space="0" w:color="000000"/>
              <w:right w:val="single" w:sz="9" w:space="0" w:color="D2D2D2"/>
            </w:tcBorders>
          </w:tcPr>
          <w:p>
            <w:pPr>
              <w:pStyle w:val="TableParagraph"/>
              <w:spacing w:line="477" w:lineRule="auto" w:before="128"/>
              <w:ind w:left="24" w:right="74"/>
              <w:jc w:val="left"/>
              <w:rPr>
                <w:rFonts w:ascii="宋体" w:hAnsi="宋体" w:cs="宋体" w:eastAsia="宋体" w:hint="default"/>
                <w:sz w:val="18"/>
                <w:szCs w:val="18"/>
              </w:rPr>
            </w:pPr>
            <w:r>
              <w:rPr>
                <w:rFonts w:ascii="宋体" w:hAnsi="宋体" w:cs="宋体" w:eastAsia="宋体" w:hint="default"/>
                <w:sz w:val="18"/>
                <w:szCs w:val="18"/>
              </w:rPr>
              <w:t>本公司、公司、母公司、新国都、新国都股 份</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547"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40"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公司总部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5"/>
                <w:sz w:val="18"/>
                <w:szCs w:val="18"/>
              </w:rPr>
              <w:t> </w:t>
            </w:r>
            <w:r>
              <w:rPr>
                <w:rFonts w:ascii="宋体" w:hAnsi="宋体" w:cs="宋体" w:eastAsia="宋体" w:hint="default"/>
                <w:sz w:val="18"/>
                <w:szCs w:val="18"/>
              </w:rPr>
              <w:t>17A</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新国都软件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深圳市新国都软件技术有限公司</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南京新国都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广州新国都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苏州新国都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肇庆好易联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肇庆市好易联网络有限公司</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宝安分公司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深圳市新国都技术股份有限公司宝安分公司</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sz w:val="18"/>
              </w:rPr>
              <w:t>Exadigm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50"/>
                <w:sz w:val="18"/>
                <w:szCs w:val="18"/>
              </w:rPr>
              <w:t> </w:t>
            </w:r>
            <w:r>
              <w:rPr>
                <w:rFonts w:ascii="宋体" w:hAnsi="宋体" w:cs="宋体" w:eastAsia="宋体" w:hint="default"/>
                <w:sz w:val="18"/>
                <w:szCs w:val="18"/>
              </w:rPr>
              <w:t>Exadigm,Inc</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泰德信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56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《深圳市新国都技术股份有限公司章程》</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主承销商、保荐机构、中信证券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557"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55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北京市中伦（深圳）律师事务所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55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中国银联体系</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2"/>
              <w:jc w:val="left"/>
              <w:rPr>
                <w:rFonts w:ascii="宋体" w:hAnsi="宋体" w:cs="宋体" w:eastAsia="宋体" w:hint="default"/>
                <w:sz w:val="18"/>
                <w:szCs w:val="18"/>
              </w:rPr>
            </w:pPr>
            <w:r>
              <w:rPr>
                <w:rFonts w:ascii="宋体" w:hAnsi="宋体" w:cs="宋体" w:eastAsia="宋体" w:hint="default"/>
                <w:spacing w:val="-2"/>
                <w:sz w:val="18"/>
                <w:szCs w:val="18"/>
              </w:rPr>
              <w:t>银联商务有限公司、广州好易联支付网络有限公司、深圳市银联金融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网络有限公司</w:t>
            </w:r>
          </w:p>
        </w:tc>
      </w:tr>
      <w:tr>
        <w:trPr>
          <w:trHeight w:val="55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银联商务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r>
      <w:tr>
        <w:trPr>
          <w:trHeight w:val="55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广州好易联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广州好易联支付网络有限公司</w:t>
            </w:r>
          </w:p>
        </w:tc>
      </w:tr>
      <w:tr>
        <w:trPr>
          <w:trHeight w:val="55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深圳银联商务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深圳市银联金融网络有限公司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1"/>
        <w:spacing w:line="240" w:lineRule="auto"/>
        <w:ind w:left="3125" w:right="141"/>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26"/>
        <w:ind w:right="141"/>
        <w:jc w:val="left"/>
        <w:rPr>
          <w:b w:val="0"/>
          <w:bCs w:val="0"/>
        </w:rPr>
      </w:pP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新国都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sz w:val="18"/>
              </w:rPr>
              <w:t>300130</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新国都</w:t>
            </w:r>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r>
              <w:rPr>
                <w:rFonts w:ascii="宋体"/>
                <w:sz w:val="18"/>
              </w:rPr>
              <w:t>Xinguodu</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sz w:val="18"/>
              </w:rPr>
              <w:t>XGD</w:t>
            </w:r>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7"/>
                <w:sz w:val="18"/>
                <w:szCs w:val="18"/>
              </w:rPr>
              <w:t> </w:t>
            </w:r>
            <w:r>
              <w:rPr>
                <w:rFonts w:ascii="宋体" w:hAnsi="宋体" w:cs="宋体" w:eastAsia="宋体" w:hint="default"/>
                <w:sz w:val="18"/>
                <w:szCs w:val="18"/>
              </w:rPr>
              <w:t>17A</w:t>
            </w:r>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r>
              <w:rPr>
                <w:rFonts w:ascii="宋体"/>
                <w:sz w:val="18"/>
              </w:rPr>
              <w:t>518040</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5"/>
                <w:sz w:val="18"/>
                <w:szCs w:val="18"/>
              </w:rPr>
              <w:t> </w:t>
            </w:r>
            <w:r>
              <w:rPr>
                <w:rFonts w:ascii="宋体" w:hAnsi="宋体" w:cs="宋体" w:eastAsia="宋体" w:hint="default"/>
                <w:sz w:val="18"/>
                <w:szCs w:val="18"/>
              </w:rPr>
              <w:t>17A</w:t>
            </w:r>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r>
              <w:rPr>
                <w:rFonts w:ascii="宋体"/>
                <w:sz w:val="18"/>
              </w:rPr>
              <w:t>518040</w:t>
            </w:r>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color w:val="0000FF"/>
                <w:sz w:val="18"/>
              </w:rPr>
            </w:r>
            <w:hyperlink r:id="rId9">
              <w:r>
                <w:rPr>
                  <w:rFonts w:ascii="宋体"/>
                  <w:color w:val="0000FF"/>
                  <w:sz w:val="18"/>
                  <w:u w:val="single" w:color="0000FF"/>
                </w:rPr>
                <w:t>www.xinguodu.com</w:t>
              </w:r>
              <w:r>
                <w:rPr>
                  <w:rFonts w:ascii="宋体"/>
                  <w:color w:val="0000FF"/>
                  <w:sz w:val="18"/>
                </w:rPr>
              </w:r>
              <w:r>
                <w:rPr>
                  <w:rFonts w:ascii="宋体"/>
                  <w:sz w:val="18"/>
                </w:rPr>
              </w:r>
            </w:hyperlink>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hyperlink r:id="rId10">
              <w:r>
                <w:rPr>
                  <w:rFonts w:ascii="宋体"/>
                  <w:sz w:val="18"/>
                </w:rPr>
                <w:t>xgd-zqb@xinguodu.com</w:t>
              </w:r>
            </w:hyperlink>
          </w:p>
        </w:tc>
      </w:tr>
      <w:tr>
        <w:trPr>
          <w:trHeight w:val="557"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559"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宋体" w:hAnsi="宋体" w:cs="宋体" w:eastAsia="宋体" w:hint="default"/>
                <w:sz w:val="18"/>
                <w:szCs w:val="18"/>
              </w:rPr>
              <w:t>5022</w:t>
            </w:r>
            <w:r>
              <w:rPr>
                <w:rFonts w:ascii="宋体" w:hAnsi="宋体" w:cs="宋体" w:eastAsia="宋体" w:hint="default"/>
                <w:spacing w:val="-44"/>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楼</w:t>
            </w:r>
          </w:p>
        </w:tc>
      </w:tr>
    </w:tbl>
    <w:p>
      <w:pPr>
        <w:spacing w:line="240" w:lineRule="auto" w:before="12"/>
        <w:rPr>
          <w:rFonts w:ascii="宋体" w:hAnsi="宋体" w:cs="宋体" w:eastAsia="宋体" w:hint="default"/>
          <w:b/>
          <w:bCs/>
          <w:sz w:val="23"/>
          <w:szCs w:val="23"/>
        </w:rPr>
      </w:pPr>
    </w:p>
    <w:p>
      <w:pPr>
        <w:pStyle w:val="Heading4"/>
        <w:spacing w:line="240" w:lineRule="auto" w:before="26"/>
        <w:ind w:right="141"/>
        <w:jc w:val="left"/>
        <w:rPr>
          <w:b w:val="0"/>
          <w:bCs w:val="0"/>
        </w:rPr>
      </w:pP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李艳芳</w:t>
            </w:r>
          </w:p>
        </w:tc>
      </w:tr>
      <w:tr>
        <w:trPr>
          <w:trHeight w:val="240"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477" w:lineRule="auto" w:before="128"/>
              <w:ind w:left="28" w:right="94"/>
              <w:jc w:val="left"/>
              <w:rPr>
                <w:rFonts w:ascii="宋体" w:hAnsi="宋体" w:cs="宋体" w:eastAsia="宋体"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6"/>
                <w:sz w:val="18"/>
                <w:szCs w:val="18"/>
              </w:rPr>
              <w:t> </w:t>
            </w:r>
            <w:r>
              <w:rPr>
                <w:rFonts w:ascii="宋体" w:hAnsi="宋体" w:cs="宋体" w:eastAsia="宋体" w:hint="default"/>
                <w:sz w:val="18"/>
                <w:szCs w:val="18"/>
              </w:rPr>
              <w:t>17A</w:t>
            </w:r>
          </w:p>
        </w:tc>
        <w:tc>
          <w:tcPr>
            <w:tcW w:w="3190" w:type="dxa"/>
            <w:vMerge w:val="restart"/>
            <w:tcBorders>
              <w:top w:val="single" w:sz="4" w:space="0" w:color="000000"/>
              <w:left w:val="single" w:sz="4" w:space="0" w:color="000000"/>
              <w:right w:val="single" w:sz="4" w:space="0" w:color="000000"/>
            </w:tcBorders>
          </w:tcPr>
          <w:p>
            <w:pPr>
              <w:pStyle w:val="TableParagraph"/>
              <w:spacing w:line="477" w:lineRule="auto" w:before="128"/>
              <w:ind w:left="23" w:right="94"/>
              <w:jc w:val="left"/>
              <w:rPr>
                <w:rFonts w:ascii="宋体" w:hAnsi="宋体" w:cs="宋体" w:eastAsia="宋体"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6"/>
                <w:sz w:val="18"/>
                <w:szCs w:val="18"/>
              </w:rPr>
              <w:t> </w:t>
            </w:r>
            <w:r>
              <w:rPr>
                <w:rFonts w:ascii="宋体" w:hAnsi="宋体" w:cs="宋体" w:eastAsia="宋体" w:hint="default"/>
                <w:sz w:val="18"/>
                <w:szCs w:val="18"/>
              </w:rPr>
              <w:t>17A</w:t>
            </w:r>
          </w:p>
        </w:tc>
      </w:tr>
      <w:tr>
        <w:trPr>
          <w:trHeight w:val="547"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240"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55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0755-83899462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0755-83481391</w:t>
            </w:r>
          </w:p>
        </w:tc>
      </w:tr>
      <w:tr>
        <w:trPr>
          <w:trHeight w:val="55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0755-86319990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0755-86319990</w:t>
            </w:r>
          </w:p>
        </w:tc>
      </w:tr>
      <w:tr>
        <w:trPr>
          <w:trHeight w:val="55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hyperlink r:id="rId11">
              <w:r>
                <w:rPr>
                  <w:rFonts w:ascii="宋体"/>
                  <w:sz w:val="18"/>
                </w:rPr>
                <w:t>zhaohui@xinguodu.com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hyperlink r:id="rId12">
              <w:r>
                <w:rPr>
                  <w:rFonts w:ascii="宋体"/>
                  <w:sz w:val="18"/>
                </w:rPr>
                <w:t>liyanfang@xinguodu.com</w:t>
              </w:r>
            </w:hyperlink>
          </w:p>
        </w:tc>
      </w:tr>
    </w:tbl>
    <w:p>
      <w:pPr>
        <w:spacing w:line="240" w:lineRule="auto" w:before="12"/>
        <w:rPr>
          <w:rFonts w:ascii="宋体" w:hAnsi="宋体" w:cs="宋体" w:eastAsia="宋体" w:hint="default"/>
          <w:b/>
          <w:bCs/>
          <w:sz w:val="23"/>
          <w:szCs w:val="23"/>
        </w:rPr>
      </w:pPr>
    </w:p>
    <w:p>
      <w:pPr>
        <w:pStyle w:val="Heading4"/>
        <w:spacing w:line="240" w:lineRule="auto" w:before="26"/>
        <w:ind w:right="141"/>
        <w:jc w:val="left"/>
        <w:rPr>
          <w:b w:val="0"/>
          <w:bCs w:val="0"/>
        </w:rPr>
      </w:pP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557"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559"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hyperlink r:id="rId13">
              <w:r>
                <w:rPr>
                  <w:rFonts w:ascii="宋体"/>
                  <w:sz w:val="18"/>
                </w:rPr>
                <w:t>www.cninfo.com.cn</w:t>
              </w:r>
            </w:hyperlink>
          </w:p>
        </w:tc>
      </w:tr>
      <w:tr>
        <w:trPr>
          <w:trHeight w:val="557"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2"/>
        <w:rPr>
          <w:rFonts w:ascii="宋体" w:hAnsi="宋体" w:cs="宋体" w:eastAsia="宋体" w:hint="default"/>
          <w:b/>
          <w:bCs/>
          <w:sz w:val="23"/>
          <w:szCs w:val="23"/>
        </w:rPr>
      </w:pPr>
    </w:p>
    <w:p>
      <w:pPr>
        <w:pStyle w:val="Heading4"/>
        <w:spacing w:line="240" w:lineRule="auto" w:before="26"/>
        <w:ind w:right="141"/>
        <w:jc w:val="left"/>
        <w:rPr>
          <w:b w:val="0"/>
          <w:bCs w:val="0"/>
        </w:rPr>
      </w:pPr>
      <w:r>
        <w:rPr/>
        <w:t>四、公司历史沿革</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4403012070860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7"/>
              <w:jc w:val="right"/>
              <w:rPr>
                <w:rFonts w:ascii="宋体" w:hAnsi="宋体" w:cs="宋体" w:eastAsia="宋体" w:hint="default"/>
                <w:sz w:val="18"/>
                <w:szCs w:val="18"/>
              </w:rPr>
            </w:pPr>
            <w:r>
              <w:rPr>
                <w:rFonts w:ascii="宋体"/>
                <w:spacing w:val="-1"/>
                <w:sz w:val="18"/>
              </w:rPr>
              <w:t>440301731102852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73110285-2</w:t>
            </w:r>
          </w:p>
        </w:tc>
      </w:tr>
      <w:tr>
        <w:trPr>
          <w:trHeight w:val="56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变更设立股份公司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7"/>
              <w:jc w:val="right"/>
              <w:rPr>
                <w:rFonts w:ascii="宋体" w:hAnsi="宋体" w:cs="宋体" w:eastAsia="宋体" w:hint="default"/>
                <w:sz w:val="18"/>
                <w:szCs w:val="18"/>
              </w:rPr>
            </w:pPr>
            <w:r>
              <w:rPr>
                <w:rFonts w:ascii="宋体"/>
                <w:spacing w:val="-1"/>
                <w:sz w:val="18"/>
              </w:rPr>
              <w:t>440301731102852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73110285-2</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7"/>
              <w:jc w:val="right"/>
              <w:rPr>
                <w:rFonts w:ascii="宋体" w:hAnsi="宋体" w:cs="宋体" w:eastAsia="宋体" w:hint="default"/>
                <w:sz w:val="18"/>
                <w:szCs w:val="18"/>
              </w:rPr>
            </w:pPr>
            <w:r>
              <w:rPr>
                <w:rFonts w:ascii="宋体"/>
                <w:spacing w:val="-1"/>
                <w:sz w:val="18"/>
              </w:rPr>
              <w:t>440301731102852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73110285-2</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7"/>
              <w:jc w:val="right"/>
              <w:rPr>
                <w:rFonts w:ascii="宋体" w:hAnsi="宋体" w:cs="宋体" w:eastAsia="宋体" w:hint="default"/>
                <w:sz w:val="18"/>
                <w:szCs w:val="18"/>
              </w:rPr>
            </w:pPr>
            <w:r>
              <w:rPr>
                <w:rFonts w:ascii="宋体"/>
                <w:spacing w:val="-1"/>
                <w:sz w:val="18"/>
              </w:rPr>
              <w:t>440301731102852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73110285-2</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7"/>
              <w:jc w:val="right"/>
              <w:rPr>
                <w:rFonts w:ascii="宋体" w:hAnsi="宋体" w:cs="宋体" w:eastAsia="宋体" w:hint="default"/>
                <w:sz w:val="18"/>
                <w:szCs w:val="18"/>
              </w:rPr>
            </w:pPr>
            <w:r>
              <w:rPr>
                <w:rFonts w:ascii="宋体"/>
                <w:spacing w:val="-1"/>
                <w:sz w:val="18"/>
              </w:rPr>
              <w:t>440301731102852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73110285-2</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1"/>
        <w:spacing w:line="240" w:lineRule="auto"/>
        <w:ind w:left="2642" w:right="141"/>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12"/>
        <w:rPr>
          <w:rFonts w:ascii="宋体" w:hAnsi="宋体" w:cs="宋体" w:eastAsia="宋体" w:hint="default"/>
          <w:b/>
          <w:bCs/>
          <w:sz w:val="39"/>
          <w:szCs w:val="39"/>
        </w:rPr>
      </w:pPr>
    </w:p>
    <w:p>
      <w:pPr>
        <w:pStyle w:val="Heading4"/>
        <w:spacing w:line="240" w:lineRule="auto"/>
        <w:ind w:right="141"/>
        <w:jc w:val="left"/>
        <w:rPr>
          <w:b w:val="0"/>
          <w:bCs w:val="0"/>
        </w:rPr>
      </w:pPr>
      <w:r>
        <w:rPr/>
        <w:t>一、主要会计数据和财务指标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141"/>
        <w:jc w:val="left"/>
      </w:pPr>
      <w:r>
        <w:rPr/>
        <w:t>公司是否因会计政策变更及会计差错更正等追溯调整或重述以前年度会计数据</w:t>
      </w:r>
    </w:p>
    <w:p>
      <w:pPr>
        <w:spacing w:line="240" w:lineRule="auto" w:before="12"/>
        <w:rPr>
          <w:rFonts w:ascii="宋体" w:hAnsi="宋体" w:cs="宋体" w:eastAsia="宋体" w:hint="default"/>
          <w:sz w:val="20"/>
          <w:szCs w:val="20"/>
        </w:rPr>
      </w:pPr>
    </w:p>
    <w:p>
      <w:pPr>
        <w:pStyle w:val="BodyText"/>
        <w:spacing w:line="518" w:lineRule="auto" w:before="0"/>
        <w:ind w:left="573" w:right="8273"/>
        <w:jc w:val="left"/>
      </w:pPr>
      <w:r>
        <w:rPr/>
        <w:t>□ 是 √</w:t>
      </w:r>
      <w:r>
        <w:rPr>
          <w:spacing w:val="3"/>
        </w:rPr>
        <w:t> </w:t>
      </w:r>
      <w:r>
        <w:rPr/>
        <w:t>否</w:t>
      </w:r>
      <w:r>
        <w:rPr/>
        <w:t> 主要会计数据</w:t>
      </w:r>
    </w:p>
    <w:p>
      <w:pPr>
        <w:pStyle w:val="BodyText"/>
        <w:spacing w:line="240" w:lineRule="auto" w:before="62"/>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607"/>
        <w:gridCol w:w="1738"/>
        <w:gridCol w:w="1740"/>
        <w:gridCol w:w="1738"/>
        <w:gridCol w:w="1735"/>
      </w:tblGrid>
      <w:tr>
        <w:trPr>
          <w:trHeight w:val="559"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55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495,075,044.67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341,596,897.96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208,527,076.74</w:t>
            </w:r>
          </w:p>
        </w:tc>
      </w:tr>
      <w:tr>
        <w:trPr>
          <w:trHeight w:val="559"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38,266,973.23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58,942,921.95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48,487,816.85</w:t>
            </w:r>
          </w:p>
        </w:tc>
      </w:tr>
      <w:tr>
        <w:trPr>
          <w:trHeight w:val="55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68,111,240.28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83,978,636.54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59,606,397.10</w:t>
            </w:r>
          </w:p>
        </w:tc>
      </w:tr>
      <w:tr>
        <w:trPr>
          <w:trHeight w:val="102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60,160,444.91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75,741,882.80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57,894,445.26</w:t>
            </w:r>
          </w:p>
        </w:tc>
      </w:tr>
      <w:tr>
        <w:trPr>
          <w:trHeight w:val="1025"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2" w:right="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56,226,757.63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74,066,985.63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52,801,031.57</w:t>
            </w:r>
          </w:p>
        </w:tc>
      </w:tr>
      <w:tr>
        <w:trPr>
          <w:trHeight w:val="102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-38,725,834.44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38,789,259.78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-3,004,624.04</w:t>
            </w:r>
          </w:p>
        </w:tc>
      </w:tr>
      <w:tr>
        <w:trPr>
          <w:trHeight w:val="238" w:hRule="exact"/>
        </w:trPr>
        <w:tc>
          <w:tcPr>
            <w:tcW w:w="26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50" w:hRule="exact"/>
        </w:trPr>
        <w:tc>
          <w:tcPr>
            <w:tcW w:w="2607"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38" w:hRule="exact"/>
        </w:trPr>
        <w:tc>
          <w:tcPr>
            <w:tcW w:w="26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9"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1,224,882,262.42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1,113,335,401.38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933,469,788.64</w:t>
            </w:r>
          </w:p>
        </w:tc>
      </w:tr>
      <w:tr>
        <w:trPr>
          <w:trHeight w:val="55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238,122,676.79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175,304,008.90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61,464,783.02</w:t>
            </w:r>
          </w:p>
        </w:tc>
      </w:tr>
      <w:tr>
        <w:trPr>
          <w:trHeight w:val="102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6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983,777,333.33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935,046,888.42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872,005,005.62</w:t>
            </w:r>
          </w:p>
        </w:tc>
      </w:tr>
      <w:tr>
        <w:trPr>
          <w:trHeight w:val="557" w:hRule="exact"/>
        </w:trPr>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63,500,000.00</w:t>
            </w:r>
          </w:p>
        </w:tc>
      </w:tr>
    </w:tbl>
    <w:p>
      <w:pPr>
        <w:spacing w:line="240" w:lineRule="auto" w:before="5"/>
        <w:rPr>
          <w:rFonts w:ascii="宋体" w:hAnsi="宋体" w:cs="宋体" w:eastAsia="宋体" w:hint="default"/>
          <w:sz w:val="6"/>
          <w:szCs w:val="6"/>
        </w:rPr>
      </w:pPr>
    </w:p>
    <w:p>
      <w:pPr>
        <w:pStyle w:val="BodyText"/>
        <w:spacing w:line="240" w:lineRule="auto"/>
        <w:ind w:left="573" w:right="141"/>
        <w:jc w:val="left"/>
      </w:pPr>
      <w:r>
        <w:rPr/>
        <w:t>主要财务指标</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557"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559"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0.64</w:t>
            </w:r>
          </w:p>
        </w:tc>
      </w:tr>
      <w:tr>
        <w:trPr>
          <w:trHeight w:val="557"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0.64</w:t>
            </w:r>
          </w:p>
        </w:tc>
      </w:tr>
      <w:tr>
        <w:trPr>
          <w:trHeight w:val="1027"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0.58</w:t>
            </w:r>
          </w:p>
        </w:tc>
      </w:tr>
      <w:tr>
        <w:trPr>
          <w:trHeight w:val="557"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w:t>
            </w:r>
          </w:p>
        </w:tc>
      </w:tr>
      <w:tr>
        <w:trPr>
          <w:trHeight w:val="560"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19.02%</w:t>
            </w:r>
          </w:p>
        </w:tc>
      </w:tr>
      <w:tr>
        <w:trPr>
          <w:trHeight w:val="102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r>
      <w:tr>
        <w:trPr>
          <w:trHeight w:val="1027"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17.3%</w:t>
            </w:r>
          </w:p>
        </w:tc>
      </w:tr>
      <w:tr>
        <w:trPr>
          <w:trHeight w:val="102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240" w:hRule="exact"/>
        </w:trPr>
        <w:tc>
          <w:tcPr>
            <w:tcW w:w="26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47" w:hRule="exact"/>
        </w:trPr>
        <w:tc>
          <w:tcPr>
            <w:tcW w:w="2601"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40" w:hRule="exact"/>
        </w:trPr>
        <w:tc>
          <w:tcPr>
            <w:tcW w:w="26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13.73</w:t>
            </w:r>
          </w:p>
        </w:tc>
      </w:tr>
      <w:tr>
        <w:trPr>
          <w:trHeight w:val="559"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w:t>
            </w:r>
          </w:p>
        </w:tc>
      </w:tr>
    </w:tbl>
    <w:p>
      <w:pPr>
        <w:spacing w:line="240" w:lineRule="auto" w:before="12"/>
        <w:rPr>
          <w:rFonts w:ascii="宋体" w:hAnsi="宋体" w:cs="宋体" w:eastAsia="宋体" w:hint="default"/>
          <w:sz w:val="23"/>
          <w:szCs w:val="23"/>
        </w:rPr>
      </w:pPr>
    </w:p>
    <w:p>
      <w:pPr>
        <w:pStyle w:val="Heading4"/>
        <w:spacing w:line="240" w:lineRule="auto" w:before="26"/>
        <w:ind w:right="141"/>
        <w:jc w:val="left"/>
        <w:rPr>
          <w:b w:val="0"/>
          <w:bCs w:val="0"/>
        </w:rPr>
      </w:pPr>
      <w:r>
        <w:rPr/>
        <w:t>二、境内外会计准则下会计数据差异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284"/>
        <w:gridCol w:w="1741"/>
        <w:gridCol w:w="2004"/>
        <w:gridCol w:w="1769"/>
        <w:gridCol w:w="1774"/>
      </w:tblGrid>
      <w:tr>
        <w:trPr>
          <w:trHeight w:val="558" w:hRule="exact"/>
        </w:trPr>
        <w:tc>
          <w:tcPr>
            <w:tcW w:w="2284" w:type="dxa"/>
            <w:vMerge w:val="restart"/>
            <w:tcBorders>
              <w:top w:val="single" w:sz="4" w:space="0" w:color="000000"/>
              <w:left w:val="single" w:sz="4" w:space="0" w:color="000000"/>
              <w:right w:val="single" w:sz="4" w:space="0" w:color="000000"/>
            </w:tcBorders>
            <w:shd w:val="clear" w:color="auto" w:fill="D2D2D2"/>
          </w:tcPr>
          <w:p>
            <w:pPr/>
          </w:p>
        </w:tc>
        <w:tc>
          <w:tcPr>
            <w:tcW w:w="3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558" w:hRule="exact"/>
        </w:trPr>
        <w:tc>
          <w:tcPr>
            <w:tcW w:w="2284" w:type="dxa"/>
            <w:vMerge/>
            <w:tcBorders>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61"/>
        <w:gridCol w:w="1753"/>
        <w:gridCol w:w="2004"/>
        <w:gridCol w:w="1769"/>
        <w:gridCol w:w="1771"/>
      </w:tblGrid>
      <w:tr>
        <w:trPr>
          <w:trHeight w:val="558"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60,160,444.91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75,741,882.80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983,777,333.33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935,046,888.42</w:t>
            </w:r>
          </w:p>
        </w:tc>
      </w:tr>
      <w:tr>
        <w:trPr>
          <w:trHeight w:val="558"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6"/>
        <w:rPr>
          <w:rFonts w:ascii="宋体" w:hAnsi="宋体" w:cs="宋体" w:eastAsia="宋体" w:hint="default"/>
          <w:sz w:val="25"/>
          <w:szCs w:val="25"/>
        </w:rPr>
      </w:pPr>
    </w:p>
    <w:p>
      <w:pPr>
        <w:pStyle w:val="Heading7"/>
        <w:spacing w:line="240" w:lineRule="auto" w:before="37"/>
        <w:ind w:right="0"/>
        <w:jc w:val="left"/>
        <w:rPr>
          <w:b w:val="0"/>
          <w:bCs w:val="0"/>
        </w:rPr>
      </w:pP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9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83"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69"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3"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60,160,444.91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75,741,882.80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983,777,333.33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935,046,888.42</w:t>
            </w:r>
          </w:p>
        </w:tc>
      </w:tr>
      <w:tr>
        <w:trPr>
          <w:trHeight w:val="559"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12"/>
        <w:rPr>
          <w:rFonts w:ascii="宋体" w:hAnsi="宋体" w:cs="宋体" w:eastAsia="宋体" w:hint="default"/>
          <w:sz w:val="23"/>
          <w:szCs w:val="23"/>
        </w:rPr>
      </w:pPr>
    </w:p>
    <w:p>
      <w:pPr>
        <w:pStyle w:val="Heading4"/>
        <w:spacing w:line="240" w:lineRule="auto" w:before="26"/>
        <w:ind w:right="0"/>
        <w:jc w:val="left"/>
        <w:rPr>
          <w:b w:val="0"/>
          <w:bCs w:val="0"/>
        </w:rPr>
      </w:pPr>
      <w:r>
        <w:rPr/>
        <w:t>三、报告期内非经常性损益的项目及金额</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ind w:left="0" w:right="19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-23,972.02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-14,514.67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2,563,124.40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4,417,500.00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2,054,085.00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2,841,700.00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-439,265.70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-70,353.04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15,826.46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308,834.79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312,722.50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3,933,687.28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1,674,897.17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5,093,413.69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left="573" w:right="0"/>
        <w:jc w:val="left"/>
      </w:pPr>
      <w:r>
        <w:rPr/>
        <w:t>公司不存在根据《公开发行证券的公司信息披露解释性公告第</w:t>
      </w:r>
      <w:r>
        <w:rPr>
          <w:spacing w:val="-73"/>
        </w:rPr>
        <w:t> </w:t>
      </w:r>
      <w:r>
        <w:rPr>
          <w:rFonts w:ascii="宋体" w:hAnsi="宋体" w:cs="宋体" w:eastAsia="宋体" w:hint="default"/>
        </w:rPr>
        <w:t>1</w:t>
      </w:r>
      <w:r>
        <w:rPr>
          <w:rFonts w:ascii="宋体" w:hAnsi="宋体" w:cs="宋体" w:eastAsia="宋体" w:hint="default"/>
          <w:spacing w:val="-73"/>
        </w:rPr>
        <w:t> </w:t>
      </w:r>
      <w:r>
        <w:rPr/>
        <w:t>号——非经常性损益》定义界定的非经常性损益项目，</w:t>
      </w:r>
    </w:p>
    <w:p>
      <w:pPr>
        <w:spacing w:line="240" w:lineRule="auto" w:before="10"/>
        <w:rPr>
          <w:rFonts w:ascii="宋体" w:hAnsi="宋体" w:cs="宋体" w:eastAsia="宋体" w:hint="default"/>
          <w:sz w:val="17"/>
          <w:szCs w:val="17"/>
        </w:rPr>
      </w:pPr>
    </w:p>
    <w:p>
      <w:pPr>
        <w:pStyle w:val="BodyText"/>
        <w:spacing w:line="477" w:lineRule="auto" w:before="0"/>
        <w:ind w:right="180"/>
        <w:jc w:val="left"/>
      </w:pPr>
      <w:r>
        <w:rPr>
          <w:spacing w:val="-2"/>
        </w:rPr>
        <w:t>以及把《公开发行证券的公司信息披露解释性公告第</w:t>
      </w:r>
      <w:r>
        <w:rPr>
          <w:spacing w:val="-35"/>
        </w:rPr>
        <w:t> </w:t>
      </w:r>
      <w:r>
        <w:rPr>
          <w:rFonts w:ascii="宋体" w:hAnsi="宋体" w:cs="宋体" w:eastAsia="宋体" w:hint="default"/>
        </w:rPr>
        <w:t>1</w:t>
      </w:r>
      <w:r>
        <w:rPr>
          <w:rFonts w:ascii="宋体" w:hAnsi="宋体" w:cs="宋体" w:eastAsia="宋体" w:hint="default"/>
          <w:spacing w:val="-35"/>
        </w:rPr>
        <w:t> </w:t>
      </w:r>
      <w:r>
        <w:rPr>
          <w:spacing w:val="-2"/>
        </w:rPr>
        <w:t>号——非经常性损益》中列举的非经常性损益项目界定为经常性损益</w:t>
      </w:r>
      <w:r>
        <w:rPr>
          <w:spacing w:val="-88"/>
        </w:rPr>
        <w:t> </w:t>
      </w:r>
      <w:r>
        <w:rPr>
          <w:spacing w:val="-88"/>
        </w:rPr>
      </w:r>
      <w:r>
        <w:rPr/>
        <w:t>的项目。</w:t>
      </w:r>
    </w:p>
    <w:p>
      <w:pPr>
        <w:spacing w:after="0" w:line="477" w:lineRule="auto"/>
        <w:jc w:val="left"/>
        <w:sectPr>
          <w:pgSz w:w="11910" w:h="16840"/>
          <w:pgMar w:header="745" w:footer="980" w:top="1060" w:bottom="1160" w:left="980" w:right="940"/>
        </w:sectPr>
      </w:pPr>
    </w:p>
    <w:p>
      <w:pPr>
        <w:spacing w:line="240" w:lineRule="auto" w:before="9"/>
        <w:rPr>
          <w:rFonts w:ascii="宋体" w:hAnsi="宋体" w:cs="宋体" w:eastAsia="宋体" w:hint="default"/>
          <w:sz w:val="29"/>
          <w:szCs w:val="29"/>
        </w:rPr>
      </w:pPr>
    </w:p>
    <w:p>
      <w:pPr>
        <w:pStyle w:val="Heading4"/>
        <w:spacing w:line="240" w:lineRule="auto" w:before="26"/>
        <w:ind w:right="141"/>
        <w:jc w:val="left"/>
        <w:rPr>
          <w:b w:val="0"/>
          <w:bCs w:val="0"/>
        </w:rPr>
      </w:pPr>
      <w:r>
        <w:rPr/>
        <w:t>四、重大风险提示</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63"/>
        <w:ind w:right="141"/>
        <w:jc w:val="left"/>
        <w:rPr>
          <w:b w:val="0"/>
          <w:bCs w:val="0"/>
        </w:rPr>
      </w:pPr>
      <w:r>
        <w:rPr/>
        <w:t>（</w:t>
      </w:r>
      <w:r>
        <w:rPr>
          <w:rFonts w:ascii="宋体" w:hAnsi="宋体" w:cs="宋体" w:eastAsia="宋体" w:hint="default"/>
        </w:rPr>
        <w:t>1</w:t>
      </w:r>
      <w:r>
        <w:rPr/>
        <w:t>）对单一大客户依赖的风险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2" w:firstLine="480"/>
        <w:jc w:val="both"/>
      </w:pPr>
      <w:r>
        <w:rPr>
          <w:spacing w:val="-1"/>
        </w:rPr>
        <w:t>中国银联控股的银联商务、广州银联支付和深圳银联商务是公司主要客户，</w:t>
      </w:r>
      <w:r>
        <w:rPr>
          <w:rFonts w:ascii="宋体" w:hAnsi="宋体" w:cs="宋体" w:eastAsia="宋体" w:hint="default"/>
          <w:spacing w:val="-1"/>
        </w:rPr>
        <w:t>2010</w:t>
      </w:r>
      <w:r>
        <w:rPr>
          <w:spacing w:val="-1"/>
        </w:rPr>
        <w:t>年至</w:t>
      </w:r>
      <w:r>
        <w:rPr>
          <w:rFonts w:ascii="宋体" w:hAnsi="宋体" w:cs="宋体" w:eastAsia="宋体" w:hint="default"/>
          <w:spacing w:val="-1"/>
        </w:rPr>
        <w:t>2012</w:t>
      </w:r>
      <w:r>
        <w:rPr>
          <w:spacing w:val="-1"/>
        </w:rPr>
        <w:t>年公司对上述客户的销售收</w:t>
      </w:r>
      <w:r>
        <w:rPr/>
        <w:t> </w:t>
      </w:r>
      <w:r>
        <w:rPr>
          <w:spacing w:val="-2"/>
        </w:rPr>
        <w:t>入合计占公司营业收入的比例分别为</w:t>
      </w:r>
      <w:r>
        <w:rPr>
          <w:rFonts w:ascii="宋体" w:hAnsi="宋体" w:cs="宋体" w:eastAsia="宋体" w:hint="default"/>
          <w:spacing w:val="-2"/>
        </w:rPr>
        <w:t>40.76%</w:t>
      </w:r>
      <w:r>
        <w:rPr>
          <w:spacing w:val="-2"/>
        </w:rPr>
        <w:t>、</w:t>
      </w:r>
      <w:r>
        <w:rPr>
          <w:rFonts w:ascii="宋体" w:hAnsi="宋体" w:cs="宋体" w:eastAsia="宋体" w:hint="default"/>
          <w:spacing w:val="-2"/>
        </w:rPr>
        <w:t>44.24%</w:t>
      </w:r>
      <w:r>
        <w:rPr>
          <w:spacing w:val="-2"/>
        </w:rPr>
        <w:t>、</w:t>
      </w:r>
      <w:r>
        <w:rPr>
          <w:rFonts w:ascii="宋体" w:hAnsi="宋体" w:cs="宋体" w:eastAsia="宋体" w:hint="default"/>
          <w:spacing w:val="-2"/>
        </w:rPr>
        <w:t>28.09%</w:t>
      </w:r>
      <w:r>
        <w:rPr>
          <w:spacing w:val="-2"/>
        </w:rPr>
        <w:t>。虽然随着我国电子支付收单服务市场的发展，公司销售客户</w:t>
      </w:r>
      <w:r>
        <w:rPr>
          <w:spacing w:val="-54"/>
        </w:rPr>
        <w:t> </w:t>
      </w:r>
      <w:r>
        <w:rPr>
          <w:spacing w:val="-54"/>
        </w:rPr>
      </w:r>
      <w:r>
        <w:rPr/>
        <w:t>结构已出现多元化趋势，但中国银联体系内客户在公司销售中的占比仍然接近</w:t>
      </w:r>
      <w:r>
        <w:rPr>
          <w:rFonts w:ascii="宋体" w:hAnsi="宋体" w:cs="宋体" w:eastAsia="宋体" w:hint="default"/>
        </w:rPr>
        <w:t>30%</w:t>
      </w:r>
      <w:r>
        <w:rPr/>
        <w:t>，该体系内客户的采购价格继续下降，公 司对其销售金额有可能进一步下降，从而对公司的总体收入产生不利影响。</w:t>
      </w:r>
    </w:p>
    <w:p>
      <w:pPr>
        <w:pStyle w:val="Heading5"/>
        <w:spacing w:line="240" w:lineRule="auto" w:before="151"/>
        <w:ind w:right="141"/>
        <w:jc w:val="left"/>
        <w:rPr>
          <w:b w:val="0"/>
          <w:bCs w:val="0"/>
        </w:rPr>
      </w:pPr>
      <w:r>
        <w:rPr/>
        <w:t>（</w:t>
      </w:r>
      <w:r>
        <w:rPr>
          <w:rFonts w:ascii="宋体" w:hAnsi="宋体" w:cs="宋体" w:eastAsia="宋体" w:hint="default"/>
        </w:rPr>
        <w:t>2</w:t>
      </w:r>
      <w:r>
        <w:rPr/>
        <w:t>）应收账款回收风险</w:t>
      </w:r>
      <w:r>
        <w:rPr>
          <w:b w:val="0"/>
          <w:bCs w:val="0"/>
        </w:rPr>
      </w:r>
    </w:p>
    <w:p>
      <w:pPr>
        <w:spacing w:line="240" w:lineRule="auto" w:before="10"/>
        <w:rPr>
          <w:rFonts w:ascii="宋体" w:hAnsi="宋体" w:cs="宋体" w:eastAsia="宋体" w:hint="default"/>
          <w:b/>
          <w:bCs/>
          <w:sz w:val="25"/>
          <w:szCs w:val="25"/>
        </w:rPr>
      </w:pPr>
    </w:p>
    <w:p>
      <w:pPr>
        <w:pStyle w:val="BodyText"/>
        <w:spacing w:line="477" w:lineRule="auto" w:before="0"/>
        <w:ind w:right="148" w:firstLine="480"/>
        <w:jc w:val="both"/>
      </w:pPr>
      <w:r>
        <w:rPr>
          <w:spacing w:val="-1"/>
        </w:rPr>
        <w:t>随着社会第三方收单服务机构的增加，越来越多的第三方收单服务机构成为公司的客户，</w:t>
      </w:r>
      <w:r>
        <w:rPr>
          <w:rFonts w:ascii="宋体" w:hAnsi="宋体" w:cs="宋体" w:eastAsia="宋体" w:hint="default"/>
          <w:spacing w:val="-1"/>
        </w:rPr>
        <w:t>2012</w:t>
      </w:r>
      <w:r>
        <w:rPr>
          <w:spacing w:val="-1"/>
        </w:rPr>
        <w:t>年，公司向第三方收单</w:t>
      </w:r>
      <w:r>
        <w:rPr/>
        <w:t> 服务机构实现销售收入占比达到总收入的</w:t>
      </w:r>
      <w:r>
        <w:rPr>
          <w:rFonts w:ascii="宋体" w:hAnsi="宋体" w:cs="宋体" w:eastAsia="宋体" w:hint="default"/>
        </w:rPr>
        <w:t>25.05%</w:t>
      </w:r>
      <w:r>
        <w:rPr/>
        <w:t>，同比增长</w:t>
      </w:r>
      <w:r>
        <w:rPr>
          <w:rFonts w:ascii="宋体" w:hAnsi="宋体" w:cs="宋体" w:eastAsia="宋体" w:hint="default"/>
        </w:rPr>
        <w:t>121.2%</w:t>
      </w:r>
      <w:r>
        <w:rPr/>
        <w:t>，其中第三方收单机构应收账款为</w:t>
      </w:r>
      <w:r>
        <w:rPr>
          <w:rFonts w:ascii="宋体" w:hAnsi="宋体" w:cs="宋体" w:eastAsia="宋体" w:hint="default"/>
        </w:rPr>
        <w:t>5182.84</w:t>
      </w:r>
      <w:r>
        <w:rPr/>
        <w:t>万元，占公司 </w:t>
      </w:r>
      <w:r>
        <w:rPr>
          <w:spacing w:val="-2"/>
        </w:rPr>
        <w:t>应收账款的比例为</w:t>
      </w:r>
      <w:r>
        <w:rPr>
          <w:rFonts w:ascii="宋体" w:hAnsi="宋体" w:cs="宋体" w:eastAsia="宋体" w:hint="default"/>
          <w:spacing w:val="-2"/>
        </w:rPr>
        <w:t>26.35%</w:t>
      </w:r>
      <w:r>
        <w:rPr>
          <w:spacing w:val="-2"/>
        </w:rPr>
        <w:t>。第三方收单服务机构的资金有相当部分来自于民间资金，投资人的资金实力往往参差不齐，由此</w:t>
      </w:r>
      <w:r>
        <w:rPr>
          <w:spacing w:val="-60"/>
        </w:rPr>
        <w:t> </w:t>
      </w:r>
      <w:r>
        <w:rPr>
          <w:spacing w:val="-60"/>
        </w:rPr>
      </w:r>
      <w:r>
        <w:rPr/>
        <w:t>导致公司的应收账款回收风险增加。</w:t>
      </w:r>
    </w:p>
    <w:p>
      <w:pPr>
        <w:pStyle w:val="Heading5"/>
        <w:spacing w:line="240" w:lineRule="auto" w:before="151"/>
        <w:ind w:right="141"/>
        <w:jc w:val="left"/>
        <w:rPr>
          <w:b w:val="0"/>
          <w:bCs w:val="0"/>
        </w:rPr>
      </w:pPr>
      <w:r>
        <w:rPr/>
        <w:t>（</w:t>
      </w:r>
      <w:r>
        <w:rPr>
          <w:rFonts w:ascii="宋体" w:hAnsi="宋体" w:cs="宋体" w:eastAsia="宋体" w:hint="default"/>
        </w:rPr>
        <w:t>3</w:t>
      </w:r>
      <w:r>
        <w:rPr/>
        <w:t>）短期内经营业绩下降的风险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1" w:firstLine="480"/>
        <w:jc w:val="both"/>
      </w:pPr>
      <w:r>
        <w:rPr>
          <w:spacing w:val="-1"/>
        </w:rPr>
        <w:t>如果国内目前电子支付受理终端设备供应商之间“同质化竞争”态势不能得到有效的改变，公司的产品价格将面临进</w:t>
      </w:r>
      <w:r>
        <w:rPr/>
        <w:t> </w:t>
      </w:r>
      <w:r>
        <w:rPr>
          <w:spacing w:val="-2"/>
        </w:rPr>
        <w:t>一步下降，公司的毛利率进一步下降，如果公司不能迅速推出利润率高的新产品、寻找到新的市场突破口，以提升公司的综</w:t>
      </w:r>
      <w:r>
        <w:rPr>
          <w:spacing w:val="-65"/>
        </w:rPr>
        <w:t> </w:t>
      </w:r>
      <w:r>
        <w:rPr>
          <w:spacing w:val="-65"/>
        </w:rPr>
      </w:r>
      <w:r>
        <w:rPr/>
        <w:t>合运营能力、提高毛利率水平，则短期内，公司的经营业绩可能面临进一步下降的风险。</w:t>
      </w:r>
    </w:p>
    <w:p>
      <w:pPr>
        <w:pStyle w:val="Heading5"/>
        <w:spacing w:line="240" w:lineRule="auto" w:before="151"/>
        <w:ind w:right="141"/>
        <w:jc w:val="left"/>
        <w:rPr>
          <w:b w:val="0"/>
          <w:bCs w:val="0"/>
        </w:rPr>
      </w:pPr>
      <w:r>
        <w:rPr/>
        <w:t>（</w:t>
      </w:r>
      <w:r>
        <w:rPr>
          <w:rFonts w:ascii="宋体" w:hAnsi="宋体" w:cs="宋体" w:eastAsia="宋体" w:hint="default"/>
        </w:rPr>
        <w:t>4</w:t>
      </w:r>
      <w:r>
        <w:rPr/>
        <w:t>）产品、技术、服务创新性不够的风险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2" w:firstLine="480"/>
        <w:jc w:val="both"/>
      </w:pPr>
      <w:r>
        <w:rPr>
          <w:spacing w:val="-1"/>
        </w:rPr>
        <w:t>如果公司不能及时跟上行业发展的步伐，在产品、技术和服务创新方面不能适应客户和市场的需求，则可能面临公司</w:t>
      </w:r>
      <w:r>
        <w:rPr/>
        <w:t> 产品、技术、服务与市场需求脱节，无法把握住行业发展的机会，造成公司竞争力下降的风险。</w:t>
      </w:r>
    </w:p>
    <w:p>
      <w:pPr>
        <w:pStyle w:val="Heading5"/>
        <w:spacing w:line="240" w:lineRule="auto" w:before="151"/>
        <w:ind w:right="141"/>
        <w:jc w:val="left"/>
        <w:rPr>
          <w:b w:val="0"/>
          <w:bCs w:val="0"/>
        </w:rPr>
      </w:pPr>
      <w:r>
        <w:rPr/>
        <w:t>（</w:t>
      </w:r>
      <w:r>
        <w:rPr>
          <w:rFonts w:ascii="宋体" w:hAnsi="宋体" w:cs="宋体" w:eastAsia="宋体" w:hint="default"/>
        </w:rPr>
        <w:t>5</w:t>
      </w:r>
      <w:r>
        <w:rPr/>
        <w:t>）海外市场开拓低于预期的风险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41" w:firstLine="480"/>
        <w:jc w:val="left"/>
      </w:pPr>
      <w:r>
        <w:rPr/>
        <w:t>自</w:t>
      </w:r>
      <w:r>
        <w:rPr>
          <w:rFonts w:ascii="宋体" w:hAnsi="宋体" w:cs="宋体" w:eastAsia="宋体" w:hint="default"/>
        </w:rPr>
        <w:t>2009</w:t>
      </w:r>
      <w:r>
        <w:rPr/>
        <w:t>年开始，公司即筹备组建了海外业务团队，负责与海外市场的拓展和信息交流。</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28</w:t>
      </w:r>
      <w:r>
        <w:rPr/>
        <w:t>日，公司第二届 </w:t>
      </w:r>
      <w:r>
        <w:rPr>
          <w:spacing w:val="-2"/>
        </w:rPr>
        <w:t>董事会第十二次会议审议通过了公司组织架构调整的议案，正式批准建立了一级部门国际业务部，将拓展国外市场作为市场</w:t>
      </w:r>
      <w:r>
        <w:rPr>
          <w:spacing w:val="-64"/>
        </w:rPr>
        <w:t> </w:t>
      </w:r>
      <w:r>
        <w:rPr>
          <w:spacing w:val="-64"/>
        </w:rPr>
      </w:r>
      <w:r>
        <w:rPr/>
        <w:t>工作的重点，但仍然存在国外市场开拓失败的风险。</w:t>
      </w:r>
    </w:p>
    <w:p>
      <w:pPr>
        <w:spacing w:after="0" w:line="47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1"/>
        <w:spacing w:line="240" w:lineRule="auto" w:before="162"/>
        <w:ind w:right="2422"/>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26"/>
        <w:ind w:right="141"/>
        <w:jc w:val="left"/>
        <w:rPr>
          <w:b w:val="0"/>
          <w:bCs w:val="0"/>
        </w:rPr>
      </w:pPr>
      <w:r>
        <w:rPr/>
        <w:t>一、管理层讨论与分析</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、报告期内总体经营情况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151" w:firstLine="480"/>
        <w:jc w:val="both"/>
      </w:pPr>
      <w:r>
        <w:rPr>
          <w:rFonts w:ascii="宋体" w:hAnsi="宋体" w:cs="宋体" w:eastAsia="宋体" w:hint="default"/>
          <w:spacing w:val="-3"/>
        </w:rPr>
        <w:t>2012</w:t>
      </w:r>
      <w:r>
        <w:rPr>
          <w:spacing w:val="-3"/>
        </w:rPr>
        <w:t>年，是充满机遇与挑战的一年。国内电子支付终端设备市场保持着快速的发展势头，截止</w:t>
      </w:r>
      <w:r>
        <w:rPr>
          <w:rFonts w:ascii="宋体" w:hAnsi="宋体" w:cs="宋体" w:eastAsia="宋体" w:hint="default"/>
          <w:spacing w:val="-3"/>
        </w:rPr>
        <w:t>2012</w:t>
      </w:r>
      <w:r>
        <w:rPr>
          <w:spacing w:val="-3"/>
        </w:rPr>
        <w:t>年底，国内联网</w:t>
      </w:r>
      <w:r>
        <w:rPr>
          <w:rFonts w:ascii="宋体" w:hAnsi="宋体" w:cs="宋体" w:eastAsia="宋体" w:hint="default"/>
          <w:spacing w:val="-3"/>
        </w:rPr>
        <w:t>POS</w:t>
      </w:r>
      <w:r>
        <w:rPr>
          <w:rFonts w:ascii="宋体" w:hAnsi="宋体" w:cs="宋体" w:eastAsia="宋体" w:hint="default"/>
        </w:rPr>
        <w:t> </w:t>
      </w:r>
      <w:r>
        <w:rPr>
          <w:spacing w:val="-2"/>
        </w:rPr>
        <w:t>终端机累计保有量达到</w:t>
      </w:r>
      <w:r>
        <w:rPr>
          <w:rFonts w:ascii="宋体" w:hAnsi="宋体" w:cs="宋体" w:eastAsia="宋体" w:hint="default"/>
          <w:spacing w:val="-2"/>
        </w:rPr>
        <w:t>712</w:t>
      </w:r>
      <w:r>
        <w:rPr>
          <w:spacing w:val="-2"/>
        </w:rPr>
        <w:t>万台，较上年同期增长</w:t>
      </w:r>
      <w:r>
        <w:rPr>
          <w:rFonts w:ascii="宋体" w:hAnsi="宋体" w:cs="宋体" w:eastAsia="宋体" w:hint="default"/>
          <w:spacing w:val="-2"/>
        </w:rPr>
        <w:t>47%</w:t>
      </w:r>
      <w:r>
        <w:rPr>
          <w:spacing w:val="-2"/>
        </w:rPr>
        <w:t>。但新国都乃至国内整个电子支付终端设备供应商都经历了巨大的市场</w:t>
      </w:r>
      <w:r>
        <w:rPr>
          <w:spacing w:val="-61"/>
        </w:rPr>
        <w:t> </w:t>
      </w:r>
      <w:r>
        <w:rPr>
          <w:spacing w:val="-61"/>
        </w:rPr>
      </w:r>
      <w:r>
        <w:rPr>
          <w:spacing w:val="-2"/>
        </w:rPr>
        <w:t>考验，在电子支付终端市场规模进一步扩大的同时，所有设备供应商也面临着成本上升、毛利率下降的考验。</w:t>
      </w:r>
      <w:r>
        <w:rPr>
          <w:rFonts w:ascii="宋体" w:hAnsi="宋体" w:cs="宋体" w:eastAsia="宋体" w:hint="default"/>
          <w:spacing w:val="-2"/>
        </w:rPr>
        <w:t>2012</w:t>
      </w:r>
      <w:r>
        <w:rPr>
          <w:spacing w:val="-2"/>
        </w:rPr>
        <w:t>年，新国</w:t>
      </w:r>
      <w:r>
        <w:rPr>
          <w:spacing w:val="-63"/>
        </w:rPr>
        <w:t> </w:t>
      </w:r>
      <w:r>
        <w:rPr>
          <w:spacing w:val="-63"/>
        </w:rPr>
      </w:r>
      <w:r>
        <w:rPr>
          <w:spacing w:val="-2"/>
        </w:rPr>
        <w:t>都主要通过加强科学化管理体制的建设、优化内部资源配置、加大研发投入、强化风险控制等手段，进一步扩大了自身的市</w:t>
      </w:r>
      <w:r>
        <w:rPr>
          <w:spacing w:val="-64"/>
        </w:rPr>
        <w:t> </w:t>
      </w:r>
      <w:r>
        <w:rPr>
          <w:spacing w:val="-64"/>
        </w:rPr>
      </w:r>
      <w:r>
        <w:rPr>
          <w:spacing w:val="-2"/>
        </w:rPr>
        <w:t>场体量，实现了销售收入的稳定增长，但由于产品价格下降，导致公司的毛利率下降，加上研发费用、管理费用、销售费用</w:t>
      </w:r>
      <w:r>
        <w:rPr>
          <w:spacing w:val="-66"/>
        </w:rPr>
        <w:t> </w:t>
      </w:r>
      <w:r>
        <w:rPr>
          <w:spacing w:val="-66"/>
        </w:rPr>
      </w:r>
      <w:r>
        <w:rPr/>
        <w:t>等支出较大，最终导致公司的净利润有一定幅度下降。</w:t>
      </w:r>
    </w:p>
    <w:p>
      <w:pPr>
        <w:spacing w:line="240" w:lineRule="auto" w:before="4"/>
        <w:rPr>
          <w:rFonts w:ascii="宋体" w:hAnsi="宋体" w:cs="宋体" w:eastAsia="宋体" w:hint="default"/>
          <w:sz w:val="13"/>
          <w:szCs w:val="13"/>
        </w:rPr>
      </w:pPr>
    </w:p>
    <w:p>
      <w:pPr>
        <w:pStyle w:val="BodyText"/>
        <w:spacing w:line="477" w:lineRule="auto" w:before="0"/>
        <w:ind w:right="148" w:firstLine="360"/>
        <w:jc w:val="left"/>
      </w:pPr>
      <w:r>
        <w:rPr/>
        <w:t>报告期内，公司实现营业收入</w:t>
      </w:r>
      <w:r>
        <w:rPr>
          <w:rFonts w:ascii="宋体" w:hAnsi="宋体" w:cs="宋体" w:eastAsia="宋体" w:hint="default"/>
        </w:rPr>
        <w:t>49,507.50</w:t>
      </w:r>
      <w:r>
        <w:rPr>
          <w:rFonts w:ascii="宋体" w:hAnsi="宋体" w:cs="宋体" w:eastAsia="宋体" w:hint="default"/>
          <w:spacing w:val="-4"/>
        </w:rPr>
        <w:t> </w:t>
      </w:r>
      <w:r>
        <w:rPr/>
        <w:t>万元，同比增长</w:t>
      </w:r>
      <w:r>
        <w:rPr>
          <w:rFonts w:ascii="宋体" w:hAnsi="宋体" w:cs="宋体" w:eastAsia="宋体" w:hint="default"/>
        </w:rPr>
        <w:t>44.93%</w:t>
      </w:r>
      <w:r>
        <w:rPr/>
        <w:t>，实现利润总额</w:t>
      </w:r>
      <w:r>
        <w:rPr>
          <w:rFonts w:ascii="宋体" w:hAnsi="宋体" w:cs="宋体" w:eastAsia="宋体" w:hint="default"/>
        </w:rPr>
        <w:t>6811.12</w:t>
      </w:r>
      <w:r>
        <w:rPr/>
        <w:t>万元，同比下降</w:t>
      </w:r>
      <w:r>
        <w:rPr>
          <w:rFonts w:ascii="宋体" w:hAnsi="宋体" w:cs="宋体" w:eastAsia="宋体" w:hint="default"/>
        </w:rPr>
        <w:t>18.89%</w:t>
      </w:r>
      <w:r>
        <w:rPr/>
        <w:t>，实现 净利润</w:t>
      </w:r>
      <w:r>
        <w:rPr>
          <w:rFonts w:ascii="宋体" w:hAnsi="宋体" w:cs="宋体" w:eastAsia="宋体" w:hint="default"/>
        </w:rPr>
        <w:t>6,015.82</w:t>
      </w:r>
      <w:r>
        <w:rPr/>
        <w:t>万元，同比下降</w:t>
      </w:r>
      <w:r>
        <w:rPr>
          <w:rFonts w:ascii="宋体" w:hAnsi="宋体" w:cs="宋体" w:eastAsia="宋体" w:hint="default"/>
        </w:rPr>
        <w:t>20.56%</w:t>
      </w:r>
      <w:r>
        <w:rPr/>
        <w:t>。</w:t>
      </w:r>
    </w:p>
    <w:p>
      <w:pPr>
        <w:pStyle w:val="BodyText"/>
        <w:spacing w:line="477" w:lineRule="auto" w:before="95"/>
        <w:ind w:right="144" w:firstLine="480"/>
        <w:jc w:val="left"/>
      </w:pPr>
      <w:r>
        <w:rPr/>
        <w:t>（</w:t>
      </w:r>
      <w:r>
        <w:rPr>
          <w:rFonts w:ascii="宋体" w:hAnsi="宋体" w:cs="宋体" w:eastAsia="宋体" w:hint="default"/>
        </w:rPr>
        <w:t>1</w:t>
      </w:r>
      <w:r>
        <w:rPr/>
        <w:t>）报告期内，公司围绕电子支付技术和服务创新、产品质量提升与优化，开展研发工作。主要开展的研发项目有 </w:t>
      </w:r>
      <w:r>
        <w:rPr>
          <w:rFonts w:ascii="宋体" w:hAnsi="宋体" w:cs="宋体" w:eastAsia="宋体" w:hint="default"/>
          <w:spacing w:val="-2"/>
        </w:rPr>
        <w:t>PCI3.0</w:t>
      </w:r>
      <w:r>
        <w:rPr>
          <w:spacing w:val="-2"/>
        </w:rPr>
        <w:t>、</w:t>
      </w:r>
      <w:r>
        <w:rPr>
          <w:rFonts w:ascii="宋体" w:hAnsi="宋体" w:cs="宋体" w:eastAsia="宋体" w:hint="default"/>
          <w:spacing w:val="-2"/>
        </w:rPr>
        <w:t>PCI4.0</w:t>
      </w:r>
      <w:r>
        <w:rPr>
          <w:spacing w:val="-2"/>
        </w:rPr>
        <w:t>安全技术的研究与应用项目、安卓平台设计项目、</w:t>
      </w:r>
      <w:r>
        <w:rPr>
          <w:rFonts w:ascii="宋体" w:hAnsi="宋体" w:cs="宋体" w:eastAsia="宋体" w:hint="default"/>
          <w:spacing w:val="-2"/>
        </w:rPr>
        <w:t>G</w:t>
      </w:r>
      <w:r>
        <w:rPr>
          <w:spacing w:val="-2"/>
        </w:rPr>
        <w:t>平台及产品开发、认证项目、</w:t>
      </w:r>
      <w:r>
        <w:rPr>
          <w:rFonts w:ascii="宋体" w:hAnsi="宋体" w:cs="宋体" w:eastAsia="宋体" w:hint="default"/>
          <w:spacing w:val="-2"/>
        </w:rPr>
        <w:t>WINCE</w:t>
      </w:r>
      <w:r>
        <w:rPr>
          <w:spacing w:val="-2"/>
        </w:rPr>
        <w:t>版本多媒体自助设备</w:t>
      </w:r>
      <w:r>
        <w:rPr>
          <w:spacing w:val="-54"/>
        </w:rPr>
        <w:t> </w:t>
      </w:r>
      <w:r>
        <w:rPr>
          <w:spacing w:val="-54"/>
        </w:rPr>
      </w:r>
      <w:r>
        <w:rPr/>
        <w:t>研发项目、基于“云”支付平台应用的金融</w:t>
      </w:r>
      <w:r>
        <w:rPr>
          <w:rFonts w:ascii="宋体" w:hAnsi="宋体" w:cs="宋体" w:eastAsia="宋体" w:hint="default"/>
        </w:rPr>
        <w:t>POS</w:t>
      </w:r>
      <w:r>
        <w:rPr/>
        <w:t>机开发项目，以及对现有成熟产品方案的升级与优化、为客户提供增值应用 软件开发等技术服务。</w:t>
      </w:r>
    </w:p>
    <w:p>
      <w:pPr>
        <w:spacing w:line="240" w:lineRule="auto" w:before="4"/>
        <w:rPr>
          <w:rFonts w:ascii="宋体" w:hAnsi="宋体" w:cs="宋体" w:eastAsia="宋体" w:hint="default"/>
          <w:sz w:val="13"/>
          <w:szCs w:val="13"/>
        </w:rPr>
      </w:pPr>
    </w:p>
    <w:p>
      <w:pPr>
        <w:pStyle w:val="BodyText"/>
        <w:spacing w:line="477" w:lineRule="auto" w:before="0"/>
        <w:ind w:right="141" w:firstLine="480"/>
        <w:jc w:val="left"/>
      </w:pPr>
      <w:r>
        <w:rPr>
          <w:spacing w:val="-1"/>
        </w:rPr>
        <w:t>截至</w:t>
      </w:r>
      <w:r>
        <w:rPr>
          <w:rFonts w:ascii="宋体" w:hAnsi="宋体" w:cs="宋体" w:eastAsia="宋体" w:hint="default"/>
          <w:spacing w:val="-1"/>
        </w:rPr>
        <w:t>2012</w:t>
      </w:r>
      <w:r>
        <w:rPr>
          <w:spacing w:val="-1"/>
        </w:rPr>
        <w:t>年末，公司及其控股子公司合计拥有</w:t>
      </w:r>
      <w:r>
        <w:rPr>
          <w:rFonts w:ascii="宋体" w:hAnsi="宋体" w:cs="宋体" w:eastAsia="宋体" w:hint="default"/>
          <w:spacing w:val="-1"/>
        </w:rPr>
        <w:t>36</w:t>
      </w:r>
      <w:r>
        <w:rPr>
          <w:spacing w:val="-1"/>
        </w:rPr>
        <w:t>项专利，</w:t>
      </w:r>
      <w:r>
        <w:rPr>
          <w:rFonts w:ascii="宋体" w:hAnsi="宋体" w:cs="宋体" w:eastAsia="宋体" w:hint="default"/>
          <w:spacing w:val="-1"/>
        </w:rPr>
        <w:t>69</w:t>
      </w:r>
      <w:r>
        <w:rPr>
          <w:spacing w:val="-1"/>
        </w:rPr>
        <w:t>项计算机软件著作权，</w:t>
      </w:r>
      <w:r>
        <w:rPr>
          <w:rFonts w:ascii="宋体" w:hAnsi="宋体" w:cs="宋体" w:eastAsia="宋体" w:hint="default"/>
          <w:spacing w:val="-1"/>
        </w:rPr>
        <w:t>52</w:t>
      </w:r>
      <w:r>
        <w:rPr>
          <w:spacing w:val="-1"/>
        </w:rPr>
        <w:t>项软件产品，实施增值应用开发</w:t>
      </w:r>
      <w:r>
        <w:rPr/>
        <w:t> 项目</w:t>
      </w:r>
      <w:r>
        <w:rPr>
          <w:rFonts w:ascii="宋体" w:hAnsi="宋体" w:cs="宋体" w:eastAsia="宋体" w:hint="default"/>
        </w:rPr>
        <w:t>1200</w:t>
      </w:r>
      <w:r>
        <w:rPr/>
        <w:t>多个。</w:t>
      </w:r>
    </w:p>
    <w:p>
      <w:pPr>
        <w:spacing w:line="240" w:lineRule="auto" w:before="4"/>
        <w:rPr>
          <w:rFonts w:ascii="宋体" w:hAnsi="宋体" w:cs="宋体" w:eastAsia="宋体" w:hint="default"/>
          <w:sz w:val="13"/>
          <w:szCs w:val="13"/>
        </w:rPr>
      </w:pPr>
    </w:p>
    <w:p>
      <w:pPr>
        <w:pStyle w:val="BodyText"/>
        <w:spacing w:line="477" w:lineRule="auto" w:before="0"/>
        <w:ind w:right="148" w:firstLine="480"/>
        <w:jc w:val="both"/>
      </w:pPr>
      <w:r>
        <w:rPr>
          <w:spacing w:val="-1"/>
        </w:rPr>
        <w:t>（</w:t>
      </w:r>
      <w:r>
        <w:rPr>
          <w:rFonts w:ascii="宋体" w:hAnsi="宋体" w:cs="宋体" w:eastAsia="宋体" w:hint="default"/>
          <w:spacing w:val="-1"/>
        </w:rPr>
        <w:t>2</w:t>
      </w:r>
      <w:r>
        <w:rPr>
          <w:spacing w:val="-1"/>
        </w:rPr>
        <w:t>）在市场拓展方面，公司继续加大对商业银行的开拓力度，报告期，随着公司中标中国银行的金融</w:t>
      </w:r>
      <w:r>
        <w:rPr>
          <w:rFonts w:ascii="宋体" w:hAnsi="宋体" w:cs="宋体" w:eastAsia="宋体" w:hint="default"/>
          <w:spacing w:val="-1"/>
        </w:rPr>
        <w:t>POS</w:t>
      </w:r>
      <w:r>
        <w:rPr>
          <w:spacing w:val="-1"/>
        </w:rPr>
        <w:t>设备采购项</w:t>
      </w:r>
      <w:r>
        <w:rPr/>
        <w:t> </w:t>
      </w:r>
      <w:r>
        <w:rPr>
          <w:spacing w:val="-2"/>
        </w:rPr>
        <w:t>目，公司全年在商业银行实现营业收入</w:t>
      </w:r>
      <w:r>
        <w:rPr>
          <w:rFonts w:ascii="宋体" w:hAnsi="宋体" w:cs="宋体" w:eastAsia="宋体" w:hint="default"/>
          <w:spacing w:val="-2"/>
        </w:rPr>
        <w:t>22</w:t>
      </w:r>
      <w:r>
        <w:rPr>
          <w:spacing w:val="-2"/>
        </w:rPr>
        <w:t>，</w:t>
      </w:r>
      <w:r>
        <w:rPr>
          <w:rFonts w:ascii="宋体" w:hAnsi="宋体" w:cs="宋体" w:eastAsia="宋体" w:hint="default"/>
          <w:spacing w:val="-2"/>
        </w:rPr>
        <w:t>594.53</w:t>
      </w:r>
      <w:r>
        <w:rPr>
          <w:spacing w:val="-2"/>
        </w:rPr>
        <w:t>万元，较去年同期增长</w:t>
      </w:r>
      <w:r>
        <w:rPr>
          <w:rFonts w:ascii="宋体" w:hAnsi="宋体" w:cs="宋体" w:eastAsia="宋体" w:hint="default"/>
          <w:spacing w:val="-2"/>
        </w:rPr>
        <w:t>93.85%</w:t>
      </w:r>
      <w:r>
        <w:rPr>
          <w:spacing w:val="-2"/>
        </w:rPr>
        <w:t>，占公司营业收入的比例为</w:t>
      </w:r>
      <w:r>
        <w:rPr>
          <w:rFonts w:ascii="宋体" w:hAnsi="宋体" w:cs="宋体" w:eastAsia="宋体" w:hint="default"/>
          <w:spacing w:val="-2"/>
        </w:rPr>
        <w:t>45.64%</w:t>
      </w:r>
      <w:r>
        <w:rPr>
          <w:spacing w:val="-2"/>
        </w:rPr>
        <w:t>，占比较</w:t>
      </w:r>
      <w:r>
        <w:rPr>
          <w:spacing w:val="-57"/>
        </w:rPr>
        <w:t> </w:t>
      </w:r>
      <w:r>
        <w:rPr>
          <w:spacing w:val="-57"/>
        </w:rPr>
      </w:r>
      <w:r>
        <w:rPr/>
        <w:t>去年同期提高了</w:t>
      </w:r>
      <w:r>
        <w:rPr>
          <w:rFonts w:ascii="宋体" w:hAnsi="宋体" w:cs="宋体" w:eastAsia="宋体" w:hint="default"/>
        </w:rPr>
        <w:t>11.52</w:t>
      </w:r>
      <w:r>
        <w:rPr/>
        <w:t>个百分点。</w:t>
      </w:r>
    </w:p>
    <w:p>
      <w:pPr>
        <w:spacing w:line="240" w:lineRule="auto" w:before="5"/>
        <w:rPr>
          <w:rFonts w:ascii="宋体" w:hAnsi="宋体" w:cs="宋体" w:eastAsia="宋体" w:hint="default"/>
          <w:sz w:val="13"/>
          <w:szCs w:val="13"/>
        </w:rPr>
      </w:pPr>
    </w:p>
    <w:p>
      <w:pPr>
        <w:pStyle w:val="BodyText"/>
        <w:spacing w:line="477" w:lineRule="auto" w:before="0"/>
        <w:ind w:right="141" w:firstLine="480"/>
        <w:jc w:val="left"/>
      </w:pPr>
      <w:r>
        <w:rPr/>
        <w:t>在银联体系，公司实现的销售收入为</w:t>
      </w:r>
      <w:r>
        <w:rPr>
          <w:rFonts w:ascii="宋体" w:hAnsi="宋体" w:cs="宋体" w:eastAsia="宋体" w:hint="default"/>
        </w:rPr>
        <w:t>13,907.31</w:t>
      </w:r>
      <w:r>
        <w:rPr/>
        <w:t>万元，占公司营业收入的比例为</w:t>
      </w:r>
      <w:r>
        <w:rPr>
          <w:rFonts w:ascii="宋体" w:hAnsi="宋体" w:cs="宋体" w:eastAsia="宋体" w:hint="default"/>
        </w:rPr>
        <w:t>28.09%</w:t>
      </w:r>
      <w:r>
        <w:rPr/>
        <w:t>，同比降低了</w:t>
      </w:r>
      <w:r>
        <w:rPr>
          <w:rFonts w:ascii="宋体" w:hAnsi="宋体" w:cs="宋体" w:eastAsia="宋体" w:hint="default"/>
        </w:rPr>
        <w:t>16</w:t>
      </w:r>
      <w:r>
        <w:rPr/>
        <w:t>个百分点，这 </w:t>
      </w:r>
      <w:r>
        <w:rPr>
          <w:spacing w:val="-2"/>
        </w:rPr>
        <w:t>主要是因为：报告期内，各主要电子支付终端供应商在银联体系的价格竞争加剧，公司的利润被严重挤压，公司把市场重心</w:t>
      </w:r>
      <w:r>
        <w:rPr>
          <w:spacing w:val="-62"/>
        </w:rPr>
        <w:t> </w:t>
      </w:r>
      <w:r>
        <w:rPr>
          <w:spacing w:val="-62"/>
        </w:rPr>
      </w:r>
      <w:r>
        <w:rPr/>
        <w:t>转向商业银行和第三方收单服务机构市场。</w:t>
      </w:r>
    </w:p>
    <w:p>
      <w:pPr>
        <w:spacing w:line="240" w:lineRule="auto" w:before="4"/>
        <w:rPr>
          <w:rFonts w:ascii="宋体" w:hAnsi="宋体" w:cs="宋体" w:eastAsia="宋体" w:hint="default"/>
          <w:sz w:val="13"/>
          <w:szCs w:val="13"/>
        </w:rPr>
      </w:pPr>
    </w:p>
    <w:p>
      <w:pPr>
        <w:pStyle w:val="BodyText"/>
        <w:spacing w:line="477" w:lineRule="auto" w:before="0"/>
        <w:ind w:right="204" w:firstLine="480"/>
        <w:jc w:val="left"/>
      </w:pPr>
      <w:r>
        <w:rPr/>
        <w:t>报告期内，公司向第三方收单服务机构及企业实现销售收入</w:t>
      </w:r>
      <w:r>
        <w:rPr>
          <w:rFonts w:ascii="宋体" w:hAnsi="宋体" w:cs="宋体" w:eastAsia="宋体" w:hint="default"/>
        </w:rPr>
        <w:t>12,402.05</w:t>
      </w:r>
      <w:r>
        <w:rPr/>
        <w:t>万元，较去年同期增长</w:t>
      </w:r>
      <w:r>
        <w:rPr>
          <w:rFonts w:ascii="宋体" w:hAnsi="宋体" w:cs="宋体" w:eastAsia="宋体" w:hint="default"/>
        </w:rPr>
        <w:t>121.2%</w:t>
      </w:r>
      <w:r>
        <w:rPr/>
        <w:t>，占公司营业收 入的比例为</w:t>
      </w:r>
      <w:r>
        <w:rPr>
          <w:rFonts w:ascii="宋体" w:hAnsi="宋体" w:cs="宋体" w:eastAsia="宋体" w:hint="default"/>
        </w:rPr>
        <w:t>25.05%</w:t>
      </w:r>
      <w:r>
        <w:rPr/>
        <w:t>，占比较去年同期提高了</w:t>
      </w:r>
      <w:r>
        <w:rPr>
          <w:rFonts w:ascii="宋体" w:hAnsi="宋体" w:cs="宋体" w:eastAsia="宋体" w:hint="default"/>
        </w:rPr>
        <w:t>8.64</w:t>
      </w:r>
      <w:r>
        <w:rPr/>
        <w:t>个百分点。</w:t>
      </w:r>
    </w:p>
    <w:p>
      <w:pPr>
        <w:spacing w:line="240" w:lineRule="auto" w:before="4"/>
        <w:rPr>
          <w:rFonts w:ascii="宋体" w:hAnsi="宋体" w:cs="宋体" w:eastAsia="宋体" w:hint="default"/>
          <w:sz w:val="13"/>
          <w:szCs w:val="13"/>
        </w:rPr>
      </w:pPr>
    </w:p>
    <w:p>
      <w:pPr>
        <w:pStyle w:val="BodyText"/>
        <w:spacing w:line="240" w:lineRule="auto" w:before="0"/>
        <w:ind w:left="633" w:right="0"/>
        <w:jc w:val="left"/>
      </w:pPr>
      <w:r>
        <w:rPr/>
        <w:t>在海外市场方面，</w:t>
      </w:r>
      <w:r>
        <w:rPr>
          <w:rFonts w:ascii="宋体" w:hAnsi="宋体" w:cs="宋体" w:eastAsia="宋体" w:hint="default"/>
        </w:rPr>
        <w:t>2012</w:t>
      </w:r>
      <w:r>
        <w:rPr/>
        <w:t>年</w:t>
      </w:r>
      <w:r>
        <w:rPr>
          <w:rFonts w:ascii="宋体" w:hAnsi="宋体" w:cs="宋体" w:eastAsia="宋体" w:hint="default"/>
        </w:rPr>
        <w:t>11</w:t>
      </w:r>
      <w:r>
        <w:rPr/>
        <w:t>月，公司全系列产品参与了由全球最大的电子支付行业协会“智能卡与支付产业协会”在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88"/>
        <w:jc w:val="both"/>
      </w:pPr>
      <w:r>
        <w:rPr>
          <w:spacing w:val="-1"/>
        </w:rPr>
        <w:t>法国巴黎举办的“Cartes</w:t>
      </w:r>
      <w:r>
        <w:rPr>
          <w:spacing w:val="-25"/>
        </w:rPr>
        <w:t> </w:t>
      </w:r>
      <w:r>
        <w:rPr>
          <w:spacing w:val="-1"/>
        </w:rPr>
        <w:t>and</w:t>
      </w:r>
      <w:r>
        <w:rPr>
          <w:spacing w:val="-22"/>
        </w:rPr>
        <w:t> </w:t>
      </w:r>
      <w:r>
        <w:rPr>
          <w:spacing w:val="-6"/>
        </w:rPr>
        <w:t>Payment”智能卡与支付产业展览会，取得了较好的市场宣传效果。公司通过与美国</w:t>
      </w:r>
      <w:r>
        <w:rPr>
          <w:rFonts w:ascii="宋体" w:hAnsi="宋体" w:cs="宋体" w:eastAsia="宋体" w:hint="default"/>
          <w:spacing w:val="-6"/>
        </w:rPr>
        <w:t>Exadigm,Inc</w:t>
      </w:r>
      <w:r>
        <w:rPr>
          <w:rFonts w:ascii="宋体" w:hAnsi="宋体" w:cs="宋体" w:eastAsia="宋体" w:hint="default"/>
          <w:spacing w:val="-81"/>
        </w:rPr>
        <w:t> </w:t>
      </w:r>
      <w:r>
        <w:rPr>
          <w:rFonts w:ascii="宋体" w:hAnsi="宋体" w:cs="宋体" w:eastAsia="宋体" w:hint="default"/>
          <w:spacing w:val="-81"/>
        </w:rPr>
      </w:r>
      <w:r>
        <w:rPr>
          <w:spacing w:val="-2"/>
        </w:rPr>
        <w:t>开展股权和期权合作项目，加强了双方在研发、市场、认证等各方面资源的整合。公司与中东地区、东南亚地区客户保持积</w:t>
      </w:r>
      <w:r>
        <w:rPr>
          <w:spacing w:val="-67"/>
        </w:rPr>
        <w:t> </w:t>
      </w:r>
      <w:r>
        <w:rPr>
          <w:spacing w:val="-67"/>
        </w:rPr>
      </w:r>
      <w:r>
        <w:rPr>
          <w:spacing w:val="-2"/>
        </w:rPr>
        <w:t>极市场接触，进一步了解客户需求与信息，为产品实现批量销售做好积极准备。公司已经组建了国际业务部，专门负责海外</w:t>
      </w:r>
      <w:r>
        <w:rPr>
          <w:spacing w:val="-65"/>
        </w:rPr>
        <w:t> </w:t>
      </w:r>
      <w:r>
        <w:rPr>
          <w:spacing w:val="-65"/>
        </w:rPr>
      </w:r>
      <w:r>
        <w:rPr/>
        <w:t>市场的拓展。</w:t>
      </w:r>
    </w:p>
    <w:p>
      <w:pPr>
        <w:spacing w:line="240" w:lineRule="auto" w:before="4"/>
        <w:rPr>
          <w:rFonts w:ascii="宋体" w:hAnsi="宋体" w:cs="宋体" w:eastAsia="宋体" w:hint="default"/>
          <w:sz w:val="13"/>
          <w:szCs w:val="13"/>
        </w:rPr>
      </w:pPr>
    </w:p>
    <w:p>
      <w:pPr>
        <w:pStyle w:val="BodyText"/>
        <w:spacing w:line="477" w:lineRule="auto" w:before="0"/>
        <w:ind w:right="188" w:firstLine="360"/>
        <w:jc w:val="both"/>
      </w:pPr>
      <w:r>
        <w:rPr>
          <w:spacing w:val="-2"/>
        </w:rPr>
        <w:t>（</w:t>
      </w:r>
      <w:r>
        <w:rPr>
          <w:rFonts w:ascii="宋体" w:hAnsi="宋体" w:cs="宋体" w:eastAsia="宋体" w:hint="default"/>
          <w:spacing w:val="-2"/>
        </w:rPr>
        <w:t>3</w:t>
      </w:r>
      <w:r>
        <w:rPr>
          <w:spacing w:val="-2"/>
        </w:rPr>
        <w:t>）推行科学化、精细化管理，优化企业管理流程，提升企业资源的使用效率。报告期内，公司通过引入</w:t>
      </w:r>
      <w:r>
        <w:rPr>
          <w:rFonts w:ascii="宋体" w:hAnsi="宋体" w:cs="宋体" w:eastAsia="宋体" w:hint="default"/>
          <w:spacing w:val="-2"/>
        </w:rPr>
        <w:t>IBM</w:t>
      </w:r>
      <w:r>
        <w:rPr>
          <w:spacing w:val="-2"/>
        </w:rPr>
        <w:t>企业咨询</w:t>
      </w:r>
      <w:r>
        <w:rPr/>
        <w:t> </w:t>
      </w:r>
      <w:r>
        <w:rPr>
          <w:spacing w:val="-2"/>
        </w:rPr>
        <w:t>团队，以产品创新为切入点，围绕市场需求传导、产品研发、质量控制，开展产品创新管理流程改造，对公司核心业务部门</w:t>
      </w:r>
      <w:r>
        <w:rPr>
          <w:spacing w:val="-68"/>
        </w:rPr>
        <w:t> </w:t>
      </w:r>
      <w:r>
        <w:rPr>
          <w:spacing w:val="-68"/>
        </w:rPr>
      </w:r>
      <w:r>
        <w:rPr>
          <w:spacing w:val="-2"/>
        </w:rPr>
        <w:t>组织架构、业务流程进行了全面的梳理和改造。同时，随着公司业务规模的扩张，公司全面加强了风险控制力度，尤其是对</w:t>
      </w:r>
      <w:r>
        <w:rPr>
          <w:spacing w:val="-66"/>
        </w:rPr>
        <w:t> </w:t>
      </w:r>
      <w:r>
        <w:rPr>
          <w:spacing w:val="-66"/>
        </w:rPr>
      </w:r>
      <w:r>
        <w:rPr/>
        <w:t>库存、应收账款、成本等方面加强管控，建立客户信用评价体制，对客户的回款风险进行提前预防。</w:t>
      </w:r>
    </w:p>
    <w:p>
      <w:pPr>
        <w:spacing w:line="240" w:lineRule="auto" w:before="5"/>
        <w:rPr>
          <w:rFonts w:ascii="宋体" w:hAnsi="宋体" w:cs="宋体" w:eastAsia="宋体" w:hint="default"/>
          <w:sz w:val="13"/>
          <w:szCs w:val="13"/>
        </w:rPr>
      </w:pPr>
    </w:p>
    <w:p>
      <w:pPr>
        <w:pStyle w:val="BodyText"/>
        <w:spacing w:line="477" w:lineRule="auto" w:before="0"/>
        <w:ind w:right="193" w:firstLine="360"/>
        <w:jc w:val="both"/>
      </w:pPr>
      <w:r>
        <w:rPr/>
        <w:t>（</w:t>
      </w:r>
      <w:r>
        <w:rPr>
          <w:rFonts w:ascii="宋体" w:hAnsi="宋体" w:cs="宋体" w:eastAsia="宋体" w:hint="default"/>
        </w:rPr>
        <w:t>4</w:t>
      </w:r>
      <w:r>
        <w:rPr/>
        <w:t>）加大产能建设，为满足不断增长的出机量，公司在</w:t>
      </w:r>
      <w:r>
        <w:rPr>
          <w:rFonts w:ascii="宋体" w:hAnsi="宋体" w:cs="宋体" w:eastAsia="宋体" w:hint="default"/>
        </w:rPr>
        <w:t>2012</w:t>
      </w:r>
      <w:r>
        <w:rPr/>
        <w:t>年新建了总面积达</w:t>
      </w:r>
      <w:r>
        <w:rPr>
          <w:rFonts w:ascii="宋体" w:hAnsi="宋体" w:cs="宋体" w:eastAsia="宋体" w:hint="default"/>
        </w:rPr>
        <w:t>2.4</w:t>
      </w:r>
      <w:r>
        <w:rPr/>
        <w:t>万平米的工厂，增加了</w:t>
      </w:r>
      <w:r>
        <w:rPr>
          <w:rFonts w:ascii="宋体" w:hAnsi="宋体" w:cs="宋体" w:eastAsia="宋体" w:hint="default"/>
        </w:rPr>
        <w:t>6</w:t>
      </w:r>
      <w:r>
        <w:rPr/>
        <w:t>条自动化组 </w:t>
      </w:r>
      <w:r>
        <w:rPr>
          <w:spacing w:val="-2"/>
        </w:rPr>
        <w:t>装、包装流水线，增加建立进料检验实验室、产品高温老化试验室，优化生产控制流程，在提高产量的同时，有效保障了产</w:t>
      </w:r>
      <w:r>
        <w:rPr>
          <w:spacing w:val="-68"/>
        </w:rPr>
        <w:t> </w:t>
      </w:r>
      <w:r>
        <w:rPr>
          <w:spacing w:val="-68"/>
        </w:rPr>
      </w:r>
      <w:r>
        <w:rPr/>
        <w:t>品质量。</w:t>
      </w:r>
    </w:p>
    <w:p>
      <w:pPr>
        <w:spacing w:line="240" w:lineRule="auto" w:before="4"/>
        <w:rPr>
          <w:rFonts w:ascii="宋体" w:hAnsi="宋体" w:cs="宋体" w:eastAsia="宋体" w:hint="default"/>
          <w:sz w:val="13"/>
          <w:szCs w:val="13"/>
        </w:rPr>
      </w:pPr>
    </w:p>
    <w:p>
      <w:pPr>
        <w:pStyle w:val="BodyText"/>
        <w:spacing w:line="477" w:lineRule="auto" w:before="0"/>
        <w:ind w:right="199" w:firstLine="360"/>
        <w:jc w:val="both"/>
      </w:pPr>
      <w:r>
        <w:rPr/>
        <w:t>（</w:t>
      </w:r>
      <w:r>
        <w:rPr>
          <w:rFonts w:ascii="宋体" w:hAnsi="宋体" w:cs="宋体" w:eastAsia="宋体" w:hint="default"/>
        </w:rPr>
        <w:t>5</w:t>
      </w:r>
      <w:r>
        <w:rPr/>
        <w:t>）</w:t>
      </w:r>
      <w:r>
        <w:rPr>
          <w:rFonts w:ascii="宋体" w:hAnsi="宋体" w:cs="宋体" w:eastAsia="宋体" w:hint="default"/>
        </w:rPr>
        <w:t>2012</w:t>
      </w:r>
      <w:r>
        <w:rPr/>
        <w:t>年，公司主要从提高人均效率、优化各部门人力资源配置的角度开展人力资源工作，加强人才培养和团队建 设工作，梳理岗位职能，努力提高人均效能，加强企业文化的引导和宣传，进一步提升团队凝聚力。</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r>
        <w:rPr/>
        <w:t>二、报告期内主要经营情况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0"/>
        <w:jc w:val="both"/>
        <w:rPr>
          <w:b w:val="0"/>
          <w:bCs w:val="0"/>
        </w:rPr>
      </w:pPr>
      <w:r>
        <w:rPr>
          <w:rFonts w:ascii="宋体" w:hAnsi="宋体" w:cs="宋体" w:eastAsia="宋体" w:hint="default"/>
        </w:rPr>
        <w:t>1</w:t>
      </w:r>
      <w:r>
        <w:rPr/>
        <w:t>、主营业务分析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7"/>
        <w:spacing w:line="240" w:lineRule="auto"/>
        <w:ind w:right="0"/>
        <w:jc w:val="both"/>
        <w:rPr>
          <w:b w:val="0"/>
          <w:bCs w:val="0"/>
        </w:rPr>
      </w:pPr>
      <w:r>
        <w:rPr/>
        <w:t>（</w:t>
      </w:r>
      <w:r>
        <w:rPr>
          <w:rFonts w:ascii="宋体" w:hAnsi="宋体" w:cs="宋体" w:eastAsia="宋体" w:hint="default"/>
        </w:rPr>
        <w:t>1</w:t>
      </w:r>
      <w:r>
        <w:rPr/>
        <w:t>）收入</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0" w:firstLine="480"/>
        <w:jc w:val="left"/>
      </w:pPr>
      <w:r>
        <w:rPr/>
        <w:t>公司一直专注于电子支付技术的发展，以金融</w:t>
      </w:r>
      <w:r>
        <w:rPr>
          <w:rFonts w:ascii="宋体" w:hAnsi="宋体" w:cs="宋体" w:eastAsia="宋体" w:hint="default"/>
        </w:rPr>
        <w:t>POS</w:t>
      </w:r>
      <w:r>
        <w:rPr/>
        <w:t>终端软硬件的设计和研发为核心，从事金融</w:t>
      </w:r>
      <w:r>
        <w:rPr>
          <w:rFonts w:ascii="宋体" w:hAnsi="宋体" w:cs="宋体" w:eastAsia="宋体" w:hint="default"/>
        </w:rPr>
        <w:t>POS</w:t>
      </w:r>
      <w:r>
        <w:rPr/>
        <w:t>机为主的电子支付受 </w:t>
      </w:r>
      <w:r>
        <w:rPr>
          <w:spacing w:val="-2"/>
        </w:rPr>
        <w:t>理终端设备软硬件的生产、研发、销售和租赁，同时以金融</w:t>
      </w:r>
      <w:r>
        <w:rPr>
          <w:rFonts w:ascii="宋体" w:hAnsi="宋体" w:cs="宋体" w:eastAsia="宋体" w:hint="default"/>
          <w:spacing w:val="-2"/>
        </w:rPr>
        <w:t>POS</w:t>
      </w:r>
      <w:r>
        <w:rPr>
          <w:spacing w:val="-2"/>
        </w:rPr>
        <w:t>机等电子支付受理终端设备为载体，向商业银行、中国银联、</w:t>
      </w:r>
      <w:r>
        <w:rPr>
          <w:spacing w:val="-63"/>
        </w:rPr>
        <w:t> </w:t>
      </w:r>
      <w:r>
        <w:rPr>
          <w:spacing w:val="-63"/>
        </w:rPr>
      </w:r>
      <w:r>
        <w:rPr/>
        <w:t>社会第三方收单服务机构提供电子支付技术综合解决方案。报告期内公司实现总收入</w:t>
      </w:r>
      <w:r>
        <w:rPr>
          <w:rFonts w:ascii="宋体" w:hAnsi="宋体" w:cs="宋体" w:eastAsia="宋体" w:hint="default"/>
        </w:rPr>
        <w:t>495,075,044.67</w:t>
      </w:r>
      <w:r>
        <w:rPr/>
        <w:t>元，较上年同期增长</w:t>
      </w:r>
      <w:r>
        <w:rPr>
          <w:spacing w:val="-7"/>
        </w:rPr>
        <w:t> </w:t>
      </w:r>
      <w:r>
        <w:rPr>
          <w:rFonts w:ascii="宋体" w:hAnsi="宋体" w:cs="宋体" w:eastAsia="宋体" w:hint="default"/>
        </w:rPr>
        <w:t>44.93%</w:t>
      </w:r>
      <w:r>
        <w:rPr/>
        <w:t>。收入的增长主要是来源于国内电子支付行业的快速发展，对电子支付终端需求的持续旺盛所带来的商机。</w:t>
      </w:r>
    </w:p>
    <w:p>
      <w:pPr>
        <w:pStyle w:val="BodyText"/>
        <w:spacing w:line="240" w:lineRule="auto" w:before="95"/>
        <w:ind w:left="573" w:right="0"/>
        <w:jc w:val="left"/>
      </w:pPr>
      <w:r>
        <w:rPr/>
        <w:t>公司实物销售收入是否大于劳务收入</w:t>
      </w:r>
    </w:p>
    <w:p>
      <w:pPr>
        <w:spacing w:line="240" w:lineRule="auto" w:before="9"/>
        <w:rPr>
          <w:rFonts w:ascii="宋体" w:hAnsi="宋体" w:cs="宋体" w:eastAsia="宋体" w:hint="default"/>
          <w:sz w:val="20"/>
          <w:szCs w:val="20"/>
        </w:rPr>
      </w:pPr>
    </w:p>
    <w:p>
      <w:pPr>
        <w:pStyle w:val="BodyText"/>
        <w:spacing w:line="240" w:lineRule="auto" w:before="0"/>
        <w:ind w:left="573" w:right="0"/>
        <w:jc w:val="left"/>
      </w:pPr>
      <w:r>
        <w:rPr/>
        <w:t>√ 是 □</w:t>
      </w:r>
      <w:r>
        <w:rPr>
          <w:spacing w:val="3"/>
        </w:rPr>
        <w:t> </w:t>
      </w:r>
      <w:r>
        <w:rPr/>
        <w:t>否</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557"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9"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银行卡电子支付终端</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87.93%</w:t>
            </w:r>
          </w:p>
        </w:tc>
      </w:tr>
      <w:tr>
        <w:trPr>
          <w:trHeight w:val="559"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8"/>
      </w:tblGrid>
      <w:tr>
        <w:trPr>
          <w:trHeight w:val="560" w:hRule="exact"/>
        </w:trPr>
        <w:tc>
          <w:tcPr>
            <w:tcW w:w="1928" w:type="dxa"/>
            <w:tcBorders>
              <w:top w:val="single" w:sz="4" w:space="0" w:color="000000"/>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141,715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24.2%</w:t>
            </w:r>
          </w:p>
        </w:tc>
      </w:tr>
    </w:tbl>
    <w:p>
      <w:pPr>
        <w:spacing w:line="240" w:lineRule="auto" w:before="5"/>
        <w:rPr>
          <w:rFonts w:ascii="宋体" w:hAnsi="宋体" w:cs="宋体" w:eastAsia="宋体" w:hint="default"/>
          <w:sz w:val="6"/>
          <w:szCs w:val="6"/>
        </w:rPr>
      </w:pPr>
    </w:p>
    <w:p>
      <w:pPr>
        <w:pStyle w:val="BodyText"/>
        <w:spacing w:line="240" w:lineRule="auto"/>
        <w:ind w:left="573" w:right="141"/>
        <w:jc w:val="left"/>
      </w:pPr>
      <w:r>
        <w:rPr/>
        <w:t>相关数据同比发生变动</w:t>
      </w:r>
      <w:r>
        <w:rPr>
          <w:spacing w:val="-48"/>
        </w:rPr>
        <w:t> </w:t>
      </w:r>
      <w:r>
        <w:rPr>
          <w:rFonts w:ascii="宋体" w:hAnsi="宋体" w:cs="宋体" w:eastAsia="宋体" w:hint="default"/>
        </w:rPr>
        <w:t>30%</w:t>
      </w:r>
      <w:r>
        <w:rPr/>
        <w:t>以上的原因说明</w:t>
      </w:r>
    </w:p>
    <w:p>
      <w:pPr>
        <w:spacing w:line="240" w:lineRule="auto" w:before="9"/>
        <w:rPr>
          <w:rFonts w:ascii="宋体" w:hAnsi="宋体" w:cs="宋体" w:eastAsia="宋体" w:hint="default"/>
          <w:sz w:val="20"/>
          <w:szCs w:val="20"/>
        </w:rPr>
      </w:pPr>
    </w:p>
    <w:p>
      <w:pPr>
        <w:pStyle w:val="BodyText"/>
        <w:spacing w:line="518" w:lineRule="auto" w:before="0"/>
        <w:ind w:left="573" w:right="173"/>
        <w:jc w:val="left"/>
      </w:pPr>
      <w:r>
        <w:rPr/>
        <w:t>√ 适用 □</w:t>
      </w:r>
      <w:r>
        <w:rPr>
          <w:spacing w:val="3"/>
        </w:rPr>
        <w:t> </w:t>
      </w:r>
      <w:r>
        <w:rPr/>
        <w:t>不适用</w:t>
      </w:r>
      <w:r>
        <w:rPr/>
        <w:t> 报告期销售量、生产量及库存量较上年同期均有较大幅度增长，主要是因为国内电子支付行业的快速发展，电子支付</w:t>
      </w:r>
    </w:p>
    <w:p>
      <w:pPr>
        <w:pStyle w:val="BodyText"/>
        <w:spacing w:line="477" w:lineRule="auto" w:before="23"/>
        <w:ind w:right="141"/>
        <w:jc w:val="left"/>
      </w:pPr>
      <w:r>
        <w:rPr>
          <w:spacing w:val="-2"/>
        </w:rPr>
        <w:t>终端需求的旺盛所带来的商机，公司较好地抓住市场机会，销量大增，同时公司看好未来的发展，为未来的销售所做了充分</w:t>
      </w:r>
      <w:r>
        <w:rPr>
          <w:spacing w:val="-63"/>
        </w:rPr>
        <w:t> </w:t>
      </w:r>
      <w:r>
        <w:rPr>
          <w:spacing w:val="-63"/>
        </w:rPr>
      </w:r>
      <w:r>
        <w:rPr/>
        <w:t>的准备。</w:t>
      </w:r>
    </w:p>
    <w:p>
      <w:pPr>
        <w:pStyle w:val="BodyText"/>
        <w:spacing w:line="240" w:lineRule="auto" w:before="95"/>
        <w:ind w:left="573" w:right="141"/>
        <w:jc w:val="left"/>
      </w:pPr>
      <w:r>
        <w:rPr/>
        <w:t>公司重大的在手订单情况</w:t>
      </w:r>
    </w:p>
    <w:p>
      <w:pPr>
        <w:spacing w:line="240" w:lineRule="auto" w:before="9"/>
        <w:rPr>
          <w:rFonts w:ascii="宋体" w:hAnsi="宋体" w:cs="宋体" w:eastAsia="宋体" w:hint="default"/>
          <w:sz w:val="20"/>
          <w:szCs w:val="20"/>
        </w:rPr>
      </w:pPr>
    </w:p>
    <w:p>
      <w:pPr>
        <w:pStyle w:val="BodyText"/>
        <w:spacing w:line="518" w:lineRule="auto" w:before="0"/>
        <w:ind w:left="573" w:right="7733"/>
        <w:jc w:val="left"/>
      </w:pPr>
      <w:r>
        <w:rPr/>
        <w:t>□ 适用 √</w:t>
      </w:r>
      <w:r>
        <w:rPr>
          <w:spacing w:val="3"/>
        </w:rPr>
        <w:t> </w:t>
      </w:r>
      <w:r>
        <w:rPr/>
        <w:t>不适用</w:t>
      </w:r>
      <w:r>
        <w:rPr/>
        <w:t> 数量分散的订单情况</w:t>
      </w:r>
    </w:p>
    <w:p>
      <w:pPr>
        <w:pStyle w:val="BodyText"/>
        <w:spacing w:line="518" w:lineRule="auto" w:before="62"/>
        <w:ind w:left="573" w:right="5033"/>
        <w:jc w:val="left"/>
      </w:pPr>
      <w:r>
        <w:rPr/>
        <w:t>□ 适用 √</w:t>
      </w:r>
      <w:r>
        <w:rPr>
          <w:spacing w:val="3"/>
        </w:rPr>
        <w:t> </w:t>
      </w:r>
      <w:r>
        <w:rPr/>
        <w:t>不适用</w:t>
      </w:r>
      <w:r>
        <w:rPr/>
        <w:t> 公司报告期内产品或服务发生重大变化或调整有关情况</w:t>
      </w:r>
    </w:p>
    <w:p>
      <w:pPr>
        <w:pStyle w:val="BodyText"/>
        <w:spacing w:line="240" w:lineRule="auto" w:before="64"/>
        <w:ind w:left="573" w:right="141"/>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宋体" w:hAnsi="宋体" w:cs="宋体" w:eastAsia="宋体" w:hint="default"/>
        </w:rPr>
        <w:t>2</w:t>
      </w:r>
      <w:r>
        <w:rPr/>
        <w:t>）成本</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0" w:right="151"/>
        <w:jc w:val="right"/>
      </w:pPr>
      <w:r>
        <w:rPr/>
        <w:t>单位：元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55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102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银行卡电子支付 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267,365,062.33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149,613,265.71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银行卡电子支付 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7,481,648.00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2,965,576.76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银行卡电子支付 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18,841,362.08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7,690,554.55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144.99%</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银行卡电子支付 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293,688,072.41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160,269,397.02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宋体" w:hAnsi="宋体" w:cs="宋体" w:eastAsia="宋体" w:hint="default"/>
        </w:rPr>
        <w:t>3</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557"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9"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75,653,382.18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59,969,577.45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93,999,504.84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66,023,224.05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研发费用及工资增加所致</w:t>
            </w:r>
          </w:p>
        </w:tc>
      </w:tr>
      <w:tr>
        <w:trPr>
          <w:trHeight w:val="559"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-19,561,957.96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-13,470,870.12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定期存款利息收入增加所致</w:t>
            </w:r>
          </w:p>
        </w:tc>
      </w:tr>
      <w:tr>
        <w:trPr>
          <w:trHeight w:val="557"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7,953,047.13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8,252,249.68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158,043,976.19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120,774,180.97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30.86%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宋体" w:hAnsi="宋体" w:cs="宋体" w:eastAsia="宋体" w:hint="default"/>
        </w:rPr>
        <w:t>4</w:t>
      </w:r>
      <w:r>
        <w:rPr/>
        <w:t>）研发投入</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51" w:lineRule="auto" w:before="0"/>
        <w:ind w:right="141" w:firstLine="420"/>
        <w:jc w:val="left"/>
      </w:pPr>
      <w:r>
        <w:rPr/>
        <w:t>报告期内，公司坚持自主创新，持续加大研发力度，全年研发项目总支出</w:t>
      </w:r>
      <w:r>
        <w:rPr>
          <w:rFonts w:ascii="Times New Roman" w:hAnsi="Times New Roman" w:cs="Times New Roman" w:eastAsia="Times New Roman" w:hint="default"/>
        </w:rPr>
        <w:t>66,553,514.04</w:t>
      </w:r>
      <w:r>
        <w:rPr/>
        <w:t>元，占营业收入的 </w:t>
      </w:r>
      <w:r>
        <w:rPr>
          <w:rFonts w:ascii="Times New Roman" w:hAnsi="Times New Roman" w:cs="Times New Roman" w:eastAsia="Times New Roman" w:hint="default"/>
        </w:rPr>
        <w:t>13.44</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 所有研发费用支出均作为当期费用核算，未有资本化研发支出。</w:t>
      </w:r>
    </w:p>
    <w:p>
      <w:pPr>
        <w:pStyle w:val="BodyText"/>
        <w:spacing w:line="240" w:lineRule="auto" w:before="74"/>
        <w:ind w:left="573" w:right="141"/>
        <w:jc w:val="left"/>
      </w:pPr>
      <w:r>
        <w:rPr/>
        <w:t>报告期内，公司正在从事的主要研发项目进展情况及拟达到的目标：</w:t>
      </w:r>
    </w:p>
    <w:p>
      <w:pPr>
        <w:spacing w:line="240" w:lineRule="auto" w:before="1"/>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066"/>
        <w:gridCol w:w="4059"/>
        <w:gridCol w:w="1966"/>
        <w:gridCol w:w="2569"/>
      </w:tblGrid>
      <w:tr>
        <w:trPr>
          <w:trHeight w:val="50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目标</w:t>
            </w:r>
            <w:r>
              <w:rPr>
                <w:rFonts w:ascii="宋体" w:hAnsi="宋体" w:cs="宋体" w:eastAsia="宋体" w:hint="default"/>
                <w:sz w:val="18"/>
                <w:szCs w:val="18"/>
              </w:rPr>
            </w:r>
          </w:p>
        </w:tc>
      </w:tr>
      <w:tr>
        <w:trPr>
          <w:trHeight w:val="504"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
              <w:jc w:val="center"/>
              <w:rPr>
                <w:rFonts w:ascii="宋体" w:hAnsi="宋体" w:cs="宋体" w:eastAsia="宋体" w:hint="default"/>
                <w:sz w:val="18"/>
                <w:szCs w:val="18"/>
              </w:rPr>
            </w:pPr>
            <w:r>
              <w:rPr>
                <w:rFonts w:ascii="宋体"/>
                <w:sz w:val="18"/>
              </w:rPr>
              <w:t>1</w:t>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PCI3.0</w:t>
            </w:r>
            <w:r>
              <w:rPr>
                <w:rFonts w:ascii="宋体" w:hAnsi="宋体" w:cs="宋体" w:eastAsia="宋体" w:hint="default"/>
                <w:sz w:val="18"/>
                <w:szCs w:val="18"/>
              </w:rPr>
              <w:t>、</w:t>
            </w:r>
            <w:r>
              <w:rPr>
                <w:rFonts w:ascii="宋体" w:hAnsi="宋体" w:cs="宋体" w:eastAsia="宋体" w:hint="default"/>
                <w:sz w:val="18"/>
                <w:szCs w:val="18"/>
              </w:rPr>
              <w:t>PCI4.0</w:t>
            </w:r>
            <w:r>
              <w:rPr>
                <w:rFonts w:ascii="宋体" w:hAnsi="宋体" w:cs="宋体" w:eastAsia="宋体" w:hint="default"/>
                <w:sz w:val="18"/>
                <w:szCs w:val="18"/>
              </w:rPr>
              <w:t>安全技术的研究与应用项目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掌握</w:t>
            </w:r>
            <w:r>
              <w:rPr>
                <w:rFonts w:ascii="宋体" w:hAnsi="宋体" w:cs="宋体" w:eastAsia="宋体" w:hint="default"/>
                <w:sz w:val="18"/>
                <w:szCs w:val="18"/>
              </w:rPr>
              <w:t>PCI</w:t>
            </w:r>
            <w:r>
              <w:rPr>
                <w:rFonts w:ascii="宋体" w:hAnsi="宋体" w:cs="宋体" w:eastAsia="宋体" w:hint="default"/>
                <w:sz w:val="18"/>
                <w:szCs w:val="18"/>
              </w:rPr>
              <w:t>最新安全技术的应用</w:t>
            </w:r>
          </w:p>
        </w:tc>
      </w:tr>
      <w:tr>
        <w:trPr>
          <w:trHeight w:val="97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sz w:val="18"/>
              </w:rPr>
              <w:t>2</w:t>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安卓平台设计项目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实现安卓操作系统在</w:t>
            </w:r>
            <w:r>
              <w:rPr>
                <w:rFonts w:ascii="宋体" w:hAnsi="宋体" w:cs="宋体" w:eastAsia="宋体" w:hint="default"/>
                <w:sz w:val="18"/>
                <w:szCs w:val="18"/>
              </w:rPr>
              <w:t>POS</w:t>
            </w:r>
            <w:r>
              <w:rPr>
                <w:rFonts w:ascii="宋体" w:hAnsi="宋体" w:cs="宋体" w:eastAsia="宋体" w:hint="default"/>
                <w:sz w:val="18"/>
                <w:szCs w:val="18"/>
              </w:rPr>
              <w:t>机的应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用</w:t>
            </w:r>
          </w:p>
        </w:tc>
      </w:tr>
      <w:tr>
        <w:trPr>
          <w:trHeight w:val="50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sz w:val="18"/>
              </w:rPr>
              <w:t>3</w:t>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G</w:t>
            </w:r>
            <w:r>
              <w:rPr>
                <w:rFonts w:ascii="宋体" w:hAnsi="宋体" w:cs="宋体" w:eastAsia="宋体" w:hint="default"/>
                <w:sz w:val="18"/>
                <w:szCs w:val="18"/>
              </w:rPr>
              <w:t>平台及产品开发项目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进一步提高产品的交易安全性</w:t>
            </w:r>
          </w:p>
        </w:tc>
      </w:tr>
      <w:tr>
        <w:trPr>
          <w:trHeight w:val="97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
              <w:jc w:val="center"/>
              <w:rPr>
                <w:rFonts w:ascii="宋体" w:hAnsi="宋体" w:cs="宋体" w:eastAsia="宋体" w:hint="default"/>
                <w:sz w:val="18"/>
                <w:szCs w:val="18"/>
              </w:rPr>
            </w:pPr>
            <w:r>
              <w:rPr>
                <w:rFonts w:ascii="宋体"/>
                <w:sz w:val="18"/>
              </w:rPr>
              <w:t>4</w:t>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G</w:t>
            </w:r>
            <w:r>
              <w:rPr>
                <w:rFonts w:ascii="宋体" w:hAnsi="宋体" w:cs="宋体" w:eastAsia="宋体" w:hint="default"/>
                <w:sz w:val="18"/>
                <w:szCs w:val="18"/>
              </w:rPr>
              <w:t>系列产品的认证项目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获得国内外市场销售所需产品认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证</w:t>
            </w:r>
          </w:p>
        </w:tc>
      </w:tr>
      <w:tr>
        <w:trPr>
          <w:trHeight w:val="97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sz w:val="18"/>
              </w:rPr>
              <w:t>5</w:t>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WINCE</w:t>
            </w:r>
            <w:r>
              <w:rPr>
                <w:rFonts w:ascii="宋体" w:hAnsi="宋体" w:cs="宋体" w:eastAsia="宋体" w:hint="default"/>
                <w:sz w:val="18"/>
                <w:szCs w:val="18"/>
              </w:rPr>
              <w:t>版本多媒体自助设备研发项目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研发基于</w:t>
            </w:r>
            <w:r>
              <w:rPr>
                <w:rFonts w:ascii="宋体" w:hAnsi="宋体" w:cs="宋体" w:eastAsia="宋体" w:hint="default"/>
                <w:sz w:val="18"/>
                <w:szCs w:val="18"/>
              </w:rPr>
              <w:t>WINCE</w:t>
            </w:r>
            <w:r>
              <w:rPr>
                <w:rFonts w:ascii="宋体" w:hAnsi="宋体" w:cs="宋体" w:eastAsia="宋体" w:hint="default"/>
                <w:sz w:val="18"/>
                <w:szCs w:val="18"/>
              </w:rPr>
              <w:t>操作系统的自助</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设备</w:t>
            </w:r>
          </w:p>
        </w:tc>
      </w:tr>
      <w:tr>
        <w:trPr>
          <w:trHeight w:val="97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
              <w:jc w:val="center"/>
              <w:rPr>
                <w:rFonts w:ascii="宋体" w:hAnsi="宋体" w:cs="宋体" w:eastAsia="宋体" w:hint="default"/>
                <w:sz w:val="18"/>
                <w:szCs w:val="18"/>
              </w:rPr>
            </w:pPr>
            <w:r>
              <w:rPr>
                <w:rFonts w:ascii="宋体"/>
                <w:sz w:val="18"/>
              </w:rPr>
              <w:t>6</w:t>
            </w:r>
          </w:p>
        </w:tc>
        <w:tc>
          <w:tcPr>
            <w:tcW w:w="4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基于“云”支付平台应用的金融</w:t>
            </w:r>
            <w:r>
              <w:rPr>
                <w:rFonts w:ascii="宋体" w:hAnsi="宋体" w:cs="宋体" w:eastAsia="宋体" w:hint="default"/>
                <w:sz w:val="18"/>
                <w:szCs w:val="18"/>
              </w:rPr>
              <w:t>POS</w:t>
            </w:r>
            <w:r>
              <w:rPr>
                <w:rFonts w:ascii="宋体" w:hAnsi="宋体" w:cs="宋体" w:eastAsia="宋体" w:hint="default"/>
                <w:sz w:val="18"/>
                <w:szCs w:val="18"/>
              </w:rPr>
              <w:t>机开发项目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研发具有强大“云”平台支撑的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z w:val="18"/>
                <w:szCs w:val="18"/>
              </w:rPr>
              <w:t>POS</w:t>
            </w:r>
            <w:r>
              <w:rPr>
                <w:rFonts w:ascii="宋体" w:hAnsi="宋体" w:cs="宋体" w:eastAsia="宋体" w:hint="default"/>
                <w:sz w:val="18"/>
                <w:szCs w:val="18"/>
              </w:rPr>
              <w:t>机</w:t>
            </w:r>
          </w:p>
        </w:tc>
      </w:tr>
    </w:tbl>
    <w:p>
      <w:pPr>
        <w:spacing w:line="240" w:lineRule="auto" w:before="6"/>
        <w:rPr>
          <w:rFonts w:ascii="宋体" w:hAnsi="宋体" w:cs="宋体" w:eastAsia="宋体" w:hint="default"/>
          <w:sz w:val="12"/>
          <w:szCs w:val="12"/>
        </w:rPr>
      </w:pPr>
    </w:p>
    <w:p>
      <w:pPr>
        <w:pStyle w:val="BodyText"/>
        <w:spacing w:line="477" w:lineRule="auto"/>
        <w:ind w:right="141" w:firstLine="480"/>
        <w:jc w:val="left"/>
      </w:pPr>
      <w:r>
        <w:rPr>
          <w:spacing w:val="-1"/>
        </w:rPr>
        <w:t>除了上述主要开展的研发项目以外，公司还投入较多研发资源对现有成熟设备的升级与优化，投入大量研发资源为客</w:t>
      </w:r>
      <w:r>
        <w:rPr/>
        <w:t> 户提供增值应用软件开发服务。</w:t>
      </w:r>
    </w:p>
    <w:p>
      <w:pPr>
        <w:spacing w:after="0" w:line="47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left="573" w:right="141"/>
        <w:jc w:val="left"/>
      </w:pPr>
      <w:r>
        <w:rPr/>
        <w:t>近三年公司研发投入金额及占营业收入的比例</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956"/>
        <w:gridCol w:w="1447"/>
        <w:gridCol w:w="2393"/>
        <w:gridCol w:w="2393"/>
      </w:tblGrid>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1188" w:right="0"/>
              <w:jc w:val="left"/>
              <w:rPr>
                <w:rFonts w:ascii="宋体" w:hAnsi="宋体" w:cs="宋体" w:eastAsia="宋体" w:hint="default"/>
                <w:sz w:val="18"/>
                <w:szCs w:val="18"/>
              </w:rPr>
            </w:pPr>
            <w:r>
              <w:rPr>
                <w:rFonts w:ascii="宋体"/>
                <w:sz w:val="18"/>
              </w:rPr>
              <w:t>66,553,514.04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46,014,535.73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17,601,296.61</w:t>
            </w:r>
          </w:p>
        </w:tc>
      </w:tr>
      <w:tr>
        <w:trPr>
          <w:trHeight w:val="557"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r>
              <w:rPr>
                <w:rFonts w:ascii="宋体" w:hAnsi="宋体" w:cs="宋体" w:eastAsia="宋体" w:hint="default"/>
                <w:sz w:val="18"/>
                <w:szCs w:val="18"/>
              </w:rPr>
              <w:t>%</w:t>
            </w:r>
          </w:p>
        </w:tc>
        <w:tc>
          <w:tcPr>
            <w:tcW w:w="956" w:type="dxa"/>
            <w:tcBorders>
              <w:top w:val="single" w:sz="4" w:space="0" w:color="000000"/>
              <w:left w:val="single" w:sz="23" w:space="0" w:color="FFFFFF"/>
              <w:bottom w:val="single" w:sz="4" w:space="0" w:color="000000"/>
              <w:right w:val="nil" w:sz="6" w:space="0" w:color="auto"/>
            </w:tcBorders>
          </w:tcPr>
          <w:p>
            <w:pPr/>
          </w:p>
        </w:tc>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81" w:right="0"/>
              <w:jc w:val="left"/>
              <w:rPr>
                <w:rFonts w:ascii="宋体" w:hAnsi="宋体" w:cs="宋体" w:eastAsia="宋体" w:hint="default"/>
                <w:sz w:val="18"/>
                <w:szCs w:val="18"/>
              </w:rPr>
            </w:pPr>
            <w:r>
              <w:rPr>
                <w:rFonts w:ascii="宋体"/>
                <w:sz w:val="18"/>
              </w:rPr>
              <w:t>13.44%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8.44%</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pict>
          <v:shape style="position:absolute;margin-left:170.419998pt;margin-top:-44.550339pt;width:124.1pt;height:27.4pt;mso-position-horizontal-relative:page;mso-position-vertical-relative:paragraph;z-index:-928768" type="#_x0000_t202" filled="false" stroked="false">
            <v:textbox inset="0,0,0,0">
              <w:txbxContent>
                <w:p>
                  <w:pPr>
                    <w:pStyle w:val="BodyText"/>
                    <w:spacing w:line="240" w:lineRule="auto" w:before="128"/>
                    <w:ind w:left="0" w:right="0"/>
                    <w:jc w:val="left"/>
                  </w:pPr>
                  <w:r>
                    <w:rPr/>
                    <w:t>）</w:t>
                  </w:r>
                </w:p>
              </w:txbxContent>
            </v:textbox>
            <w10:wrap type="none"/>
          </v:shape>
        </w:pict>
      </w:r>
      <w:r>
        <w:rPr/>
        <w:pict>
          <v:group style="position:absolute;margin-left:177.740005pt;margin-top:-44.550339pt;width:116.8pt;height:27.4pt;mso-position-horizontal-relative:page;mso-position-vertical-relative:paragraph;z-index:-928744" coordorigin="3555,-891" coordsize="2336,548">
            <v:shape style="position:absolute;left:3555;top:-891;width:2336;height:548" coordorigin="3555,-891" coordsize="2336,548" path="m3555,-344l5890,-344,5890,-891,3555,-891,3555,-344xe" filled="true" fillcolor="#ffffff" stroked="false">
              <v:path arrowok="t"/>
              <v:fill type="solid"/>
            </v:shape>
            <w10:wrap type="none"/>
          </v:group>
        </w:pict>
      </w:r>
      <w:r>
        <w:rPr/>
        <w:t>（</w:t>
      </w:r>
      <w:r>
        <w:rPr>
          <w:rFonts w:ascii="宋体" w:hAnsi="宋体" w:cs="宋体" w:eastAsia="宋体" w:hint="default"/>
        </w:rPr>
        <w:t>5</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561,513,312.90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405,366,472.23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38.52%</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600,239,147.34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366,577,212.45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63.74%</w:t>
            </w:r>
          </w:p>
        </w:tc>
      </w:tr>
      <w:tr>
        <w:trPr>
          <w:trHeight w:val="102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-38,725,834.44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38,789,259.78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-199.84%</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175.79%</w:t>
            </w:r>
          </w:p>
        </w:tc>
      </w:tr>
      <w:tr>
        <w:trPr>
          <w:trHeight w:val="56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27,161,799.69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23,398,152.60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16.09%</w:t>
            </w:r>
          </w:p>
        </w:tc>
      </w:tr>
      <w:tr>
        <w:trPr>
          <w:trHeight w:val="102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-21,921,799.69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-21,498,152.60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73,379,942.10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34,327,742.66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113.76%</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71,058,019.36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38,571,415.34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84.22%</w:t>
            </w:r>
          </w:p>
        </w:tc>
      </w:tr>
      <w:tr>
        <w:trPr>
          <w:trHeight w:val="102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2,321,922.74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-4,243,672.68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154.71%</w:t>
            </w:r>
          </w:p>
        </w:tc>
      </w:tr>
      <w:tr>
        <w:trPr>
          <w:trHeight w:val="56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-58,328,884.62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13,047,434.50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-547.05%</w:t>
            </w:r>
          </w:p>
        </w:tc>
      </w:tr>
    </w:tbl>
    <w:p>
      <w:pPr>
        <w:spacing w:line="240" w:lineRule="auto" w:before="5"/>
        <w:rPr>
          <w:rFonts w:ascii="宋体" w:hAnsi="宋体" w:cs="宋体" w:eastAsia="宋体" w:hint="default"/>
          <w:sz w:val="6"/>
          <w:szCs w:val="6"/>
        </w:rPr>
      </w:pPr>
    </w:p>
    <w:p>
      <w:pPr>
        <w:pStyle w:val="BodyText"/>
        <w:spacing w:line="240" w:lineRule="auto"/>
        <w:ind w:left="436" w:right="141"/>
        <w:jc w:val="left"/>
      </w:pPr>
      <w:r>
        <w:rPr/>
        <w:t>相关数据同比发生变动</w:t>
      </w:r>
      <w:r>
        <w:rPr>
          <w:spacing w:val="-48"/>
        </w:rPr>
        <w:t> </w:t>
      </w:r>
      <w:r>
        <w:rPr>
          <w:rFonts w:ascii="宋体" w:hAnsi="宋体" w:cs="宋体" w:eastAsia="宋体" w:hint="default"/>
        </w:rPr>
        <w:t>30%</w:t>
      </w:r>
      <w:r>
        <w:rPr/>
        <w:t>以上的原因说明</w:t>
      </w:r>
    </w:p>
    <w:p>
      <w:pPr>
        <w:spacing w:line="240" w:lineRule="auto" w:before="9"/>
        <w:rPr>
          <w:rFonts w:ascii="宋体" w:hAnsi="宋体" w:cs="宋体" w:eastAsia="宋体" w:hint="default"/>
          <w:sz w:val="20"/>
          <w:szCs w:val="20"/>
        </w:rPr>
      </w:pPr>
    </w:p>
    <w:p>
      <w:pPr>
        <w:pStyle w:val="BodyText"/>
        <w:spacing w:line="240" w:lineRule="auto" w:before="0"/>
        <w:ind w:left="436" w:right="141"/>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BodyText"/>
        <w:spacing w:line="240" w:lineRule="auto" w:before="119"/>
        <w:ind w:left="738" w:right="141"/>
        <w:jc w:val="left"/>
      </w:pPr>
      <w:r>
        <w:rPr>
          <w:rFonts w:ascii="宋体" w:hAnsi="宋体" w:cs="宋体" w:eastAsia="宋体" w:hint="default"/>
        </w:rPr>
        <w:t>1.</w:t>
      </w:r>
      <w:r>
        <w:rPr>
          <w:rFonts w:ascii="宋体" w:hAnsi="宋体" w:cs="宋体" w:eastAsia="宋体" w:hint="default"/>
          <w:spacing w:val="87"/>
        </w:rPr>
        <w:t> </w:t>
      </w:r>
      <w:r>
        <w:rPr/>
        <w:t>报告期，经营活动现金流入同比增长</w:t>
      </w:r>
      <w:r>
        <w:rPr>
          <w:rFonts w:ascii="宋体" w:hAnsi="宋体" w:cs="宋体" w:eastAsia="宋体" w:hint="default"/>
        </w:rPr>
        <w:t>38.52%,</w:t>
      </w:r>
      <w:r>
        <w:rPr/>
        <w:t>主要系公司本年度销售收入增长；</w:t>
      </w:r>
    </w:p>
    <w:p>
      <w:pPr>
        <w:spacing w:line="240" w:lineRule="auto" w:before="10"/>
        <w:rPr>
          <w:rFonts w:ascii="宋体" w:hAnsi="宋体" w:cs="宋体" w:eastAsia="宋体" w:hint="default"/>
          <w:sz w:val="26"/>
          <w:szCs w:val="26"/>
        </w:rPr>
      </w:pPr>
    </w:p>
    <w:p>
      <w:pPr>
        <w:pStyle w:val="BodyText"/>
        <w:spacing w:line="240" w:lineRule="auto" w:before="0"/>
        <w:ind w:left="738" w:right="141"/>
        <w:jc w:val="left"/>
      </w:pPr>
      <w:r>
        <w:rPr>
          <w:rFonts w:ascii="宋体" w:hAnsi="宋体" w:cs="宋体" w:eastAsia="宋体" w:hint="default"/>
        </w:rPr>
        <w:t>2.</w:t>
      </w:r>
      <w:r>
        <w:rPr>
          <w:rFonts w:ascii="宋体" w:hAnsi="宋体" w:cs="宋体" w:eastAsia="宋体" w:hint="default"/>
          <w:spacing w:val="87"/>
        </w:rPr>
        <w:t> </w:t>
      </w:r>
      <w:r>
        <w:rPr/>
        <w:t>报告期，经营活动现金流出同比增长</w:t>
      </w:r>
      <w:r>
        <w:rPr>
          <w:rFonts w:ascii="宋体" w:hAnsi="宋体" w:cs="宋体" w:eastAsia="宋体" w:hint="default"/>
        </w:rPr>
        <w:t>63.74%,</w:t>
      </w:r>
      <w:r>
        <w:rPr/>
        <w:t>主要系采购支付与职工薪酬支出增加所致；</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left="1098" w:right="178" w:hanging="360"/>
        <w:jc w:val="left"/>
      </w:pPr>
      <w:r>
        <w:rPr>
          <w:rFonts w:ascii="宋体" w:hAnsi="宋体" w:cs="宋体" w:eastAsia="宋体" w:hint="default"/>
        </w:rPr>
        <w:t>3.</w:t>
      </w:r>
      <w:r>
        <w:rPr>
          <w:rFonts w:ascii="宋体" w:hAnsi="宋体" w:cs="宋体" w:eastAsia="宋体" w:hint="default"/>
          <w:spacing w:val="50"/>
        </w:rPr>
        <w:t> </w:t>
      </w:r>
      <w:r>
        <w:rPr/>
        <w:t>报告期，经营活动现金流量净额同比下降</w:t>
      </w:r>
      <w:r>
        <w:rPr>
          <w:rFonts w:ascii="宋体" w:hAnsi="宋体" w:cs="宋体" w:eastAsia="宋体" w:hint="default"/>
        </w:rPr>
        <w:t>199.84%</w:t>
      </w:r>
      <w:r>
        <w:rPr/>
        <w:t>，主要系公司规模扩大，采购支出、研发投入及人员支出增加 所致；</w:t>
      </w:r>
    </w:p>
    <w:p>
      <w:pPr>
        <w:spacing w:line="240" w:lineRule="auto" w:before="4"/>
        <w:rPr>
          <w:rFonts w:ascii="宋体" w:hAnsi="宋体" w:cs="宋体" w:eastAsia="宋体" w:hint="default"/>
          <w:sz w:val="13"/>
          <w:szCs w:val="13"/>
        </w:rPr>
      </w:pPr>
    </w:p>
    <w:p>
      <w:pPr>
        <w:pStyle w:val="BodyText"/>
        <w:spacing w:line="240" w:lineRule="auto" w:before="0"/>
        <w:ind w:left="738" w:right="0"/>
        <w:jc w:val="left"/>
      </w:pPr>
      <w:r>
        <w:rPr>
          <w:rFonts w:ascii="宋体" w:hAnsi="宋体" w:cs="宋体" w:eastAsia="宋体" w:hint="default"/>
        </w:rPr>
        <w:t>4.</w:t>
      </w:r>
      <w:r>
        <w:rPr>
          <w:rFonts w:ascii="宋体" w:hAnsi="宋体" w:cs="宋体" w:eastAsia="宋体" w:hint="default"/>
          <w:spacing w:val="87"/>
        </w:rPr>
        <w:t> </w:t>
      </w:r>
      <w:r>
        <w:rPr/>
        <w:t>报告期，投资活动现金流入同比增长</w:t>
      </w:r>
      <w:r>
        <w:rPr>
          <w:rFonts w:ascii="宋体" w:hAnsi="宋体" w:cs="宋体" w:eastAsia="宋体" w:hint="default"/>
        </w:rPr>
        <w:t>175.79%</w:t>
      </w:r>
      <w:r>
        <w:rPr/>
        <w:t>，主要系是收到政府资助款增加所致；</w:t>
      </w:r>
    </w:p>
    <w:p>
      <w:pPr>
        <w:spacing w:line="240" w:lineRule="auto" w:before="12"/>
        <w:rPr>
          <w:rFonts w:ascii="宋体" w:hAnsi="宋体" w:cs="宋体" w:eastAsia="宋体" w:hint="default"/>
          <w:sz w:val="26"/>
          <w:szCs w:val="26"/>
        </w:rPr>
      </w:pPr>
    </w:p>
    <w:p>
      <w:pPr>
        <w:pStyle w:val="BodyText"/>
        <w:spacing w:line="240" w:lineRule="auto" w:before="0"/>
        <w:ind w:left="738" w:right="0"/>
        <w:jc w:val="left"/>
      </w:pPr>
      <w:r>
        <w:rPr>
          <w:rFonts w:ascii="宋体" w:hAnsi="宋体" w:cs="宋体" w:eastAsia="宋体" w:hint="default"/>
        </w:rPr>
        <w:t>5.</w:t>
      </w:r>
      <w:r>
        <w:rPr>
          <w:rFonts w:ascii="宋体" w:hAnsi="宋体" w:cs="宋体" w:eastAsia="宋体" w:hint="default"/>
          <w:spacing w:val="87"/>
        </w:rPr>
        <w:t> </w:t>
      </w:r>
      <w:r>
        <w:rPr/>
        <w:t>报告期，筹资活动现金流入同比增长</w:t>
      </w:r>
      <w:r>
        <w:rPr>
          <w:rFonts w:ascii="宋体" w:hAnsi="宋体" w:cs="宋体" w:eastAsia="宋体" w:hint="default"/>
        </w:rPr>
        <w:t>113.76%</w:t>
      </w:r>
      <w:r>
        <w:rPr/>
        <w:t>，主要系应付票据到期收回保证金与定期存款利息收入增加所致；</w:t>
      </w:r>
    </w:p>
    <w:p>
      <w:pPr>
        <w:spacing w:line="240" w:lineRule="auto" w:before="12"/>
        <w:rPr>
          <w:rFonts w:ascii="宋体" w:hAnsi="宋体" w:cs="宋体" w:eastAsia="宋体" w:hint="default"/>
          <w:sz w:val="26"/>
          <w:szCs w:val="26"/>
        </w:rPr>
      </w:pPr>
    </w:p>
    <w:p>
      <w:pPr>
        <w:pStyle w:val="BodyText"/>
        <w:spacing w:line="240" w:lineRule="auto" w:before="0"/>
        <w:ind w:left="738" w:right="0"/>
        <w:jc w:val="left"/>
      </w:pPr>
      <w:r>
        <w:rPr>
          <w:rFonts w:ascii="宋体" w:hAnsi="宋体" w:cs="宋体" w:eastAsia="宋体" w:hint="default"/>
        </w:rPr>
        <w:t>6.</w:t>
      </w:r>
      <w:r>
        <w:rPr>
          <w:rFonts w:ascii="宋体" w:hAnsi="宋体" w:cs="宋体" w:eastAsia="宋体" w:hint="default"/>
          <w:spacing w:val="86"/>
        </w:rPr>
        <w:t> </w:t>
      </w:r>
      <w:r>
        <w:rPr/>
        <w:t>报告期，筹资活动现金流出同比增长</w:t>
      </w:r>
      <w:r>
        <w:rPr>
          <w:rFonts w:ascii="宋体" w:hAnsi="宋体" w:cs="宋体" w:eastAsia="宋体" w:hint="default"/>
        </w:rPr>
        <w:t>84.22%</w:t>
      </w:r>
      <w:r>
        <w:rPr/>
        <w:t>，主要系应付票据保证金支出增长所致；</w:t>
      </w:r>
    </w:p>
    <w:p>
      <w:pPr>
        <w:spacing w:line="240" w:lineRule="auto" w:before="12"/>
        <w:rPr>
          <w:rFonts w:ascii="宋体" w:hAnsi="宋体" w:cs="宋体" w:eastAsia="宋体" w:hint="default"/>
          <w:sz w:val="26"/>
          <w:szCs w:val="26"/>
        </w:rPr>
      </w:pPr>
    </w:p>
    <w:p>
      <w:pPr>
        <w:pStyle w:val="BodyText"/>
        <w:spacing w:line="240" w:lineRule="auto" w:before="0"/>
        <w:ind w:left="738" w:right="0"/>
        <w:jc w:val="left"/>
      </w:pPr>
      <w:r>
        <w:rPr>
          <w:rFonts w:ascii="宋体" w:hAnsi="宋体" w:cs="宋体" w:eastAsia="宋体" w:hint="default"/>
        </w:rPr>
        <w:t>7.</w:t>
      </w:r>
      <w:r>
        <w:rPr>
          <w:rFonts w:ascii="宋体" w:hAnsi="宋体" w:cs="宋体" w:eastAsia="宋体" w:hint="default"/>
          <w:spacing w:val="87"/>
        </w:rPr>
        <w:t> </w:t>
      </w:r>
      <w:r>
        <w:rPr/>
        <w:t>报告期，筹资活动现金流量净额同比增长</w:t>
      </w:r>
      <w:r>
        <w:rPr>
          <w:rFonts w:ascii="宋体" w:hAnsi="宋体" w:cs="宋体" w:eastAsia="宋体" w:hint="default"/>
        </w:rPr>
        <w:t>154.71%</w:t>
      </w:r>
      <w:r>
        <w:rPr/>
        <w:t>，主要系筹资现金流入大于筹资现金流出所致；</w:t>
      </w:r>
    </w:p>
    <w:p>
      <w:pPr>
        <w:spacing w:line="240" w:lineRule="auto" w:before="12"/>
        <w:rPr>
          <w:rFonts w:ascii="宋体" w:hAnsi="宋体" w:cs="宋体" w:eastAsia="宋体" w:hint="default"/>
          <w:sz w:val="26"/>
          <w:szCs w:val="26"/>
        </w:rPr>
      </w:pPr>
    </w:p>
    <w:p>
      <w:pPr>
        <w:pStyle w:val="BodyText"/>
        <w:spacing w:line="600" w:lineRule="auto" w:before="0"/>
        <w:ind w:left="436" w:right="1220" w:firstLine="302"/>
        <w:jc w:val="left"/>
      </w:pPr>
      <w:r>
        <w:rPr>
          <w:rFonts w:ascii="宋体" w:hAnsi="宋体" w:cs="宋体" w:eastAsia="宋体" w:hint="default"/>
        </w:rPr>
        <w:t>8.</w:t>
      </w:r>
      <w:r>
        <w:rPr>
          <w:rFonts w:ascii="宋体" w:hAnsi="宋体" w:cs="宋体" w:eastAsia="宋体" w:hint="default"/>
          <w:spacing w:val="88"/>
        </w:rPr>
        <w:t> </w:t>
      </w:r>
      <w:r>
        <w:rPr/>
        <w:t>报告期，现金及现金等价物净增加额同比下降</w:t>
      </w:r>
      <w:r>
        <w:rPr>
          <w:rFonts w:ascii="宋体" w:hAnsi="宋体" w:cs="宋体" w:eastAsia="宋体" w:hint="default"/>
        </w:rPr>
        <w:t>547.05%</w:t>
      </w:r>
      <w:r>
        <w:rPr/>
        <w:t>，主要系经营活动现金净额下降为负所致。 报告期内公司经营活动的现金流量与本年度净利润存在重大差异的原因说明</w:t>
      </w:r>
    </w:p>
    <w:p>
      <w:pPr>
        <w:pStyle w:val="BodyText"/>
        <w:spacing w:line="240" w:lineRule="auto" w:before="3"/>
        <w:ind w:left="484" w:right="0"/>
        <w:jc w:val="left"/>
      </w:pPr>
      <w:r>
        <w:rPr/>
        <w:t>√ 适用  □</w:t>
      </w:r>
      <w:r>
        <w:rPr>
          <w:spacing w:val="1"/>
        </w:rPr>
        <w:t> </w:t>
      </w:r>
      <w:r>
        <w:rPr/>
        <w:t>不适用</w:t>
      </w:r>
    </w:p>
    <w:p>
      <w:pPr>
        <w:spacing w:line="240" w:lineRule="auto" w:before="12"/>
        <w:rPr>
          <w:rFonts w:ascii="宋体" w:hAnsi="宋体" w:cs="宋体" w:eastAsia="宋体" w:hint="default"/>
          <w:sz w:val="26"/>
          <w:szCs w:val="26"/>
        </w:rPr>
      </w:pPr>
    </w:p>
    <w:p>
      <w:pPr>
        <w:pStyle w:val="BodyText"/>
        <w:spacing w:line="477" w:lineRule="auto" w:before="0"/>
        <w:ind w:right="100" w:firstLine="331"/>
        <w:jc w:val="both"/>
      </w:pPr>
      <w:r>
        <w:rPr/>
        <w:t>报告期内，公司经营活动产生的现金流量净额为</w:t>
      </w:r>
      <w:r>
        <w:rPr>
          <w:rFonts w:ascii="宋体" w:hAnsi="宋体" w:cs="宋体" w:eastAsia="宋体" w:hint="default"/>
        </w:rPr>
        <w:t>-3872.58</w:t>
      </w:r>
      <w:r>
        <w:rPr/>
        <w:t>万元，公司净利润为</w:t>
      </w:r>
      <w:r>
        <w:rPr>
          <w:rFonts w:ascii="宋体" w:hAnsi="宋体" w:cs="宋体" w:eastAsia="宋体" w:hint="default"/>
        </w:rPr>
        <w:t>6016.04</w:t>
      </w:r>
      <w:r>
        <w:rPr/>
        <w:t>万元，公司经营活动产生的现金 </w:t>
      </w:r>
      <w:r>
        <w:rPr>
          <w:spacing w:val="-2"/>
        </w:rPr>
        <w:t>流量净额少于同期净利润，这是因为公司本年度为销售商品而进行的材料采购支出较大及费用支出增长较快，同时公司的主</w:t>
      </w:r>
      <w:r>
        <w:rPr>
          <w:spacing w:val="-64"/>
        </w:rPr>
        <w:t> </w:t>
      </w:r>
      <w:r>
        <w:rPr>
          <w:spacing w:val="-64"/>
        </w:rPr>
      </w:r>
      <w:r>
        <w:rPr>
          <w:spacing w:val="-2"/>
        </w:rPr>
        <w:t>要客户如银联商务、通联支付的帐期太长，且向公司支付货款的主要形式为期限为</w:t>
      </w:r>
      <w:r>
        <w:rPr>
          <w:rFonts w:ascii="宋体" w:hAnsi="宋体" w:cs="宋体" w:eastAsia="宋体" w:hint="default"/>
          <w:spacing w:val="-2"/>
        </w:rPr>
        <w:t>6</w:t>
      </w:r>
      <w:r>
        <w:rPr>
          <w:spacing w:val="-2"/>
        </w:rPr>
        <w:t>个月的银行承兑汇票，应收款增长较大。</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宋体" w:hAnsi="宋体" w:cs="宋体" w:eastAsia="宋体" w:hint="default"/>
        </w:rPr>
        <w:t>6</w:t>
      </w:r>
      <w:r>
        <w:rPr/>
        <w:t>）公司主要供应商、客户情况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0"/>
        <w:jc w:val="left"/>
      </w:pPr>
      <w:r>
        <w:rPr/>
        <w:t>公司主要销售客户情况</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5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341,587,826.34</w:t>
            </w:r>
          </w:p>
        </w:tc>
      </w:tr>
      <w:tr>
        <w:trPr>
          <w:trHeight w:val="557"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69%</w:t>
            </w:r>
          </w:p>
        </w:tc>
      </w:tr>
    </w:tbl>
    <w:p>
      <w:pPr>
        <w:spacing w:line="240" w:lineRule="auto" w:before="5"/>
        <w:rPr>
          <w:rFonts w:ascii="宋体" w:hAnsi="宋体" w:cs="宋体" w:eastAsia="宋体" w:hint="default"/>
          <w:sz w:val="6"/>
          <w:szCs w:val="6"/>
        </w:rPr>
      </w:pPr>
    </w:p>
    <w:p>
      <w:pPr>
        <w:pStyle w:val="BodyText"/>
        <w:spacing w:line="240" w:lineRule="auto"/>
        <w:ind w:left="573" w:right="0"/>
        <w:jc w:val="left"/>
      </w:pPr>
      <w:r>
        <w:rPr/>
        <w:t>向单一客户销售比例超过</w:t>
      </w:r>
      <w:r>
        <w:rPr>
          <w:spacing w:val="-47"/>
        </w:rPr>
        <w:t> </w:t>
      </w:r>
      <w:r>
        <w:rPr>
          <w:rFonts w:ascii="宋体" w:hAnsi="宋体" w:cs="宋体" w:eastAsia="宋体" w:hint="default"/>
        </w:rPr>
        <w:t>30%</w:t>
      </w:r>
      <w:r>
        <w:rPr/>
        <w:t>的客户资料</w:t>
      </w:r>
    </w:p>
    <w:p>
      <w:pPr>
        <w:spacing w:line="240" w:lineRule="auto" w:before="12"/>
        <w:rPr>
          <w:rFonts w:ascii="宋体" w:hAnsi="宋体" w:cs="宋体" w:eastAsia="宋体" w:hint="default"/>
          <w:sz w:val="20"/>
          <w:szCs w:val="20"/>
        </w:rPr>
      </w:pPr>
    </w:p>
    <w:p>
      <w:pPr>
        <w:pStyle w:val="BodyText"/>
        <w:spacing w:line="516" w:lineRule="auto" w:before="0"/>
        <w:ind w:left="573" w:right="7773"/>
        <w:jc w:val="left"/>
      </w:pPr>
      <w:r>
        <w:rPr/>
        <w:pict>
          <v:shape style="position:absolute;margin-left:56.459999pt;margin-top:46.391712pt;width:479.2pt;height:56.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560"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91,010,516.50</w:t>
                        </w:r>
                      </w:p>
                    </w:tc>
                  </w:tr>
                  <w:tr>
                    <w:trPr>
                      <w:trHeight w:val="557"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8"/>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31.39%</w:t>
                        </w:r>
                      </w:p>
                    </w:tc>
                  </w:tr>
                </w:tbl>
                <w:p>
                  <w:pPr/>
                </w:p>
              </w:txbxContent>
            </v:textbox>
            <w10:wrap type="none"/>
          </v:shape>
        </w:pict>
      </w:r>
      <w:r>
        <w:rPr/>
        <w:t>□ 适用 √</w:t>
      </w:r>
      <w:r>
        <w:rPr>
          <w:spacing w:val="3"/>
        </w:rPr>
        <w:t> </w:t>
      </w:r>
      <w:r>
        <w:rPr/>
        <w:t>不适用</w:t>
      </w:r>
      <w:r>
        <w:rPr/>
        <w:t>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向单一供应商采购比例超过</w:t>
      </w:r>
      <w:r>
        <w:rPr>
          <w:spacing w:val="-45"/>
        </w:rPr>
        <w:t> </w:t>
      </w:r>
      <w:r>
        <w:rPr>
          <w:rFonts w:ascii="宋体" w:hAnsi="宋体" w:cs="宋体" w:eastAsia="宋体" w:hint="default"/>
        </w:rPr>
        <w:t>30%</w:t>
      </w:r>
      <w:r>
        <w:rPr/>
        <w:t>的客户资料</w:t>
      </w:r>
    </w:p>
    <w:p>
      <w:pPr>
        <w:spacing w:line="240" w:lineRule="auto" w:before="12"/>
        <w:rPr>
          <w:rFonts w:ascii="宋体" w:hAnsi="宋体" w:cs="宋体" w:eastAsia="宋体" w:hint="default"/>
          <w:sz w:val="20"/>
          <w:szCs w:val="20"/>
        </w:rPr>
      </w:pPr>
    </w:p>
    <w:p>
      <w:pPr>
        <w:pStyle w:val="BodyText"/>
        <w:spacing w:line="240" w:lineRule="auto" w:before="0"/>
        <w:ind w:left="573" w:right="0"/>
        <w:jc w:val="left"/>
      </w:pPr>
      <w:r>
        <w:rPr/>
        <w:t>□ 适用 √</w:t>
      </w:r>
      <w:r>
        <w:rPr>
          <w:spacing w:val="3"/>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0"/>
        <w:jc w:val="left"/>
        <w:rPr>
          <w:b w:val="0"/>
          <w:bCs w:val="0"/>
        </w:rPr>
      </w:pPr>
      <w:r>
        <w:rPr/>
        <w:t>（</w:t>
      </w:r>
      <w:r>
        <w:rPr>
          <w:rFonts w:ascii="宋体" w:hAnsi="宋体" w:cs="宋体" w:eastAsia="宋体" w:hint="default"/>
        </w:rPr>
        <w:t>7</w:t>
      </w:r>
      <w:r>
        <w:rPr/>
        <w:t>）公司未来发展与规划延续至报告期的说明</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0"/>
        <w:jc w:val="left"/>
      </w:pPr>
      <w:r>
        <w:rPr/>
        <w:t>首次公开发行招股说明书中披露的未来发展与规划在本报告期的实施情况</w:t>
      </w:r>
    </w:p>
    <w:p>
      <w:pPr>
        <w:spacing w:line="240" w:lineRule="auto" w:before="12"/>
        <w:rPr>
          <w:rFonts w:ascii="宋体" w:hAnsi="宋体" w:cs="宋体" w:eastAsia="宋体" w:hint="default"/>
          <w:sz w:val="20"/>
          <w:szCs w:val="20"/>
        </w:rPr>
      </w:pPr>
    </w:p>
    <w:p>
      <w:pPr>
        <w:pStyle w:val="BodyText"/>
        <w:spacing w:line="516" w:lineRule="auto" w:before="0"/>
        <w:ind w:left="578" w:right="3988" w:hanging="5"/>
        <w:jc w:val="left"/>
      </w:pPr>
      <w:r>
        <w:rPr/>
        <w:t>□ 适用 √</w:t>
      </w:r>
      <w:r>
        <w:rPr>
          <w:spacing w:val="3"/>
        </w:rPr>
        <w:t> </w:t>
      </w:r>
      <w:r>
        <w:rPr/>
        <w:t>不适用</w:t>
      </w:r>
      <w:r>
        <w:rPr/>
        <w:t> 公司回顾总结前期披露的发展战略和经营计划在报告期内的进展情况</w:t>
      </w:r>
    </w:p>
    <w:p>
      <w:pPr>
        <w:pStyle w:val="BodyText"/>
        <w:spacing w:line="477" w:lineRule="auto" w:before="66"/>
        <w:ind w:right="0" w:firstLine="425"/>
        <w:jc w:val="left"/>
      </w:pPr>
      <w:r>
        <w:rPr/>
        <w:t>根据公司在</w:t>
      </w:r>
      <w:r>
        <w:rPr>
          <w:spacing w:val="-60"/>
        </w:rPr>
        <w:t> </w:t>
      </w:r>
      <w:r>
        <w:rPr>
          <w:rFonts w:ascii="宋体" w:hAnsi="宋体" w:cs="宋体" w:eastAsia="宋体" w:hint="default"/>
        </w:rPr>
        <w:t>2011</w:t>
      </w:r>
      <w:r>
        <w:rPr>
          <w:rFonts w:ascii="宋体" w:hAnsi="宋体" w:cs="宋体" w:eastAsia="宋体" w:hint="default"/>
          <w:spacing w:val="-59"/>
        </w:rPr>
        <w:t> </w:t>
      </w:r>
      <w:r>
        <w:rPr/>
        <w:t>年年度报告中披露：公司的发展战略为“继续坚持电子支付技术为基础，巩固和提高公司电子支付技 </w:t>
      </w:r>
      <w:r>
        <w:rPr>
          <w:spacing w:val="-2"/>
        </w:rPr>
        <w:t>术服务领域的市场领先地位，凭借技术、市场和行业经验等优势，以金融领域为基础，稳步开展其他卡基受理业务，积极探</w:t>
      </w:r>
      <w:r>
        <w:rPr>
          <w:spacing w:val="-67"/>
        </w:rPr>
        <w:t> </w:t>
      </w:r>
      <w:r>
        <w:rPr>
          <w:spacing w:val="-67"/>
        </w:rPr>
      </w:r>
      <w:r>
        <w:rPr/>
        <w:t>索新的产品和应用，整合资源，形成公司持续、健康成长的长期格局。”围绕公司发展战略，公司</w:t>
      </w:r>
      <w:r>
        <w:rPr>
          <w:spacing w:val="-44"/>
        </w:rPr>
        <w:t> </w:t>
      </w:r>
      <w:r>
        <w:rPr>
          <w:rFonts w:ascii="宋体" w:hAnsi="宋体" w:cs="宋体" w:eastAsia="宋体" w:hint="default"/>
        </w:rPr>
        <w:t>2012</w:t>
      </w:r>
      <w:r>
        <w:rPr>
          <w:rFonts w:ascii="宋体" w:hAnsi="宋体" w:cs="宋体" w:eastAsia="宋体" w:hint="default"/>
          <w:spacing w:val="-44"/>
        </w:rPr>
        <w:t> </w:t>
      </w:r>
      <w:r>
        <w:rPr/>
        <w:t>年度的经营计划主 </w:t>
      </w:r>
      <w:r>
        <w:rPr>
          <w:spacing w:val="-4"/>
        </w:rPr>
        <w:t>要围绕推行科学化、精细化管理，提高公司整体运营效率；进一步开发国内市场，努力开拓海外市场；人才培养和引进并重，</w:t>
      </w:r>
      <w:r>
        <w:rPr>
          <w:spacing w:val="-43"/>
        </w:rPr>
        <w:t> </w:t>
      </w:r>
      <w:r>
        <w:rPr>
          <w:spacing w:val="-43"/>
        </w:rPr>
      </w:r>
      <w:r>
        <w:rPr/>
        <w:t>加强人力资源建设；扩大工厂产能和加强投资者关系建设几个方面开展。</w:t>
      </w:r>
    </w:p>
    <w:p>
      <w:pPr>
        <w:pStyle w:val="BodyText"/>
        <w:spacing w:line="477" w:lineRule="auto" w:before="95"/>
        <w:ind w:right="191" w:firstLine="425"/>
        <w:jc w:val="both"/>
      </w:pPr>
      <w:r>
        <w:rPr/>
        <w:t>报告期内，公司的主营业务收入及其构成充分体现了公司的发展战略得到了有效实行，在金融</w:t>
      </w:r>
      <w:r>
        <w:rPr>
          <w:spacing w:val="-44"/>
        </w:rPr>
        <w:t> </w:t>
      </w:r>
      <w:r>
        <w:rPr>
          <w:rFonts w:ascii="宋体" w:hAnsi="宋体" w:cs="宋体" w:eastAsia="宋体" w:hint="default"/>
        </w:rPr>
        <w:t>POS</w:t>
      </w:r>
      <w:r>
        <w:rPr>
          <w:rFonts w:ascii="宋体" w:hAnsi="宋体" w:cs="宋体" w:eastAsia="宋体" w:hint="default"/>
          <w:spacing w:val="-45"/>
        </w:rPr>
        <w:t> </w:t>
      </w:r>
      <w:r>
        <w:rPr/>
        <w:t>机为主的电子支付 受理终端设备供应商竞争中，市场竞争地位得到进一步巩固，公司市场规模稳定增长。同时，在</w:t>
      </w:r>
      <w:r>
        <w:rPr>
          <w:spacing w:val="-44"/>
        </w:rPr>
        <w:t> </w:t>
      </w:r>
      <w:r>
        <w:rPr>
          <w:rFonts w:ascii="宋体" w:hAnsi="宋体" w:cs="宋体" w:eastAsia="宋体" w:hint="default"/>
        </w:rPr>
        <w:t>2012</w:t>
      </w:r>
      <w:r>
        <w:rPr>
          <w:rFonts w:ascii="宋体" w:hAnsi="宋体" w:cs="宋体" w:eastAsia="宋体" w:hint="default"/>
          <w:spacing w:val="-44"/>
        </w:rPr>
        <w:t> </w:t>
      </w:r>
      <w:r>
        <w:rPr/>
        <w:t>年，公司引进了</w:t>
      </w:r>
      <w:r>
        <w:rPr>
          <w:spacing w:val="-46"/>
        </w:rPr>
        <w:t> </w:t>
      </w:r>
      <w:r>
        <w:rPr>
          <w:rFonts w:ascii="宋体" w:hAnsi="宋体" w:cs="宋体" w:eastAsia="宋体" w:hint="default"/>
        </w:rPr>
        <w:t>IBM </w:t>
      </w:r>
      <w:r>
        <w:rPr/>
        <w:t>企业咨询管理项目，推动企业科学化、精细化管理；国内商业银行的销售收入快速增加，全年商业银行实现营业收入</w:t>
      </w:r>
      <w:r>
        <w:rPr>
          <w:spacing w:val="-44"/>
        </w:rPr>
        <w:t> </w:t>
      </w:r>
      <w:r>
        <w:rPr>
          <w:rFonts w:ascii="宋体" w:hAnsi="宋体" w:cs="宋体" w:eastAsia="宋体" w:hint="default"/>
        </w:rPr>
        <w:t>22</w:t>
      </w:r>
      <w:r>
        <w:rPr/>
        <w:t>， </w:t>
      </w:r>
      <w:r>
        <w:rPr>
          <w:rFonts w:ascii="宋体" w:hAnsi="宋体" w:cs="宋体" w:eastAsia="宋体" w:hint="default"/>
        </w:rPr>
        <w:t>594.53</w:t>
      </w:r>
      <w:r>
        <w:rPr>
          <w:rFonts w:ascii="宋体" w:hAnsi="宋体" w:cs="宋体" w:eastAsia="宋体" w:hint="default"/>
          <w:spacing w:val="-54"/>
        </w:rPr>
        <w:t> </w:t>
      </w:r>
      <w:r>
        <w:rPr/>
        <w:t>万元，较去年同期增长</w:t>
      </w:r>
      <w:r>
        <w:rPr>
          <w:spacing w:val="-57"/>
        </w:rPr>
        <w:t> </w:t>
      </w:r>
      <w:r>
        <w:rPr>
          <w:rFonts w:ascii="宋体" w:hAnsi="宋体" w:cs="宋体" w:eastAsia="宋体" w:hint="default"/>
        </w:rPr>
        <w:t>93.85%</w:t>
      </w:r>
      <w:r>
        <w:rPr/>
        <w:t>，占公司营业收入的比例为</w:t>
      </w:r>
      <w:r>
        <w:rPr>
          <w:spacing w:val="-55"/>
        </w:rPr>
        <w:t> </w:t>
      </w:r>
      <w:r>
        <w:rPr>
          <w:rFonts w:ascii="宋体" w:hAnsi="宋体" w:cs="宋体" w:eastAsia="宋体" w:hint="default"/>
        </w:rPr>
        <w:t>45.64%</w:t>
      </w:r>
      <w:r>
        <w:rPr/>
        <w:t>，占比较去年同期提高了</w:t>
      </w:r>
      <w:r>
        <w:rPr>
          <w:spacing w:val="-55"/>
        </w:rPr>
        <w:t> </w:t>
      </w:r>
      <w:r>
        <w:rPr>
          <w:rFonts w:ascii="宋体" w:hAnsi="宋体" w:cs="宋体" w:eastAsia="宋体" w:hint="default"/>
        </w:rPr>
        <w:t>11.52</w:t>
      </w:r>
      <w:r>
        <w:rPr>
          <w:rFonts w:ascii="宋体" w:hAnsi="宋体" w:cs="宋体" w:eastAsia="宋体" w:hint="default"/>
          <w:spacing w:val="-54"/>
        </w:rPr>
        <w:t> </w:t>
      </w:r>
      <w:r>
        <w:rPr/>
        <w:t>个百分点；继续加</w:t>
      </w:r>
    </w:p>
    <w:p>
      <w:pPr>
        <w:pStyle w:val="BodyText"/>
        <w:spacing w:line="240" w:lineRule="auto" w:before="54"/>
        <w:ind w:right="0"/>
        <w:jc w:val="left"/>
        <w:rPr>
          <w:rFonts w:ascii="宋体" w:hAnsi="宋体" w:cs="宋体" w:eastAsia="宋体" w:hint="default"/>
        </w:rPr>
      </w:pPr>
      <w:r>
        <w:rPr/>
        <w:t>大海外市场宣传力度，通过股权合作方式与美国客户在研发、销售等方面达成更深入合作；公司员工总数从</w:t>
      </w:r>
      <w:r>
        <w:rPr>
          <w:spacing w:val="-45"/>
        </w:rPr>
        <w:t> </w:t>
      </w:r>
      <w:r>
        <w:rPr>
          <w:rFonts w:ascii="宋体" w:hAnsi="宋体" w:cs="宋体" w:eastAsia="宋体" w:hint="default"/>
        </w:rPr>
        <w:t>2011</w:t>
      </w:r>
      <w:r>
        <w:rPr>
          <w:rFonts w:ascii="宋体" w:hAnsi="宋体" w:cs="宋体" w:eastAsia="宋体" w:hint="default"/>
          <w:spacing w:val="-45"/>
        </w:rPr>
        <w:t> </w:t>
      </w:r>
      <w:r>
        <w:rPr/>
        <w:t>年的</w:t>
      </w:r>
      <w:r>
        <w:rPr>
          <w:spacing w:val="-47"/>
        </w:rPr>
        <w:t> </w:t>
      </w:r>
      <w:r>
        <w:rPr>
          <w:rFonts w:ascii="宋体" w:hAnsi="宋体" w:cs="宋体" w:eastAsia="宋体" w:hint="default"/>
        </w:rPr>
        <w:t>853</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人增长到</w:t>
      </w:r>
      <w:r>
        <w:rPr>
          <w:spacing w:val="-46"/>
        </w:rPr>
        <w:t> </w:t>
      </w:r>
      <w:r>
        <w:rPr>
          <w:rFonts w:ascii="宋体" w:hAnsi="宋体" w:cs="宋体" w:eastAsia="宋体" w:hint="default"/>
        </w:rPr>
        <w:t>2012</w:t>
      </w:r>
      <w:r>
        <w:rPr>
          <w:rFonts w:ascii="宋体" w:hAnsi="宋体" w:cs="宋体" w:eastAsia="宋体" w:hint="default"/>
          <w:spacing w:val="-45"/>
        </w:rPr>
        <w:t> </w:t>
      </w:r>
      <w:r>
        <w:rPr/>
        <w:t>年年底的</w:t>
      </w:r>
      <w:r>
        <w:rPr>
          <w:spacing w:val="-47"/>
        </w:rPr>
        <w:t> </w:t>
      </w:r>
      <w:r>
        <w:rPr>
          <w:rFonts w:ascii="宋体" w:hAnsi="宋体" w:cs="宋体" w:eastAsia="宋体" w:hint="default"/>
        </w:rPr>
        <w:t>1143</w:t>
      </w:r>
      <w:r>
        <w:rPr>
          <w:rFonts w:ascii="宋体" w:hAnsi="宋体" w:cs="宋体" w:eastAsia="宋体" w:hint="default"/>
          <w:spacing w:val="-48"/>
        </w:rPr>
        <w:t> </w:t>
      </w:r>
      <w:r>
        <w:rPr>
          <w:spacing w:val="-2"/>
        </w:rPr>
        <w:t>人，同时公司建立了较为完善的员工培训机制，为员工提供从职业技能、职业规划、企业文化</w:t>
      </w:r>
    </w:p>
    <w:p>
      <w:pPr>
        <w:spacing w:line="240" w:lineRule="auto" w:before="10"/>
        <w:rPr>
          <w:rFonts w:ascii="宋体" w:hAnsi="宋体" w:cs="宋体" w:eastAsia="宋体" w:hint="default"/>
          <w:sz w:val="17"/>
          <w:szCs w:val="17"/>
        </w:rPr>
      </w:pPr>
    </w:p>
    <w:p>
      <w:pPr>
        <w:pStyle w:val="BodyText"/>
        <w:spacing w:line="477" w:lineRule="auto" w:before="0"/>
        <w:ind w:right="177"/>
        <w:jc w:val="left"/>
      </w:pPr>
      <w:r>
        <w:rPr/>
        <w:t>等方面的培训；公司完成了新建工厂的建设，工厂面积增加到</w:t>
      </w:r>
      <w:r>
        <w:rPr>
          <w:spacing w:val="-55"/>
        </w:rPr>
        <w:t> </w:t>
      </w:r>
      <w:r>
        <w:rPr>
          <w:rFonts w:ascii="宋体" w:hAnsi="宋体" w:cs="宋体" w:eastAsia="宋体" w:hint="default"/>
        </w:rPr>
        <w:t>2.4</w:t>
      </w:r>
      <w:r>
        <w:rPr>
          <w:rFonts w:ascii="宋体" w:hAnsi="宋体" w:cs="宋体" w:eastAsia="宋体" w:hint="default"/>
          <w:spacing w:val="-54"/>
        </w:rPr>
        <w:t> </w:t>
      </w:r>
      <w:r>
        <w:rPr/>
        <w:t>万平方米，产能扩大了</w:t>
      </w:r>
      <w:r>
        <w:rPr>
          <w:spacing w:val="-57"/>
        </w:rPr>
        <w:t> </w:t>
      </w:r>
      <w:r>
        <w:rPr>
          <w:rFonts w:ascii="宋体" w:hAnsi="宋体" w:cs="宋体" w:eastAsia="宋体" w:hint="default"/>
        </w:rPr>
        <w:t>1</w:t>
      </w:r>
      <w:r>
        <w:rPr>
          <w:rFonts w:ascii="宋体" w:hAnsi="宋体" w:cs="宋体" w:eastAsia="宋体" w:hint="default"/>
          <w:spacing w:val="-55"/>
        </w:rPr>
        <w:t> </w:t>
      </w:r>
      <w:r>
        <w:rPr>
          <w:spacing w:val="-3"/>
        </w:rPr>
        <w:t>倍；在投资者关系建设方面，公</w:t>
      </w:r>
      <w:r>
        <w:rPr/>
        <w:t> 司开通了电话专线，安排专门工作人员确保工作时间内</w:t>
      </w:r>
      <w:r>
        <w:rPr>
          <w:spacing w:val="-45"/>
        </w:rPr>
        <w:t> </w:t>
      </w:r>
      <w:r>
        <w:rPr>
          <w:rFonts w:ascii="宋体" w:hAnsi="宋体" w:cs="宋体" w:eastAsia="宋体" w:hint="default"/>
        </w:rPr>
        <w:t>100%</w:t>
      </w:r>
      <w:r>
        <w:rPr/>
        <w:t>电话接通率，积极维护股东互动平台，及时解答投资者疑问。</w:t>
      </w:r>
    </w:p>
    <w:p>
      <w:pPr>
        <w:pStyle w:val="BodyText"/>
        <w:spacing w:line="240" w:lineRule="auto" w:before="92"/>
        <w:ind w:left="578" w:right="0"/>
        <w:jc w:val="left"/>
      </w:pPr>
      <w:r>
        <w:rPr/>
        <w:t>公司实际经营业绩较曾公开披露过的本年度盈利预测低于或高于</w:t>
      </w:r>
      <w:r>
        <w:rPr>
          <w:spacing w:val="-44"/>
        </w:rPr>
        <w:t> </w:t>
      </w:r>
      <w:r>
        <w:rPr>
          <w:rFonts w:ascii="宋体" w:hAnsi="宋体" w:cs="宋体" w:eastAsia="宋体" w:hint="default"/>
        </w:rPr>
        <w:t>20%</w:t>
      </w:r>
      <w:r>
        <w:rPr/>
        <w:t>以上的差异原因</w:t>
      </w:r>
    </w:p>
    <w:p>
      <w:pPr>
        <w:spacing w:line="240" w:lineRule="auto" w:before="12"/>
        <w:rPr>
          <w:rFonts w:ascii="宋体" w:hAnsi="宋体" w:cs="宋体" w:eastAsia="宋体" w:hint="default"/>
          <w:sz w:val="20"/>
          <w:szCs w:val="20"/>
        </w:rPr>
      </w:pPr>
    </w:p>
    <w:p>
      <w:pPr>
        <w:pStyle w:val="BodyText"/>
        <w:spacing w:line="240" w:lineRule="auto" w:before="0"/>
        <w:ind w:right="0" w:firstLine="42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0"/>
        <w:jc w:val="left"/>
        <w:rPr>
          <w:b w:val="0"/>
          <w:bCs w:val="0"/>
        </w:rPr>
      </w:pPr>
      <w:r>
        <w:rPr>
          <w:rFonts w:ascii="宋体" w:hAnsi="宋体" w:cs="宋体" w:eastAsia="宋体" w:hint="default"/>
        </w:rPr>
        <w:t>2</w:t>
      </w:r>
      <w:r>
        <w:rPr/>
        <w:t>、主营业务分部报告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0" w:right="191"/>
        <w:jc w:val="right"/>
      </w:pPr>
      <w:r>
        <w:rPr/>
        <w:t>单位：元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2" w:right="0" w:hanging="15"/>
              <w:jc w:val="left"/>
              <w:rPr>
                <w:rFonts w:ascii="宋体" w:hAnsi="宋体" w:cs="宋体" w:eastAsia="宋体" w:hint="default"/>
                <w:sz w:val="18"/>
                <w:szCs w:val="18"/>
              </w:rPr>
            </w:pPr>
            <w:r>
              <w:rPr>
                <w:rFonts w:ascii="宋体" w:hAnsi="宋体" w:cs="宋体" w:eastAsia="宋体" w:hint="default"/>
                <w:sz w:val="18"/>
                <w:szCs w:val="18"/>
              </w:rPr>
              <w:t>营业收入比上年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2" w:right="0" w:hanging="15"/>
              <w:jc w:val="left"/>
              <w:rPr>
                <w:rFonts w:ascii="宋体" w:hAnsi="宋体" w:cs="宋体" w:eastAsia="宋体" w:hint="default"/>
                <w:sz w:val="18"/>
                <w:szCs w:val="18"/>
              </w:rPr>
            </w:pPr>
            <w:r>
              <w:rPr>
                <w:rFonts w:ascii="宋体" w:hAnsi="宋体" w:cs="宋体" w:eastAsia="宋体" w:hint="default"/>
                <w:sz w:val="18"/>
                <w:szCs w:val="18"/>
              </w:rPr>
              <w:t>营业成本比上年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毛利率比上年同</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9"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银行卡电子支付 终端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494,315,894.67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293,688,072.41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24" w:right="0"/>
              <w:jc w:val="left"/>
              <w:rPr>
                <w:rFonts w:ascii="Times New Roman" w:hAnsi="Times New Roman" w:cs="Times New Roman" w:eastAsia="Times New Roman" w:hint="default"/>
                <w:sz w:val="18"/>
                <w:szCs w:val="18"/>
              </w:rPr>
            </w:pPr>
            <w:r>
              <w:rPr>
                <w:rFonts w:ascii="Times New Roman"/>
                <w:sz w:val="18"/>
              </w:rPr>
              <w:t>-12.48%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557"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475,525,661.62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290,430,957.41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-12.94%</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11,413,580.41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1,178,665.99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136,752.14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44,394.00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1,637,386.90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272,319.38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-16.63%</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4,742,439.26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1,761,735.63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860,074.34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191,900,445.27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121,723,351.00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-11.1%</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104,495,675.21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55,735,774.80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83,876,104.29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49,261,567.01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-17.03%</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51,951,801.69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31,988,832.09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-20.88%</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22,339,847.86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12,868,280.90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-11.48%</w:t>
            </w:r>
          </w:p>
        </w:tc>
      </w:tr>
      <w:tr>
        <w:trPr>
          <w:trHeight w:val="5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18,529,841.03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10,292,287.51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-13.75%</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15,945,220.51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9,258,252.07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-11.34%</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5,276,958.81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2,559,727.03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-22.99%</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494,315,894.67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293,688,072.41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-12.48%</w:t>
            </w:r>
          </w:p>
        </w:tc>
      </w:tr>
    </w:tbl>
    <w:p>
      <w:pPr>
        <w:spacing w:line="240" w:lineRule="auto" w:before="5"/>
        <w:rPr>
          <w:rFonts w:ascii="宋体" w:hAnsi="宋体" w:cs="宋体" w:eastAsia="宋体" w:hint="default"/>
          <w:sz w:val="6"/>
          <w:szCs w:val="6"/>
        </w:rPr>
      </w:pPr>
    </w:p>
    <w:p>
      <w:pPr>
        <w:pStyle w:val="BodyText"/>
        <w:spacing w:line="240" w:lineRule="auto"/>
        <w:ind w:left="573" w:right="141"/>
        <w:jc w:val="left"/>
      </w:pPr>
      <w:r>
        <w:rPr/>
        <w:t>公司主营业务数据统计口径在报告期发生调整的情况下，公司最近</w:t>
      </w:r>
      <w:r>
        <w:rPr>
          <w:spacing w:val="-47"/>
        </w:rPr>
        <w:t> </w:t>
      </w:r>
      <w:r>
        <w:rPr>
          <w:rFonts w:ascii="宋体" w:hAnsi="宋体" w:cs="宋体" w:eastAsia="宋体" w:hint="default"/>
        </w:rPr>
        <w:t>3</w:t>
      </w:r>
      <w:r>
        <w:rPr>
          <w:rFonts w:ascii="宋体" w:hAnsi="宋体" w:cs="宋体" w:eastAsia="宋体" w:hint="default"/>
          <w:spacing w:val="-46"/>
        </w:rPr>
        <w:t> </w:t>
      </w:r>
      <w:r>
        <w:rPr/>
        <w:t>年按报告期末口径调整后的主营业务数据</w:t>
      </w:r>
    </w:p>
    <w:p>
      <w:pPr>
        <w:spacing w:line="240" w:lineRule="auto" w:before="9"/>
        <w:rPr>
          <w:rFonts w:ascii="宋体" w:hAnsi="宋体" w:cs="宋体" w:eastAsia="宋体" w:hint="default"/>
          <w:sz w:val="20"/>
          <w:szCs w:val="20"/>
        </w:rPr>
      </w:pPr>
    </w:p>
    <w:p>
      <w:pPr>
        <w:pStyle w:val="BodyText"/>
        <w:spacing w:line="240" w:lineRule="auto" w:before="0"/>
        <w:ind w:left="573" w:right="141"/>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宋体" w:hAnsi="宋体" w:cs="宋体" w:eastAsia="宋体" w:hint="default"/>
        </w:rPr>
        <w:t>3</w:t>
      </w:r>
      <w:r>
        <w:rPr/>
        <w:t>、资产、负债状况分析</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7"/>
        <w:spacing w:line="240" w:lineRule="auto"/>
        <w:ind w:right="141"/>
        <w:jc w:val="left"/>
        <w:rPr>
          <w:b w:val="0"/>
          <w:bCs w:val="0"/>
        </w:rPr>
      </w:pPr>
      <w:r>
        <w:rPr/>
        <w:t>（</w:t>
      </w:r>
      <w:r>
        <w:rPr>
          <w:rFonts w:ascii="宋体" w:hAnsi="宋体" w:cs="宋体" w:eastAsia="宋体" w:hint="default"/>
        </w:rPr>
        <w:t>1</w:t>
      </w:r>
      <w:r>
        <w:rPr/>
        <w:t>）资产项目重大变动情况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2228"/>
        <w:gridCol w:w="2259"/>
        <w:gridCol w:w="797"/>
        <w:gridCol w:w="2908"/>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40"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占总资产比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占总资产比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val="restart"/>
            <w:tcBorders>
              <w:top w:val="single" w:sz="4" w:space="0" w:color="000000"/>
              <w:left w:val="single" w:sz="12" w:space="0" w:color="D2D2D2"/>
              <w:right w:val="single" w:sz="4" w:space="0" w:color="000000"/>
            </w:tcBorders>
          </w:tcPr>
          <w:p>
            <w:pPr>
              <w:pStyle w:val="TableParagraph"/>
              <w:spacing w:line="240" w:lineRule="auto" w:before="87"/>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548" w:hRule="exact"/>
        </w:trPr>
        <w:tc>
          <w:tcPr>
            <w:tcW w:w="1356"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12" w:space="0" w:color="D2D2D2"/>
              <w:right w:val="single" w:sz="4" w:space="0" w:color="000000"/>
            </w:tcBorders>
          </w:tcPr>
          <w:p>
            <w:pPr/>
          </w:p>
        </w:tc>
        <w:tc>
          <w:tcPr>
            <w:tcW w:w="2919" w:type="dxa"/>
            <w:vMerge/>
            <w:tcBorders>
              <w:left w:val="single" w:sz="4" w:space="0" w:color="000000"/>
              <w:right w:val="single" w:sz="4" w:space="0" w:color="000000"/>
            </w:tcBorders>
            <w:shd w:val="clear" w:color="auto" w:fill="D2D2D2"/>
          </w:tcPr>
          <w:p>
            <w:pPr/>
          </w:p>
        </w:tc>
      </w:tr>
      <w:tr>
        <w:trPr>
          <w:trHeight w:val="238"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12"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701,383,709.5</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57.26%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754,915,045.66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67.81%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-10.55%</w:t>
            </w:r>
          </w:p>
        </w:tc>
        <w:tc>
          <w:tcPr>
            <w:tcW w:w="2919" w:type="dxa"/>
            <w:vMerge w:val="restart"/>
            <w:tcBorders>
              <w:top w:val="single" w:sz="4" w:space="0" w:color="000000"/>
              <w:left w:val="single" w:sz="4" w:space="0" w:color="000000"/>
              <w:right w:val="single" w:sz="4" w:space="0" w:color="000000"/>
            </w:tcBorders>
          </w:tcPr>
          <w:p>
            <w:pPr/>
          </w:p>
        </w:tc>
      </w:tr>
      <w:tr>
        <w:trPr>
          <w:trHeight w:val="547"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40"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240"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196,696,956.5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16.06%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143,079,478.65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12.85%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3.21%</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销售增加所致</w:t>
            </w:r>
          </w:p>
        </w:tc>
      </w:tr>
      <w:tr>
        <w:trPr>
          <w:trHeight w:val="547"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38"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240"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138,234,413.1</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11.29%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105,999,252.56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1.77%</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报告期采购原材料增加所致</w:t>
            </w:r>
          </w:p>
        </w:tc>
      </w:tr>
      <w:tr>
        <w:trPr>
          <w:trHeight w:val="547"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4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7,006,212.95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3,254,181.45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报告期新增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Exadigm,Inc.</w:t>
            </w:r>
            <w:r>
              <w:rPr>
                <w:rFonts w:ascii="宋体" w:hAnsi="宋体" w:cs="宋体" w:eastAsia="宋体" w:hint="default"/>
                <w:sz w:val="18"/>
                <w:szCs w:val="18"/>
              </w:rPr>
              <w:t>投资所致</w:t>
            </w: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21,624,244.20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11,758,942.97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报告期购买电子设备增加所致</w:t>
            </w:r>
          </w:p>
        </w:tc>
      </w:tr>
      <w:tr>
        <w:trPr>
          <w:trHeight w:val="55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17,512,551.40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报告期投资苏州电子研发项目所致</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宋体" w:hAnsi="宋体" w:cs="宋体" w:eastAsia="宋体" w:hint="default"/>
        </w:rPr>
        <w:t>4</w:t>
      </w:r>
      <w:r>
        <w:rPr/>
        <w:t>、公司竞争能力重大变化分析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141"/>
        <w:jc w:val="left"/>
      </w:pPr>
      <w:r>
        <w:rPr/>
        <w:t>报告期内，公司竞争能力未发生重大变化。</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宋体" w:hAnsi="宋体" w:cs="宋体" w:eastAsia="宋体" w:hint="default"/>
        </w:rPr>
        <w:t>5</w:t>
      </w:r>
      <w:r>
        <w:rPr/>
        <w:t>、投资状况分析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7"/>
        <w:spacing w:line="240" w:lineRule="auto"/>
        <w:ind w:right="141"/>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单位：万元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557"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64,633.49</w:t>
            </w:r>
          </w:p>
        </w:tc>
      </w:tr>
      <w:tr>
        <w:trPr>
          <w:trHeight w:val="560"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11,987.34</w:t>
            </w:r>
          </w:p>
        </w:tc>
      </w:tr>
      <w:tr>
        <w:trPr>
          <w:trHeight w:val="557"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17,618.18</w:t>
            </w:r>
          </w:p>
        </w:tc>
      </w:tr>
      <w:tr>
        <w:trPr>
          <w:trHeight w:val="559"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9"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557"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年度公司募集资金总额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64633.49 </w:t>
            </w:r>
            <w:r>
              <w:rPr>
                <w:rFonts w:ascii="宋体" w:hAnsi="宋体" w:cs="宋体" w:eastAsia="宋体" w:hint="default"/>
                <w:sz w:val="18"/>
                <w:szCs w:val="18"/>
              </w:rPr>
              <w:t>万元，其中超募资金金额为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41016.4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日，公司已累计投</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8"/>
              <w:jc w:val="left"/>
              <w:rPr>
                <w:rFonts w:ascii="宋体" w:hAnsi="宋体" w:cs="宋体" w:eastAsia="宋体" w:hint="default"/>
                <w:sz w:val="18"/>
                <w:szCs w:val="18"/>
              </w:rPr>
            </w:pPr>
            <w:r>
              <w:rPr>
                <w:rFonts w:ascii="宋体" w:hAnsi="宋体" w:cs="宋体" w:eastAsia="宋体" w:hint="default"/>
                <w:sz w:val="18"/>
                <w:szCs w:val="18"/>
              </w:rPr>
              <w:t>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17618.18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万元，其中运营销售服务网络建设项目实施完毕，电子支付终端设备运营项目已使用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未使用完毕的资金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3799.87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万元，将继续用于运营项目的建设；电子支付技术产研基地建设项目已使用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629.17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万元，未使</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用完毕的资金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14676.83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万元，将继续用于项目的运行与建设，超募资金已使用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单位：万元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96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8" w:lineRule="auto" w:before="128"/>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6" w:right="23" w:hanging="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96" w:lineRule="auto" w:before="125"/>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559"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49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5"/>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运营销售服务网络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1,217.61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1,967.88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 运营项目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1,821.13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5"/>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电子支付技术产研 基地建设项目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3,287.34</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4,418.18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49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电子支付技术苏州 研发基地项目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8.080002pt;margin-top:72.475983pt;width:124.7pt;height:27.4pt;mso-position-horizontal-relative:page;mso-position-vertical-relative:page;z-index:-928696" type="#_x0000_t202" filled="false" stroked="false">
            <v:textbox inset="0,0,0,0">
              <w:txbxContent>
                <w:p>
                  <w:pPr>
                    <w:pStyle w:val="BodyText"/>
                    <w:spacing w:line="240" w:lineRule="auto" w:before="128"/>
                    <w:ind w:left="0" w:right="0"/>
                    <w:jc w:val="left"/>
                  </w:pPr>
                  <w:r>
                    <w:rPr/>
                    <w:t>补充流动资金（如有）</w:t>
                  </w:r>
                </w:p>
              </w:txbxContent>
            </v:textbox>
            <w10:wrap type="none"/>
          </v:shape>
        </w:pict>
      </w:r>
      <w:r>
        <w:rPr/>
        <w:pict>
          <v:shape style="position:absolute;margin-left:56.400002pt;margin-top:71.999985pt;width:479.3pt;height:678.3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67"/>
                    <w:gridCol w:w="791"/>
                    <w:gridCol w:w="780"/>
                    <w:gridCol w:w="780"/>
                    <w:gridCol w:w="792"/>
                    <w:gridCol w:w="768"/>
                    <w:gridCol w:w="768"/>
                    <w:gridCol w:w="805"/>
                    <w:gridCol w:w="768"/>
                    <w:gridCol w:w="780"/>
                  </w:tblGrid>
                  <w:tr>
                    <w:trPr>
                      <w:trHeight w:val="55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8,200</w:t>
                        </w:r>
                      </w:p>
                    </w:tc>
                    <w:tc>
                      <w:tcPr>
                        <w:tcW w:w="7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w:t>
                        </w:r>
                      </w:p>
                    </w:tc>
                    <w:tc>
                      <w:tcPr>
                        <w:tcW w:w="79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13,200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3" w:space="0" w:color="D2D2D2"/>
                          <w:bottom w:val="single" w:sz="4" w:space="0" w:color="000000"/>
                          <w:right w:val="single" w:sz="10"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11,987.34</w:t>
                        </w:r>
                      </w:p>
                    </w:tc>
                    <w:tc>
                      <w:tcPr>
                        <w:tcW w:w="79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17,618.18</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3" w:space="0" w:color="D2D2D2"/>
                          <w:bottom w:val="single" w:sz="4" w:space="0" w:color="000000"/>
                          <w:right w:val="single" w:sz="10"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77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130"/>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b/>
                            <w:bCs/>
                            <w:sz w:val="18"/>
                            <w:szCs w:val="18"/>
                          </w:rPr>
                          <w:t>“电子支付终端设备运营项目”</w:t>
                        </w:r>
                        <w:r>
                          <w:rPr>
                            <w:rFonts w:ascii="宋体" w:hAnsi="宋体" w:cs="宋体" w:eastAsia="宋体" w:hint="default"/>
                            <w:sz w:val="18"/>
                            <w:szCs w:val="18"/>
                          </w:rPr>
                          <w:t>的实施进度未能达到计划进度和预计收益，具体原因为：</w:t>
                        </w:r>
                        <w:r>
                          <w:rPr>
                            <w:rFonts w:ascii="Times New Roman" w:hAnsi="Times New Roman" w:cs="Times New Roman" w:eastAsia="Times New Roman" w:hint="default"/>
                            <w:sz w:val="18"/>
                            <w:szCs w:val="18"/>
                          </w:rPr>
                          <w:t>2010</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号文件《非金融机构支付服务管理办法》</w:t>
                        </w:r>
                      </w:p>
                      <w:p>
                        <w:pPr>
                          <w:pStyle w:val="TableParagraph"/>
                          <w:spacing w:line="240" w:lineRule="auto" w:before="9"/>
                          <w:ind w:right="0"/>
                          <w:jc w:val="left"/>
                          <w:rPr>
                            <w:rFonts w:ascii="宋体" w:hAnsi="宋体" w:cs="宋体" w:eastAsia="宋体" w:hint="default"/>
                            <w:sz w:val="16"/>
                            <w:szCs w:val="16"/>
                          </w:rPr>
                        </w:pPr>
                      </w:p>
                      <w:p>
                        <w:pPr>
                          <w:pStyle w:val="TableParagraph"/>
                          <w:spacing w:line="463" w:lineRule="auto"/>
                          <w:ind w:left="16" w:right="23"/>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号令</w:t>
                        </w:r>
                        <w:r>
                          <w:rPr>
                            <w:rFonts w:ascii="Times New Roman" w:hAnsi="Times New Roman" w:cs="Times New Roman" w:eastAsia="Times New Roman" w:hint="default"/>
                            <w:sz w:val="18"/>
                            <w:szCs w:val="18"/>
                          </w:rPr>
                          <w:t>‖</w:t>
                        </w:r>
                        <w:r>
                          <w:rPr>
                            <w:rFonts w:ascii="宋体" w:hAnsi="宋体" w:cs="宋体" w:eastAsia="宋体" w:hint="default"/>
                            <w:sz w:val="18"/>
                            <w:szCs w:val="18"/>
                          </w:rPr>
                          <w:t>），根据该办法规定，国内非金融机构从事网上支付、预付卡的发行与受理、 银行卡收单服务等业务的，必须通过中国人民银行审批，并获得相关业务许可证书。电子支付终端 设备运营项目的运营内容主要为与广州羊城通有限公司合作开展基</w:t>
                        </w:r>
                        <w:r>
                          <w:rPr>
                            <w:rFonts w:ascii="宋体" w:hAnsi="宋体" w:cs="宋体" w:eastAsia="宋体" w:hint="default"/>
                            <w:spacing w:val="1"/>
                            <w:sz w:val="18"/>
                            <w:szCs w:val="18"/>
                          </w:rPr>
                          <w:t>于</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公交卡的</w:t>
                        </w:r>
                        <w:r>
                          <w:rPr>
                            <w:rFonts w:ascii="宋体" w:hAnsi="宋体" w:cs="宋体" w:eastAsia="宋体" w:hint="default"/>
                            <w:spacing w:val="2"/>
                            <w:sz w:val="18"/>
                            <w:szCs w:val="18"/>
                          </w:rPr>
                          <w:t>小</w:t>
                        </w:r>
                        <w:r>
                          <w:rPr>
                            <w:rFonts w:ascii="宋体" w:hAnsi="宋体" w:cs="宋体" w:eastAsia="宋体" w:hint="default"/>
                            <w:sz w:val="18"/>
                            <w:szCs w:val="18"/>
                          </w:rPr>
                          <w:t>额支付合</w:t>
                        </w:r>
                        <w:r>
                          <w:rPr>
                            <w:rFonts w:ascii="宋体" w:hAnsi="宋体" w:cs="宋体" w:eastAsia="宋体" w:hint="default"/>
                            <w:sz w:val="18"/>
                            <w:szCs w:val="18"/>
                          </w:rPr>
                          <w:t> </w:t>
                        </w:r>
                        <w:r>
                          <w:rPr>
                            <w:rFonts w:ascii="宋体" w:hAnsi="宋体" w:cs="宋体" w:eastAsia="宋体" w:hint="default"/>
                            <w:spacing w:val="-3"/>
                            <w:sz w:val="18"/>
                            <w:szCs w:val="18"/>
                          </w:rPr>
                          <w:t>作运营业务，以及为商业银行、第三方提供设备租赁服务。由于受到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号令实施和审批进度的影响 以及广州羊城通有限公司在申领预付卡发行与受理牌照的进度限制，本项目的的实施进度缓慢，项 目未能达到预计收益。随着国内获得相关业务牌照的企业不断增多，截止本报告期末，全国已经有 </w:t>
                        </w:r>
                        <w:r>
                          <w:rPr>
                            <w:rFonts w:ascii="Times New Roman" w:hAnsi="Times New Roman" w:cs="Times New Roman" w:eastAsia="Times New Roman" w:hint="default"/>
                            <w:sz w:val="18"/>
                            <w:szCs w:val="18"/>
                          </w:rPr>
                          <w:t>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家企业分别获得网上支付、预付卡的发行与受理、银行卡收单服务等许可证照。公司将根据市 场的变化，及时调整项目的目标客户，积极推进项目实施进度。</w:t>
                        </w:r>
                      </w:p>
                      <w:p>
                        <w:pPr>
                          <w:pStyle w:val="TableParagraph"/>
                          <w:spacing w:line="451" w:lineRule="auto" w:before="106"/>
                          <w:ind w:left="1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b/>
                            <w:bCs/>
                            <w:sz w:val="18"/>
                            <w:szCs w:val="18"/>
                          </w:rPr>
                          <w:t>“电子支付技术产研基地建设项目”</w:t>
                        </w:r>
                        <w:r>
                          <w:rPr>
                            <w:rFonts w:ascii="宋体" w:hAnsi="宋体" w:cs="宋体" w:eastAsia="宋体" w:hint="default"/>
                            <w:sz w:val="18"/>
                            <w:szCs w:val="18"/>
                          </w:rPr>
                          <w:t>（原募集资金承诺投资项目，实施地点：南京）的实施进 </w:t>
                        </w:r>
                        <w:r>
                          <w:rPr>
                            <w:rFonts w:ascii="宋体" w:hAnsi="宋体" w:cs="宋体" w:eastAsia="宋体" w:hint="default"/>
                            <w:spacing w:val="-2"/>
                            <w:w w:val="98"/>
                            <w:sz w:val="18"/>
                            <w:szCs w:val="18"/>
                          </w:rPr>
                          <w:t>度未能达到计划进度和预计收益，具体原因为：政府原本规定的项目土地建设规划要点由</w:t>
                        </w:r>
                        <w:r>
                          <w:rPr>
                            <w:rFonts w:ascii="Times New Roman" w:hAnsi="Times New Roman" w:cs="Times New Roman" w:eastAsia="Times New Roman" w:hint="default"/>
                            <w:spacing w:val="-2"/>
                            <w:w w:val="98"/>
                            <w:sz w:val="18"/>
                            <w:szCs w:val="18"/>
                          </w:rPr>
                          <w:t>―</w:t>
                        </w:r>
                        <w:r>
                          <w:rPr>
                            <w:rFonts w:ascii="宋体" w:hAnsi="宋体" w:cs="宋体" w:eastAsia="宋体" w:hint="default"/>
                            <w:spacing w:val="-2"/>
                            <w:w w:val="98"/>
                            <w:sz w:val="18"/>
                            <w:szCs w:val="18"/>
                          </w:rPr>
                          <w:t>建筑容积</w:t>
                        </w:r>
                        <w:r>
                          <w:rPr>
                            <w:rFonts w:ascii="宋体" w:hAnsi="宋体" w:cs="宋体" w:eastAsia="宋体" w:hint="default"/>
                            <w:spacing w:val="-79"/>
                            <w:w w:val="98"/>
                            <w:sz w:val="18"/>
                            <w:szCs w:val="18"/>
                          </w:rPr>
                          <w:t> </w:t>
                        </w:r>
                        <w:r>
                          <w:rPr>
                            <w:rFonts w:ascii="宋体" w:hAnsi="宋体" w:cs="宋体" w:eastAsia="宋体" w:hint="default"/>
                            <w:sz w:val="18"/>
                            <w:szCs w:val="18"/>
                          </w:rPr>
                          <w:t>率</w:t>
                        </w:r>
                        <w:r>
                          <w:rPr>
                            <w:rFonts w:ascii="宋体" w:hAnsi="宋体" w:cs="宋体" w:eastAsia="宋体" w:hint="default"/>
                            <w:spacing w:val="-60"/>
                            <w:sz w:val="18"/>
                            <w:szCs w:val="18"/>
                          </w:rPr>
                          <w:t> </w:t>
                        </w:r>
                        <w:r>
                          <w:rPr>
                            <w:rFonts w:ascii="Times New Roman" w:hAnsi="Times New Roman" w:cs="Times New Roman" w:eastAsia="Times New Roman" w:hint="default"/>
                            <w:spacing w:val="-2"/>
                            <w:w w:val="100"/>
                            <w:sz w:val="18"/>
                            <w:szCs w:val="18"/>
                          </w:rPr>
                          <w:t>0.7≤R≤1.2</w:t>
                        </w:r>
                        <w:r>
                          <w:rPr>
                            <w:rFonts w:ascii="宋体" w:hAnsi="宋体" w:cs="宋体" w:eastAsia="宋体" w:hint="default"/>
                            <w:spacing w:val="-2"/>
                            <w:w w:val="100"/>
                            <w:sz w:val="18"/>
                            <w:szCs w:val="18"/>
                          </w:rPr>
                          <w:t>，建筑密度</w:t>
                        </w:r>
                        <w:r>
                          <w:rPr>
                            <w:rFonts w:ascii="Times New Roman" w:hAnsi="Times New Roman" w:cs="Times New Roman" w:eastAsia="Times New Roman" w:hint="default"/>
                            <w:spacing w:val="-2"/>
                            <w:w w:val="100"/>
                            <w:sz w:val="18"/>
                            <w:szCs w:val="18"/>
                          </w:rPr>
                          <w:t>≤30%</w:t>
                        </w:r>
                        <w:r>
                          <w:rPr>
                            <w:rFonts w:ascii="宋体" w:hAnsi="宋体" w:cs="宋体" w:eastAsia="宋体" w:hint="default"/>
                            <w:spacing w:val="-2"/>
                            <w:w w:val="100"/>
                            <w:sz w:val="18"/>
                            <w:szCs w:val="18"/>
                          </w:rPr>
                          <w:t>，建筑高度</w:t>
                        </w:r>
                        <w:r>
                          <w:rPr>
                            <w:rFonts w:ascii="Times New Roman" w:hAnsi="Times New Roman" w:cs="Times New Roman" w:eastAsia="Times New Roman" w:hint="default"/>
                            <w:spacing w:val="-2"/>
                            <w:w w:val="100"/>
                            <w:sz w:val="18"/>
                            <w:szCs w:val="18"/>
                          </w:rPr>
                          <w:t>≤15</w:t>
                        </w:r>
                        <w:r>
                          <w:rPr>
                            <w:rFonts w:ascii="Times New Roman" w:hAnsi="Times New Roman" w:cs="Times New Roman" w:eastAsia="Times New Roman" w:hint="default"/>
                            <w:spacing w:val="-14"/>
                            <w:w w:val="100"/>
                            <w:sz w:val="18"/>
                            <w:szCs w:val="18"/>
                          </w:rPr>
                          <w:t> </w:t>
                        </w:r>
                        <w:r>
                          <w:rPr>
                            <w:rFonts w:ascii="宋体" w:hAnsi="宋体" w:cs="宋体" w:eastAsia="宋体" w:hint="default"/>
                            <w:spacing w:val="-2"/>
                            <w:w w:val="100"/>
                            <w:sz w:val="18"/>
                            <w:szCs w:val="18"/>
                          </w:rPr>
                          <w:t>米，绿地率</w:t>
                        </w:r>
                        <w:r>
                          <w:rPr>
                            <w:rFonts w:ascii="Times New Roman" w:hAnsi="Times New Roman" w:cs="Times New Roman" w:eastAsia="Times New Roman" w:hint="default"/>
                            <w:spacing w:val="-2"/>
                            <w:w w:val="100"/>
                            <w:sz w:val="18"/>
                            <w:szCs w:val="18"/>
                          </w:rPr>
                          <w:t>≥45%‖</w:t>
                        </w:r>
                        <w:r>
                          <w:rPr>
                            <w:rFonts w:ascii="宋体" w:hAnsi="宋体" w:cs="宋体" w:eastAsia="宋体" w:hint="default"/>
                            <w:spacing w:val="-2"/>
                            <w:w w:val="100"/>
                            <w:sz w:val="18"/>
                            <w:szCs w:val="18"/>
                          </w:rPr>
                          <w:t>变更为</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建筑容积率</w:t>
                        </w:r>
                        <w:r>
                          <w:rPr>
                            <w:rFonts w:ascii="宋体" w:hAnsi="宋体" w:cs="宋体" w:eastAsia="宋体" w:hint="default"/>
                            <w:spacing w:val="-60"/>
                            <w:w w:val="100"/>
                            <w:sz w:val="18"/>
                            <w:szCs w:val="18"/>
                          </w:rPr>
                          <w:t> </w:t>
                        </w:r>
                        <w:r>
                          <w:rPr>
                            <w:rFonts w:ascii="Times New Roman" w:hAnsi="Times New Roman" w:cs="Times New Roman" w:eastAsia="Times New Roman" w:hint="default"/>
                            <w:spacing w:val="-2"/>
                            <w:w w:val="100"/>
                            <w:sz w:val="18"/>
                            <w:szCs w:val="18"/>
                          </w:rPr>
                          <w:t>0.7≤R≤1.2</w:t>
                        </w:r>
                        <w:r>
                          <w:rPr>
                            <w:rFonts w:ascii="宋体" w:hAnsi="宋体" w:cs="宋体" w:eastAsia="宋体" w:hint="default"/>
                            <w:spacing w:val="-2"/>
                            <w:w w:val="100"/>
                            <w:sz w:val="18"/>
                            <w:szCs w:val="18"/>
                          </w:rPr>
                          <w:t>，建筑</w:t>
                        </w:r>
                        <w:r>
                          <w:rPr>
                            <w:rFonts w:ascii="宋体" w:hAnsi="宋体" w:cs="宋体" w:eastAsia="宋体" w:hint="default"/>
                            <w:sz w:val="18"/>
                            <w:szCs w:val="18"/>
                          </w:rPr>
                          <w:t> 密度</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≤10 </w:t>
                        </w:r>
                        <w:r>
                          <w:rPr>
                            <w:rFonts w:ascii="宋体" w:hAnsi="宋体" w:cs="宋体" w:eastAsia="宋体" w:hint="default"/>
                            <w:spacing w:val="-1"/>
                            <w:sz w:val="18"/>
                            <w:szCs w:val="18"/>
                          </w:rPr>
                          <w:t>米，绿地率</w:t>
                        </w:r>
                        <w:r>
                          <w:rPr>
                            <w:rFonts w:ascii="Times New Roman" w:hAnsi="Times New Roman" w:cs="Times New Roman" w:eastAsia="Times New Roman" w:hint="default"/>
                            <w:spacing w:val="-1"/>
                            <w:sz w:val="18"/>
                            <w:szCs w:val="18"/>
                          </w:rPr>
                          <w:t>≥45%‖</w:t>
                        </w:r>
                        <w:r>
                          <w:rPr>
                            <w:rFonts w:ascii="宋体" w:hAnsi="宋体" w:cs="宋体" w:eastAsia="宋体" w:hint="default"/>
                            <w:spacing w:val="-1"/>
                            <w:sz w:val="18"/>
                            <w:szCs w:val="18"/>
                          </w:rPr>
                          <w:t>，建设规划要点的变更导致南京项目土地的原定建设方</w:t>
                        </w:r>
                        <w:r>
                          <w:rPr>
                            <w:rFonts w:ascii="宋体" w:hAnsi="宋体" w:cs="宋体" w:eastAsia="宋体" w:hint="default"/>
                            <w:spacing w:val="-76"/>
                            <w:sz w:val="18"/>
                            <w:szCs w:val="18"/>
                          </w:rPr>
                          <w:t> </w:t>
                        </w:r>
                        <w:r>
                          <w:rPr>
                            <w:rFonts w:ascii="宋体" w:hAnsi="宋体" w:cs="宋体" w:eastAsia="宋体" w:hint="default"/>
                            <w:spacing w:val="-2"/>
                            <w:sz w:val="18"/>
                            <w:szCs w:val="18"/>
                          </w:rPr>
                          <w:t>案无法正常实施，且根据新的建设规划要点，项目地块已经无法满足公司使用需求。该项目于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2012</w:t>
                        </w:r>
                      </w:p>
                      <w:p>
                        <w:pPr>
                          <w:pStyle w:val="TableParagraph"/>
                          <w:spacing w:line="468" w:lineRule="auto" w:before="43"/>
                          <w:ind w:left="16" w:right="23"/>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年度股东大会审议通过，公司已将该项目建设内容和投资资金分别迁移至 深圳、苏州两地实施，其中在深圳，由公司通过租赁厂房的方式实施电子支付设备生产中心；在苏 州，由公司的控股子公司苏州新国都电子技术有限公司实施电子支付技术研发中心建设项目。变更 后项目实施情况详见</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tc>
                  </w:tr>
                  <w:tr>
                    <w:trPr>
                      <w:trHeight w:val="148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7" w:lineRule="auto" w:before="128"/>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377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92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463" w:lineRule="auto" w:before="128"/>
                          <w:ind w:left="16" w:right="20"/>
                          <w:jc w:val="both"/>
                          <w:rPr>
                            <w:rFonts w:ascii="宋体" w:hAnsi="宋体" w:cs="宋体" w:eastAsia="宋体" w:hint="default"/>
                            <w:sz w:val="18"/>
                            <w:szCs w:val="18"/>
                          </w:rPr>
                        </w:pPr>
                        <w:r>
                          <w:rPr>
                            <w:rFonts w:ascii="宋体" w:hAnsi="宋体" w:cs="宋体" w:eastAsia="宋体" w:hint="default"/>
                            <w:sz w:val="18"/>
                            <w:szCs w:val="18"/>
                          </w:rPr>
                          <w:t>用超募资金增资深圳市易联技术有限公司（以下简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易联技术</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）开展“电子支付服务项目”，项 目可行性发生重大变化，具体情况为：随着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号令的推行，国内第三方支付市场发生重大变化，且 市场竞争不断加剧。易联技术开展电子支付服务项目，主要是为了推进小额支付运营业务的进展， 计划申领预付卡发行和受理业务。由于公司的小额支付运营业务受到阻碍，导致本项目无法实际开 展，造成项目可行性发生重大变化。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年第一次临时股东大会审议通过了</w:t>
                        </w:r>
                      </w:p>
                      <w:p>
                        <w:pPr>
                          <w:pStyle w:val="TableParagraph"/>
                          <w:spacing w:line="240" w:lineRule="auto" w:before="3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《审议终止深圳市易联技术有限公司</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并</w:t>
                        </w:r>
                        <w:r>
                          <w:rPr>
                            <w:rFonts w:ascii="宋体" w:hAnsi="宋体" w:cs="宋体" w:eastAsia="宋体" w:hint="default"/>
                            <w:sz w:val="18"/>
                            <w:szCs w:val="18"/>
                          </w:rPr>
                          <w:t>退回其他与主营业务相关的营运资金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7" w:lineRule="auto" w:before="128"/>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92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76.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5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亿元的议案》，终止该项目的实施，以提高超募资金的使用效率。</w:t>
                        </w:r>
                      </w:p>
                    </w:tc>
                  </w:tr>
                  <w:tr>
                    <w:trPr>
                      <w:trHeight w:val="557"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475"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3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年第一次临时股东大会会议于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日召开，审议通过了《关于审议使用部分其 他与主营业务相关的营运资金对全资子公司深圳市新国都软件技术有限公司增资的议案》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日使用超募资金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亿增资新国都软件公司。（注：现已更名为深圳市易联技术有限公</w:t>
                        </w:r>
                      </w:p>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年第一次临时股东大会审议通过了《审议终止深圳市易联技术有</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4" w:right="41"/>
                          <w:jc w:val="left"/>
                          <w:rPr>
                            <w:rFonts w:ascii="宋体" w:hAnsi="宋体" w:cs="宋体" w:eastAsia="宋体" w:hint="default"/>
                            <w:sz w:val="18"/>
                            <w:szCs w:val="18"/>
                          </w:rPr>
                        </w:pPr>
                        <w:r>
                          <w:rPr>
                            <w:rFonts w:ascii="宋体" w:hAnsi="宋体" w:cs="宋体" w:eastAsia="宋体" w:hint="default"/>
                            <w:spacing w:val="-1"/>
                            <w:w w:val="100"/>
                            <w:sz w:val="18"/>
                            <w:szCs w:val="18"/>
                          </w:rPr>
                          <w:t>限公司</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电子支付服务项目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并退回其他与主营业务相关的营运资金</w:t>
                        </w:r>
                        <w:r>
                          <w:rPr>
                            <w:rFonts w:ascii="宋体" w:hAnsi="宋体" w:cs="宋体" w:eastAsia="宋体" w:hint="default"/>
                            <w:spacing w:val="-60"/>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亿元的议案》，终止该项目的</w:t>
                        </w:r>
                        <w:r>
                          <w:rPr>
                            <w:rFonts w:ascii="宋体" w:hAnsi="宋体" w:cs="宋体" w:eastAsia="宋体" w:hint="default"/>
                            <w:sz w:val="18"/>
                            <w:szCs w:val="18"/>
                          </w:rPr>
                          <w:t> 实施。</w:t>
                        </w: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27"/>
                            <w:sz w:val="18"/>
                            <w:szCs w:val="18"/>
                          </w:rPr>
                          <w:t>、</w:t>
                        </w:r>
                        <w:r>
                          <w:rPr>
                            <w:rFonts w:ascii="宋体" w:hAnsi="宋体" w:cs="宋体" w:eastAsia="宋体" w:hint="default"/>
                            <w:sz w:val="18"/>
                            <w:szCs w:val="18"/>
                          </w:rPr>
                          <w:t>本公司于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召开第二届董事会第二次会议</w:t>
                        </w:r>
                        <w:r>
                          <w:rPr>
                            <w:rFonts w:ascii="宋体" w:hAnsi="宋体" w:cs="宋体" w:eastAsia="宋体" w:hint="default"/>
                            <w:spacing w:val="-27"/>
                            <w:sz w:val="18"/>
                            <w:szCs w:val="18"/>
                          </w:rPr>
                          <w:t>，</w:t>
                        </w:r>
                        <w:r>
                          <w:rPr>
                            <w:rFonts w:ascii="宋体" w:hAnsi="宋体" w:cs="宋体" w:eastAsia="宋体" w:hint="default"/>
                            <w:sz w:val="18"/>
                            <w:szCs w:val="18"/>
                          </w:rPr>
                          <w:t>会议通过</w:t>
                        </w:r>
                        <w:r>
                          <w:rPr>
                            <w:rFonts w:ascii="宋体" w:hAnsi="宋体" w:cs="宋体" w:eastAsia="宋体" w:hint="default"/>
                            <w:spacing w:val="-27"/>
                            <w:sz w:val="18"/>
                            <w:szCs w:val="18"/>
                          </w:rPr>
                          <w:t>了</w:t>
                        </w:r>
                        <w:r>
                          <w:rPr>
                            <w:rFonts w:ascii="宋体" w:hAnsi="宋体" w:cs="宋体" w:eastAsia="宋体" w:hint="default"/>
                            <w:sz w:val="18"/>
                            <w:szCs w:val="18"/>
                          </w:rPr>
                          <w:t>《关于投资建</w:t>
                        </w:r>
                        <w:r>
                          <w:rPr>
                            <w:rFonts w:ascii="宋体" w:hAnsi="宋体" w:cs="宋体" w:eastAsia="宋体" w:hint="default"/>
                            <w:spacing w:val="1"/>
                            <w:sz w:val="18"/>
                            <w:szCs w:val="18"/>
                          </w:rPr>
                          <w:t>设</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电子支付</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技术苏州研发基地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的议案》，同意从其他与主营业务相关的营运资金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超募资金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中支出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1.35</w:t>
                        </w:r>
                        <w:r>
                          <w:rPr>
                            <w:rFonts w:ascii="Times New Roman" w:hAnsi="Times New Roman" w:cs="Times New Roman" w:eastAsia="Times New Roman" w:hint="default"/>
                            <w:sz w:val="18"/>
                            <w:szCs w:val="18"/>
                          </w:rPr>
                          <w:t> </w:t>
                        </w:r>
                        <w:r>
                          <w:rPr>
                            <w:rFonts w:ascii="宋体" w:hAnsi="宋体" w:cs="宋体" w:eastAsia="宋体" w:hint="default"/>
                            <w:sz w:val="18"/>
                            <w:szCs w:val="18"/>
                          </w:rPr>
                          <w:t>亿元人</w:t>
                        </w:r>
                        <w:r>
                          <w:rPr>
                            <w:rFonts w:ascii="宋体" w:hAnsi="宋体" w:cs="宋体" w:eastAsia="宋体" w:hint="default"/>
                            <w:spacing w:val="-86"/>
                            <w:sz w:val="18"/>
                            <w:szCs w:val="18"/>
                          </w:rPr>
                          <w:t> </w:t>
                        </w:r>
                        <w:r>
                          <w:rPr>
                            <w:rFonts w:ascii="宋体" w:hAnsi="宋体" w:cs="宋体" w:eastAsia="宋体" w:hint="default"/>
                            <w:sz w:val="18"/>
                            <w:szCs w:val="18"/>
                          </w:rPr>
                          <w:t>民币，以货币资金形式对苏州新国都投资。</w:t>
                        </w: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日召开第二届董事会第三次会议，会议通过了《关于使用部分超幕资</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金永久补充流动资金的议案》，同意公司使用部分超幕资金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月，公司从募集资金账户支取人民币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万元用于永久补充流动资金。</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年第一次临时股东大会，会议审议通过了《审议使用部分</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超募资金永久补充流动资金的议案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同意公司使用部分超幕资金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月，公司从募集资金账户支取人民币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 </w:t>
                        </w:r>
                        <w:r>
                          <w:rPr>
                            <w:rFonts w:ascii="宋体" w:hAnsi="宋体" w:cs="宋体" w:eastAsia="宋体" w:hint="default"/>
                            <w:sz w:val="18"/>
                            <w:szCs w:val="18"/>
                          </w:rPr>
                          <w:t>万元用于永久补充流动资金。</w:t>
                        </w:r>
                      </w:p>
                    </w:tc>
                  </w:tr>
                  <w:tr>
                    <w:trPr>
                      <w:trHeight w:val="557"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477"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9"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477"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7"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3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4"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年度股东大会，审议通过了《关于审议变更募投项目电子支 </w:t>
                        </w:r>
                        <w:r>
                          <w:rPr>
                            <w:rFonts w:ascii="宋体" w:hAnsi="宋体" w:cs="宋体" w:eastAsia="宋体" w:hint="default"/>
                            <w:spacing w:val="-2"/>
                            <w:w w:val="98"/>
                            <w:sz w:val="18"/>
                            <w:szCs w:val="18"/>
                          </w:rPr>
                          <w:t>付技术产研基地建设项目实施地址及部分实施方式的议案》。同意将原位于南京的</w:t>
                        </w:r>
                        <w:r>
                          <w:rPr>
                            <w:rFonts w:ascii="Times New Roman" w:hAnsi="Times New Roman" w:cs="Times New Roman" w:eastAsia="Times New Roman" w:hint="default"/>
                            <w:spacing w:val="-2"/>
                            <w:w w:val="98"/>
                            <w:sz w:val="18"/>
                            <w:szCs w:val="18"/>
                          </w:rPr>
                          <w:t>―</w:t>
                        </w:r>
                        <w:r>
                          <w:rPr>
                            <w:rFonts w:ascii="宋体" w:hAnsi="宋体" w:cs="宋体" w:eastAsia="宋体" w:hint="default"/>
                            <w:spacing w:val="-2"/>
                            <w:w w:val="98"/>
                            <w:sz w:val="18"/>
                            <w:szCs w:val="18"/>
                          </w:rPr>
                          <w:t>电子支付技术产</w:t>
                        </w:r>
                        <w:r>
                          <w:rPr>
                            <w:rFonts w:ascii="宋体" w:hAnsi="宋体" w:cs="宋体" w:eastAsia="宋体" w:hint="default"/>
                            <w:spacing w:val="-80"/>
                            <w:w w:val="98"/>
                            <w:sz w:val="18"/>
                            <w:szCs w:val="18"/>
                          </w:rPr>
                          <w:t> </w:t>
                        </w:r>
                        <w:r>
                          <w:rPr>
                            <w:rFonts w:ascii="宋体" w:hAnsi="宋体" w:cs="宋体" w:eastAsia="宋体" w:hint="default"/>
                            <w:spacing w:val="-2"/>
                            <w:sz w:val="18"/>
                            <w:szCs w:val="18"/>
                          </w:rPr>
                          <w:t>研基地项目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中规划的研发中心、客服中心迁移到苏州实施，项目规划的生产中心迁移到深圳宝安区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以租赁房屋的方式实施。</w:t>
                        </w:r>
                      </w:p>
                      <w:p>
                        <w:pPr>
                          <w:pStyle w:val="TableParagraph"/>
                          <w:spacing w:line="240" w:lineRule="auto" w:before="115"/>
                          <w:ind w:left="24" w:right="0"/>
                          <w:jc w:val="both"/>
                          <w:rPr>
                            <w:rFonts w:ascii="宋体" w:hAnsi="宋体" w:cs="宋体" w:eastAsia="宋体" w:hint="default"/>
                            <w:sz w:val="18"/>
                            <w:szCs w:val="18"/>
                          </w:rPr>
                        </w:pPr>
                        <w:r>
                          <w:rPr>
                            <w:rFonts w:ascii="宋体" w:hAnsi="宋体" w:cs="宋体" w:eastAsia="宋体" w:hint="default"/>
                            <w:spacing w:val="-5"/>
                            <w:sz w:val="18"/>
                            <w:szCs w:val="18"/>
                          </w:rPr>
                          <w:t>运营销售服务网络建设项目实施方式变更，这主要是因为，根据项目原规划，项目总投资 </w:t>
                        </w:r>
                        <w:r>
                          <w:rPr>
                            <w:rFonts w:ascii="Times New Roman" w:hAnsi="Times New Roman" w:cs="Times New Roman" w:eastAsia="Times New Roman" w:hint="default"/>
                            <w:sz w:val="18"/>
                            <w:szCs w:val="18"/>
                          </w:rPr>
                          <w:t>2690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0" w:right="153"/>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42.950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2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87"/>
                          <w:ind w:left="24" w:right="19"/>
                          <w:jc w:val="both"/>
                          <w:rPr>
                            <w:rFonts w:ascii="宋体" w:hAnsi="宋体" w:cs="宋体" w:eastAsia="宋体" w:hint="default"/>
                            <w:sz w:val="18"/>
                            <w:szCs w:val="18"/>
                          </w:rPr>
                        </w:pPr>
                        <w:r>
                          <w:rPr>
                            <w:rFonts w:ascii="宋体" w:hAnsi="宋体" w:cs="宋体" w:eastAsia="宋体" w:hint="default"/>
                            <w:spacing w:val="-3"/>
                            <w:sz w:val="18"/>
                            <w:szCs w:val="18"/>
                          </w:rPr>
                          <w:t>原计划在一类办事处北京、上海、青岛、广州购置办公用房共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平方米，购置网点办公用房资金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万元，占项目总投资的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68.77%</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由于项目在测算阶段计算的房价相比项目实施阶段偏低，且</w:t>
                        </w:r>
                        <w:r>
                          <w:rPr>
                            <w:rFonts w:ascii="宋体" w:hAnsi="宋体" w:cs="宋体" w:eastAsia="宋体" w:hint="default"/>
                            <w:sz w:val="18"/>
                            <w:szCs w:val="18"/>
                          </w:rPr>
                          <w:t> 规划面积偏小，无法满足项目实施阶段公司的实际需求。为了加快运营销售服务网络建设项目的进 程，满足公司办公用房的实际使用需求，提高资金使用效率，公司将项目中原规划在北京、上海、 广州分别购置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平米办公用房，在山东济南购置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平米办公用房，现改为北京预计租赁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米、上海预计租赁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平米、山东济南预计租赁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平米、广州预计租赁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平米，具体租赁面积</w:t>
                        </w:r>
                      </w:p>
                      <w:p>
                        <w:pPr>
                          <w:pStyle w:val="TableParagraph"/>
                          <w:spacing w:line="240" w:lineRule="auto" w:before="9"/>
                          <w:ind w:right="0"/>
                          <w:jc w:val="left"/>
                          <w:rPr>
                            <w:rFonts w:ascii="宋体" w:hAnsi="宋体" w:cs="宋体" w:eastAsia="宋体" w:hint="default"/>
                            <w:sz w:val="16"/>
                            <w:szCs w:val="16"/>
                          </w:rPr>
                        </w:pPr>
                      </w:p>
                      <w:p>
                        <w:pPr>
                          <w:pStyle w:val="TableParagraph"/>
                          <w:spacing w:line="463" w:lineRule="auto"/>
                          <w:ind w:left="24" w:right="23"/>
                          <w:jc w:val="left"/>
                          <w:rPr>
                            <w:rFonts w:ascii="宋体" w:hAnsi="宋体" w:cs="宋体" w:eastAsia="宋体" w:hint="default"/>
                            <w:sz w:val="18"/>
                            <w:szCs w:val="18"/>
                          </w:rPr>
                        </w:pPr>
                        <w:r>
                          <w:rPr>
                            <w:rFonts w:ascii="宋体" w:hAnsi="宋体" w:cs="宋体" w:eastAsia="宋体" w:hint="default"/>
                            <w:spacing w:val="-4"/>
                            <w:sz w:val="18"/>
                            <w:szCs w:val="18"/>
                          </w:rPr>
                          <w:t>依据公司实际需求予以确定。原规划二类、三类办事处租赁办公用房的计划不变。</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 </w:t>
                        </w:r>
                        <w:r>
                          <w:rPr>
                            <w:rFonts w:ascii="宋体" w:hAnsi="宋体" w:cs="宋体" w:eastAsia="宋体" w:hint="default"/>
                            <w:sz w:val="18"/>
                            <w:szCs w:val="18"/>
                          </w:rPr>
                          <w:t>公司召开了第二届董事会第八次会议、第二届监事会第六次会议，审议通过了《审议变更运营销售 服务网络建设项目部分实施方式的议案》的议案。</w:t>
                        </w:r>
                      </w:p>
                    </w:tc>
                  </w:tr>
                  <w:tr>
                    <w:trPr>
                      <w:trHeight w:val="557"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475"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43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4" w:right="19"/>
                          <w:jc w:val="left"/>
                          <w:rPr>
                            <w:rFonts w:ascii="宋体" w:hAnsi="宋体" w:cs="宋体" w:eastAsia="宋体" w:hint="default"/>
                            <w:sz w:val="18"/>
                            <w:szCs w:val="18"/>
                          </w:rPr>
                        </w:pPr>
                        <w:r>
                          <w:rPr>
                            <w:rFonts w:ascii="宋体" w:hAnsi="宋体" w:cs="宋体" w:eastAsia="宋体" w:hint="default"/>
                            <w:spacing w:val="-6"/>
                            <w:sz w:val="18"/>
                            <w:szCs w:val="18"/>
                          </w:rPr>
                          <w:t>电子支付技术产研基地建设项目，截止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31 </w:t>
                        </w:r>
                        <w:r>
                          <w:rPr>
                            <w:rFonts w:ascii="宋体" w:hAnsi="宋体" w:cs="宋体" w:eastAsia="宋体" w:hint="default"/>
                            <w:spacing w:val="-1"/>
                            <w:sz w:val="18"/>
                            <w:szCs w:val="18"/>
                          </w:rPr>
                          <w:t>日公司已利用自筹资金先行投入</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1,293 </w:t>
                        </w:r>
                        <w:r>
                          <w:rPr>
                            <w:rFonts w:ascii="宋体" w:hAnsi="宋体" w:cs="宋体" w:eastAsia="宋体" w:hint="default"/>
                            <w:sz w:val="18"/>
                            <w:szCs w:val="18"/>
                          </w:rPr>
                          <w:t>万元</w:t>
                        </w:r>
                        <w:r>
                          <w:rPr>
                            <w:rFonts w:ascii="宋体" w:hAnsi="宋体" w:cs="宋体" w:eastAsia="宋体" w:hint="default"/>
                            <w:spacing w:val="-85"/>
                            <w:sz w:val="18"/>
                            <w:szCs w:val="18"/>
                          </w:rPr>
                          <w:t> </w:t>
                        </w:r>
                        <w:r>
                          <w:rPr>
                            <w:rFonts w:ascii="宋体" w:hAnsi="宋体" w:cs="宋体" w:eastAsia="宋体" w:hint="default"/>
                            <w:sz w:val="18"/>
                            <w:szCs w:val="18"/>
                          </w:rPr>
                          <w:t>业经立信大华会计师事务所有限公司出具的立信大华核字</w:t>
                        </w:r>
                        <w:r>
                          <w:rPr>
                            <w:rFonts w:ascii="Times New Roman" w:hAnsi="Times New Roman" w:cs="Times New Roman" w:eastAsia="Times New Roman" w:hint="default"/>
                            <w:sz w:val="18"/>
                            <w:szCs w:val="18"/>
                          </w:rPr>
                          <w:t>[2010]2404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号《首次公开发行股票募集资 </w:t>
                        </w:r>
                        <w:r>
                          <w:rPr>
                            <w:rFonts w:ascii="宋体" w:hAnsi="宋体" w:cs="宋体" w:eastAsia="宋体" w:hint="default"/>
                            <w:spacing w:val="-4"/>
                            <w:sz w:val="18"/>
                            <w:szCs w:val="18"/>
                          </w:rPr>
                          <w:t>金投资项目实际自筹资金使用情况专项审核报告》确认，经本公司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w:t>
                        </w:r>
                      </w:p>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十四次会议决议通过，使用募集资金置换公司预先投入募集资金项目建设的自筹资金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日办理了银行资金置换手续</w:t>
                        </w:r>
                        <w:r>
                          <w:rPr>
                            <w:rFonts w:ascii="Times New Roman" w:hAnsi="Times New Roman" w:cs="Times New Roman" w:eastAsia="Times New Roman" w:hint="default"/>
                            <w:sz w:val="18"/>
                            <w:szCs w:val="18"/>
                          </w:rPr>
                          <w:t>.</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9"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49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8"/>
                          <w:ind w:left="24" w:right="22"/>
                          <w:jc w:val="both"/>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运营销售服务网络建设项目</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23"/>
                            <w:w w:val="100"/>
                            <w:sz w:val="18"/>
                            <w:szCs w:val="18"/>
                          </w:rPr>
                          <w:t> </w:t>
                        </w:r>
                        <w:r>
                          <w:rPr>
                            <w:rFonts w:ascii="宋体" w:hAnsi="宋体" w:cs="宋体" w:eastAsia="宋体" w:hint="default"/>
                            <w:spacing w:val="-1"/>
                            <w:sz w:val="18"/>
                            <w:szCs w:val="18"/>
                          </w:rPr>
                          <w:t>已完成项目建设，节余资金</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829.6</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万（含利息）。项目原计划在一类</w:t>
                        </w:r>
                        <w:r>
                          <w:rPr>
                            <w:rFonts w:ascii="宋体" w:hAnsi="宋体" w:cs="宋体" w:eastAsia="宋体" w:hint="default"/>
                            <w:sz w:val="18"/>
                            <w:szCs w:val="18"/>
                          </w:rPr>
                          <w:t> 办事处北京、上海、青岛、广州购置办公用房作为办公场地使用，现由于实际经营需要，将原计划 购置房产的实施方式改为通过租赁房产来实施，因此节约了项目成本。</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p>
                    </w:tc>
                  </w:tr>
                  <w:tr>
                    <w:trPr>
                      <w:trHeight w:val="149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left="0" w:right="15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53"/>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单位：万元</w:t>
      </w:r>
    </w:p>
    <w:p>
      <w:pPr>
        <w:spacing w:line="240" w:lineRule="auto" w:before="3"/>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945"/>
        <w:gridCol w:w="948"/>
        <w:gridCol w:w="946"/>
        <w:gridCol w:w="948"/>
        <w:gridCol w:w="946"/>
        <w:gridCol w:w="1107"/>
        <w:gridCol w:w="946"/>
        <w:gridCol w:w="949"/>
        <w:gridCol w:w="946"/>
        <w:gridCol w:w="1018"/>
      </w:tblGrid>
      <w:tr>
        <w:trPr>
          <w:trHeight w:val="1961" w:hRule="exact"/>
        </w:trPr>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287" w:right="106" w:hanging="181"/>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107" w:right="108"/>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08" w:right="106"/>
              <w:jc w:val="both"/>
              <w:rPr>
                <w:rFonts w:ascii="宋体" w:hAnsi="宋体" w:cs="宋体" w:eastAsia="宋体" w:hint="default"/>
                <w:sz w:val="18"/>
                <w:szCs w:val="18"/>
              </w:rPr>
            </w:pPr>
            <w:r>
              <w:rPr>
                <w:rFonts w:ascii="宋体" w:hAnsi="宋体" w:cs="宋体" w:eastAsia="宋体" w:hint="default"/>
                <w:sz w:val="18"/>
                <w:szCs w:val="18"/>
              </w:rPr>
              <w:t>变更后项 目拟投入 募集资金</w:t>
            </w:r>
          </w:p>
          <w:p>
            <w:pPr>
              <w:pStyle w:val="TableParagraph"/>
              <w:spacing w:line="240" w:lineRule="auto" w:before="56"/>
              <w:ind w:left="18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108" w:right="108"/>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07" w:right="107"/>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96" w:lineRule="auto" w:before="125"/>
              <w:ind w:left="24" w:right="18" w:hanging="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07" w:right="10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110" w:right="10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107" w:right="107"/>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52" w:right="5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40"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90"/>
              <w:jc w:val="both"/>
              <w:rPr>
                <w:rFonts w:ascii="宋体" w:hAnsi="宋体" w:cs="宋体" w:eastAsia="宋体" w:hint="default"/>
                <w:sz w:val="18"/>
                <w:szCs w:val="18"/>
              </w:rPr>
            </w:pPr>
            <w:r>
              <w:rPr>
                <w:rFonts w:ascii="宋体" w:hAnsi="宋体" w:cs="宋体" w:eastAsia="宋体" w:hint="default"/>
                <w:sz w:val="18"/>
                <w:szCs w:val="18"/>
              </w:rPr>
              <w:t>电子支付 技术产研 基地建设 项目</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2"/>
              <w:jc w:val="both"/>
              <w:rPr>
                <w:rFonts w:ascii="宋体" w:hAnsi="宋体" w:cs="宋体" w:eastAsia="宋体" w:hint="default"/>
                <w:sz w:val="18"/>
                <w:szCs w:val="18"/>
              </w:rPr>
            </w:pPr>
            <w:r>
              <w:rPr>
                <w:rFonts w:ascii="宋体" w:hAnsi="宋体" w:cs="宋体" w:eastAsia="宋体" w:hint="default"/>
                <w:sz w:val="18"/>
                <w:szCs w:val="18"/>
              </w:rPr>
              <w:t>电子支付 技术产研 基地建设 项目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15,306.00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629.17</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629.17</w:t>
            </w:r>
            <w:r>
              <w:rPr>
                <w:rFonts w:ascii="宋体"/>
                <w:sz w:val="18"/>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15"/>
              <w:ind w:left="40"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2"/>
              <w:jc w:val="both"/>
              <w:rPr>
                <w:rFonts w:ascii="宋体" w:hAnsi="宋体" w:cs="宋体" w:eastAsia="宋体" w:hint="default"/>
                <w:sz w:val="18"/>
                <w:szCs w:val="18"/>
              </w:rPr>
            </w:pPr>
            <w:r>
              <w:rPr>
                <w:rFonts w:ascii="宋体" w:hAnsi="宋体" w:cs="宋体" w:eastAsia="宋体" w:hint="default"/>
                <w:sz w:val="18"/>
                <w:szCs w:val="18"/>
              </w:rPr>
              <w:t>增资易联 技术公司 开展电子 支付服务 项目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
              <w:jc w:val="right"/>
              <w:rPr>
                <w:rFonts w:ascii="宋体" w:hAnsi="宋体" w:cs="宋体" w:eastAsia="宋体" w:hint="default"/>
                <w:sz w:val="18"/>
                <w:szCs w:val="18"/>
              </w:rPr>
            </w:pPr>
            <w:r>
              <w:rPr>
                <w:rFonts w:ascii="宋体"/>
                <w:spacing w:val="-1"/>
                <w:sz w:val="18"/>
              </w:rPr>
              <w:t>15,306.00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629.17</w:t>
            </w:r>
          </w:p>
        </w:tc>
        <w:tc>
          <w:tcPr>
            <w:tcW w:w="94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99" w:right="0"/>
              <w:jc w:val="left"/>
              <w:rPr>
                <w:rFonts w:ascii="宋体" w:hAnsi="宋体" w:cs="宋体" w:eastAsia="宋体" w:hint="default"/>
                <w:sz w:val="18"/>
                <w:szCs w:val="18"/>
              </w:rPr>
            </w:pPr>
            <w:r>
              <w:rPr>
                <w:rFonts w:ascii="宋体"/>
                <w:sz w:val="18"/>
              </w:rPr>
              <w:t>629.17</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sz w:val="18"/>
              </w:rPr>
              <w:t>629.17</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宋体" w:hAnsi="宋体" w:cs="宋体" w:eastAsia="宋体" w:hint="default"/>
                <w:sz w:val="18"/>
                <w:szCs w:val="18"/>
              </w:rPr>
            </w:pPr>
            <w:r>
              <w:rPr>
                <w:rFonts w:ascii="宋体"/>
                <w:sz w:val="18"/>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宋体" w:hAnsi="宋体" w:cs="宋体" w:eastAsia="宋体" w:hint="default"/>
                <w:sz w:val="18"/>
                <w:szCs w:val="18"/>
              </w:rPr>
            </w:pPr>
            <w:r>
              <w:rPr>
                <w:rFonts w:ascii="宋体"/>
                <w:sz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r>
      <w:tr>
        <w:trPr>
          <w:trHeight w:val="7110" w:hRule="exact"/>
        </w:trPr>
        <w:tc>
          <w:tcPr>
            <w:tcW w:w="2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477" w:lineRule="auto"/>
              <w:ind w:left="22"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8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日，经第二届董事会第五次会议、第二届监事会第四次</w:t>
            </w:r>
          </w:p>
          <w:p>
            <w:pPr>
              <w:pStyle w:val="TableParagraph"/>
              <w:spacing w:line="240" w:lineRule="auto" w:before="7"/>
              <w:ind w:right="0"/>
              <w:jc w:val="left"/>
              <w:rPr>
                <w:rFonts w:ascii="宋体" w:hAnsi="宋体" w:cs="宋体" w:eastAsia="宋体" w:hint="default"/>
                <w:sz w:val="16"/>
                <w:szCs w:val="16"/>
              </w:rPr>
            </w:pPr>
          </w:p>
          <w:p>
            <w:pPr>
              <w:pStyle w:val="TableParagraph"/>
              <w:spacing w:line="472" w:lineRule="auto"/>
              <w:ind w:left="24" w:right="19"/>
              <w:jc w:val="both"/>
              <w:rPr>
                <w:rFonts w:ascii="宋体" w:hAnsi="宋体" w:cs="宋体" w:eastAsia="宋体" w:hint="default"/>
                <w:sz w:val="18"/>
                <w:szCs w:val="18"/>
              </w:rPr>
            </w:pPr>
            <w:r>
              <w:rPr>
                <w:rFonts w:ascii="宋体" w:hAnsi="宋体" w:cs="宋体" w:eastAsia="宋体" w:hint="default"/>
                <w:sz w:val="18"/>
                <w:szCs w:val="18"/>
              </w:rPr>
              <w:t>会议审议通过，于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年度股东大会，审议通过了《关于审议 </w:t>
            </w:r>
            <w:r>
              <w:rPr>
                <w:rFonts w:ascii="宋体" w:hAnsi="宋体" w:cs="宋体" w:eastAsia="宋体" w:hint="default"/>
                <w:spacing w:val="-2"/>
                <w:sz w:val="18"/>
                <w:szCs w:val="18"/>
              </w:rPr>
              <w:t>变更募投项目电子支付技术产研基地建设项目实施地址及部分实施方式的议案》，决定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将原计划投入南京的“电子支付技术产研基地项目”中规划的研发中心、客服中心迁移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到苏州实施，项目规划的生产中心迁移到深圳宝安区实施。其中，公司目前未在深圳获</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得自有土地使用权，项目规划的生产中心由自建变更为租赁房屋建设。同意将原位于南</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京的“电子支付技术产研基地项目”中规划的研发中心、客服中心迁移到苏州实施，项</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目规划的生产中心迁移到深圳宝安区以租赁房屋的方式实施。原投入南京的“电子支付</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技术产研基地项目”总投资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15,306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万元，扣除投入深圳生产中心的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万元，剩余的</w:t>
            </w:r>
          </w:p>
          <w:p>
            <w:pPr>
              <w:pStyle w:val="TableParagraph"/>
              <w:spacing w:line="240" w:lineRule="auto" w:before="2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万元全部投入苏州项目。公司通过募集资金专户向原募投项目支付的人民币</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4" w:right="70"/>
              <w:jc w:val="both"/>
              <w:rPr>
                <w:rFonts w:ascii="宋体" w:hAnsi="宋体" w:cs="宋体" w:eastAsia="宋体" w:hint="default"/>
                <w:sz w:val="18"/>
                <w:szCs w:val="18"/>
              </w:rPr>
            </w:pPr>
            <w:r>
              <w:rPr>
                <w:rFonts w:ascii="Times New Roman" w:hAnsi="Times New Roman" w:cs="Times New Roman" w:eastAsia="Times New Roman" w:hint="default"/>
                <w:sz w:val="18"/>
                <w:szCs w:val="18"/>
              </w:rPr>
              <w:t>1475.7123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万元（主要用于土地使用权出让金、土地交易税费、建筑方案设计费），已 全部用公司自有资金予以置换。</w:t>
            </w:r>
          </w:p>
          <w:p>
            <w:pPr>
              <w:pStyle w:val="TableParagraph"/>
              <w:spacing w:line="240" w:lineRule="auto" w:before="11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、增资易联技术开展电子支付服务项目，项目可行性发生重大变化，具体情况为：随</w:t>
            </w:r>
          </w:p>
          <w:p>
            <w:pPr>
              <w:pStyle w:val="TableParagraph"/>
              <w:spacing w:line="468" w:lineRule="exact" w:before="54"/>
              <w:ind w:left="24" w:right="23"/>
              <w:jc w:val="both"/>
              <w:rPr>
                <w:rFonts w:ascii="宋体" w:hAnsi="宋体" w:cs="宋体" w:eastAsia="宋体" w:hint="default"/>
                <w:sz w:val="18"/>
                <w:szCs w:val="18"/>
              </w:rPr>
            </w:pPr>
            <w:r>
              <w:rPr>
                <w:rFonts w:ascii="宋体" w:hAnsi="宋体" w:cs="宋体" w:eastAsia="宋体" w:hint="default"/>
                <w:sz w:val="18"/>
                <w:szCs w:val="18"/>
              </w:rPr>
              <w:t>着</w:t>
            </w:r>
            <w:r>
              <w:rPr>
                <w:rFonts w:ascii="宋体" w:hAnsi="宋体" w:cs="宋体" w:eastAsia="宋体" w:hint="default"/>
                <w:spacing w:val="-65"/>
                <w:sz w:val="18"/>
                <w:szCs w:val="18"/>
              </w:rPr>
              <w:t> </w:t>
            </w:r>
            <w:r>
              <w:rPr>
                <w:rFonts w:ascii="宋体" w:hAnsi="宋体" w:cs="宋体" w:eastAsia="宋体" w:hint="default"/>
                <w:sz w:val="18"/>
                <w:szCs w:val="18"/>
              </w:rPr>
              <w:t>2</w:t>
            </w:r>
            <w:r>
              <w:rPr>
                <w:rFonts w:ascii="宋体" w:hAnsi="宋体" w:cs="宋体" w:eastAsia="宋体" w:hint="default"/>
                <w:spacing w:val="-65"/>
                <w:sz w:val="18"/>
                <w:szCs w:val="18"/>
              </w:rPr>
              <w:t> </w:t>
            </w:r>
            <w:r>
              <w:rPr>
                <w:rFonts w:ascii="宋体" w:hAnsi="宋体" w:cs="宋体" w:eastAsia="宋体" w:hint="default"/>
                <w:sz w:val="18"/>
                <w:szCs w:val="18"/>
              </w:rPr>
              <w:t>号令的推行，国内第三方支付市场发生重大变化，且市场竞争不断加剧。易联技术 </w:t>
            </w:r>
            <w:r>
              <w:rPr>
                <w:rFonts w:ascii="宋体" w:hAnsi="宋体" w:cs="宋体" w:eastAsia="宋体" w:hint="default"/>
                <w:spacing w:val="-2"/>
                <w:sz w:val="18"/>
                <w:szCs w:val="18"/>
              </w:rPr>
              <w:t>开展电子支付服务项目，主要是为了推进小额支付运营业务的进展，计划申领预付卡发</w:t>
            </w:r>
          </w:p>
        </w:tc>
      </w:tr>
    </w:tbl>
    <w:p>
      <w:pPr>
        <w:spacing w:after="0" w:line="468" w:lineRule="exact"/>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宋体" w:hAnsi="宋体" w:cs="宋体" w:eastAsia="宋体" w:hint="default"/>
          <w:sz w:val="28"/>
          <w:szCs w:val="28"/>
        </w:rPr>
      </w:pPr>
    </w:p>
    <w:p>
      <w:pPr>
        <w:spacing w:line="1942" w:lineRule="exact"/>
        <w:ind w:left="119"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85.4pt;height:97.1pt;mso-position-horizontal-relative:char;mso-position-vertical-relative:line" coordorigin="0,0" coordsize="9708,1942">
            <v:group style="position:absolute;left:12;top:14;width:2831;height:1914" coordorigin="12,14" coordsize="2831,1914">
              <v:shape style="position:absolute;left:12;top:14;width:2831;height:1914" coordorigin="12,14" coordsize="2831,1914" path="m12,1928l2843,1928,2843,14,12,14,12,1928xe" filled="true" fillcolor="#d2d2d2" stroked="false">
                <v:path arrowok="t"/>
                <v:fill type="solid"/>
              </v:shape>
            </v:group>
            <v:group style="position:absolute;left:10;top:10;width:2831;height:2" coordorigin="10,10" coordsize="2831,2">
              <v:shape style="position:absolute;left:10;top:10;width:2831;height:2" coordorigin="10,10" coordsize="2831,0" path="m10,10l2840,10e" filled="false" stroked="true" strokeweight=".48pt" strokecolor="#000000">
                <v:path arrowok="t"/>
              </v:shape>
            </v:group>
            <v:group style="position:absolute;left:2850;top:10;width:6849;height:2" coordorigin="2850,10" coordsize="6849,2">
              <v:shape style="position:absolute;left:2850;top:10;width:6849;height:2" coordorigin="2850,10" coordsize="6849,0" path="m2850,10l9698,10e" filled="false" stroked="true" strokeweight=".48pt" strokecolor="#000000">
                <v:path arrowok="t"/>
              </v:shape>
            </v:group>
            <v:group style="position:absolute;left:5;top:5;width:2;height:1933" coordorigin="5,5" coordsize="2,1933">
              <v:shape style="position:absolute;left:5;top:5;width:2;height:1933" coordorigin="5,5" coordsize="0,1933" path="m5,5l5,1937e" filled="false" stroked="true" strokeweight=".48pt" strokecolor="#000000">
                <v:path arrowok="t"/>
              </v:shape>
            </v:group>
            <v:group style="position:absolute;left:10;top:1932;width:2831;height:2" coordorigin="10,1932" coordsize="2831,2">
              <v:shape style="position:absolute;left:10;top:1932;width:2831;height:2" coordorigin="10,1932" coordsize="2831,0" path="m10,1932l2840,1932e" filled="false" stroked="true" strokeweight=".48pt" strokecolor="#000000">
                <v:path arrowok="t"/>
              </v:shape>
            </v:group>
            <v:group style="position:absolute;left:2845;top:5;width:2;height:1933" coordorigin="2845,5" coordsize="2,1933">
              <v:shape style="position:absolute;left:2845;top:5;width:2;height:1933" coordorigin="2845,5" coordsize="0,1933" path="m2845,5l2845,1937e" filled="false" stroked="true" strokeweight=".48pt" strokecolor="#000000">
                <v:path arrowok="t"/>
              </v:shape>
            </v:group>
            <v:group style="position:absolute;left:2850;top:1932;width:6849;height:2" coordorigin="2850,1932" coordsize="6849,2">
              <v:shape style="position:absolute;left:2850;top:1932;width:6849;height:2" coordorigin="2850,1932" coordsize="6849,0" path="m2850,1932l9698,1932e" filled="false" stroked="true" strokeweight=".48pt" strokecolor="#000000">
                <v:path arrowok="t"/>
              </v:shape>
            </v:group>
            <v:group style="position:absolute;left:9703;top:5;width:2;height:1933" coordorigin="9703,5" coordsize="2,1933">
              <v:shape style="position:absolute;left:9703;top:5;width:2;height:1933" coordorigin="9703,5" coordsize="0,1933" path="m9703,5l9703,1937e" filled="false" stroked="true" strokeweight=".48pt" strokecolor="#000000">
                <v:path arrowok="t"/>
              </v:shape>
              <v:shape style="position:absolute;left:2845;top:10;width:6858;height:1923" type="#_x0000_t202" filled="false" stroked="false">
                <v:textbox inset="0,0,0,0">
                  <w:txbxContent>
                    <w:p>
                      <w:pPr>
                        <w:spacing w:line="477" w:lineRule="auto" w:before="92"/>
                        <w:ind w:left="28" w:right="26" w:firstLine="0"/>
                        <w:jc w:val="both"/>
                        <w:rPr>
                          <w:rFonts w:ascii="宋体" w:hAnsi="宋体" w:cs="宋体" w:eastAsia="宋体" w:hint="default"/>
                          <w:sz w:val="18"/>
                          <w:szCs w:val="18"/>
                        </w:rPr>
                      </w:pPr>
                      <w:r>
                        <w:rPr>
                          <w:rFonts w:ascii="宋体" w:hAnsi="宋体" w:cs="宋体" w:eastAsia="宋体" w:hint="default"/>
                          <w:spacing w:val="-2"/>
                          <w:sz w:val="18"/>
                          <w:szCs w:val="18"/>
                        </w:rPr>
                        <w:t>行和受理业务。由于公司的小额支付运营业务受到阻碍，导致本项目无法实际开展，造</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成项目可行性发生重大变化。</w:t>
                      </w:r>
                      <w:r>
                        <w:rPr>
                          <w:rFonts w:ascii="宋体" w:hAnsi="宋体" w:cs="宋体" w:eastAsia="宋体" w:hint="default"/>
                          <w:spacing w:val="-3"/>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15"/>
                          <w:sz w:val="18"/>
                          <w:szCs w:val="18"/>
                        </w:rPr>
                        <w:t>日，经</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年第一次临时股东大会审议通 </w:t>
                      </w:r>
                      <w:r>
                        <w:rPr>
                          <w:rFonts w:ascii="宋体" w:hAnsi="宋体" w:cs="宋体" w:eastAsia="宋体" w:hint="default"/>
                          <w:spacing w:val="-2"/>
                          <w:sz w:val="18"/>
                          <w:szCs w:val="18"/>
                        </w:rPr>
                        <w:t>过了《审议终止深圳市易联技术有限公司“电子支付服务项目”并退回其他与主营业务</w:t>
                      </w:r>
                    </w:p>
                    <w:p>
                      <w:pPr>
                        <w:spacing w:before="54"/>
                        <w:ind w:left="28" w:right="0" w:firstLine="0"/>
                        <w:jc w:val="both"/>
                        <w:rPr>
                          <w:rFonts w:ascii="宋体" w:hAnsi="宋体" w:cs="宋体" w:eastAsia="宋体" w:hint="default"/>
                          <w:sz w:val="18"/>
                          <w:szCs w:val="18"/>
                        </w:rPr>
                      </w:pPr>
                      <w:r>
                        <w:rPr>
                          <w:rFonts w:ascii="宋体" w:hAnsi="宋体" w:cs="宋体" w:eastAsia="宋体" w:hint="default"/>
                          <w:sz w:val="18"/>
                          <w:szCs w:val="18"/>
                        </w:rPr>
                        <w:t>相关的营运资金</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亿元的议案》，终止该项目的实施，以提高超募资金的使用效率。</w:t>
                      </w:r>
                    </w:p>
                  </w:txbxContent>
                </v:textbox>
                <w10:wrap type="none"/>
              </v:shape>
            </v:group>
          </v:group>
        </w:pict>
      </w:r>
      <w:r>
        <w:rPr>
          <w:rFonts w:ascii="宋体" w:hAnsi="宋体" w:cs="宋体" w:eastAsia="宋体" w:hint="default"/>
          <w:position w:val="-38"/>
          <w:sz w:val="20"/>
          <w:szCs w:val="20"/>
        </w:rPr>
      </w:r>
    </w:p>
    <w:p>
      <w:pPr>
        <w:spacing w:line="240" w:lineRule="auto" w:before="2"/>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宋体" w:hAnsi="宋体" w:cs="宋体" w:eastAsia="宋体" w:hint="default"/>
        </w:rPr>
        <w:t>4</w:t>
      </w:r>
      <w:r>
        <w:rPr/>
        <w:t>）非募集资金投资的重大项目情况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0" w:right="176"/>
        <w:jc w:val="right"/>
      </w:pPr>
      <w:r>
        <w:rPr/>
        <w:pict>
          <v:shape style="position:absolute;margin-left:56.400002pt;margin-top:-282.058289pt;width:479.15pt;height:518.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49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63"/>
                          <w:jc w:val="left"/>
                          <w:rPr>
                            <w:rFonts w:ascii="宋体" w:hAnsi="宋体" w:cs="宋体" w:eastAsia="宋体" w:hint="default"/>
                            <w:sz w:val="18"/>
                            <w:szCs w:val="18"/>
                          </w:rPr>
                        </w:pPr>
                        <w:r>
                          <w:rPr>
                            <w:rFonts w:ascii="宋体" w:hAnsi="宋体" w:cs="宋体" w:eastAsia="宋体" w:hint="default"/>
                            <w:sz w:val="18"/>
                            <w:szCs w:val="18"/>
                          </w:rPr>
                          <w:t>认购美国 </w:t>
                        </w:r>
                        <w:r>
                          <w:rPr>
                            <w:rFonts w:ascii="宋体" w:hAnsi="宋体" w:cs="宋体" w:eastAsia="宋体" w:hint="default"/>
                            <w:sz w:val="18"/>
                            <w:szCs w:val="18"/>
                          </w:rPr>
                          <w:t>Exadigm,Inc</w:t>
                        </w:r>
                        <w:r>
                          <w:rPr>
                            <w:rFonts w:ascii="宋体" w:hAnsi="宋体" w:cs="宋体" w:eastAsia="宋体" w:hint="default"/>
                            <w:spacing w:val="-46"/>
                            <w:sz w:val="18"/>
                            <w:szCs w:val="18"/>
                          </w:rPr>
                          <w:t> </w:t>
                        </w:r>
                        <w:r>
                          <w:rPr>
                            <w:rFonts w:ascii="宋体" w:hAnsi="宋体" w:cs="宋体" w:eastAsia="宋体" w:hint="default"/>
                            <w:sz w:val="18"/>
                            <w:szCs w:val="18"/>
                          </w:rPr>
                          <w:t>发行 股权及期权项目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1"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（万美元）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2" w:right="0"/>
                          <w:jc w:val="left"/>
                          <w:rPr>
                            <w:rFonts w:ascii="宋体" w:hAnsi="宋体" w:cs="宋体" w:eastAsia="宋体" w:hint="default"/>
                            <w:sz w:val="18"/>
                            <w:szCs w:val="18"/>
                          </w:rPr>
                        </w:pPr>
                        <w:r>
                          <w:rPr>
                            <w:rFonts w:ascii="宋体"/>
                            <w:sz w:val="18"/>
                          </w:rPr>
                          <w:t>16.67%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385"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（万美元）</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28"/>
                          <w:ind w:right="12"/>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r>
                  <w:tr>
                    <w:trPr>
                      <w:trHeight w:val="55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672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4" w:right="-8"/>
                          <w:jc w:val="left"/>
                          <w:rPr>
                            <w:rFonts w:ascii="宋体" w:hAnsi="宋体" w:cs="宋体" w:eastAsia="宋体" w:hint="default"/>
                            <w:sz w:val="18"/>
                            <w:szCs w:val="18"/>
                          </w:rPr>
                        </w:pPr>
                        <w:r>
                          <w:rPr>
                            <w:rFonts w:ascii="宋体" w:hAnsi="宋体" w:cs="宋体" w:eastAsia="宋体" w:hint="default"/>
                            <w:sz w:val="18"/>
                            <w:szCs w:val="18"/>
                          </w:rPr>
                          <w:t>公司拟在未来三年内，分步以自有资金和技术资源折价、货款让利折价对</w:t>
                        </w:r>
                        <w:r>
                          <w:rPr>
                            <w:rFonts w:ascii="宋体" w:hAnsi="宋体" w:cs="宋体" w:eastAsia="宋体" w:hint="default"/>
                            <w:spacing w:val="-46"/>
                            <w:sz w:val="18"/>
                            <w:szCs w:val="18"/>
                          </w:rPr>
                          <w:t> </w:t>
                        </w:r>
                        <w:r>
                          <w:rPr>
                            <w:rFonts w:ascii="宋体" w:hAnsi="宋体" w:cs="宋体" w:eastAsia="宋体" w:hint="default"/>
                            <w:sz w:val="18"/>
                            <w:szCs w:val="18"/>
                          </w:rPr>
                          <w:t>Exadigm</w:t>
                        </w:r>
                        <w:r>
                          <w:rPr>
                            <w:rFonts w:ascii="宋体" w:hAnsi="宋体" w:cs="宋体" w:eastAsia="宋体" w:hint="default"/>
                            <w:spacing w:val="-46"/>
                            <w:sz w:val="18"/>
                            <w:szCs w:val="18"/>
                          </w:rPr>
                          <w:t> </w:t>
                        </w:r>
                        <w:r>
                          <w:rPr>
                            <w:rFonts w:ascii="宋体" w:hAnsi="宋体" w:cs="宋体" w:eastAsia="宋体" w:hint="default"/>
                            <w:sz w:val="18"/>
                            <w:szCs w:val="18"/>
                          </w:rPr>
                          <w:t>进行总价值预计为</w:t>
                        </w:r>
                        <w:r>
                          <w:rPr>
                            <w:rFonts w:ascii="宋体" w:hAnsi="宋体" w:cs="宋体" w:eastAsia="宋体" w:hint="default"/>
                            <w:spacing w:val="-48"/>
                            <w:sz w:val="18"/>
                            <w:szCs w:val="18"/>
                          </w:rPr>
                          <w:t> </w:t>
                        </w:r>
                        <w:r>
                          <w:rPr>
                            <w:rFonts w:ascii="宋体" w:hAnsi="宋体" w:cs="宋体" w:eastAsia="宋体" w:hint="default"/>
                            <w:sz w:val="18"/>
                            <w:szCs w:val="18"/>
                          </w:rPr>
                          <w:t>300</w:t>
                        </w:r>
                        <w:r>
                          <w:rPr>
                            <w:rFonts w:ascii="宋体" w:hAnsi="宋体" w:cs="宋体" w:eastAsia="宋体" w:hint="default"/>
                            <w:spacing w:val="-47"/>
                            <w:sz w:val="18"/>
                            <w:szCs w:val="18"/>
                          </w:rPr>
                          <w:t> </w:t>
                        </w:r>
                        <w:r>
                          <w:rPr>
                            <w:rFonts w:ascii="宋体" w:hAnsi="宋体" w:cs="宋体" w:eastAsia="宋体" w:hint="default"/>
                            <w:sz w:val="18"/>
                            <w:szCs w:val="18"/>
                          </w:rPr>
                          <w:t>万美元的投资， 认购</w:t>
                        </w:r>
                        <w:r>
                          <w:rPr>
                            <w:rFonts w:ascii="宋体" w:hAnsi="宋体" w:cs="宋体" w:eastAsia="宋体" w:hint="default"/>
                            <w:spacing w:val="-48"/>
                            <w:sz w:val="18"/>
                            <w:szCs w:val="18"/>
                          </w:rPr>
                          <w:t> </w:t>
                        </w:r>
                        <w:r>
                          <w:rPr>
                            <w:rFonts w:ascii="宋体" w:hAnsi="宋体" w:cs="宋体" w:eastAsia="宋体" w:hint="default"/>
                            <w:sz w:val="18"/>
                            <w:szCs w:val="18"/>
                          </w:rPr>
                          <w:t>Exadigm</w:t>
                        </w:r>
                        <w:r>
                          <w:rPr>
                            <w:rFonts w:ascii="宋体" w:hAnsi="宋体" w:cs="宋体" w:eastAsia="宋体" w:hint="default"/>
                            <w:spacing w:val="-47"/>
                            <w:sz w:val="18"/>
                            <w:szCs w:val="18"/>
                          </w:rPr>
                          <w:t> </w:t>
                        </w:r>
                        <w:r>
                          <w:rPr>
                            <w:rFonts w:ascii="宋体" w:hAnsi="宋体" w:cs="宋体" w:eastAsia="宋体" w:hint="default"/>
                            <w:sz w:val="18"/>
                            <w:szCs w:val="18"/>
                          </w:rPr>
                          <w:t>向公司共计发行的</w:t>
                        </w:r>
                        <w:r>
                          <w:rPr>
                            <w:rFonts w:ascii="宋体" w:hAnsi="宋体" w:cs="宋体" w:eastAsia="宋体" w:hint="default"/>
                            <w:spacing w:val="-49"/>
                            <w:sz w:val="18"/>
                            <w:szCs w:val="18"/>
                          </w:rPr>
                          <w:t> </w:t>
                        </w:r>
                        <w:r>
                          <w:rPr>
                            <w:rFonts w:ascii="宋体" w:hAnsi="宋体" w:cs="宋体" w:eastAsia="宋体" w:hint="default"/>
                            <w:sz w:val="18"/>
                            <w:szCs w:val="18"/>
                          </w:rPr>
                          <w:t>10,108,524</w:t>
                        </w:r>
                        <w:r>
                          <w:rPr>
                            <w:rFonts w:ascii="宋体" w:hAnsi="宋体" w:cs="宋体" w:eastAsia="宋体" w:hint="default"/>
                            <w:spacing w:val="-49"/>
                            <w:sz w:val="18"/>
                            <w:szCs w:val="18"/>
                          </w:rPr>
                          <w:t> </w:t>
                        </w: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宋体" w:hAnsi="宋体" w:cs="宋体" w:eastAsia="宋体" w:hint="default"/>
                            <w:sz w:val="18"/>
                            <w:szCs w:val="18"/>
                          </w:rPr>
                          <w:t>B-1</w:t>
                        </w:r>
                        <w:r>
                          <w:rPr>
                            <w:rFonts w:ascii="宋体" w:hAnsi="宋体" w:cs="宋体" w:eastAsia="宋体" w:hint="default"/>
                            <w:spacing w:val="-48"/>
                            <w:sz w:val="18"/>
                            <w:szCs w:val="18"/>
                          </w:rPr>
                          <w:t> </w:t>
                        </w:r>
                        <w:r>
                          <w:rPr>
                            <w:rFonts w:ascii="宋体" w:hAnsi="宋体" w:cs="宋体" w:eastAsia="宋体" w:hint="default"/>
                            <w:sz w:val="18"/>
                            <w:szCs w:val="18"/>
                          </w:rPr>
                          <w:t>系列优先股和可转换认股权证，其中在</w:t>
                        </w:r>
                        <w:r>
                          <w:rPr>
                            <w:rFonts w:ascii="宋体" w:hAnsi="宋体" w:cs="宋体" w:eastAsia="宋体" w:hint="default"/>
                            <w:spacing w:val="-49"/>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月，确认以现金认购 价值</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万美元的</w:t>
                        </w:r>
                        <w:r>
                          <w:rPr>
                            <w:rFonts w:ascii="宋体" w:hAnsi="宋体" w:cs="宋体" w:eastAsia="宋体" w:hint="default"/>
                            <w:spacing w:val="-47"/>
                            <w:sz w:val="18"/>
                            <w:szCs w:val="18"/>
                          </w:rPr>
                          <w:t> </w:t>
                        </w:r>
                        <w:r>
                          <w:rPr>
                            <w:rFonts w:ascii="宋体" w:hAnsi="宋体" w:cs="宋体" w:eastAsia="宋体" w:hint="default"/>
                            <w:sz w:val="18"/>
                            <w:szCs w:val="18"/>
                          </w:rPr>
                          <w:t>1,684,754</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B-1</w:t>
                        </w:r>
                        <w:r>
                          <w:rPr>
                            <w:rFonts w:ascii="宋体" w:hAnsi="宋体" w:cs="宋体" w:eastAsia="宋体" w:hint="default"/>
                            <w:spacing w:val="-46"/>
                            <w:sz w:val="18"/>
                            <w:szCs w:val="18"/>
                          </w:rPr>
                          <w:t> </w:t>
                        </w:r>
                        <w:r>
                          <w:rPr>
                            <w:rFonts w:ascii="宋体" w:hAnsi="宋体" w:cs="宋体" w:eastAsia="宋体" w:hint="default"/>
                            <w:sz w:val="18"/>
                            <w:szCs w:val="18"/>
                          </w:rPr>
                          <w:t>系列优先股；剩余</w:t>
                        </w:r>
                        <w:r>
                          <w:rPr>
                            <w:rFonts w:ascii="宋体" w:hAnsi="宋体" w:cs="宋体" w:eastAsia="宋体" w:hint="default"/>
                            <w:spacing w:val="-49"/>
                            <w:sz w:val="18"/>
                            <w:szCs w:val="18"/>
                          </w:rPr>
                          <w:t> </w:t>
                        </w:r>
                        <w:r>
                          <w:rPr>
                            <w:rFonts w:ascii="宋体" w:hAnsi="宋体" w:cs="宋体" w:eastAsia="宋体" w:hint="default"/>
                            <w:sz w:val="18"/>
                            <w:szCs w:val="18"/>
                          </w:rPr>
                          <w:t>250</w:t>
                        </w:r>
                        <w:r>
                          <w:rPr>
                            <w:rFonts w:ascii="宋体" w:hAnsi="宋体" w:cs="宋体" w:eastAsia="宋体" w:hint="default"/>
                            <w:spacing w:val="-48"/>
                            <w:sz w:val="18"/>
                            <w:szCs w:val="18"/>
                          </w:rPr>
                          <w:t> </w:t>
                        </w:r>
                        <w:r>
                          <w:rPr>
                            <w:rFonts w:ascii="宋体" w:hAnsi="宋体" w:cs="宋体" w:eastAsia="宋体" w:hint="default"/>
                            <w:sz w:val="18"/>
                            <w:szCs w:val="18"/>
                          </w:rPr>
                          <w:t>万美元投资对应设立</w:t>
                        </w:r>
                        <w:r>
                          <w:rPr>
                            <w:rFonts w:ascii="宋体" w:hAnsi="宋体" w:cs="宋体" w:eastAsia="宋体" w:hint="default"/>
                            <w:spacing w:val="-46"/>
                            <w:sz w:val="18"/>
                            <w:szCs w:val="18"/>
                          </w:rPr>
                          <w:t> </w:t>
                        </w:r>
                        <w:r>
                          <w:rPr>
                            <w:rFonts w:ascii="宋体" w:hAnsi="宋体" w:cs="宋体" w:eastAsia="宋体" w:hint="default"/>
                            <w:sz w:val="18"/>
                            <w:szCs w:val="18"/>
                          </w:rPr>
                          <w:t>8,423,770</w:t>
                        </w:r>
                        <w:r>
                          <w:rPr>
                            <w:rFonts w:ascii="宋体" w:hAnsi="宋体" w:cs="宋体" w:eastAsia="宋体" w:hint="default"/>
                            <w:spacing w:val="-45"/>
                            <w:sz w:val="18"/>
                            <w:szCs w:val="18"/>
                          </w:rPr>
                          <w:t> </w:t>
                        </w:r>
                        <w:r>
                          <w:rPr>
                            <w:rFonts w:ascii="宋体" w:hAnsi="宋体" w:cs="宋体" w:eastAsia="宋体" w:hint="default"/>
                            <w:sz w:val="18"/>
                            <w:szCs w:val="18"/>
                          </w:rPr>
                          <w:t>股可转换为</w:t>
                        </w:r>
                        <w:r>
                          <w:rPr>
                            <w:rFonts w:ascii="宋体" w:hAnsi="宋体" w:cs="宋体" w:eastAsia="宋体" w:hint="default"/>
                            <w:spacing w:val="-46"/>
                            <w:sz w:val="18"/>
                            <w:szCs w:val="18"/>
                          </w:rPr>
                          <w:t> </w:t>
                        </w:r>
                        <w:r>
                          <w:rPr>
                            <w:rFonts w:ascii="宋体" w:hAnsi="宋体" w:cs="宋体" w:eastAsia="宋体" w:hint="default"/>
                            <w:sz w:val="18"/>
                            <w:szCs w:val="18"/>
                          </w:rPr>
                          <w:t>B-1</w:t>
                        </w:r>
                        <w:r>
                          <w:rPr>
                            <w:rFonts w:ascii="宋体" w:hAnsi="宋体" w:cs="宋体" w:eastAsia="宋体" w:hint="default"/>
                            <w:spacing w:val="-46"/>
                            <w:sz w:val="18"/>
                            <w:szCs w:val="18"/>
                          </w:rPr>
                          <w:t> </w:t>
                        </w:r>
                        <w:r>
                          <w:rPr>
                            <w:rFonts w:ascii="宋体" w:hAnsi="宋体" w:cs="宋体" w:eastAsia="宋体" w:hint="default"/>
                            <w:sz w:val="18"/>
                            <w:szCs w:val="18"/>
                          </w:rPr>
                          <w:t>系列优先股的 认股权证。</w:t>
                        </w:r>
                        <w:r>
                          <w:rPr>
                            <w:rFonts w:ascii="宋体" w:hAnsi="宋体" w:cs="宋体" w:eastAsia="宋体" w:hint="default"/>
                            <w:sz w:val="18"/>
                            <w:szCs w:val="18"/>
                          </w:rPr>
                          <w:t>300</w:t>
                        </w:r>
                        <w:r>
                          <w:rPr>
                            <w:rFonts w:ascii="宋体" w:hAnsi="宋体" w:cs="宋体" w:eastAsia="宋体" w:hint="default"/>
                            <w:spacing w:val="-47"/>
                            <w:sz w:val="18"/>
                            <w:szCs w:val="18"/>
                          </w:rPr>
                          <w:t> </w:t>
                        </w:r>
                        <w:r>
                          <w:rPr>
                            <w:rFonts w:ascii="宋体" w:hAnsi="宋体" w:cs="宋体" w:eastAsia="宋体" w:hint="default"/>
                            <w:sz w:val="18"/>
                            <w:szCs w:val="18"/>
                          </w:rPr>
                          <w:t>万美元的投资全部完成后，公司可获得</w:t>
                        </w:r>
                        <w:r>
                          <w:rPr>
                            <w:rFonts w:ascii="宋体" w:hAnsi="宋体" w:cs="宋体" w:eastAsia="宋体" w:hint="default"/>
                            <w:spacing w:val="-47"/>
                            <w:sz w:val="18"/>
                            <w:szCs w:val="18"/>
                          </w:rPr>
                          <w:t> </w:t>
                        </w:r>
                        <w:r>
                          <w:rPr>
                            <w:rFonts w:ascii="宋体" w:hAnsi="宋体" w:cs="宋体" w:eastAsia="宋体" w:hint="default"/>
                            <w:sz w:val="18"/>
                            <w:szCs w:val="18"/>
                          </w:rPr>
                          <w:t>Exadigm</w:t>
                        </w:r>
                        <w:r>
                          <w:rPr>
                            <w:rFonts w:ascii="宋体" w:hAnsi="宋体" w:cs="宋体" w:eastAsia="宋体" w:hint="default"/>
                            <w:spacing w:val="-46"/>
                            <w:sz w:val="18"/>
                            <w:szCs w:val="18"/>
                          </w:rPr>
                          <w:t> </w:t>
                        </w:r>
                        <w:r>
                          <w:rPr>
                            <w:rFonts w:ascii="宋体" w:hAnsi="宋体" w:cs="宋体" w:eastAsia="宋体" w:hint="default"/>
                            <w:sz w:val="18"/>
                            <w:szCs w:val="18"/>
                          </w:rPr>
                          <w:t>累计</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的股权。具体投资方案为：</w:t>
                        </w:r>
                      </w:p>
                      <w:p>
                        <w:pPr>
                          <w:pStyle w:val="TableParagraph"/>
                          <w:spacing w:line="477" w:lineRule="auto" w:before="97"/>
                          <w:ind w:left="24" w:right="1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月，公司以自有现金向</w:t>
                        </w:r>
                        <w:r>
                          <w:rPr>
                            <w:rFonts w:ascii="宋体" w:hAnsi="宋体" w:cs="宋体" w:eastAsia="宋体" w:hint="default"/>
                            <w:spacing w:val="-46"/>
                            <w:sz w:val="18"/>
                            <w:szCs w:val="18"/>
                          </w:rPr>
                          <w:t> </w:t>
                        </w:r>
                        <w:r>
                          <w:rPr>
                            <w:rFonts w:ascii="宋体" w:hAnsi="宋体" w:cs="宋体" w:eastAsia="宋体" w:hint="default"/>
                            <w:sz w:val="18"/>
                            <w:szCs w:val="18"/>
                          </w:rPr>
                          <w:t>Exadigm</w:t>
                        </w:r>
                        <w:r>
                          <w:rPr>
                            <w:rFonts w:ascii="宋体" w:hAnsi="宋体" w:cs="宋体" w:eastAsia="宋体" w:hint="default"/>
                            <w:spacing w:val="-45"/>
                            <w:sz w:val="18"/>
                            <w:szCs w:val="18"/>
                          </w:rPr>
                          <w:t> </w:t>
                        </w:r>
                        <w:r>
                          <w:rPr>
                            <w:rFonts w:ascii="宋体" w:hAnsi="宋体" w:cs="宋体" w:eastAsia="宋体" w:hint="default"/>
                            <w:sz w:val="18"/>
                            <w:szCs w:val="18"/>
                          </w:rPr>
                          <w:t>投入</w:t>
                        </w:r>
                        <w:r>
                          <w:rPr>
                            <w:rFonts w:ascii="宋体" w:hAnsi="宋体" w:cs="宋体" w:eastAsia="宋体" w:hint="default"/>
                            <w:spacing w:val="-49"/>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万美元，由双方签署正式投资合同之日，根据人民币兑美元汇率 换算成人民币进行出资。出资完成后，公司获得</w:t>
                        </w:r>
                        <w:r>
                          <w:rPr>
                            <w:rFonts w:ascii="宋体" w:hAnsi="宋体" w:cs="宋体" w:eastAsia="宋体" w:hint="default"/>
                            <w:spacing w:val="-46"/>
                            <w:sz w:val="18"/>
                            <w:szCs w:val="18"/>
                          </w:rPr>
                          <w:t> </w:t>
                        </w:r>
                        <w:r>
                          <w:rPr>
                            <w:rFonts w:ascii="宋体" w:hAnsi="宋体" w:cs="宋体" w:eastAsia="宋体" w:hint="default"/>
                            <w:sz w:val="18"/>
                            <w:szCs w:val="18"/>
                          </w:rPr>
                          <w:t>B-1</w:t>
                        </w:r>
                        <w:r>
                          <w:rPr>
                            <w:rFonts w:ascii="宋体" w:hAnsi="宋体" w:cs="宋体" w:eastAsia="宋体" w:hint="default"/>
                            <w:spacing w:val="-46"/>
                            <w:sz w:val="18"/>
                            <w:szCs w:val="18"/>
                          </w:rPr>
                          <w:t> </w:t>
                        </w:r>
                        <w:r>
                          <w:rPr>
                            <w:rFonts w:ascii="宋体" w:hAnsi="宋体" w:cs="宋体" w:eastAsia="宋体" w:hint="default"/>
                            <w:sz w:val="18"/>
                            <w:szCs w:val="18"/>
                          </w:rPr>
                          <w:t>系列优先股</w:t>
                        </w:r>
                        <w:r>
                          <w:rPr>
                            <w:rFonts w:ascii="宋体" w:hAnsi="宋体" w:cs="宋体" w:eastAsia="宋体" w:hint="default"/>
                            <w:spacing w:val="-47"/>
                            <w:sz w:val="18"/>
                            <w:szCs w:val="18"/>
                          </w:rPr>
                          <w:t> </w:t>
                        </w:r>
                        <w:r>
                          <w:rPr>
                            <w:rFonts w:ascii="宋体" w:hAnsi="宋体" w:cs="宋体" w:eastAsia="宋体" w:hint="default"/>
                            <w:sz w:val="18"/>
                            <w:szCs w:val="18"/>
                          </w:rPr>
                          <w:t>1,684,754</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月起至</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日期间，公司以技术研发资源投入、产品单价让利折价出资</w:t>
                        </w:r>
                        <w:r>
                          <w:rPr>
                            <w:rFonts w:ascii="宋体" w:hAnsi="宋体" w:cs="宋体" w:eastAsia="宋体" w:hint="default"/>
                            <w:spacing w:val="-45"/>
                            <w:sz w:val="18"/>
                            <w:szCs w:val="18"/>
                          </w:rPr>
                          <w:t> </w:t>
                        </w:r>
                        <w:r>
                          <w:rPr>
                            <w:rFonts w:ascii="宋体" w:hAnsi="宋体" w:cs="宋体" w:eastAsia="宋体" w:hint="default"/>
                            <w:sz w:val="18"/>
                            <w:szCs w:val="18"/>
                          </w:rPr>
                          <w:t>150</w:t>
                        </w:r>
                        <w:r>
                          <w:rPr>
                            <w:rFonts w:ascii="宋体" w:hAnsi="宋体" w:cs="宋体" w:eastAsia="宋体" w:hint="default"/>
                            <w:spacing w:val="-45"/>
                            <w:sz w:val="18"/>
                            <w:szCs w:val="18"/>
                          </w:rPr>
                          <w:t> </w:t>
                        </w:r>
                        <w:r>
                          <w:rPr>
                            <w:rFonts w:ascii="宋体" w:hAnsi="宋体" w:cs="宋体" w:eastAsia="宋体" w:hint="default"/>
                            <w:sz w:val="18"/>
                            <w:szCs w:val="18"/>
                          </w:rPr>
                          <w:t>万美元，认购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万股可转换为</w:t>
                        </w:r>
                        <w:r>
                          <w:rPr>
                            <w:rFonts w:ascii="宋体" w:hAnsi="宋体" w:cs="宋体" w:eastAsia="宋体" w:hint="default"/>
                            <w:spacing w:val="-49"/>
                            <w:sz w:val="18"/>
                            <w:szCs w:val="18"/>
                          </w:rPr>
                          <w:t> </w:t>
                        </w:r>
                        <w:r>
                          <w:rPr>
                            <w:rFonts w:ascii="宋体" w:hAnsi="宋体" w:cs="宋体" w:eastAsia="宋体" w:hint="default"/>
                            <w:sz w:val="18"/>
                            <w:szCs w:val="18"/>
                          </w:rPr>
                          <w:t>B-1</w:t>
                        </w:r>
                        <w:r>
                          <w:rPr>
                            <w:rFonts w:ascii="宋体" w:hAnsi="宋体" w:cs="宋体" w:eastAsia="宋体" w:hint="default"/>
                            <w:spacing w:val="-48"/>
                            <w:sz w:val="18"/>
                            <w:szCs w:val="18"/>
                          </w:rPr>
                          <w:t> </w:t>
                        </w:r>
                        <w:r>
                          <w:rPr>
                            <w:rFonts w:ascii="宋体" w:hAnsi="宋体" w:cs="宋体" w:eastAsia="宋体" w:hint="default"/>
                            <w:sz w:val="18"/>
                            <w:szCs w:val="18"/>
                          </w:rPr>
                          <w:t>系列优先股的认股权证，具体为：</w:t>
                        </w:r>
                        <w:r>
                          <w:rPr>
                            <w:rFonts w:ascii="宋体" w:hAnsi="宋体" w:cs="宋体" w:eastAsia="宋体" w:hint="default"/>
                            <w:sz w:val="18"/>
                            <w:szCs w:val="18"/>
                          </w:rPr>
                          <w:t>A</w:t>
                        </w:r>
                        <w:r>
                          <w:rPr>
                            <w:rFonts w:ascii="宋体" w:hAnsi="宋体" w:cs="宋体" w:eastAsia="宋体" w:hint="default"/>
                            <w:sz w:val="18"/>
                            <w:szCs w:val="18"/>
                          </w:rPr>
                          <w:t>、自</w:t>
                        </w:r>
                        <w:r>
                          <w:rPr>
                            <w:rFonts w:ascii="宋体" w:hAnsi="宋体" w:cs="宋体" w:eastAsia="宋体" w:hint="default"/>
                            <w:spacing w:val="-49"/>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月起至</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日期间，公司向</w:t>
                        </w:r>
                        <w:r>
                          <w:rPr>
                            <w:rFonts w:ascii="宋体" w:hAnsi="宋体" w:cs="宋体" w:eastAsia="宋体" w:hint="default"/>
                            <w:spacing w:val="-48"/>
                            <w:sz w:val="18"/>
                            <w:szCs w:val="18"/>
                          </w:rPr>
                          <w:t> </w:t>
                        </w:r>
                        <w:r>
                          <w:rPr>
                            <w:rFonts w:ascii="宋体" w:hAnsi="宋体" w:cs="宋体" w:eastAsia="宋体" w:hint="default"/>
                            <w:sz w:val="18"/>
                            <w:szCs w:val="18"/>
                          </w:rPr>
                          <w:t>Exadigm</w:t>
                        </w:r>
                      </w:p>
                      <w:p>
                        <w:pPr>
                          <w:pStyle w:val="TableParagraph"/>
                          <w:spacing w:line="240" w:lineRule="auto" w:before="11"/>
                          <w:ind w:right="0"/>
                          <w:jc w:val="left"/>
                          <w:rPr>
                            <w:rFonts w:ascii="宋体" w:hAnsi="宋体" w:cs="宋体" w:eastAsia="宋体" w:hint="default"/>
                            <w:sz w:val="17"/>
                            <w:szCs w:val="17"/>
                          </w:rPr>
                        </w:pPr>
                      </w:p>
                      <w:p>
                        <w:pPr>
                          <w:pStyle w:val="TableParagraph"/>
                          <w:spacing w:line="477" w:lineRule="auto"/>
                          <w:ind w:left="24" w:right="17"/>
                          <w:jc w:val="both"/>
                          <w:rPr>
                            <w:rFonts w:ascii="宋体" w:hAnsi="宋体" w:cs="宋体" w:eastAsia="宋体" w:hint="default"/>
                            <w:sz w:val="18"/>
                            <w:szCs w:val="18"/>
                          </w:rPr>
                        </w:pPr>
                        <w:r>
                          <w:rPr>
                            <w:rFonts w:ascii="宋体" w:hAnsi="宋体" w:cs="宋体" w:eastAsia="宋体" w:hint="default"/>
                            <w:spacing w:val="-7"/>
                            <w:sz w:val="18"/>
                            <w:szCs w:val="18"/>
                          </w:rPr>
                          <w:t>提供的专业产品和技术研发团队，该部分研发资源的投入，折价</w:t>
                        </w:r>
                        <w:r>
                          <w:rPr>
                            <w:rFonts w:ascii="宋体" w:hAnsi="宋体" w:cs="宋体" w:eastAsia="宋体" w:hint="default"/>
                            <w:spacing w:val="-38"/>
                            <w:sz w:val="18"/>
                            <w:szCs w:val="18"/>
                          </w:rPr>
                          <w:t> </w:t>
                        </w:r>
                        <w:r>
                          <w:rPr>
                            <w:rFonts w:ascii="宋体" w:hAnsi="宋体" w:cs="宋体" w:eastAsia="宋体" w:hint="default"/>
                            <w:sz w:val="18"/>
                            <w:szCs w:val="18"/>
                          </w:rPr>
                          <w:t>50</w:t>
                        </w:r>
                        <w:r>
                          <w:rPr>
                            <w:rFonts w:ascii="宋体" w:hAnsi="宋体" w:cs="宋体" w:eastAsia="宋体" w:hint="default"/>
                            <w:spacing w:val="-37"/>
                            <w:sz w:val="18"/>
                            <w:szCs w:val="18"/>
                          </w:rPr>
                          <w:t> </w:t>
                        </w:r>
                        <w:r>
                          <w:rPr>
                            <w:rFonts w:ascii="宋体" w:hAnsi="宋体" w:cs="宋体" w:eastAsia="宋体" w:hint="default"/>
                            <w:spacing w:val="-11"/>
                            <w:sz w:val="18"/>
                            <w:szCs w:val="18"/>
                          </w:rPr>
                          <w:t>万美元，对应认购</w:t>
                        </w:r>
                        <w:r>
                          <w:rPr>
                            <w:rFonts w:ascii="宋体" w:hAnsi="宋体" w:cs="宋体" w:eastAsia="宋体" w:hint="default"/>
                            <w:spacing w:val="-42"/>
                            <w:sz w:val="18"/>
                            <w:szCs w:val="18"/>
                          </w:rPr>
                          <w:t> </w:t>
                        </w:r>
                        <w:r>
                          <w:rPr>
                            <w:rFonts w:ascii="宋体" w:hAnsi="宋体" w:cs="宋体" w:eastAsia="宋体" w:hint="default"/>
                            <w:spacing w:val="-1"/>
                            <w:sz w:val="18"/>
                            <w:szCs w:val="18"/>
                          </w:rPr>
                          <w:t>Exadigm,Inc</w:t>
                        </w:r>
                        <w:r>
                          <w:rPr>
                            <w:rFonts w:ascii="宋体" w:hAnsi="宋体" w:cs="宋体" w:eastAsia="宋体" w:hint="default"/>
                            <w:spacing w:val="-37"/>
                            <w:sz w:val="18"/>
                            <w:szCs w:val="18"/>
                          </w:rPr>
                          <w:t> </w:t>
                        </w:r>
                        <w:r>
                          <w:rPr>
                            <w:rFonts w:ascii="宋体" w:hAnsi="宋体" w:cs="宋体" w:eastAsia="宋体" w:hint="default"/>
                            <w:sz w:val="18"/>
                            <w:szCs w:val="18"/>
                          </w:rPr>
                          <w:t>向公司发行的</w:t>
                        </w:r>
                        <w:r>
                          <w:rPr>
                            <w:rFonts w:ascii="宋体" w:hAnsi="宋体" w:cs="宋体" w:eastAsia="宋体" w:hint="default"/>
                            <w:spacing w:val="-38"/>
                            <w:sz w:val="18"/>
                            <w:szCs w:val="18"/>
                          </w:rPr>
                          <w:t> </w:t>
                        </w:r>
                        <w:r>
                          <w:rPr>
                            <w:rFonts w:ascii="宋体" w:hAnsi="宋体" w:cs="宋体" w:eastAsia="宋体" w:hint="default"/>
                            <w:spacing w:val="-1"/>
                            <w:sz w:val="18"/>
                            <w:szCs w:val="18"/>
                          </w:rPr>
                          <w:t>1,684,754</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股可转换为</w:t>
                        </w:r>
                        <w:r>
                          <w:rPr>
                            <w:rFonts w:ascii="宋体" w:hAnsi="宋体" w:cs="宋体" w:eastAsia="宋体" w:hint="default"/>
                            <w:spacing w:val="-49"/>
                            <w:sz w:val="18"/>
                            <w:szCs w:val="18"/>
                          </w:rPr>
                          <w:t> </w:t>
                        </w:r>
                        <w:r>
                          <w:rPr>
                            <w:rFonts w:ascii="宋体" w:hAnsi="宋体" w:cs="宋体" w:eastAsia="宋体" w:hint="default"/>
                            <w:sz w:val="18"/>
                            <w:szCs w:val="18"/>
                          </w:rPr>
                          <w:t>B-1</w:t>
                        </w:r>
                        <w:r>
                          <w:rPr>
                            <w:rFonts w:ascii="宋体" w:hAnsi="宋体" w:cs="宋体" w:eastAsia="宋体" w:hint="default"/>
                            <w:spacing w:val="-49"/>
                            <w:sz w:val="18"/>
                            <w:szCs w:val="18"/>
                          </w:rPr>
                          <w:t> </w:t>
                        </w:r>
                        <w:r>
                          <w:rPr>
                            <w:rFonts w:ascii="宋体" w:hAnsi="宋体" w:cs="宋体" w:eastAsia="宋体" w:hint="default"/>
                            <w:sz w:val="18"/>
                            <w:szCs w:val="18"/>
                          </w:rPr>
                          <w:t>系列优先股的认股权证。其中，</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月兑现价值</w:t>
                        </w:r>
                        <w:r>
                          <w:rPr>
                            <w:rFonts w:ascii="宋体" w:hAnsi="宋体" w:cs="宋体" w:eastAsia="宋体" w:hint="default"/>
                            <w:spacing w:val="-50"/>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万美元的认股权证，</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年兑现价值</w:t>
                        </w:r>
                        <w:r>
                          <w:rPr>
                            <w:rFonts w:ascii="宋体" w:hAnsi="宋体" w:cs="宋体" w:eastAsia="宋体" w:hint="default"/>
                            <w:spacing w:val="-50"/>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万美元 的认股权证；</w:t>
                        </w:r>
                        <w:r>
                          <w:rPr>
                            <w:rFonts w:ascii="宋体" w:hAnsi="宋体" w:cs="宋体" w:eastAsia="宋体" w:hint="default"/>
                            <w:sz w:val="18"/>
                            <w:szCs w:val="18"/>
                          </w:rPr>
                          <w:t>B</w:t>
                        </w:r>
                        <w:r>
                          <w:rPr>
                            <w:rFonts w:ascii="宋体" w:hAnsi="宋体" w:cs="宋体" w:eastAsia="宋体" w:hint="default"/>
                            <w:sz w:val="18"/>
                            <w:szCs w:val="18"/>
                          </w:rPr>
                          <w:t>、自</w:t>
                        </w:r>
                        <w:r>
                          <w:rPr>
                            <w:rFonts w:ascii="宋体" w:hAnsi="宋体" w:cs="宋体" w:eastAsia="宋体" w:hint="default"/>
                            <w:spacing w:val="-49"/>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月起至</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日期间，公司向</w:t>
                        </w:r>
                        <w:r>
                          <w:rPr>
                            <w:rFonts w:ascii="宋体" w:hAnsi="宋体" w:cs="宋体" w:eastAsia="宋体" w:hint="default"/>
                            <w:spacing w:val="-49"/>
                            <w:sz w:val="18"/>
                            <w:szCs w:val="18"/>
                          </w:rPr>
                          <w:t> </w:t>
                        </w:r>
                        <w:r>
                          <w:rPr>
                            <w:rFonts w:ascii="宋体" w:hAnsi="宋体" w:cs="宋体" w:eastAsia="宋体" w:hint="default"/>
                            <w:sz w:val="18"/>
                            <w:szCs w:val="18"/>
                          </w:rPr>
                          <w:t>Exadigm</w:t>
                        </w:r>
                        <w:r>
                          <w:rPr>
                            <w:rFonts w:ascii="宋体" w:hAnsi="宋体" w:cs="宋体" w:eastAsia="宋体" w:hint="default"/>
                            <w:spacing w:val="-47"/>
                            <w:sz w:val="18"/>
                            <w:szCs w:val="18"/>
                          </w:rPr>
                          <w:t> </w:t>
                        </w:r>
                        <w:r>
                          <w:rPr>
                            <w:rFonts w:ascii="宋体" w:hAnsi="宋体" w:cs="宋体" w:eastAsia="宋体" w:hint="default"/>
                            <w:sz w:val="18"/>
                            <w:szCs w:val="18"/>
                          </w:rPr>
                          <w:t>提供的产品单价让利</w:t>
                        </w:r>
                        <w:r>
                          <w:rPr>
                            <w:rFonts w:ascii="宋体" w:hAnsi="宋体" w:cs="宋体" w:eastAsia="宋体" w:hint="default"/>
                            <w:spacing w:val="-48"/>
                            <w:sz w:val="18"/>
                            <w:szCs w:val="18"/>
                          </w:rPr>
                          <w:t> </w:t>
                        </w:r>
                        <w:r>
                          <w:rPr>
                            <w:rFonts w:ascii="宋体" w:hAnsi="宋体" w:cs="宋体" w:eastAsia="宋体" w:hint="default"/>
                            <w:sz w:val="18"/>
                            <w:szCs w:val="18"/>
                          </w:rPr>
                          <w:t>50</w:t>
                        </w:r>
                        <w:r>
                          <w:rPr>
                            <w:rFonts w:ascii="宋体" w:hAnsi="宋体" w:cs="宋体" w:eastAsia="宋体" w:hint="default"/>
                            <w:spacing w:val="-48"/>
                            <w:sz w:val="18"/>
                            <w:szCs w:val="18"/>
                          </w:rPr>
                          <w:t> </w:t>
                        </w:r>
                        <w:r>
                          <w:rPr>
                            <w:rFonts w:ascii="宋体" w:hAnsi="宋体" w:cs="宋体" w:eastAsia="宋体" w:hint="default"/>
                            <w:sz w:val="18"/>
                            <w:szCs w:val="18"/>
                          </w:rPr>
                          <w:t>美元</w:t>
                        </w:r>
                        <w:r>
                          <w:rPr>
                            <w:rFonts w:ascii="宋体" w:hAnsi="宋体" w:cs="宋体" w:eastAsia="宋体" w:hint="default"/>
                            <w:sz w:val="18"/>
                            <w:szCs w:val="18"/>
                          </w:rPr>
                          <w:t>/</w:t>
                        </w:r>
                        <w:r>
                          <w:rPr>
                            <w:rFonts w:ascii="宋体" w:hAnsi="宋体" w:cs="宋体" w:eastAsia="宋体" w:hint="default"/>
                            <w:sz w:val="18"/>
                            <w:szCs w:val="18"/>
                          </w:rPr>
                          <w:t>台，</w:t>
                        </w:r>
                        <w:r>
                          <w:rPr>
                            <w:rFonts w:ascii="宋体" w:hAnsi="宋体" w:cs="宋体" w:eastAsia="宋体" w:hint="default"/>
                            <w:sz w:val="18"/>
                            <w:szCs w:val="18"/>
                          </w:rPr>
                          <w:t>Exadigm </w:t>
                        </w:r>
                        <w:r>
                          <w:rPr>
                            <w:rFonts w:ascii="宋体" w:hAnsi="宋体" w:cs="宋体" w:eastAsia="宋体" w:hint="default"/>
                            <w:sz w:val="18"/>
                            <w:szCs w:val="18"/>
                          </w:rPr>
                          <w:t>同时承诺，在此期间，</w:t>
                        </w:r>
                        <w:r>
                          <w:rPr>
                            <w:rFonts w:ascii="宋体" w:hAnsi="宋体" w:cs="宋体" w:eastAsia="宋体" w:hint="default"/>
                            <w:sz w:val="18"/>
                            <w:szCs w:val="18"/>
                          </w:rPr>
                          <w:t>Exadigm</w:t>
                        </w:r>
                        <w:r>
                          <w:rPr>
                            <w:rFonts w:ascii="宋体" w:hAnsi="宋体" w:cs="宋体" w:eastAsia="宋体" w:hint="default"/>
                            <w:spacing w:val="-45"/>
                            <w:sz w:val="18"/>
                            <w:szCs w:val="18"/>
                          </w:rPr>
                          <w:t> </w:t>
                        </w:r>
                        <w:r>
                          <w:rPr>
                            <w:rFonts w:ascii="宋体" w:hAnsi="宋体" w:cs="宋体" w:eastAsia="宋体" w:hint="default"/>
                            <w:sz w:val="18"/>
                            <w:szCs w:val="18"/>
                          </w:rPr>
                          <w:t>向新国都采购并在美国实现销售金融</w:t>
                        </w:r>
                        <w:r>
                          <w:rPr>
                            <w:rFonts w:ascii="宋体" w:hAnsi="宋体" w:cs="宋体" w:eastAsia="宋体" w:hint="default"/>
                            <w:spacing w:val="-46"/>
                            <w:sz w:val="18"/>
                            <w:szCs w:val="18"/>
                          </w:rPr>
                          <w:t> </w:t>
                        </w: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终端不少于</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万台，公司合计让利部分达</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美元，对应认购</w:t>
                        </w:r>
                        <w:r>
                          <w:rPr>
                            <w:rFonts w:ascii="宋体" w:hAnsi="宋体" w:cs="宋体" w:eastAsia="宋体" w:hint="default"/>
                            <w:spacing w:val="-47"/>
                            <w:sz w:val="18"/>
                            <w:szCs w:val="18"/>
                          </w:rPr>
                          <w:t> </w:t>
                        </w:r>
                        <w:r>
                          <w:rPr>
                            <w:rFonts w:ascii="宋体" w:hAnsi="宋体" w:cs="宋体" w:eastAsia="宋体" w:hint="default"/>
                            <w:sz w:val="18"/>
                            <w:szCs w:val="18"/>
                          </w:rPr>
                          <w:t>Exadigm</w:t>
                        </w:r>
                        <w:r>
                          <w:rPr>
                            <w:rFonts w:ascii="宋体" w:hAnsi="宋体" w:cs="宋体" w:eastAsia="宋体" w:hint="default"/>
                            <w:spacing w:val="-46"/>
                            <w:sz w:val="18"/>
                            <w:szCs w:val="18"/>
                          </w:rPr>
                          <w:t> </w:t>
                        </w:r>
                        <w:r>
                          <w:rPr>
                            <w:rFonts w:ascii="宋体" w:hAnsi="宋体" w:cs="宋体" w:eastAsia="宋体" w:hint="default"/>
                            <w:sz w:val="18"/>
                            <w:szCs w:val="18"/>
                          </w:rPr>
                          <w:t>向公司发行的</w:t>
                        </w:r>
                        <w:r>
                          <w:rPr>
                            <w:rFonts w:ascii="宋体" w:hAnsi="宋体" w:cs="宋体" w:eastAsia="宋体" w:hint="default"/>
                            <w:spacing w:val="-47"/>
                            <w:sz w:val="18"/>
                            <w:szCs w:val="18"/>
                          </w:rPr>
                          <w:t> </w:t>
                        </w:r>
                        <w:r>
                          <w:rPr>
                            <w:rFonts w:ascii="宋体" w:hAnsi="宋体" w:cs="宋体" w:eastAsia="宋体" w:hint="default"/>
                            <w:sz w:val="18"/>
                            <w:szCs w:val="18"/>
                          </w:rPr>
                          <w:t>3,369,508</w:t>
                        </w:r>
                        <w:r>
                          <w:rPr>
                            <w:rFonts w:ascii="宋体" w:hAnsi="宋体" w:cs="宋体" w:eastAsia="宋体" w:hint="default"/>
                            <w:spacing w:val="-46"/>
                            <w:sz w:val="18"/>
                            <w:szCs w:val="18"/>
                          </w:rPr>
                          <w:t> </w:t>
                        </w:r>
                        <w:r>
                          <w:rPr>
                            <w:rFonts w:ascii="宋体" w:hAnsi="宋体" w:cs="宋体" w:eastAsia="宋体" w:hint="default"/>
                            <w:sz w:val="18"/>
                            <w:szCs w:val="18"/>
                          </w:rPr>
                          <w:t>股可转换为</w:t>
                        </w:r>
                        <w:r>
                          <w:rPr>
                            <w:rFonts w:ascii="宋体" w:hAnsi="宋体" w:cs="宋体" w:eastAsia="宋体" w:hint="default"/>
                            <w:spacing w:val="-48"/>
                            <w:sz w:val="18"/>
                            <w:szCs w:val="18"/>
                          </w:rPr>
                          <w:t> </w:t>
                        </w:r>
                        <w:r>
                          <w:rPr>
                            <w:rFonts w:ascii="宋体" w:hAnsi="宋体" w:cs="宋体" w:eastAsia="宋体" w:hint="default"/>
                            <w:sz w:val="18"/>
                            <w:szCs w:val="18"/>
                          </w:rPr>
                          <w:t>B-1</w:t>
                        </w:r>
                        <w:r>
                          <w:rPr>
                            <w:rFonts w:ascii="宋体" w:hAnsi="宋体" w:cs="宋体" w:eastAsia="宋体" w:hint="default"/>
                            <w:spacing w:val="-46"/>
                            <w:sz w:val="18"/>
                            <w:szCs w:val="18"/>
                          </w:rPr>
                          <w:t> </w:t>
                        </w:r>
                        <w:r>
                          <w:rPr>
                            <w:rFonts w:ascii="宋体" w:hAnsi="宋体" w:cs="宋体" w:eastAsia="宋体" w:hint="default"/>
                            <w:sz w:val="18"/>
                            <w:szCs w:val="18"/>
                          </w:rPr>
                          <w:t>系列优先股的认股权证。无论</w:t>
                        </w:r>
                        <w:r>
                          <w:rPr>
                            <w:rFonts w:ascii="宋体" w:hAnsi="宋体" w:cs="宋体" w:eastAsia="宋体" w:hint="default"/>
                            <w:spacing w:val="-48"/>
                            <w:sz w:val="18"/>
                            <w:szCs w:val="18"/>
                          </w:rPr>
                          <w:t> </w:t>
                        </w:r>
                        <w:r>
                          <w:rPr>
                            <w:rFonts w:ascii="宋体" w:hAnsi="宋体" w:cs="宋体" w:eastAsia="宋体" w:hint="default"/>
                            <w:sz w:val="18"/>
                            <w:szCs w:val="18"/>
                          </w:rPr>
                          <w:t>Exadigm</w:t>
                        </w:r>
                        <w:r>
                          <w:rPr>
                            <w:rFonts w:ascii="宋体" w:hAnsi="宋体" w:cs="宋体" w:eastAsia="宋体" w:hint="default"/>
                            <w:spacing w:val="-46"/>
                            <w:sz w:val="18"/>
                            <w:szCs w:val="18"/>
                          </w:rPr>
                          <w:t> </w:t>
                        </w:r>
                        <w:r>
                          <w:rPr>
                            <w:rFonts w:ascii="宋体" w:hAnsi="宋体" w:cs="宋体" w:eastAsia="宋体" w:hint="default"/>
                            <w:sz w:val="18"/>
                            <w:szCs w:val="18"/>
                          </w:rPr>
                          <w:t>在</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日之前超额完成承诺的销售业绩，或者未完成承诺的销售业绩，公司同意仍按照</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万美元的金额进行投资。</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986" w:lineRule="exact"/>
        <w:ind w:left="152"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5pt;height:49.35pt;mso-position-horizontal-relative:char;mso-position-vertical-relative:line" type="#_x0000_t202" filled="false" stroked="true" strokeweight=".48pt" strokecolor="#000000">
            <w10:anchorlock/>
            <v:textbox inset="0,0,0,0">
              <w:txbxContent>
                <w:p>
                  <w:pPr>
                    <w:pStyle w:val="BodyText"/>
                    <w:spacing w:line="240" w:lineRule="auto" w:before="87"/>
                    <w:ind w:left="23" w:right="0"/>
                    <w:jc w:val="left"/>
                  </w:pPr>
                  <w:r>
                    <w:rPr/>
                    <w:t>（</w:t>
                  </w:r>
                  <w:r>
                    <w:rPr>
                      <w:rFonts w:ascii="宋体" w:hAnsi="宋体" w:cs="宋体" w:eastAsia="宋体" w:hint="default"/>
                    </w:rPr>
                    <w:t>3</w:t>
                  </w:r>
                  <w:r>
                    <w:rPr/>
                    <w:t>）剩余</w:t>
                  </w:r>
                  <w:r>
                    <w:rPr>
                      <w:spacing w:val="-50"/>
                    </w:rPr>
                    <w:t> </w:t>
                  </w:r>
                  <w:r>
                    <w:rPr>
                      <w:rFonts w:ascii="宋体" w:hAnsi="宋体" w:cs="宋体" w:eastAsia="宋体" w:hint="default"/>
                    </w:rPr>
                    <w:t>100</w:t>
                  </w:r>
                  <w:r>
                    <w:rPr>
                      <w:rFonts w:ascii="宋体" w:hAnsi="宋体" w:cs="宋体" w:eastAsia="宋体" w:hint="default"/>
                      <w:spacing w:val="-49"/>
                    </w:rPr>
                    <w:t> </w:t>
                  </w:r>
                  <w:r>
                    <w:rPr/>
                    <w:t>万美元的投资信用额度，公司可根据</w:t>
                  </w:r>
                  <w:r>
                    <w:rPr>
                      <w:spacing w:val="-49"/>
                    </w:rPr>
                    <w:t> </w:t>
                  </w:r>
                  <w:r>
                    <w:rPr>
                      <w:rFonts w:ascii="宋体" w:hAnsi="宋体" w:cs="宋体" w:eastAsia="宋体" w:hint="default"/>
                    </w:rPr>
                    <w:t>2014</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日之前</w:t>
                  </w:r>
                  <w:r>
                    <w:rPr>
                      <w:spacing w:val="-51"/>
                    </w:rPr>
                    <w:t> </w:t>
                  </w:r>
                  <w:r>
                    <w:rPr>
                      <w:rFonts w:ascii="宋体" w:hAnsi="宋体" w:cs="宋体" w:eastAsia="宋体" w:hint="default"/>
                    </w:rPr>
                    <w:t>Exadigm</w:t>
                  </w:r>
                  <w:r>
                    <w:rPr>
                      <w:rFonts w:ascii="宋体" w:hAnsi="宋体" w:cs="宋体" w:eastAsia="宋体" w:hint="default"/>
                      <w:spacing w:val="-48"/>
                    </w:rPr>
                    <w:t> </w:t>
                  </w:r>
                  <w:r>
                    <w:rPr/>
                    <w:t>的业绩表现，决定是否以现金</w:t>
                  </w:r>
                  <w:r>
                    <w:rPr>
                      <w:spacing w:val="-49"/>
                    </w:rPr>
                    <w:t> </w:t>
                  </w:r>
                  <w:r>
                    <w:rPr>
                      <w:rFonts w:ascii="宋体" w:hAnsi="宋体" w:cs="宋体" w:eastAsia="宋体" w:hint="default"/>
                    </w:rPr>
                    <w:t>100</w:t>
                  </w:r>
                  <w:r>
                    <w:rPr>
                      <w:rFonts w:ascii="宋体" w:hAnsi="宋体" w:cs="宋体" w:eastAsia="宋体" w:hint="default"/>
                      <w:spacing w:val="-49"/>
                    </w:rPr>
                    <w:t> </w:t>
                  </w:r>
                  <w:r>
                    <w:rPr/>
                    <w:t>万</w:t>
                  </w:r>
                </w:p>
                <w:p>
                  <w:pPr>
                    <w:spacing w:line="240" w:lineRule="auto" w:before="10"/>
                    <w:rPr>
                      <w:rFonts w:ascii="宋体" w:hAnsi="宋体" w:cs="宋体" w:eastAsia="宋体" w:hint="default"/>
                      <w:sz w:val="17"/>
                      <w:szCs w:val="17"/>
                    </w:rPr>
                  </w:pPr>
                </w:p>
                <w:p>
                  <w:pPr>
                    <w:pStyle w:val="BodyText"/>
                    <w:spacing w:line="240" w:lineRule="auto" w:before="0"/>
                    <w:ind w:left="23" w:right="-5"/>
                    <w:jc w:val="left"/>
                  </w:pPr>
                  <w:r>
                    <w:rPr/>
                    <w:t>美元继续认购剩余的</w:t>
                  </w:r>
                  <w:r>
                    <w:rPr>
                      <w:spacing w:val="-46"/>
                    </w:rPr>
                    <w:t> </w:t>
                  </w:r>
                  <w:r>
                    <w:rPr>
                      <w:rFonts w:ascii="宋体" w:hAnsi="宋体" w:cs="宋体" w:eastAsia="宋体" w:hint="default"/>
                    </w:rPr>
                    <w:t>3,369,508</w:t>
                  </w:r>
                  <w:r>
                    <w:rPr>
                      <w:rFonts w:ascii="宋体" w:hAnsi="宋体" w:cs="宋体" w:eastAsia="宋体" w:hint="default"/>
                      <w:spacing w:val="-45"/>
                    </w:rPr>
                    <w:t> </w:t>
                  </w:r>
                  <w:r>
                    <w:rPr/>
                    <w:t>股可转换为</w:t>
                  </w:r>
                  <w:r>
                    <w:rPr>
                      <w:spacing w:val="-46"/>
                    </w:rPr>
                    <w:t> </w:t>
                  </w:r>
                  <w:r>
                    <w:rPr>
                      <w:rFonts w:ascii="宋体" w:hAnsi="宋体" w:cs="宋体" w:eastAsia="宋体" w:hint="default"/>
                    </w:rPr>
                    <w:t>B-1</w:t>
                  </w:r>
                  <w:r>
                    <w:rPr>
                      <w:rFonts w:ascii="宋体" w:hAnsi="宋体" w:cs="宋体" w:eastAsia="宋体" w:hint="default"/>
                      <w:spacing w:val="-46"/>
                    </w:rPr>
                    <w:t> </w:t>
                  </w:r>
                  <w:r>
                    <w:rPr/>
                    <w:t>系列优先股的认股权证。该部分认股权证的到期日为</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7"/>
                    </w:rPr>
                    <w:t> </w:t>
                  </w:r>
                  <w:r>
                    <w:rPr>
                      <w:rFonts w:ascii="宋体" w:hAnsi="宋体" w:cs="宋体" w:eastAsia="宋体" w:hint="default"/>
                    </w:rPr>
                    <w:t>8</w:t>
                  </w:r>
                  <w:r>
                    <w:rPr>
                      <w:rFonts w:ascii="宋体" w:hAnsi="宋体" w:cs="宋体" w:eastAsia="宋体" w:hint="default"/>
                      <w:spacing w:val="-48"/>
                    </w:rPr>
                    <w:t> </w:t>
                  </w:r>
                  <w:r>
                    <w:rPr/>
                    <w:t>月</w:t>
                  </w:r>
                  <w:r>
                    <w:rPr>
                      <w:spacing w:val="-47"/>
                    </w:rPr>
                    <w:t> </w:t>
                  </w:r>
                  <w:r>
                    <w:rPr>
                      <w:rFonts w:ascii="宋体" w:hAnsi="宋体" w:cs="宋体" w:eastAsia="宋体" w:hint="default"/>
                    </w:rPr>
                    <w:t>15</w:t>
                  </w:r>
                  <w:r>
                    <w:rPr>
                      <w:rFonts w:ascii="宋体" w:hAnsi="宋体" w:cs="宋体" w:eastAsia="宋体" w:hint="default"/>
                      <w:spacing w:val="-46"/>
                    </w:rPr>
                    <w:t> </w:t>
                  </w:r>
                  <w:r>
                    <w:rPr>
                      <w:spacing w:val="-3"/>
                    </w:rPr>
                    <w:t>日。</w:t>
                  </w:r>
                  <w:r>
                    <w:rPr/>
                  </w:r>
                </w:p>
              </w:txbxContent>
            </v:textbox>
          </v:shape>
        </w:pict>
      </w:r>
      <w:r>
        <w:rPr>
          <w:rFonts w:ascii="宋体" w:hAnsi="宋体" w:cs="宋体" w:eastAsia="宋体" w:hint="default"/>
          <w:position w:val="-19"/>
          <w:sz w:val="20"/>
          <w:szCs w:val="20"/>
        </w:rPr>
      </w:r>
    </w:p>
    <w:p>
      <w:pPr>
        <w:spacing w:line="240" w:lineRule="auto" w:before="12"/>
        <w:rPr>
          <w:rFonts w:ascii="宋体" w:hAnsi="宋体" w:cs="宋体" w:eastAsia="宋体" w:hint="default"/>
          <w:sz w:val="25"/>
          <w:szCs w:val="25"/>
        </w:rPr>
      </w:pPr>
    </w:p>
    <w:p>
      <w:pPr>
        <w:pStyle w:val="Heading7"/>
        <w:spacing w:line="240" w:lineRule="auto" w:before="37"/>
        <w:ind w:right="0"/>
        <w:jc w:val="left"/>
        <w:rPr>
          <w:b w:val="0"/>
          <w:bCs w:val="0"/>
        </w:rPr>
      </w:pPr>
      <w:r>
        <w:rPr/>
        <w:t>（</w:t>
      </w:r>
      <w:r>
        <w:rPr>
          <w:rFonts w:ascii="宋体" w:hAnsi="宋体" w:cs="宋体" w:eastAsia="宋体" w:hint="default"/>
        </w:rPr>
        <w:t>5</w:t>
      </w:r>
      <w:r>
        <w:rPr/>
        <w:t>）证券投资情况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0"/>
        <w:jc w:val="left"/>
      </w:pPr>
      <w:r>
        <w:rPr/>
        <w:t>报告期内，公司不存在证券投资情况。</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0"/>
        <w:jc w:val="left"/>
        <w:rPr>
          <w:b w:val="0"/>
          <w:bCs w:val="0"/>
        </w:rPr>
      </w:pPr>
      <w:r>
        <w:rPr/>
        <w:t>（</w:t>
      </w:r>
      <w:r>
        <w:rPr>
          <w:rFonts w:ascii="宋体" w:hAnsi="宋体" w:cs="宋体" w:eastAsia="宋体" w:hint="default"/>
        </w:rPr>
        <w:t>6</w:t>
      </w:r>
      <w:r>
        <w:rPr/>
        <w:t>）持有其他上市公司股权情况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0"/>
        <w:jc w:val="left"/>
      </w:pPr>
      <w:r>
        <w:rPr/>
        <w:t>报告期内，公司不存在持有其他上市公司股权情况。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0"/>
        <w:jc w:val="left"/>
        <w:rPr>
          <w:b w:val="0"/>
          <w:bCs w:val="0"/>
        </w:rPr>
      </w:pPr>
      <w:r>
        <w:rPr/>
        <w:t>（</w:t>
      </w:r>
      <w:r>
        <w:rPr>
          <w:rFonts w:ascii="宋体" w:hAnsi="宋体" w:cs="宋体" w:eastAsia="宋体" w:hint="default"/>
        </w:rPr>
        <w:t>7</w:t>
      </w:r>
      <w:r>
        <w:rPr/>
        <w:t>）持有非上市金融企业股权情况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0"/>
        <w:jc w:val="left"/>
      </w:pPr>
      <w:r>
        <w:rPr/>
        <w:t>报告期内，公司不存在持有非上市金融企业股权情况。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0"/>
        <w:jc w:val="left"/>
        <w:rPr>
          <w:b w:val="0"/>
          <w:bCs w:val="0"/>
        </w:rPr>
      </w:pPr>
      <w:r>
        <w:rPr/>
        <w:t>（</w:t>
      </w:r>
      <w:r>
        <w:rPr>
          <w:rFonts w:ascii="宋体" w:hAnsi="宋体" w:cs="宋体" w:eastAsia="宋体" w:hint="default"/>
        </w:rPr>
        <w:t>8</w:t>
      </w:r>
      <w:r>
        <w:rPr/>
        <w:t>）买卖其他上市公司股份的情况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0"/>
        <w:jc w:val="left"/>
      </w:pPr>
      <w:r>
        <w:rPr/>
        <w:t>报告期内，公司不存在买卖其他上市公司股份的情况。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0"/>
        <w:jc w:val="left"/>
        <w:rPr>
          <w:b w:val="0"/>
          <w:bCs w:val="0"/>
        </w:rPr>
      </w:pPr>
      <w:r>
        <w:rPr/>
        <w:t>（</w:t>
      </w:r>
      <w:r>
        <w:rPr>
          <w:rFonts w:ascii="宋体" w:hAnsi="宋体" w:cs="宋体" w:eastAsia="宋体" w:hint="default"/>
        </w:rPr>
        <w:t>9</w:t>
      </w:r>
      <w:r>
        <w:rPr/>
        <w:t>）外币金融资产和外币金融负债</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0"/>
        <w:jc w:val="left"/>
      </w:pPr>
      <w:r>
        <w:rPr/>
        <w:t>报告期内，公司不存在外币金融资产和外币金融负债的情况。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0"/>
        <w:jc w:val="left"/>
        <w:rPr>
          <w:b w:val="0"/>
          <w:bCs w:val="0"/>
        </w:rPr>
      </w:pPr>
      <w:r>
        <w:rPr>
          <w:rFonts w:ascii="宋体" w:hAnsi="宋体" w:cs="宋体" w:eastAsia="宋体" w:hint="default"/>
        </w:rPr>
        <w:t>6</w:t>
      </w:r>
      <w:r>
        <w:rPr/>
        <w:t>、主要控股参股公司分析</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7"/>
        <w:spacing w:line="240" w:lineRule="auto"/>
        <w:ind w:right="0"/>
        <w:jc w:val="left"/>
        <w:rPr>
          <w:b w:val="0"/>
          <w:bCs w:val="0"/>
        </w:rPr>
      </w:pPr>
      <w:r>
        <w:rPr/>
        <w:t>（</w:t>
      </w:r>
      <w:r>
        <w:rPr>
          <w:rFonts w:ascii="宋体" w:hAnsi="宋体" w:cs="宋体" w:eastAsia="宋体" w:hint="default"/>
        </w:rPr>
        <w:t>1</w:t>
      </w:r>
      <w:r>
        <w:rPr/>
        <w:t>）深圳市易联技术有限公司</w:t>
      </w:r>
      <w:r>
        <w:rPr>
          <w:spacing w:val="-6"/>
        </w:rPr>
        <w:t> </w:t>
      </w:r>
      <w:r>
        <w:rPr/>
        <w:t>（以下简称“易联技术”）</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213" w:firstLine="420"/>
        <w:jc w:val="both"/>
      </w:pP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日，公司全资子公司“深圳市新国都软件技术有限公司”更名为“深圳市易联技术有限公司”（以下简称</w:t>
      </w:r>
      <w:r>
        <w:rPr/>
        <w:t> “易联技术”），易联技术成立于</w:t>
      </w:r>
      <w:r>
        <w:rPr>
          <w:rFonts w:ascii="宋体" w:hAnsi="宋体" w:cs="宋体" w:eastAsia="宋体" w:hint="default"/>
        </w:rPr>
        <w:t>2007</w:t>
      </w:r>
      <w:r>
        <w:rPr/>
        <w:t>年</w:t>
      </w:r>
      <w:r>
        <w:rPr>
          <w:rFonts w:ascii="宋体" w:hAnsi="宋体" w:cs="宋体" w:eastAsia="宋体" w:hint="default"/>
        </w:rPr>
        <w:t>11</w:t>
      </w:r>
      <w:r>
        <w:rPr/>
        <w:t>月</w:t>
      </w:r>
      <w:r>
        <w:rPr>
          <w:rFonts w:ascii="宋体" w:hAnsi="宋体" w:cs="宋体" w:eastAsia="宋体" w:hint="default"/>
        </w:rPr>
        <w:t>27</w:t>
      </w:r>
      <w:r>
        <w:rPr/>
        <w:t>日，现注册资本</w:t>
      </w:r>
      <w:r>
        <w:rPr>
          <w:rFonts w:ascii="宋体" w:hAnsi="宋体" w:cs="宋体" w:eastAsia="宋体" w:hint="default"/>
        </w:rPr>
        <w:t>11000</w:t>
      </w:r>
      <w:r>
        <w:rPr/>
        <w:t>万元，经营范围是：软件技术开发和销售，软件技术 咨询，计算机系统集成，目前主要为母公司提供产品软件和增值应用软件的支撑服务。</w:t>
      </w:r>
    </w:p>
    <w:p>
      <w:pPr>
        <w:spacing w:line="240" w:lineRule="auto" w:before="4"/>
        <w:rPr>
          <w:rFonts w:ascii="宋体" w:hAnsi="宋体" w:cs="宋体" w:eastAsia="宋体" w:hint="default"/>
          <w:sz w:val="13"/>
          <w:szCs w:val="13"/>
        </w:rPr>
      </w:pPr>
    </w:p>
    <w:p>
      <w:pPr>
        <w:pStyle w:val="BodyText"/>
        <w:spacing w:line="477" w:lineRule="auto" w:before="0"/>
        <w:ind w:right="0" w:firstLine="480"/>
        <w:jc w:val="left"/>
      </w:pPr>
      <w:r>
        <w:rPr>
          <w:spacing w:val="-2"/>
        </w:rPr>
        <w:t>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日，易联技术总资产</w:t>
      </w:r>
      <w:r>
        <w:rPr>
          <w:rFonts w:ascii="宋体" w:hAnsi="宋体" w:cs="宋体" w:eastAsia="宋体" w:hint="default"/>
          <w:spacing w:val="-2"/>
        </w:rPr>
        <w:t>28,902.36</w:t>
      </w:r>
      <w:r>
        <w:rPr>
          <w:spacing w:val="-2"/>
        </w:rPr>
        <w:t>万元，净资产</w:t>
      </w:r>
      <w:r>
        <w:rPr>
          <w:rFonts w:ascii="宋体" w:hAnsi="宋体" w:cs="宋体" w:eastAsia="宋体" w:hint="default"/>
          <w:spacing w:val="-2"/>
        </w:rPr>
        <w:t>26,646.67</w:t>
      </w:r>
      <w:r>
        <w:rPr>
          <w:spacing w:val="-2"/>
        </w:rPr>
        <w:t>万元，比去年同期分别增加</w:t>
      </w:r>
      <w:r>
        <w:rPr>
          <w:rFonts w:ascii="宋体" w:hAnsi="宋体" w:cs="宋体" w:eastAsia="宋体" w:hint="default"/>
          <w:spacing w:val="-2"/>
        </w:rPr>
        <w:t>24.17%</w:t>
      </w:r>
      <w:r>
        <w:rPr>
          <w:spacing w:val="-2"/>
        </w:rPr>
        <w:t>、</w:t>
      </w:r>
      <w:r>
        <w:rPr>
          <w:rFonts w:ascii="宋体" w:hAnsi="宋体" w:cs="宋体" w:eastAsia="宋体" w:hint="default"/>
          <w:spacing w:val="-2"/>
        </w:rPr>
        <w:t>22.17%</w:t>
      </w:r>
      <w:r>
        <w:rPr>
          <w:spacing w:val="-2"/>
        </w:rPr>
        <w:t>。</w:t>
      </w:r>
      <w:r>
        <w:rPr/>
        <w:t> </w:t>
      </w:r>
      <w:r>
        <w:rPr>
          <w:rFonts w:ascii="宋体" w:hAnsi="宋体" w:cs="宋体" w:eastAsia="宋体" w:hint="default"/>
        </w:rPr>
        <w:t>2012</w:t>
      </w:r>
      <w:r>
        <w:rPr/>
        <w:t>年度实现营业收入</w:t>
      </w:r>
      <w:r>
        <w:rPr>
          <w:rFonts w:ascii="宋体" w:hAnsi="宋体" w:cs="宋体" w:eastAsia="宋体" w:hint="default"/>
        </w:rPr>
        <w:t>11,604.84</w:t>
      </w:r>
      <w:r>
        <w:rPr/>
        <w:t>万元，比去年同期增长</w:t>
      </w:r>
      <w:r>
        <w:rPr>
          <w:rFonts w:ascii="宋体" w:hAnsi="宋体" w:cs="宋体" w:eastAsia="宋体" w:hint="default"/>
        </w:rPr>
        <w:t>48.33%</w:t>
      </w:r>
      <w:r>
        <w:rPr/>
        <w:t>，营业利润</w:t>
      </w:r>
      <w:r>
        <w:rPr>
          <w:rFonts w:ascii="宋体" w:hAnsi="宋体" w:cs="宋体" w:eastAsia="宋体" w:hint="default"/>
        </w:rPr>
        <w:t>8,275.18</w:t>
      </w:r>
      <w:r>
        <w:rPr/>
        <w:t>万元，净利润</w:t>
      </w:r>
      <w:r>
        <w:rPr>
          <w:rFonts w:ascii="宋体" w:hAnsi="宋体" w:cs="宋体" w:eastAsia="宋体" w:hint="default"/>
        </w:rPr>
        <w:t>8,335.34</w:t>
      </w:r>
      <w:r>
        <w:rPr/>
        <w:t>万元，比去年同 期相比分别增长</w:t>
      </w:r>
      <w:r>
        <w:rPr>
          <w:rFonts w:ascii="宋体" w:hAnsi="宋体" w:cs="宋体" w:eastAsia="宋体" w:hint="default"/>
        </w:rPr>
        <w:t>75.47%</w:t>
      </w:r>
      <w:r>
        <w:rPr/>
        <w:t>、</w:t>
      </w:r>
      <w:r>
        <w:rPr>
          <w:rFonts w:ascii="宋体" w:hAnsi="宋体" w:cs="宋体" w:eastAsia="宋体" w:hint="default"/>
        </w:rPr>
        <w:t>64.50%</w:t>
      </w:r>
      <w:r>
        <w:rPr/>
        <w:t>。</w:t>
      </w:r>
    </w:p>
    <w:p>
      <w:pPr>
        <w:spacing w:line="240" w:lineRule="auto" w:before="4"/>
        <w:rPr>
          <w:rFonts w:ascii="宋体" w:hAnsi="宋体" w:cs="宋体" w:eastAsia="宋体" w:hint="default"/>
          <w:sz w:val="13"/>
          <w:szCs w:val="13"/>
        </w:rPr>
      </w:pPr>
    </w:p>
    <w:p>
      <w:pPr>
        <w:pStyle w:val="BodyText"/>
        <w:spacing w:line="240" w:lineRule="auto" w:before="0"/>
        <w:ind w:left="573" w:right="0"/>
        <w:jc w:val="left"/>
      </w:pPr>
      <w:r>
        <w:rPr/>
        <w:t>母公司新国都股份是易联技术主要客户</w:t>
      </w:r>
      <w:r>
        <w:rPr>
          <w:spacing w:val="-77"/>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12</w:t>
      </w:r>
      <w:r>
        <w:rPr/>
        <w:t>年母公司营业</w:t>
      </w:r>
      <w:r>
        <w:rPr>
          <w:spacing w:val="-3"/>
        </w:rPr>
        <w:t>收</w:t>
      </w:r>
      <w:r>
        <w:rPr/>
        <w:t>入增长了</w:t>
      </w:r>
      <w:r>
        <w:rPr>
          <w:rFonts w:ascii="宋体" w:hAnsi="宋体" w:cs="宋体" w:eastAsia="宋体" w:hint="default"/>
          <w:spacing w:val="1"/>
        </w:rPr>
        <w:t>45</w:t>
      </w:r>
      <w:r>
        <w:rPr>
          <w:rFonts w:ascii="宋体" w:hAnsi="宋体" w:cs="宋体" w:eastAsia="宋体" w:hint="default"/>
          <w:spacing w:val="-2"/>
        </w:rPr>
        <w:t>.</w:t>
      </w:r>
      <w:r>
        <w:rPr>
          <w:rFonts w:ascii="宋体" w:hAnsi="宋体" w:cs="宋体" w:eastAsia="宋体" w:hint="default"/>
          <w:spacing w:val="1"/>
        </w:rPr>
        <w:t>6</w:t>
      </w:r>
      <w:r>
        <w:rPr>
          <w:rFonts w:ascii="宋体" w:hAnsi="宋体" w:cs="宋体" w:eastAsia="宋体" w:hint="default"/>
          <w:spacing w:val="-2"/>
        </w:rPr>
        <w:t>0</w:t>
      </w:r>
      <w:r>
        <w:rPr>
          <w:rFonts w:ascii="宋体" w:hAnsi="宋体" w:cs="宋体" w:eastAsia="宋体" w:hint="default"/>
          <w:spacing w:val="1"/>
        </w:rPr>
        <w:t>%</w:t>
      </w:r>
      <w:r>
        <w:rPr>
          <w:spacing w:val="-77"/>
        </w:rPr>
        <w:t>，</w:t>
      </w:r>
      <w:r>
        <w:rPr/>
        <w:t>因此</w:t>
      </w:r>
      <w:r>
        <w:rPr>
          <w:spacing w:val="-77"/>
        </w:rPr>
        <w:t>，</w:t>
      </w:r>
      <w:r>
        <w:rPr/>
        <w:t>易联</w:t>
      </w:r>
      <w:r>
        <w:rPr>
          <w:spacing w:val="-3"/>
        </w:rPr>
        <w:t>技</w:t>
      </w:r>
      <w:r>
        <w:rPr/>
        <w:t>术的营业利润增长</w:t>
      </w:r>
      <w:r>
        <w:rPr>
          <w:rFonts w:ascii="宋体" w:hAnsi="宋体" w:cs="宋体" w:eastAsia="宋体" w:hint="default"/>
          <w:spacing w:val="1"/>
        </w:rPr>
        <w:t>75</w:t>
      </w:r>
      <w:r>
        <w:rPr>
          <w:rFonts w:ascii="宋体" w:hAnsi="宋体" w:cs="宋体" w:eastAsia="宋体" w:hint="default"/>
          <w:spacing w:val="-2"/>
        </w:rPr>
        <w:t>.</w:t>
      </w:r>
      <w:r>
        <w:rPr>
          <w:rFonts w:ascii="宋体" w:hAnsi="宋体" w:cs="宋体" w:eastAsia="宋体" w:hint="default"/>
          <w:spacing w:val="1"/>
        </w:rPr>
        <w:t>4</w:t>
      </w:r>
      <w:r>
        <w:rPr>
          <w:rFonts w:ascii="宋体" w:hAnsi="宋体" w:cs="宋体" w:eastAsia="宋体" w:hint="default"/>
          <w:spacing w:val="-2"/>
        </w:rPr>
        <w:t>7</w:t>
      </w:r>
      <w:r>
        <w:rPr>
          <w:rFonts w:ascii="宋体" w:hAnsi="宋体" w:cs="宋体" w:eastAsia="宋体" w:hint="default"/>
          <w:spacing w:val="1"/>
        </w:rPr>
        <w:t>%</w:t>
      </w:r>
      <w:r>
        <w:rPr/>
        <w:t>，</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0"/>
        <w:jc w:val="left"/>
      </w:pPr>
      <w:r>
        <w:rPr/>
        <w:t>收入和利润增长的主要是因为母公司销售额的增长。</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0"/>
        <w:jc w:val="left"/>
        <w:rPr>
          <w:b w:val="0"/>
          <w:bCs w:val="0"/>
        </w:rPr>
      </w:pPr>
      <w:r>
        <w:rPr/>
        <w:t>（</w:t>
      </w:r>
      <w:r>
        <w:rPr>
          <w:rFonts w:ascii="宋体" w:hAnsi="宋体" w:cs="宋体" w:eastAsia="宋体" w:hint="default"/>
        </w:rPr>
        <w:t>2</w:t>
      </w:r>
      <w:r>
        <w:rPr/>
        <w:t>）广州市新国都信息科技有限公司（以下简称“广州新国都”）</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209" w:firstLine="480"/>
        <w:jc w:val="left"/>
      </w:pPr>
      <w:r>
        <w:rPr/>
        <w:t>广州新国都成立日期：</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8</w:t>
      </w:r>
      <w:r>
        <w:rPr/>
        <w:t>日，注册资本：</w:t>
      </w:r>
      <w:r>
        <w:rPr>
          <w:rFonts w:ascii="宋体" w:hAnsi="宋体" w:cs="宋体" w:eastAsia="宋体" w:hint="default"/>
        </w:rPr>
        <w:t>300</w:t>
      </w:r>
      <w:r>
        <w:rPr/>
        <w:t>万元，经营范围是：计算机软件、智能设备的研究、开发、销 </w:t>
      </w:r>
      <w:r>
        <w:rPr>
          <w:spacing w:val="-5"/>
        </w:rPr>
        <w:t>售、技术咨询、技术服务；计算机系统集成技术服务。广州新国都主要开展募集资金投资项目“电子支付终端设备运营项目”</w:t>
      </w:r>
      <w:r>
        <w:rPr>
          <w:spacing w:val="-77"/>
        </w:rPr>
        <w:t> </w:t>
      </w:r>
      <w:r>
        <w:rPr>
          <w:spacing w:val="-77"/>
        </w:rPr>
      </w:r>
      <w:r>
        <w:rPr/>
        <w:t>中的广州羊城通小额支付合作运营业务。</w:t>
      </w:r>
    </w:p>
    <w:p>
      <w:pPr>
        <w:spacing w:line="240" w:lineRule="auto" w:before="4"/>
        <w:rPr>
          <w:rFonts w:ascii="宋体" w:hAnsi="宋体" w:cs="宋体" w:eastAsia="宋体" w:hint="default"/>
          <w:sz w:val="13"/>
          <w:szCs w:val="13"/>
        </w:rPr>
      </w:pPr>
    </w:p>
    <w:p>
      <w:pPr>
        <w:pStyle w:val="BodyText"/>
        <w:spacing w:line="451" w:lineRule="auto" w:before="0"/>
        <w:ind w:right="210" w:firstLine="480"/>
        <w:jc w:val="left"/>
      </w:pPr>
      <w:r>
        <w:rPr>
          <w:spacing w:val="-4"/>
        </w:rPr>
        <w:t>截止</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日，广州新国都总资产</w:t>
      </w:r>
      <w:r>
        <w:rPr>
          <w:rFonts w:ascii="Times New Roman" w:hAnsi="Times New Roman" w:cs="Times New Roman" w:eastAsia="Times New Roman" w:hint="default"/>
          <w:spacing w:val="-4"/>
        </w:rPr>
        <w:t>200.94</w:t>
      </w:r>
      <w:r>
        <w:rPr>
          <w:spacing w:val="-4"/>
        </w:rPr>
        <w:t>万元，净资产</w:t>
      </w:r>
      <w:r>
        <w:rPr>
          <w:rFonts w:ascii="Times New Roman" w:hAnsi="Times New Roman" w:cs="Times New Roman" w:eastAsia="Times New Roman" w:hint="default"/>
          <w:spacing w:val="-4"/>
        </w:rPr>
        <w:t>146.92</w:t>
      </w:r>
      <w:r>
        <w:rPr>
          <w:spacing w:val="-4"/>
        </w:rPr>
        <w:t>万元，分别相比去年同期下降</w:t>
      </w:r>
      <w:r>
        <w:rPr>
          <w:rFonts w:ascii="Times New Roman" w:hAnsi="Times New Roman" w:cs="Times New Roman" w:eastAsia="Times New Roman" w:hint="default"/>
          <w:spacing w:val="-4"/>
        </w:rPr>
        <w:t>5.45%</w:t>
      </w:r>
      <w:r>
        <w:rPr>
          <w:spacing w:val="-4"/>
        </w:rPr>
        <w:t>、</w:t>
      </w:r>
      <w:r>
        <w:rPr>
          <w:rFonts w:ascii="Times New Roman" w:hAnsi="Times New Roman" w:cs="Times New Roman" w:eastAsia="Times New Roman" w:hint="default"/>
          <w:spacing w:val="-4"/>
        </w:rPr>
        <w:t>24.79%</w:t>
      </w:r>
      <w:r>
        <w:rPr>
          <w:spacing w:val="-4"/>
        </w:rPr>
        <w:t>；</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年度实现营业收入</w:t>
      </w:r>
      <w:r>
        <w:rPr>
          <w:rFonts w:ascii="Times New Roman" w:hAnsi="Times New Roman" w:cs="Times New Roman" w:eastAsia="Times New Roman" w:hint="default"/>
        </w:rPr>
        <w:t>10.26</w:t>
      </w:r>
      <w:r>
        <w:rPr/>
        <w:t>万元，相比去年同期增长了</w:t>
      </w:r>
      <w:r>
        <w:rPr>
          <w:rFonts w:ascii="Times New Roman" w:hAnsi="Times New Roman" w:cs="Times New Roman" w:eastAsia="Times New Roman" w:hint="default"/>
        </w:rPr>
        <w:t>46.48%</w:t>
      </w:r>
      <w:r>
        <w:rPr/>
        <w:t>，净利润</w:t>
      </w:r>
      <w:r>
        <w:rPr>
          <w:rFonts w:ascii="Times New Roman" w:hAnsi="Times New Roman" w:cs="Times New Roman" w:eastAsia="Times New Roman" w:hint="default"/>
        </w:rPr>
        <w:t>-48.42</w:t>
      </w:r>
      <w:r>
        <w:rPr/>
        <w:t>万元，相比去年同期亏损增加了</w:t>
      </w:r>
      <w:r>
        <w:rPr>
          <w:rFonts w:ascii="Times New Roman" w:hAnsi="Times New Roman" w:cs="Times New Roman" w:eastAsia="Times New Roman" w:hint="default"/>
        </w:rPr>
        <w:t>38.29%</w:t>
      </w:r>
      <w:r>
        <w:rPr/>
        <w:t>。</w:t>
      </w:r>
    </w:p>
    <w:p>
      <w:pPr>
        <w:spacing w:line="240" w:lineRule="auto" w:before="1"/>
        <w:rPr>
          <w:rFonts w:ascii="宋体" w:hAnsi="宋体" w:cs="宋体" w:eastAsia="宋体" w:hint="default"/>
          <w:sz w:val="25"/>
          <w:szCs w:val="25"/>
        </w:rPr>
      </w:pPr>
    </w:p>
    <w:p>
      <w:pPr>
        <w:pStyle w:val="Heading7"/>
        <w:spacing w:line="240" w:lineRule="auto"/>
        <w:ind w:right="0"/>
        <w:jc w:val="left"/>
        <w:rPr>
          <w:b w:val="0"/>
          <w:bCs w:val="0"/>
        </w:rPr>
      </w:pPr>
      <w:r>
        <w:rPr/>
        <w:t>（</w:t>
      </w:r>
      <w:r>
        <w:rPr>
          <w:rFonts w:ascii="宋体" w:hAnsi="宋体" w:cs="宋体" w:eastAsia="宋体" w:hint="default"/>
        </w:rPr>
        <w:t>3</w:t>
      </w:r>
      <w:r>
        <w:rPr/>
        <w:t>）南京市新国都技术有限公司（以下简称“南京新国都”）</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144" w:firstLine="420"/>
        <w:jc w:val="left"/>
      </w:pPr>
      <w:r>
        <w:rPr/>
        <w:t>南京新国都成立日期：</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24</w:t>
      </w:r>
      <w:r>
        <w:rPr/>
        <w:t>日，注册资本：</w:t>
      </w:r>
      <w:r>
        <w:rPr>
          <w:rFonts w:ascii="宋体" w:hAnsi="宋体" w:cs="宋体" w:eastAsia="宋体" w:hint="default"/>
        </w:rPr>
        <w:t>1300</w:t>
      </w:r>
      <w:r>
        <w:rPr/>
        <w:t>万元，经营范围是：软件技术开发与销售、技术咨询和服务； 计算机系统集成；投资咨询服务；计算机产品及电子产品的技术开发、生产、销售、租赁及技术服务。</w:t>
      </w:r>
    </w:p>
    <w:p>
      <w:pPr>
        <w:spacing w:line="240" w:lineRule="auto" w:before="4"/>
        <w:rPr>
          <w:rFonts w:ascii="宋体" w:hAnsi="宋体" w:cs="宋体" w:eastAsia="宋体" w:hint="default"/>
          <w:sz w:val="13"/>
          <w:szCs w:val="13"/>
        </w:rPr>
      </w:pPr>
    </w:p>
    <w:p>
      <w:pPr>
        <w:pStyle w:val="BodyText"/>
        <w:spacing w:line="477" w:lineRule="auto" w:before="0"/>
        <w:ind w:right="0" w:firstLine="420"/>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日，南京新国都总资产</w:t>
      </w:r>
      <w:r>
        <w:rPr>
          <w:rFonts w:ascii="宋体" w:hAnsi="宋体" w:cs="宋体" w:eastAsia="宋体" w:hint="default"/>
        </w:rPr>
        <w:t>1804.28</w:t>
      </w:r>
      <w:r>
        <w:rPr/>
        <w:t>万元，相比去年同期下降了</w:t>
      </w:r>
      <w:r>
        <w:rPr>
          <w:rFonts w:ascii="宋体" w:hAnsi="宋体" w:cs="宋体" w:eastAsia="宋体" w:hint="default"/>
        </w:rPr>
        <w:t>7.66%</w:t>
      </w:r>
      <w:r>
        <w:rPr/>
        <w:t>；净资产</w:t>
      </w:r>
      <w:r>
        <w:rPr>
          <w:rFonts w:ascii="宋体" w:hAnsi="宋体" w:cs="宋体" w:eastAsia="宋体" w:hint="default"/>
        </w:rPr>
        <w:t>1439.57</w:t>
      </w:r>
      <w:r>
        <w:rPr/>
        <w:t>万元，相比去年同 </w:t>
      </w:r>
      <w:r>
        <w:rPr>
          <w:spacing w:val="-3"/>
        </w:rPr>
        <w:t>期增长了</w:t>
      </w:r>
      <w:r>
        <w:rPr>
          <w:rFonts w:ascii="宋体" w:hAnsi="宋体" w:cs="宋体" w:eastAsia="宋体" w:hint="default"/>
          <w:spacing w:val="-3"/>
        </w:rPr>
        <w:t>21.99%</w:t>
      </w:r>
      <w:r>
        <w:rPr>
          <w:spacing w:val="-3"/>
        </w:rPr>
        <w:t>；营业收入</w:t>
      </w:r>
      <w:r>
        <w:rPr>
          <w:rFonts w:ascii="宋体" w:hAnsi="宋体" w:cs="宋体" w:eastAsia="宋体" w:hint="default"/>
          <w:spacing w:val="-3"/>
        </w:rPr>
        <w:t>1323.64</w:t>
      </w:r>
      <w:r>
        <w:rPr>
          <w:spacing w:val="-3"/>
        </w:rPr>
        <w:t>万元，相比去年同期增长了</w:t>
      </w:r>
      <w:r>
        <w:rPr>
          <w:rFonts w:ascii="宋体" w:hAnsi="宋体" w:cs="宋体" w:eastAsia="宋体" w:hint="default"/>
          <w:spacing w:val="-3"/>
        </w:rPr>
        <w:t>555.57%</w:t>
      </w:r>
      <w:r>
        <w:rPr>
          <w:spacing w:val="-3"/>
        </w:rPr>
        <w:t>；净利润</w:t>
      </w:r>
      <w:r>
        <w:rPr>
          <w:rFonts w:ascii="宋体" w:hAnsi="宋体" w:cs="宋体" w:eastAsia="宋体" w:hint="default"/>
          <w:spacing w:val="-3"/>
        </w:rPr>
        <w:t>259.53</w:t>
      </w:r>
      <w:r>
        <w:rPr>
          <w:spacing w:val="-3"/>
        </w:rPr>
        <w:t>万元，相比去年同期增长了</w:t>
      </w:r>
      <w:r>
        <w:rPr>
          <w:rFonts w:ascii="宋体" w:hAnsi="宋体" w:cs="宋体" w:eastAsia="宋体" w:hint="default"/>
          <w:spacing w:val="-3"/>
        </w:rPr>
        <w:t>1473.96%</w:t>
      </w:r>
      <w:r>
        <w:rPr>
          <w:spacing w:val="-3"/>
        </w:rPr>
        <w:t>，</w:t>
      </w:r>
      <w:r>
        <w:rPr>
          <w:spacing w:val="-59"/>
        </w:rPr>
        <w:t> </w:t>
      </w:r>
      <w:r>
        <w:rPr/>
        <w:t>销售收入主要来源于对母公司的销售。</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宋体" w:hAnsi="宋体" w:cs="宋体" w:eastAsia="宋体" w:hint="default"/>
        </w:rPr>
        <w:t>4</w:t>
      </w:r>
      <w:r>
        <w:rPr/>
        <w:t>）苏州新国都电子技术有限公司（以下简称“苏州新国都”）</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0" w:firstLine="480"/>
        <w:jc w:val="left"/>
      </w:pPr>
      <w:r>
        <w:rPr/>
        <w:t>苏州新国都成立日期：</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23</w:t>
      </w:r>
      <w:r>
        <w:rPr/>
        <w:t>日，注册资本：</w:t>
      </w:r>
      <w:r>
        <w:rPr>
          <w:rFonts w:ascii="宋体" w:hAnsi="宋体" w:cs="宋体" w:eastAsia="宋体" w:hint="default"/>
        </w:rPr>
        <w:t>27806</w:t>
      </w:r>
      <w:r>
        <w:rPr/>
        <w:t>万元，实收资本</w:t>
      </w:r>
      <w:r>
        <w:rPr>
          <w:rFonts w:ascii="宋体" w:hAnsi="宋体" w:cs="宋体" w:eastAsia="宋体" w:hint="default"/>
        </w:rPr>
        <w:t>26606</w:t>
      </w:r>
      <w:r>
        <w:rPr/>
        <w:t>万元，经营范围是：电子产品及计算 </w:t>
      </w:r>
      <w:r>
        <w:rPr>
          <w:spacing w:val="-2"/>
        </w:rPr>
        <w:t>机产品的技术开发、销售、技术咨询及技术服务；计算机系统集成；投资咨询服务。苏州新国都目前主要作为超募资金投资</w:t>
      </w:r>
      <w:r>
        <w:rPr>
          <w:spacing w:val="-67"/>
        </w:rPr>
        <w:t> </w:t>
      </w:r>
      <w:r>
        <w:rPr>
          <w:spacing w:val="-67"/>
        </w:rPr>
      </w:r>
      <w:r>
        <w:rPr>
          <w:spacing w:val="-4"/>
        </w:rPr>
        <w:t>项目“电子支付技术苏州研发基地项目”和原募集资金投资项目“电子支付技术产研基地建设项目（南京）”中的客服中心、</w:t>
      </w:r>
      <w:r>
        <w:rPr>
          <w:spacing w:val="-44"/>
        </w:rPr>
        <w:t> </w:t>
      </w:r>
      <w:r>
        <w:rPr>
          <w:spacing w:val="-44"/>
        </w:rPr>
      </w:r>
      <w:r>
        <w:rPr>
          <w:spacing w:val="-2"/>
        </w:rPr>
        <w:t>研发中心建设部分的实施主体。苏州新国都的股权构成为：公司持股比例为</w:t>
      </w:r>
      <w:r>
        <w:rPr>
          <w:rFonts w:ascii="宋体" w:hAnsi="宋体" w:cs="宋体" w:eastAsia="宋体" w:hint="default"/>
          <w:spacing w:val="-2"/>
        </w:rPr>
        <w:t>94.6%</w:t>
      </w:r>
      <w:r>
        <w:rPr>
          <w:spacing w:val="-2"/>
        </w:rPr>
        <w:t>，苏州君宝投资有限公司持股比例为</w:t>
      </w:r>
      <w:r>
        <w:rPr>
          <w:rFonts w:ascii="宋体" w:hAnsi="宋体" w:cs="宋体" w:eastAsia="宋体" w:hint="default"/>
          <w:spacing w:val="-2"/>
        </w:rPr>
        <w:t>5.4%</w:t>
      </w:r>
      <w:r>
        <w:rPr>
          <w:spacing w:val="-2"/>
        </w:rPr>
        <w:t>。</w:t>
      </w:r>
    </w:p>
    <w:p>
      <w:pPr>
        <w:spacing w:line="240" w:lineRule="auto" w:before="4"/>
        <w:rPr>
          <w:rFonts w:ascii="宋体" w:hAnsi="宋体" w:cs="宋体" w:eastAsia="宋体" w:hint="default"/>
          <w:sz w:val="13"/>
          <w:szCs w:val="13"/>
        </w:rPr>
      </w:pPr>
    </w:p>
    <w:p>
      <w:pPr>
        <w:pStyle w:val="BodyText"/>
        <w:spacing w:line="477" w:lineRule="auto" w:before="0"/>
        <w:ind w:right="234" w:firstLine="420"/>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日，苏州新国都总资产</w:t>
      </w:r>
      <w:r>
        <w:rPr>
          <w:rFonts w:ascii="宋体" w:hAnsi="宋体" w:cs="宋体" w:eastAsia="宋体" w:hint="default"/>
        </w:rPr>
        <w:t>26867.84</w:t>
      </w:r>
      <w:r>
        <w:rPr/>
        <w:t>万元，净资产</w:t>
      </w:r>
      <w:r>
        <w:rPr>
          <w:rFonts w:ascii="宋体" w:hAnsi="宋体" w:cs="宋体" w:eastAsia="宋体" w:hint="default"/>
        </w:rPr>
        <w:t>26586.33</w:t>
      </w:r>
      <w:r>
        <w:rPr/>
        <w:t>万元，营业收入为</w:t>
      </w:r>
      <w:r>
        <w:rPr>
          <w:rFonts w:ascii="宋体" w:hAnsi="宋体" w:cs="宋体" w:eastAsia="宋体" w:hint="default"/>
        </w:rPr>
        <w:t>0</w:t>
      </w:r>
      <w:r>
        <w:rPr/>
        <w:t>万元，净利润为</w:t>
      </w:r>
      <w:r>
        <w:rPr>
          <w:rFonts w:ascii="宋体" w:hAnsi="宋体" w:cs="宋体" w:eastAsia="宋体" w:hint="default"/>
        </w:rPr>
        <w:t>-4.17</w:t>
      </w:r>
      <w:r>
        <w:rPr/>
        <w:t>万 元，分别比去年同期增长</w:t>
      </w:r>
      <w:r>
        <w:rPr>
          <w:rFonts w:ascii="宋体" w:hAnsi="宋体" w:cs="宋体" w:eastAsia="宋体" w:hint="default"/>
        </w:rPr>
        <w:t>799.79%</w:t>
      </w:r>
      <w:r>
        <w:rPr/>
        <w:t>、</w:t>
      </w:r>
      <w:r>
        <w:rPr>
          <w:rFonts w:ascii="宋体" w:hAnsi="宋体" w:cs="宋体" w:eastAsia="宋体" w:hint="default"/>
        </w:rPr>
        <w:t>790.81%</w:t>
      </w:r>
      <w:r>
        <w:rPr/>
        <w:t>、</w:t>
      </w:r>
      <w:r>
        <w:rPr>
          <w:rFonts w:ascii="宋体" w:hAnsi="宋体" w:cs="宋体" w:eastAsia="宋体" w:hint="default"/>
        </w:rPr>
        <w:t>0%</w:t>
      </w:r>
      <w:r>
        <w:rPr/>
        <w:t>、</w:t>
      </w:r>
      <w:r>
        <w:rPr>
          <w:rFonts w:ascii="宋体" w:hAnsi="宋体" w:cs="宋体" w:eastAsia="宋体" w:hint="default"/>
        </w:rPr>
        <w:t>73.09%</w:t>
      </w:r>
      <w:r>
        <w:rPr/>
        <w:t>。总资产和净资产增长主要是因为控股母公司新国都股份于</w:t>
      </w:r>
      <w:r>
        <w:rPr>
          <w:rFonts w:ascii="宋体" w:hAnsi="宋体" w:cs="宋体" w:eastAsia="宋体" w:hint="default"/>
        </w:rPr>
        <w:t>2012 </w:t>
      </w:r>
      <w:r>
        <w:rPr/>
        <w:t>年</w:t>
      </w:r>
      <w:r>
        <w:rPr>
          <w:rFonts w:ascii="宋体" w:hAnsi="宋体" w:cs="宋体" w:eastAsia="宋体" w:hint="default"/>
        </w:rPr>
        <w:t>10</w:t>
      </w:r>
      <w:r>
        <w:rPr/>
        <w:t>月对苏州新国都增资了</w:t>
      </w:r>
      <w:r>
        <w:rPr>
          <w:rFonts w:ascii="宋体" w:hAnsi="宋体" w:cs="宋体" w:eastAsia="宋体" w:hint="default"/>
        </w:rPr>
        <w:t>12806</w:t>
      </w:r>
      <w:r>
        <w:rPr/>
        <w:t>万元。</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宋体" w:hAnsi="宋体" w:cs="宋体" w:eastAsia="宋体" w:hint="default"/>
        </w:rPr>
        <w:t>5</w:t>
      </w:r>
      <w:r>
        <w:rPr/>
        <w:t>）肇庆市好易联网络有限公司（以下简称“肇庆好易联”）</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0" w:firstLine="480"/>
        <w:jc w:val="left"/>
      </w:pPr>
      <w:r>
        <w:rPr/>
        <w:t>肇庆好易联成立日期：</w:t>
      </w:r>
      <w:r>
        <w:rPr>
          <w:rFonts w:ascii="宋体" w:hAnsi="宋体" w:cs="宋体" w:eastAsia="宋体" w:hint="default"/>
        </w:rPr>
        <w:t>2002</w:t>
      </w:r>
      <w:r>
        <w:rPr/>
        <w:t>年</w:t>
      </w:r>
      <w:r>
        <w:rPr>
          <w:rFonts w:ascii="宋体" w:hAnsi="宋体" w:cs="宋体" w:eastAsia="宋体" w:hint="default"/>
        </w:rPr>
        <w:t>7</w:t>
      </w:r>
      <w:r>
        <w:rPr/>
        <w:t>月</w:t>
      </w:r>
      <w:r>
        <w:rPr>
          <w:rFonts w:ascii="宋体" w:hAnsi="宋体" w:cs="宋体" w:eastAsia="宋体" w:hint="default"/>
        </w:rPr>
        <w:t>23</w:t>
      </w:r>
      <w:r>
        <w:rPr/>
        <w:t>日，注册资本：</w:t>
      </w:r>
      <w:r>
        <w:rPr>
          <w:rFonts w:ascii="宋体" w:hAnsi="宋体" w:cs="宋体" w:eastAsia="宋体" w:hint="default"/>
        </w:rPr>
        <w:t>300</w:t>
      </w:r>
      <w:r>
        <w:rPr/>
        <w:t>万元，经营范围是：为特约商户提供金融</w:t>
      </w:r>
      <w:r>
        <w:rPr>
          <w:rFonts w:ascii="宋体" w:hAnsi="宋体" w:cs="宋体" w:eastAsia="宋体" w:hint="default"/>
        </w:rPr>
        <w:t>POS</w:t>
      </w:r>
      <w:r>
        <w:rPr/>
        <w:t>终端技术维护服 </w:t>
      </w:r>
      <w:r>
        <w:rPr>
          <w:spacing w:val="-2"/>
        </w:rPr>
        <w:t>务，其主要客户为广州市银联网络支付有限公司和各商业银行。肇庆好易联的股东为广州市银联网络支付有限公司（以下简</w:t>
      </w:r>
    </w:p>
    <w:p>
      <w:pPr>
        <w:spacing w:after="0" w:line="477" w:lineRule="auto"/>
        <w:jc w:val="left"/>
        <w:sectPr>
          <w:footerReference w:type="default" r:id="rId14"/>
          <w:pgSz w:w="11910" w:h="16840"/>
          <w:pgMar w:footer="980" w:header="745" w:top="1060" w:bottom="1160" w:left="980" w:right="920"/>
          <w:pgNumType w:start="2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0"/>
        <w:jc w:val="left"/>
      </w:pPr>
      <w:r>
        <w:rPr/>
        <w:t>称“广州银联网络“）和新国都股份，其中广州银联网络持股占比</w:t>
      </w:r>
      <w:r>
        <w:rPr>
          <w:rFonts w:ascii="宋体" w:hAnsi="宋体" w:cs="宋体" w:eastAsia="宋体" w:hint="default"/>
        </w:rPr>
        <w:t>51%</w:t>
      </w:r>
      <w:r>
        <w:rPr/>
        <w:t>，新国都股份持股占比</w:t>
      </w:r>
      <w:r>
        <w:rPr>
          <w:rFonts w:ascii="宋体" w:hAnsi="宋体" w:cs="宋体" w:eastAsia="宋体" w:hint="default"/>
        </w:rPr>
        <w:t>49%</w:t>
      </w:r>
      <w:r>
        <w:rPr/>
        <w:t>。</w:t>
      </w:r>
    </w:p>
    <w:p>
      <w:pPr>
        <w:spacing w:line="240" w:lineRule="auto" w:before="13"/>
        <w:rPr>
          <w:rFonts w:ascii="宋体" w:hAnsi="宋体" w:cs="宋体" w:eastAsia="宋体" w:hint="default"/>
          <w:sz w:val="26"/>
          <w:szCs w:val="26"/>
        </w:rPr>
      </w:pPr>
    </w:p>
    <w:p>
      <w:pPr>
        <w:pStyle w:val="BodyText"/>
        <w:spacing w:line="477" w:lineRule="auto" w:before="0"/>
        <w:ind w:right="197" w:firstLine="420"/>
        <w:jc w:val="both"/>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日，肇庆好易联总资产</w:t>
      </w:r>
      <w:r>
        <w:rPr>
          <w:rFonts w:ascii="宋体" w:hAnsi="宋体" w:cs="宋体" w:eastAsia="宋体" w:hint="default"/>
        </w:rPr>
        <w:t>1477.9</w:t>
      </w:r>
      <w:r>
        <w:rPr/>
        <w:t>万元，净资产</w:t>
      </w:r>
      <w:r>
        <w:rPr>
          <w:rFonts w:ascii="宋体" w:hAnsi="宋体" w:cs="宋体" w:eastAsia="宋体" w:hint="default"/>
        </w:rPr>
        <w:t>792.8</w:t>
      </w:r>
      <w:r>
        <w:rPr/>
        <w:t>万元，营业收入为</w:t>
      </w:r>
      <w:r>
        <w:rPr>
          <w:rFonts w:ascii="宋体" w:hAnsi="宋体" w:cs="宋体" w:eastAsia="宋体" w:hint="default"/>
        </w:rPr>
        <w:t>1319.3</w:t>
      </w:r>
      <w:r>
        <w:rPr/>
        <w:t>万元，净利润为</w:t>
      </w:r>
      <w:r>
        <w:rPr>
          <w:rFonts w:ascii="宋体" w:hAnsi="宋体" w:cs="宋体" w:eastAsia="宋体" w:hint="default"/>
        </w:rPr>
        <w:t>128.7</w:t>
      </w:r>
      <w:r>
        <w:rPr/>
        <w:t>万 元。</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8</w:t>
      </w:r>
      <w:r>
        <w:rPr/>
        <w:t>日，经公司第二届董事会第十一次会议决议通过，新国都股份同意将所持有的肇庆好易联</w:t>
      </w:r>
      <w:r>
        <w:rPr>
          <w:rFonts w:ascii="宋体" w:hAnsi="宋体" w:cs="宋体" w:eastAsia="宋体" w:hint="default"/>
        </w:rPr>
        <w:t>49%</w:t>
      </w:r>
      <w:r>
        <w:rPr/>
        <w:t>股权作价</w:t>
      </w:r>
      <w:r>
        <w:rPr>
          <w:rFonts w:ascii="宋体" w:hAnsi="宋体" w:cs="宋体" w:eastAsia="宋体" w:hint="default"/>
        </w:rPr>
        <w:t>1300 </w:t>
      </w:r>
      <w:r>
        <w:rPr/>
        <w:t>万元转让给广州银联网络，股权转让完成后，新国都股份不再持有肇庆好易联任何股份。本次交易的具体情况如下：</w:t>
      </w:r>
    </w:p>
    <w:p>
      <w:pPr>
        <w:spacing w:line="240" w:lineRule="auto" w:before="4"/>
        <w:rPr>
          <w:rFonts w:ascii="宋体" w:hAnsi="宋体" w:cs="宋体" w:eastAsia="宋体" w:hint="default"/>
          <w:sz w:val="13"/>
          <w:szCs w:val="13"/>
        </w:rPr>
      </w:pPr>
    </w:p>
    <w:p>
      <w:pPr>
        <w:pStyle w:val="Heading8"/>
        <w:spacing w:line="240" w:lineRule="auto"/>
        <w:ind w:right="0"/>
        <w:jc w:val="left"/>
        <w:rPr>
          <w:b w:val="0"/>
          <w:bCs w:val="0"/>
        </w:rPr>
      </w:pPr>
      <w:r>
        <w:rPr>
          <w:rFonts w:ascii="宋体" w:hAnsi="宋体" w:cs="宋体" w:eastAsia="宋体" w:hint="default"/>
        </w:rPr>
        <w:t>1</w:t>
      </w:r>
      <w:r>
        <w:rPr/>
        <w:t>）交易概述</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191" w:firstLine="480"/>
        <w:jc w:val="both"/>
      </w:pPr>
      <w:r>
        <w:rPr>
          <w:spacing w:val="-1"/>
        </w:rPr>
        <w:t>本次股权交易的出让方为新国都，受让方为广州银联网络，交易标的为新国都所持肇庆市好易联网络有限公司（以下</w:t>
      </w:r>
      <w:r>
        <w:rPr/>
        <w:t> 简称“肇庆好易联”）</w:t>
      </w:r>
      <w:r>
        <w:rPr>
          <w:rFonts w:ascii="宋体" w:hAnsi="宋体" w:cs="宋体" w:eastAsia="宋体" w:hint="default"/>
        </w:rPr>
        <w:t>49%</w:t>
      </w:r>
      <w:r>
        <w:rPr/>
        <w:t>股权，交易价格约</w:t>
      </w:r>
      <w:r>
        <w:rPr>
          <w:rFonts w:ascii="宋体" w:hAnsi="宋体" w:cs="宋体" w:eastAsia="宋体" w:hint="default"/>
        </w:rPr>
        <w:t>1300</w:t>
      </w:r>
      <w:r>
        <w:rPr/>
        <w:t>万元。新国都将于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8</w:t>
      </w:r>
      <w:r>
        <w:rPr/>
        <w:t>日通过董事会审议后六个月内与广州银联网 </w:t>
      </w:r>
      <w:r>
        <w:rPr>
          <w:spacing w:val="-2"/>
        </w:rPr>
        <w:t>络签署《肇庆市好易联网络有限公司股权转让合同书》，新国都与广州银联网络之间不存在关联关系，本次股权交易不构成</w:t>
      </w:r>
      <w:r>
        <w:rPr>
          <w:spacing w:val="-64"/>
        </w:rPr>
        <w:t> </w:t>
      </w:r>
      <w:r>
        <w:rPr>
          <w:spacing w:val="-64"/>
        </w:rPr>
      </w:r>
      <w:r>
        <w:rPr/>
        <w:t>关联交易，亦不构成《上市公司重大资产重组管理办法》规定的重大资产重组。</w:t>
      </w:r>
    </w:p>
    <w:p>
      <w:pPr>
        <w:spacing w:line="240" w:lineRule="auto" w:before="4"/>
        <w:rPr>
          <w:rFonts w:ascii="宋体" w:hAnsi="宋体" w:cs="宋体" w:eastAsia="宋体" w:hint="default"/>
          <w:sz w:val="13"/>
          <w:szCs w:val="13"/>
        </w:rPr>
      </w:pPr>
    </w:p>
    <w:p>
      <w:pPr>
        <w:pStyle w:val="BodyText"/>
        <w:spacing w:line="477" w:lineRule="auto" w:before="0"/>
        <w:ind w:right="192" w:firstLine="420"/>
        <w:jc w:val="both"/>
      </w:pPr>
      <w:r>
        <w:rPr>
          <w:spacing w:val="-3"/>
        </w:rPr>
        <w:t>本次交易已于</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日通过新国都董事会进行审议表决，且独立董事均发表了明确同意的意见。本次交易已于</w:t>
      </w:r>
      <w:r>
        <w:rPr>
          <w:rFonts w:ascii="宋体" w:hAnsi="宋体" w:cs="宋体" w:eastAsia="宋体" w:hint="default"/>
          <w:spacing w:val="-3"/>
        </w:rPr>
        <w:t>2013</w:t>
      </w:r>
      <w:r>
        <w:rPr>
          <w:rFonts w:ascii="宋体" w:hAnsi="宋体" w:cs="宋体" w:eastAsia="宋体" w:hint="default"/>
        </w:rPr>
        <w:t> </w:t>
      </w:r>
      <w:r>
        <w:rPr/>
        <w:t>年</w:t>
      </w:r>
      <w:r>
        <w:rPr>
          <w:rFonts w:ascii="宋体" w:hAnsi="宋体" w:cs="宋体" w:eastAsia="宋体" w:hint="default"/>
        </w:rPr>
        <w:t>1</w:t>
      </w:r>
      <w:r>
        <w:rPr/>
        <w:t>月</w:t>
      </w:r>
      <w:r>
        <w:rPr>
          <w:rFonts w:ascii="宋体" w:hAnsi="宋体" w:cs="宋体" w:eastAsia="宋体" w:hint="default"/>
        </w:rPr>
        <w:t>16</w:t>
      </w:r>
      <w:r>
        <w:rPr/>
        <w:t>日通过了广州银联网络的金融资产项目评估备案程序。</w:t>
      </w:r>
    </w:p>
    <w:p>
      <w:pPr>
        <w:spacing w:line="240" w:lineRule="auto" w:before="4"/>
        <w:rPr>
          <w:rFonts w:ascii="宋体" w:hAnsi="宋体" w:cs="宋体" w:eastAsia="宋体" w:hint="default"/>
          <w:sz w:val="13"/>
          <w:szCs w:val="13"/>
        </w:rPr>
      </w:pPr>
    </w:p>
    <w:p>
      <w:pPr>
        <w:pStyle w:val="Heading8"/>
        <w:spacing w:line="240" w:lineRule="auto"/>
        <w:ind w:right="0"/>
        <w:jc w:val="left"/>
        <w:rPr>
          <w:b w:val="0"/>
          <w:bCs w:val="0"/>
        </w:rPr>
      </w:pPr>
      <w:r>
        <w:rPr>
          <w:rFonts w:ascii="宋体" w:hAnsi="宋体" w:cs="宋体" w:eastAsia="宋体" w:hint="default"/>
        </w:rPr>
        <w:t>2</w:t>
      </w:r>
      <w:r>
        <w:rPr/>
        <w:t>）交易对方的基本情况</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0" w:firstLine="480"/>
        <w:jc w:val="left"/>
      </w:pPr>
      <w:r>
        <w:rPr/>
        <w:t>本次交易对方为广州银联网络支付有限公司，为国有控股企业，注册地址广州市高新技术产业开发区建中路</w:t>
      </w:r>
      <w:r>
        <w:rPr>
          <w:rFonts w:ascii="宋体" w:hAnsi="宋体" w:cs="宋体" w:eastAsia="宋体" w:hint="default"/>
        </w:rPr>
        <w:t>61</w:t>
      </w:r>
      <w:r>
        <w:rPr/>
        <w:t>号，主 </w:t>
      </w:r>
      <w:r>
        <w:rPr>
          <w:spacing w:val="2"/>
        </w:rPr>
        <w:t>要办公地点广州市高新技术产业开发区建中路</w:t>
      </w:r>
      <w:r>
        <w:rPr>
          <w:rFonts w:ascii="宋体" w:hAnsi="宋体" w:cs="宋体" w:eastAsia="宋体" w:hint="default"/>
          <w:spacing w:val="2"/>
        </w:rPr>
        <w:t>61</w:t>
      </w:r>
      <w:r>
        <w:rPr>
          <w:spacing w:val="2"/>
        </w:rPr>
        <w:t>号银联大厦、法定代表人邸泽淇，注册资本</w:t>
      </w:r>
      <w:r>
        <w:rPr>
          <w:rFonts w:ascii="宋体" w:hAnsi="宋体" w:cs="宋体" w:eastAsia="宋体" w:hint="default"/>
          <w:spacing w:val="2"/>
        </w:rPr>
        <w:t>12500</w:t>
      </w:r>
      <w:r>
        <w:rPr>
          <w:spacing w:val="2"/>
        </w:rPr>
        <w:t>万元，营业执照注册号</w:t>
      </w:r>
      <w:r>
        <w:rPr>
          <w:spacing w:val="-41"/>
        </w:rPr>
        <w:t> </w:t>
      </w:r>
      <w:r>
        <w:rPr>
          <w:spacing w:val="-41"/>
        </w:rPr>
      </w:r>
      <w:r>
        <w:rPr>
          <w:rFonts w:ascii="宋体" w:hAnsi="宋体" w:cs="宋体" w:eastAsia="宋体" w:hint="default"/>
          <w:spacing w:val="-2"/>
        </w:rPr>
        <w:t>440101000022290</w:t>
      </w:r>
      <w:r>
        <w:rPr>
          <w:spacing w:val="-2"/>
        </w:rPr>
        <w:t>，主营业务为互联网支付、预付卡受理、银联卡收单及银行卡专业化服务，主要股东为银联商务有限公司，</w:t>
      </w:r>
      <w:r>
        <w:rPr>
          <w:spacing w:val="-55"/>
        </w:rPr>
        <w:t> </w:t>
      </w:r>
      <w:r>
        <w:rPr>
          <w:spacing w:val="-55"/>
        </w:rPr>
      </w:r>
      <w:r>
        <w:rPr/>
        <w:t>占股权比例</w:t>
      </w:r>
      <w:r>
        <w:rPr>
          <w:rFonts w:ascii="宋体" w:hAnsi="宋体" w:cs="宋体" w:eastAsia="宋体" w:hint="default"/>
        </w:rPr>
        <w:t>100%</w:t>
      </w:r>
      <w:r>
        <w:rPr/>
        <w:t>。</w:t>
      </w:r>
    </w:p>
    <w:p>
      <w:pPr>
        <w:pStyle w:val="BodyText"/>
        <w:spacing w:line="477" w:lineRule="auto" w:before="54"/>
        <w:ind w:right="191" w:firstLine="480"/>
        <w:jc w:val="both"/>
      </w:pPr>
      <w:r>
        <w:rPr>
          <w:spacing w:val="-1"/>
        </w:rPr>
        <w:t>广州银联网络常年为新国都的客户，向新国都采购产品设备。截止</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日，广州银联网络应当向新国都支付</w:t>
      </w:r>
      <w:r>
        <w:rPr/>
        <w:t> 货款</w:t>
      </w:r>
      <w:r>
        <w:rPr>
          <w:rFonts w:ascii="宋体" w:hAnsi="宋体" w:cs="宋体" w:eastAsia="宋体" w:hint="default"/>
        </w:rPr>
        <w:t>1173.48</w:t>
      </w:r>
      <w:r>
        <w:rPr/>
        <w:t>万元，全部货款尚处于账期之内，双方不存在债权债务纠纷。上述业务和债权债务关系均为双方的正常经营行</w:t>
      </w:r>
      <w:r>
        <w:rPr>
          <w:spacing w:val="-86"/>
        </w:rPr>
        <w:t> </w:t>
      </w:r>
      <w:r>
        <w:rPr>
          <w:spacing w:val="-86"/>
        </w:rPr>
      </w:r>
      <w:r>
        <w:rPr/>
        <w:t>为和合理合法的法律关系，不会造成新国都对广州银联网络利益倾斜。</w:t>
      </w:r>
    </w:p>
    <w:p>
      <w:pPr>
        <w:pStyle w:val="BodyText"/>
        <w:spacing w:line="477" w:lineRule="auto" w:before="54"/>
        <w:ind w:right="192" w:firstLine="480"/>
        <w:jc w:val="both"/>
      </w:pPr>
      <w:r>
        <w:rPr>
          <w:spacing w:val="-1"/>
        </w:rPr>
        <w:t>此外，广州银联网络与新国都不存在产权、资产、人员等方面的关系以及其他可能或已经造成新国都对其利益倾斜的</w:t>
      </w:r>
      <w:r>
        <w:rPr/>
        <w:t> </w:t>
      </w:r>
      <w:r>
        <w:rPr>
          <w:spacing w:val="-2"/>
        </w:rPr>
        <w:t>其他关系；广州银联网络与新国都前十名股东不存在在产权、业务、资产、债权债务、人员等方面的关系以及其他可能或已</w:t>
      </w:r>
      <w:r>
        <w:rPr>
          <w:spacing w:val="-65"/>
        </w:rPr>
        <w:t> </w:t>
      </w:r>
      <w:r>
        <w:rPr>
          <w:spacing w:val="-65"/>
        </w:rPr>
      </w:r>
      <w:r>
        <w:rPr/>
        <w:t>经造成新国都对广州银联网络利益倾斜的其他关系。</w:t>
      </w:r>
    </w:p>
    <w:p>
      <w:pPr>
        <w:spacing w:line="240" w:lineRule="auto" w:before="5"/>
        <w:rPr>
          <w:rFonts w:ascii="宋体" w:hAnsi="宋体" w:cs="宋体" w:eastAsia="宋体" w:hint="default"/>
          <w:sz w:val="13"/>
          <w:szCs w:val="13"/>
        </w:rPr>
      </w:pPr>
    </w:p>
    <w:p>
      <w:pPr>
        <w:pStyle w:val="BodyText"/>
        <w:spacing w:line="600" w:lineRule="auto" w:before="0"/>
        <w:ind w:left="573" w:right="3543"/>
        <w:jc w:val="left"/>
        <w:rPr>
          <w:rFonts w:ascii="宋体" w:hAnsi="宋体" w:cs="宋体" w:eastAsia="宋体" w:hint="default"/>
        </w:rPr>
      </w:pPr>
      <w:r>
        <w:rPr/>
        <w:t>广州银联网络截止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日，总资产</w:t>
      </w:r>
      <w:r>
        <w:rPr>
          <w:rFonts w:ascii="宋体" w:hAnsi="宋体" w:cs="宋体" w:eastAsia="宋体" w:hint="default"/>
        </w:rPr>
        <w:t>13.85</w:t>
      </w:r>
      <w:r>
        <w:rPr/>
        <w:t>亿元，净资产</w:t>
      </w:r>
      <w:r>
        <w:rPr>
          <w:rFonts w:ascii="宋体" w:hAnsi="宋体" w:cs="宋体" w:eastAsia="宋体" w:hint="default"/>
        </w:rPr>
        <w:t>5.84</w:t>
      </w:r>
      <w:r>
        <w:rPr/>
        <w:t>亿元。 </w:t>
      </w:r>
      <w:r>
        <w:rPr>
          <w:rFonts w:ascii="宋体" w:hAnsi="宋体" w:cs="宋体" w:eastAsia="宋体" w:hint="default"/>
          <w:b/>
          <w:bCs/>
        </w:rPr>
        <w:t>3</w:t>
      </w:r>
      <w:r>
        <w:rPr>
          <w:rFonts w:ascii="宋体" w:hAnsi="宋体" w:cs="宋体" w:eastAsia="宋体" w:hint="default"/>
          <w:b/>
          <w:bCs/>
        </w:rPr>
        <w:t>）交易标的基本情况</w:t>
      </w:r>
      <w:r>
        <w:rPr>
          <w:rFonts w:ascii="宋体" w:hAnsi="宋体" w:cs="宋体" w:eastAsia="宋体" w:hint="default"/>
        </w:rPr>
      </w:r>
    </w:p>
    <w:p>
      <w:pPr>
        <w:pStyle w:val="BodyText"/>
        <w:spacing w:line="477" w:lineRule="auto" w:before="82"/>
        <w:ind w:right="189" w:firstLine="480"/>
        <w:jc w:val="both"/>
      </w:pPr>
      <w:r>
        <w:rPr/>
        <w:t>标的资产概况：本次交易新国都出售的资产为新国都持有的肇庆好易联</w:t>
      </w:r>
      <w:r>
        <w:rPr>
          <w:rFonts w:ascii="宋体" w:hAnsi="宋体" w:cs="宋体" w:eastAsia="宋体" w:hint="default"/>
        </w:rPr>
        <w:t>49%</w:t>
      </w:r>
      <w:r>
        <w:rPr/>
        <w:t>股权，肇庆好易联注册地址为：肇庆市建 </w:t>
      </w:r>
      <w:r>
        <w:rPr>
          <w:spacing w:val="-2"/>
        </w:rPr>
        <w:t>设二路</w:t>
      </w:r>
      <w:r>
        <w:rPr>
          <w:rFonts w:ascii="宋体" w:hAnsi="宋体" w:cs="宋体" w:eastAsia="宋体" w:hint="default"/>
          <w:spacing w:val="-2"/>
        </w:rPr>
        <w:t>6</w:t>
      </w:r>
      <w:r>
        <w:rPr>
          <w:spacing w:val="-2"/>
        </w:rPr>
        <w:t>号之一濠江名庭商业中心</w:t>
      </w:r>
      <w:r>
        <w:rPr>
          <w:rFonts w:ascii="宋体" w:hAnsi="宋体" w:cs="宋体" w:eastAsia="宋体" w:hint="default"/>
          <w:spacing w:val="-2"/>
        </w:rPr>
        <w:t>A5</w:t>
      </w:r>
      <w:r>
        <w:rPr>
          <w:spacing w:val="-2"/>
        </w:rPr>
        <w:t>号</w:t>
      </w:r>
      <w:r>
        <w:rPr>
          <w:rFonts w:ascii="宋体" w:hAnsi="宋体" w:cs="宋体" w:eastAsia="宋体" w:hint="default"/>
          <w:spacing w:val="-2"/>
        </w:rPr>
        <w:t>202</w:t>
      </w:r>
      <w:r>
        <w:rPr>
          <w:spacing w:val="-2"/>
        </w:rPr>
        <w:t>，该交易股权不存在抵押、质押或者其他第三人权利，不存在涉及有关资产的重大</w:t>
      </w:r>
      <w:r>
        <w:rPr>
          <w:spacing w:val="-60"/>
        </w:rPr>
        <w:t> </w:t>
      </w:r>
      <w:r>
        <w:rPr>
          <w:spacing w:val="-60"/>
        </w:rPr>
      </w:r>
      <w:r>
        <w:rPr/>
        <w:t>争议、诉讼或仲裁事项，不存在查封、冻结等司法措施等。</w:t>
      </w:r>
    </w:p>
    <w:p>
      <w:pPr>
        <w:spacing w:after="0" w:line="477"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94" w:firstLine="480"/>
        <w:jc w:val="left"/>
      </w:pPr>
      <w:r>
        <w:rPr/>
        <w:t>本次交易资产所属公司肇庆好易联账面原值</w:t>
      </w:r>
      <w:r>
        <w:rPr>
          <w:rFonts w:ascii="宋体" w:hAnsi="宋体" w:cs="宋体" w:eastAsia="宋体" w:hint="default"/>
        </w:rPr>
        <w:t>1,269.27</w:t>
      </w:r>
      <w:r>
        <w:rPr/>
        <w:t>万元，账面净值</w:t>
      </w:r>
      <w:r>
        <w:rPr>
          <w:rFonts w:ascii="宋体" w:hAnsi="宋体" w:cs="宋体" w:eastAsia="宋体" w:hint="default"/>
        </w:rPr>
        <w:t>733.05</w:t>
      </w:r>
      <w:r>
        <w:rPr/>
        <w:t>万元。经交易双方认可，以</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30</w:t>
      </w:r>
      <w:r>
        <w:rPr>
          <w:rFonts w:ascii="宋体" w:hAnsi="宋体" w:cs="宋体" w:eastAsia="宋体" w:hint="default"/>
          <w:spacing w:val="1"/>
        </w:rPr>
        <w:t> </w:t>
      </w:r>
      <w:r>
        <w:rPr/>
        <w:t>日作为审计评估基准日，根据广州知仁会计师事务所出具的【</w:t>
      </w:r>
      <w:r>
        <w:rPr>
          <w:rFonts w:ascii="宋体" w:hAnsi="宋体" w:cs="宋体" w:eastAsia="宋体" w:hint="default"/>
        </w:rPr>
        <w:t>2012</w:t>
      </w:r>
      <w:r>
        <w:rPr/>
        <w:t>】</w:t>
      </w:r>
      <w:r>
        <w:rPr>
          <w:rFonts w:ascii="宋体" w:hAnsi="宋体" w:cs="宋体" w:eastAsia="宋体" w:hint="default"/>
        </w:rPr>
        <w:t>2173</w:t>
      </w:r>
      <w:r>
        <w:rPr/>
        <w:t>号《审计报告》确认，截止</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30</w:t>
      </w:r>
      <w:r>
        <w:rPr/>
        <w:t>日，肇庆 好易联的总资产</w:t>
      </w:r>
      <w:r>
        <w:rPr>
          <w:rFonts w:ascii="宋体" w:hAnsi="宋体" w:cs="宋体" w:eastAsia="宋体" w:hint="default"/>
        </w:rPr>
        <w:t>13,316,604.23</w:t>
      </w:r>
      <w:r>
        <w:rPr/>
        <w:t>元，净资产</w:t>
      </w:r>
      <w:r>
        <w:rPr>
          <w:rFonts w:ascii="宋体" w:hAnsi="宋体" w:cs="宋体" w:eastAsia="宋体" w:hint="default"/>
        </w:rPr>
        <w:t>7,588,044.69</w:t>
      </w:r>
      <w:r>
        <w:rPr/>
        <w:t>元；根据广州顺益资产评估事务所【</w:t>
      </w:r>
      <w:r>
        <w:rPr>
          <w:rFonts w:ascii="宋体" w:hAnsi="宋体" w:cs="宋体" w:eastAsia="宋体" w:hint="default"/>
        </w:rPr>
        <w:t>2012</w:t>
      </w:r>
      <w:r>
        <w:rPr/>
        <w:t>】</w:t>
      </w:r>
      <w:r>
        <w:rPr>
          <w:rFonts w:ascii="宋体" w:hAnsi="宋体" w:cs="宋体" w:eastAsia="宋体" w:hint="default"/>
        </w:rPr>
        <w:t>057</w:t>
      </w:r>
      <w:r>
        <w:rPr/>
        <w:t>号《资产评估报告》 </w:t>
      </w:r>
      <w:r>
        <w:rPr>
          <w:spacing w:val="-2"/>
        </w:rPr>
        <w:t>确定，肇庆好易联整体评估价值</w:t>
      </w:r>
      <w:r>
        <w:rPr>
          <w:rFonts w:ascii="宋体" w:hAnsi="宋体" w:cs="宋体" w:eastAsia="宋体" w:hint="default"/>
          <w:spacing w:val="-2"/>
        </w:rPr>
        <w:t>28,188,810.87</w:t>
      </w:r>
      <w:r>
        <w:rPr>
          <w:spacing w:val="-2"/>
        </w:rPr>
        <w:t>元，评估增值</w:t>
      </w:r>
      <w:r>
        <w:rPr>
          <w:rFonts w:ascii="宋体" w:hAnsi="宋体" w:cs="宋体" w:eastAsia="宋体" w:hint="default"/>
          <w:spacing w:val="-2"/>
        </w:rPr>
        <w:t>271.49%</w:t>
      </w:r>
      <w:r>
        <w:rPr>
          <w:spacing w:val="-2"/>
        </w:rPr>
        <w:t>，对应肇庆好易联</w:t>
      </w:r>
      <w:r>
        <w:rPr>
          <w:rFonts w:ascii="宋体" w:hAnsi="宋体" w:cs="宋体" w:eastAsia="宋体" w:hint="default"/>
          <w:spacing w:val="-2"/>
        </w:rPr>
        <w:t>49%</w:t>
      </w:r>
      <w:r>
        <w:rPr>
          <w:spacing w:val="-2"/>
        </w:rPr>
        <w:t>股权的评估价值为</w:t>
      </w:r>
      <w:r>
        <w:rPr>
          <w:rFonts w:ascii="宋体" w:hAnsi="宋体" w:cs="宋体" w:eastAsia="宋体" w:hint="default"/>
          <w:spacing w:val="-2"/>
        </w:rPr>
        <w:t>13,812,517.33</w:t>
      </w:r>
      <w:r>
        <w:rPr>
          <w:rFonts w:ascii="宋体" w:hAnsi="宋体" w:cs="宋体" w:eastAsia="宋体" w:hint="default"/>
          <w:spacing w:val="-40"/>
        </w:rPr>
        <w:t> </w:t>
      </w:r>
      <w:r>
        <w:rPr>
          <w:rFonts w:ascii="宋体" w:hAnsi="宋体" w:cs="宋体" w:eastAsia="宋体" w:hint="default"/>
          <w:spacing w:val="-40"/>
        </w:rPr>
      </w:r>
      <w:r>
        <w:rPr/>
        <w:t>元，审计评估基准日为</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30</w:t>
      </w:r>
      <w:r>
        <w:rPr/>
        <w:t>日。</w:t>
      </w:r>
    </w:p>
    <w:p>
      <w:pPr>
        <w:pStyle w:val="BodyText"/>
        <w:spacing w:line="477" w:lineRule="auto" w:before="54"/>
        <w:ind w:right="192" w:firstLine="480"/>
        <w:jc w:val="both"/>
      </w:pPr>
      <w:r>
        <w:rPr>
          <w:spacing w:val="-1"/>
        </w:rPr>
        <w:t>本次交易的实际交易价格</w:t>
      </w:r>
      <w:r>
        <w:rPr>
          <w:rFonts w:ascii="宋体" w:hAnsi="宋体" w:cs="宋体" w:eastAsia="宋体" w:hint="default"/>
          <w:spacing w:val="-1"/>
        </w:rPr>
        <w:t>1300</w:t>
      </w:r>
      <w:r>
        <w:rPr>
          <w:spacing w:val="-1"/>
        </w:rPr>
        <w:t>万元，低于上述评估价值。这是由于广州银联网络为国有控股公司，根据相关国有资产</w:t>
      </w:r>
      <w:r>
        <w:rPr/>
        <w:t> 购买和金融资产项目评估备案程序要求，经双方协商一致，同意确定本次交易的实际交易价格</w:t>
      </w:r>
      <w:r>
        <w:rPr>
          <w:rFonts w:ascii="宋体" w:hAnsi="宋体" w:cs="宋体" w:eastAsia="宋体" w:hint="default"/>
        </w:rPr>
        <w:t>1300</w:t>
      </w:r>
      <w:r>
        <w:rPr/>
        <w:t>万元。</w:t>
      </w:r>
    </w:p>
    <w:p>
      <w:pPr>
        <w:pStyle w:val="BodyText"/>
        <w:spacing w:line="477" w:lineRule="auto" w:before="54"/>
        <w:ind w:right="188" w:firstLine="480"/>
        <w:jc w:val="both"/>
      </w:pPr>
      <w:r>
        <w:rPr>
          <w:spacing w:val="-1"/>
        </w:rPr>
        <w:t>根据《肇庆市好易联网络有限公司股权转让合同》的约定，如果在审计评估基准日，肇庆好易联的整体估值金额达不</w:t>
      </w:r>
      <w:r>
        <w:rPr/>
        <w:t> 到</w:t>
      </w:r>
      <w:r>
        <w:rPr>
          <w:rFonts w:ascii="宋体" w:hAnsi="宋体" w:cs="宋体" w:eastAsia="宋体" w:hint="default"/>
        </w:rPr>
        <w:t>2653</w:t>
      </w:r>
      <w:r>
        <w:rPr/>
        <w:t>万元，净资产达不到</w:t>
      </w:r>
      <w:r>
        <w:rPr>
          <w:rFonts w:ascii="宋体" w:hAnsi="宋体" w:cs="宋体" w:eastAsia="宋体" w:hint="default"/>
        </w:rPr>
        <w:t>733.05</w:t>
      </w:r>
      <w:r>
        <w:rPr/>
        <w:t>万元，则新国都需要按股权比例</w:t>
      </w:r>
      <w:r>
        <w:rPr>
          <w:rFonts w:ascii="宋体" w:hAnsi="宋体" w:cs="宋体" w:eastAsia="宋体" w:hint="default"/>
        </w:rPr>
        <w:t>49%</w:t>
      </w:r>
      <w:r>
        <w:rPr/>
        <w:t>向肇庆好易联予以现金补足，或由交易对方广州银联 </w:t>
      </w:r>
      <w:r>
        <w:rPr>
          <w:spacing w:val="-2"/>
        </w:rPr>
        <w:t>网络支付有限公司（以下简称“广州银联网络”）直接从股权受让金额中直接扣除。根据交易双方认可的审计、评估报告显</w:t>
      </w:r>
      <w:r>
        <w:rPr>
          <w:spacing w:val="-65"/>
        </w:rPr>
        <w:t> </w:t>
      </w:r>
      <w:r>
        <w:rPr>
          <w:spacing w:val="-65"/>
        </w:rPr>
      </w:r>
      <w:r>
        <w:rPr>
          <w:spacing w:val="-2"/>
        </w:rPr>
        <w:t>示，在审计评估基准日，肇庆好易联的整体估值金额超过</w:t>
      </w:r>
      <w:r>
        <w:rPr>
          <w:rFonts w:ascii="宋体" w:hAnsi="宋体" w:cs="宋体" w:eastAsia="宋体" w:hint="default"/>
          <w:spacing w:val="-2"/>
        </w:rPr>
        <w:t>2653</w:t>
      </w:r>
      <w:r>
        <w:rPr>
          <w:spacing w:val="-2"/>
        </w:rPr>
        <w:t>万元，净资产超过</w:t>
      </w:r>
      <w:r>
        <w:rPr>
          <w:rFonts w:ascii="宋体" w:hAnsi="宋体" w:cs="宋体" w:eastAsia="宋体" w:hint="default"/>
          <w:spacing w:val="-2"/>
        </w:rPr>
        <w:t>733.05</w:t>
      </w:r>
      <w:r>
        <w:rPr>
          <w:spacing w:val="-2"/>
        </w:rPr>
        <w:t>万元，因此，本次交易不会涉及新国</w:t>
      </w:r>
      <w:r>
        <w:rPr>
          <w:spacing w:val="-59"/>
        </w:rPr>
        <w:t> </w:t>
      </w:r>
      <w:r>
        <w:rPr>
          <w:spacing w:val="-59"/>
        </w:rPr>
      </w:r>
      <w:r>
        <w:rPr/>
        <w:t>都按股权比例</w:t>
      </w:r>
      <w:r>
        <w:rPr>
          <w:rFonts w:ascii="宋体" w:hAnsi="宋体" w:cs="宋体" w:eastAsia="宋体" w:hint="default"/>
        </w:rPr>
        <w:t>49%</w:t>
      </w:r>
      <w:r>
        <w:rPr/>
        <w:t>向肇庆好易联予以现金补足，或由交易对方广州银联网络支付有限公司（以下简称“广州银联网络”）直</w:t>
      </w:r>
      <w:r>
        <w:rPr>
          <w:spacing w:val="-82"/>
        </w:rPr>
        <w:t> </w:t>
      </w:r>
      <w:r>
        <w:rPr>
          <w:spacing w:val="-82"/>
        </w:rPr>
      </w:r>
      <w:r>
        <w:rPr/>
        <w:t>接从股权受让金额中直接扣除的风险。</w:t>
      </w:r>
    </w:p>
    <w:p>
      <w:pPr>
        <w:spacing w:line="240" w:lineRule="auto" w:before="4"/>
        <w:rPr>
          <w:rFonts w:ascii="宋体" w:hAnsi="宋体" w:cs="宋体" w:eastAsia="宋体" w:hint="default"/>
          <w:sz w:val="13"/>
          <w:szCs w:val="13"/>
        </w:rPr>
      </w:pPr>
    </w:p>
    <w:p>
      <w:pPr>
        <w:pStyle w:val="BodyText"/>
        <w:spacing w:line="477" w:lineRule="auto" w:before="0"/>
        <w:ind w:right="188" w:firstLine="420"/>
        <w:jc w:val="both"/>
      </w:pPr>
      <w:r>
        <w:rPr/>
        <w:t>肇庆好易联成立日期</w:t>
      </w:r>
      <w:r>
        <w:rPr>
          <w:rFonts w:ascii="宋体" w:hAnsi="宋体" w:cs="宋体" w:eastAsia="宋体" w:hint="default"/>
        </w:rPr>
        <w:t>2002</w:t>
      </w:r>
      <w:r>
        <w:rPr/>
        <w:t>年</w:t>
      </w:r>
      <w:r>
        <w:rPr>
          <w:rFonts w:ascii="宋体" w:hAnsi="宋体" w:cs="宋体" w:eastAsia="宋体" w:hint="default"/>
        </w:rPr>
        <w:t>7</w:t>
      </w:r>
      <w:r>
        <w:rPr/>
        <w:t>月</w:t>
      </w:r>
      <w:r>
        <w:rPr>
          <w:rFonts w:ascii="宋体" w:hAnsi="宋体" w:cs="宋体" w:eastAsia="宋体" w:hint="default"/>
        </w:rPr>
        <w:t>23</w:t>
      </w:r>
      <w:r>
        <w:rPr/>
        <w:t>日；营业执照号：</w:t>
      </w:r>
      <w:r>
        <w:rPr>
          <w:rFonts w:ascii="宋体" w:hAnsi="宋体" w:cs="宋体" w:eastAsia="宋体" w:hint="default"/>
        </w:rPr>
        <w:t>441200000009676</w:t>
      </w:r>
      <w:r>
        <w:rPr/>
        <w:t>；截止公告之日，肇庆好易联主要股东：广州银 </w:t>
      </w:r>
      <w:r>
        <w:rPr>
          <w:spacing w:val="-2"/>
        </w:rPr>
        <w:t>联网络，持股比例为</w:t>
      </w:r>
      <w:r>
        <w:rPr>
          <w:rFonts w:ascii="宋体" w:hAnsi="宋体" w:cs="宋体" w:eastAsia="宋体" w:hint="default"/>
          <w:spacing w:val="-2"/>
        </w:rPr>
        <w:t>51%</w:t>
      </w:r>
      <w:r>
        <w:rPr>
          <w:spacing w:val="-2"/>
        </w:rPr>
        <w:t>，新国都，持股比例为</w:t>
      </w:r>
      <w:r>
        <w:rPr>
          <w:rFonts w:ascii="宋体" w:hAnsi="宋体" w:cs="宋体" w:eastAsia="宋体" w:hint="default"/>
          <w:spacing w:val="-2"/>
        </w:rPr>
        <w:t>49%</w:t>
      </w:r>
      <w:r>
        <w:rPr>
          <w:spacing w:val="-2"/>
        </w:rPr>
        <w:t>；注册资本：</w:t>
      </w:r>
      <w:r>
        <w:rPr>
          <w:rFonts w:ascii="宋体" w:hAnsi="宋体" w:cs="宋体" w:eastAsia="宋体" w:hint="default"/>
          <w:spacing w:val="-2"/>
        </w:rPr>
        <w:t>300</w:t>
      </w:r>
      <w:r>
        <w:rPr>
          <w:spacing w:val="-2"/>
        </w:rPr>
        <w:t>万元；注册地址：肇庆市建设二路</w:t>
      </w:r>
      <w:r>
        <w:rPr>
          <w:rFonts w:ascii="宋体" w:hAnsi="宋体" w:cs="宋体" w:eastAsia="宋体" w:hint="default"/>
          <w:spacing w:val="-2"/>
        </w:rPr>
        <w:t>6</w:t>
      </w:r>
      <w:r>
        <w:rPr>
          <w:spacing w:val="-2"/>
        </w:rPr>
        <w:t>号之一濠江名庭商业</w:t>
      </w:r>
      <w:r>
        <w:rPr>
          <w:spacing w:val="-61"/>
        </w:rPr>
        <w:t> </w:t>
      </w:r>
      <w:r>
        <w:rPr/>
        <w:t>中心</w:t>
      </w:r>
      <w:r>
        <w:rPr>
          <w:rFonts w:ascii="宋体" w:hAnsi="宋体" w:cs="宋体" w:eastAsia="宋体" w:hint="default"/>
        </w:rPr>
        <w:t>A5</w:t>
      </w:r>
      <w:r>
        <w:rPr/>
        <w:t>号</w:t>
      </w:r>
      <w:r>
        <w:rPr>
          <w:rFonts w:ascii="宋体" w:hAnsi="宋体" w:cs="宋体" w:eastAsia="宋体" w:hint="default"/>
        </w:rPr>
        <w:t>202</w:t>
      </w:r>
      <w:r>
        <w:rPr/>
        <w:t>；主营业务为</w:t>
      </w:r>
      <w:r>
        <w:rPr>
          <w:rFonts w:ascii="宋体" w:hAnsi="宋体" w:cs="宋体" w:eastAsia="宋体" w:hint="default"/>
        </w:rPr>
        <w:t>:</w:t>
      </w:r>
      <w:r>
        <w:rPr/>
        <w:t>银行卡收单专业化服务业务，销售、租赁电子读卡机，提供</w:t>
      </w:r>
      <w:r>
        <w:rPr>
          <w:rFonts w:ascii="宋体" w:hAnsi="宋体" w:cs="宋体" w:eastAsia="宋体" w:hint="default"/>
        </w:rPr>
        <w:t>POS</w:t>
      </w:r>
      <w:r>
        <w:rPr/>
        <w:t>机的安装、维护服务及相关技术 支持、技术咨询、技术培训等。</w:t>
      </w:r>
    </w:p>
    <w:p>
      <w:pPr>
        <w:spacing w:line="240" w:lineRule="auto" w:before="4"/>
        <w:rPr>
          <w:rFonts w:ascii="宋体" w:hAnsi="宋体" w:cs="宋体" w:eastAsia="宋体" w:hint="default"/>
          <w:sz w:val="13"/>
          <w:szCs w:val="13"/>
        </w:rPr>
      </w:pPr>
    </w:p>
    <w:p>
      <w:pPr>
        <w:pStyle w:val="BodyText"/>
        <w:spacing w:line="600" w:lineRule="auto" w:before="0"/>
        <w:ind w:left="573" w:right="4083"/>
        <w:jc w:val="left"/>
      </w:pPr>
      <w:r>
        <w:rPr/>
        <w:t>截止</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30</w:t>
      </w:r>
      <w:r>
        <w:rPr/>
        <w:t>日，肇庆好易联经审计确认的主要财务指标如下： 单位：元</w:t>
      </w: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74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财务指标</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742"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13,316,604.23</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12,672,864.21</w:t>
            </w:r>
          </w:p>
        </w:tc>
      </w:tr>
      <w:tr>
        <w:trPr>
          <w:trHeight w:val="745"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5,728,559.54</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6,031,677.58</w:t>
            </w:r>
          </w:p>
        </w:tc>
      </w:tr>
      <w:tr>
        <w:trPr>
          <w:trHeight w:val="742"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7,588,044.69</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6,641,186.63</w:t>
            </w:r>
          </w:p>
        </w:tc>
      </w:tr>
      <w:tr>
        <w:trPr>
          <w:trHeight w:val="74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1,324,428.11</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1,314,628.20</w:t>
            </w:r>
          </w:p>
        </w:tc>
      </w:tr>
      <w:tr>
        <w:trPr>
          <w:trHeight w:val="74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9,010,637.99</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10,703,112.49</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74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1,280,628.14</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1,513,776.04</w:t>
            </w:r>
          </w:p>
        </w:tc>
      </w:tr>
      <w:tr>
        <w:trPr>
          <w:trHeight w:val="742"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995,821.80</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1,216,257.65</w:t>
            </w:r>
          </w:p>
        </w:tc>
      </w:tr>
      <w:tr>
        <w:trPr>
          <w:trHeight w:val="74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0.00</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0.00</w:t>
            </w:r>
          </w:p>
        </w:tc>
      </w:tr>
      <w:tr>
        <w:trPr>
          <w:trHeight w:val="74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sz w:val="18"/>
              </w:rPr>
              <w:t>1,523,089.66</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sz w:val="18"/>
              </w:rPr>
              <w:t>1,898,434.55</w:t>
            </w:r>
          </w:p>
        </w:tc>
      </w:tr>
    </w:tbl>
    <w:p>
      <w:pPr>
        <w:pStyle w:val="Heading8"/>
        <w:spacing w:line="477" w:lineRule="auto" w:before="87"/>
        <w:ind w:left="152" w:right="0" w:firstLine="420"/>
        <w:jc w:val="left"/>
        <w:rPr>
          <w:b w:val="0"/>
          <w:bCs w:val="0"/>
        </w:rPr>
      </w:pPr>
      <w:r>
        <w:rPr/>
        <w:t>注：以上截止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日的财务数据经广东至正会计师事务所【</w:t>
      </w:r>
      <w:r>
        <w:rPr>
          <w:rFonts w:ascii="宋体" w:hAnsi="宋体" w:cs="宋体" w:eastAsia="宋体" w:hint="default"/>
        </w:rPr>
        <w:t>2012</w:t>
      </w:r>
      <w:r>
        <w:rPr/>
        <w:t>】</w:t>
      </w:r>
      <w:r>
        <w:rPr>
          <w:rFonts w:ascii="宋体" w:hAnsi="宋体" w:cs="宋体" w:eastAsia="宋体" w:hint="default"/>
        </w:rPr>
        <w:t>2005</w:t>
      </w:r>
      <w:r>
        <w:rPr/>
        <w:t>号审计报告确认，截止</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30</w:t>
      </w:r>
      <w:r>
        <w:rPr>
          <w:rFonts w:ascii="宋体" w:hAnsi="宋体" w:cs="宋体" w:eastAsia="宋体" w:hint="default"/>
          <w:spacing w:val="1"/>
          <w:w w:val="99"/>
        </w:rPr>
        <w:t> </w:t>
      </w:r>
      <w:r>
        <w:rPr/>
        <w:t>日的财务数据经广州知仁会计师事务所【</w:t>
      </w:r>
      <w:r>
        <w:rPr>
          <w:rFonts w:ascii="宋体" w:hAnsi="宋体" w:cs="宋体" w:eastAsia="宋体" w:hint="default"/>
        </w:rPr>
        <w:t>2012</w:t>
      </w:r>
      <w:r>
        <w:rPr/>
        <w:t>】</w:t>
      </w:r>
      <w:r>
        <w:rPr>
          <w:rFonts w:ascii="宋体" w:hAnsi="宋体" w:cs="宋体" w:eastAsia="宋体" w:hint="default"/>
        </w:rPr>
        <w:t>2173</w:t>
      </w:r>
      <w:r>
        <w:rPr/>
        <w:t>号审计报告确认。</w:t>
      </w:r>
      <w:r>
        <w:rPr>
          <w:b w:val="0"/>
          <w:bCs w:val="0"/>
        </w:rPr>
      </w:r>
    </w:p>
    <w:p>
      <w:pPr>
        <w:pStyle w:val="BodyText"/>
        <w:spacing w:line="477" w:lineRule="auto" w:before="55"/>
        <w:ind w:right="182" w:firstLine="420"/>
        <w:jc w:val="left"/>
      </w:pPr>
      <w:r>
        <w:rPr>
          <w:spacing w:val="-1"/>
        </w:rPr>
        <w:t>本次交易聘请了广州知仁会计师事务所对肇庆好易联</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2012</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日的财务报表进行审计，聘请了广州</w:t>
      </w:r>
      <w:r>
        <w:rPr/>
        <w:t> 顺益资产评估事务所对肇庆好易联的整体资产状况进行评估。</w:t>
      </w:r>
    </w:p>
    <w:p>
      <w:pPr>
        <w:pStyle w:val="BodyText"/>
        <w:spacing w:line="477" w:lineRule="auto" w:before="54"/>
        <w:ind w:left="573" w:right="87"/>
        <w:jc w:val="left"/>
      </w:pPr>
      <w:r>
        <w:rPr>
          <w:rFonts w:ascii="宋体" w:hAnsi="宋体" w:cs="宋体" w:eastAsia="宋体" w:hint="default"/>
          <w:b/>
          <w:bCs/>
        </w:rPr>
        <w:t>4</w:t>
      </w:r>
      <w:r>
        <w:rPr>
          <w:rFonts w:ascii="宋体" w:hAnsi="宋体" w:cs="宋体" w:eastAsia="宋体" w:hint="default"/>
          <w:b/>
          <w:bCs/>
        </w:rPr>
        <w:t>）交易协议的主要内容</w:t>
      </w:r>
      <w:r>
        <w:rPr>
          <w:rFonts w:ascii="宋体" w:hAnsi="宋体" w:cs="宋体" w:eastAsia="宋体" w:hint="default"/>
          <w:b/>
          <w:bCs/>
          <w:w w:val="99"/>
        </w:rPr>
        <w:t> </w:t>
      </w:r>
      <w:r>
        <w:rPr>
          <w:spacing w:val="-1"/>
        </w:rPr>
        <w:t>广州银联网络和新国都协商确定，本次股权交易的成交金额</w:t>
      </w:r>
      <w:r>
        <w:rPr>
          <w:rFonts w:ascii="宋体" w:hAnsi="宋体" w:cs="宋体" w:eastAsia="宋体" w:hint="default"/>
          <w:spacing w:val="-1"/>
        </w:rPr>
        <w:t>1300</w:t>
      </w:r>
      <w:r>
        <w:rPr>
          <w:spacing w:val="-1"/>
        </w:rPr>
        <w:t>万元，具体参考肇庆好易联的整体评估价值予以确定，</w:t>
      </w:r>
    </w:p>
    <w:p>
      <w:pPr>
        <w:pStyle w:val="BodyText"/>
        <w:spacing w:line="477" w:lineRule="auto" w:before="54"/>
        <w:ind w:right="188"/>
        <w:jc w:val="both"/>
      </w:pPr>
      <w:r>
        <w:rPr>
          <w:spacing w:val="-2"/>
        </w:rPr>
        <w:t>以现金支付，股权转让款分期支付，在正式股权转让合同签订之日的</w:t>
      </w:r>
      <w:r>
        <w:rPr>
          <w:rFonts w:ascii="宋体" w:hAnsi="宋体" w:cs="宋体" w:eastAsia="宋体" w:hint="default"/>
          <w:spacing w:val="-2"/>
        </w:rPr>
        <w:t>10</w:t>
      </w:r>
      <w:r>
        <w:rPr>
          <w:spacing w:val="-2"/>
        </w:rPr>
        <w:t>个工作日内，广州银联网络公司应以转帐方式将股权</w:t>
      </w:r>
      <w:r>
        <w:rPr>
          <w:spacing w:val="-61"/>
        </w:rPr>
        <w:t> </w:t>
      </w:r>
      <w:r>
        <w:rPr>
          <w:spacing w:val="-61"/>
        </w:rPr>
      </w:r>
      <w:r>
        <w:rPr/>
        <w:t>转让价款中的</w:t>
      </w:r>
      <w:r>
        <w:rPr>
          <w:rFonts w:ascii="宋体" w:hAnsi="宋体" w:cs="宋体" w:eastAsia="宋体" w:hint="default"/>
        </w:rPr>
        <w:t>50%</w:t>
      </w:r>
      <w:r>
        <w:rPr/>
        <w:t>作为定金支付给新国都；自广州银联网络公司领取变更登记的新的企业法人营业执照之日起的</w:t>
      </w:r>
      <w:r>
        <w:rPr>
          <w:rFonts w:ascii="宋体" w:hAnsi="宋体" w:cs="宋体" w:eastAsia="宋体" w:hint="default"/>
        </w:rPr>
        <w:t>10</w:t>
      </w:r>
      <w:r>
        <w:rPr/>
        <w:t>个工作日</w:t>
      </w:r>
      <w:r>
        <w:rPr>
          <w:spacing w:val="-83"/>
        </w:rPr>
        <w:t> </w:t>
      </w:r>
      <w:r>
        <w:rPr>
          <w:spacing w:val="-2"/>
        </w:rPr>
        <w:t>内，支付剩余股权转让价款。所有股权转让款均先行支付到广州银联网络和新国都共同控制的账户，广州银联网络公司在将</w:t>
      </w:r>
      <w:r>
        <w:rPr>
          <w:spacing w:val="-65"/>
        </w:rPr>
        <w:t> </w:t>
      </w:r>
      <w:r>
        <w:rPr>
          <w:spacing w:val="-65"/>
        </w:rPr>
      </w:r>
      <w:r>
        <w:rPr>
          <w:spacing w:val="-2"/>
        </w:rPr>
        <w:t>全部股权受让款划入共同控制账户后</w:t>
      </w:r>
      <w:r>
        <w:rPr>
          <w:rFonts w:ascii="宋体" w:hAnsi="宋体" w:cs="宋体" w:eastAsia="宋体" w:hint="default"/>
          <w:spacing w:val="-2"/>
        </w:rPr>
        <w:t>10</w:t>
      </w:r>
      <w:r>
        <w:rPr>
          <w:spacing w:val="-2"/>
        </w:rPr>
        <w:t>个工作日内，由新国都和广州银联网络公司的书面同意解除共管，将全部股权受让款</w:t>
      </w:r>
      <w:r>
        <w:rPr>
          <w:spacing w:val="-62"/>
        </w:rPr>
        <w:t> </w:t>
      </w:r>
      <w:r>
        <w:rPr>
          <w:spacing w:val="-62"/>
        </w:rPr>
      </w:r>
      <w:r>
        <w:rPr/>
        <w:t>划入新国都对公账户。</w:t>
      </w:r>
    </w:p>
    <w:p>
      <w:pPr>
        <w:pStyle w:val="BodyText"/>
        <w:spacing w:line="477" w:lineRule="auto" w:before="54"/>
        <w:ind w:right="94" w:firstLine="420"/>
        <w:jc w:val="left"/>
      </w:pPr>
      <w:r>
        <w:rPr/>
        <w:t>本次交易需经过肇庆好易联董事会和股东会、广州银联网络董事会、新国都董事会审批，并履行广州银联网络相关金 </w:t>
      </w:r>
      <w:r>
        <w:rPr>
          <w:spacing w:val="-2"/>
        </w:rPr>
        <w:t>融资产项目评估备案程序。截止公告之日，本次交易已经于</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12</w:t>
      </w:r>
      <w:r>
        <w:rPr>
          <w:spacing w:val="-2"/>
        </w:rPr>
        <w:t>日通过了广州银联网络董事会</w:t>
      </w:r>
      <w:r>
        <w:rPr>
          <w:rFonts w:ascii="宋体" w:hAnsi="宋体" w:cs="宋体" w:eastAsia="宋体" w:hint="default"/>
          <w:spacing w:val="-2"/>
        </w:rPr>
        <w:t>2012</w:t>
      </w:r>
      <w:r>
        <w:rPr>
          <w:spacing w:val="-2"/>
        </w:rPr>
        <w:t>年第二次会议的</w:t>
      </w:r>
      <w:r>
        <w:rPr>
          <w:spacing w:val="-57"/>
        </w:rPr>
        <w:t> </w:t>
      </w:r>
      <w:r>
        <w:rPr>
          <w:spacing w:val="-57"/>
        </w:rPr>
      </w:r>
      <w:r>
        <w:rPr/>
        <w:t>审批、于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日通过了肇庆好易联股东会的审批、于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8</w:t>
      </w:r>
      <w:r>
        <w:rPr/>
        <w:t>日通过了新国都第二届董事会第十一次会议的审批， 并于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16</w:t>
      </w:r>
      <w:r>
        <w:rPr/>
        <w:t>日完成了广州银联网络相关金融资产项目评估备案程序。</w:t>
      </w:r>
    </w:p>
    <w:p>
      <w:pPr>
        <w:spacing w:line="477" w:lineRule="auto" w:before="54"/>
        <w:ind w:left="573" w:right="177"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）涉及收购、出售资产的其他安排</w:t>
      </w:r>
      <w:r>
        <w:rPr>
          <w:rFonts w:ascii="宋体" w:hAnsi="宋体" w:cs="宋体" w:eastAsia="宋体" w:hint="default"/>
          <w:b/>
          <w:bCs/>
          <w:w w:val="99"/>
          <w:sz w:val="18"/>
          <w:szCs w:val="18"/>
        </w:rPr>
        <w:t> </w:t>
      </w:r>
      <w:r>
        <w:rPr>
          <w:rFonts w:ascii="宋体" w:hAnsi="宋体" w:cs="宋体" w:eastAsia="宋体" w:hint="default"/>
          <w:spacing w:val="-1"/>
          <w:sz w:val="18"/>
          <w:szCs w:val="18"/>
        </w:rPr>
        <w:t>本次交易完成后，原有肇庆好易联的全体管理人员及职工的工资及其他劳动条件与</w:t>
      </w:r>
      <w:r>
        <w:rPr>
          <w:rFonts w:ascii="宋体" w:hAnsi="宋体" w:cs="宋体" w:eastAsia="宋体" w:hint="default"/>
          <w:spacing w:val="-1"/>
          <w:sz w:val="18"/>
          <w:szCs w:val="18"/>
        </w:rPr>
        <w:t>2012</w:t>
      </w:r>
      <w:r>
        <w:rPr>
          <w:rFonts w:ascii="宋体" w:hAnsi="宋体" w:cs="宋体" w:eastAsia="宋体" w:hint="default"/>
          <w:spacing w:val="-1"/>
          <w:sz w:val="18"/>
          <w:szCs w:val="18"/>
        </w:rPr>
        <w:t>年</w:t>
      </w:r>
      <w:r>
        <w:rPr>
          <w:rFonts w:ascii="宋体" w:hAnsi="宋体" w:cs="宋体" w:eastAsia="宋体" w:hint="default"/>
          <w:spacing w:val="-1"/>
          <w:sz w:val="18"/>
          <w:szCs w:val="18"/>
        </w:rPr>
        <w:t>9</w:t>
      </w:r>
      <w:r>
        <w:rPr>
          <w:rFonts w:ascii="宋体" w:hAnsi="宋体" w:cs="宋体" w:eastAsia="宋体" w:hint="default"/>
          <w:spacing w:val="-1"/>
          <w:sz w:val="18"/>
          <w:szCs w:val="18"/>
        </w:rPr>
        <w:t>月的工资和劳动条件仍然维</w:t>
      </w:r>
    </w:p>
    <w:p>
      <w:pPr>
        <w:pStyle w:val="BodyText"/>
        <w:spacing w:line="240" w:lineRule="auto" w:before="55"/>
        <w:ind w:right="0"/>
        <w:jc w:val="both"/>
      </w:pPr>
      <w:r>
        <w:rPr/>
        <w:t>持不变。</w:t>
      </w:r>
    </w:p>
    <w:p>
      <w:pPr>
        <w:spacing w:line="240" w:lineRule="auto" w:before="10"/>
        <w:rPr>
          <w:rFonts w:ascii="宋体" w:hAnsi="宋体" w:cs="宋体" w:eastAsia="宋体" w:hint="default"/>
          <w:sz w:val="17"/>
          <w:szCs w:val="17"/>
        </w:rPr>
      </w:pPr>
    </w:p>
    <w:p>
      <w:pPr>
        <w:pStyle w:val="BodyText"/>
        <w:spacing w:line="477" w:lineRule="auto" w:before="0"/>
        <w:ind w:left="573" w:right="176"/>
        <w:jc w:val="left"/>
      </w:pPr>
      <w:r>
        <w:rPr/>
        <w:t>本次交易完成后，不会产生任何关联交易，出售资产所得款项的将用于公司日常经营。 </w:t>
      </w:r>
      <w:r>
        <w:rPr>
          <w:rFonts w:ascii="宋体" w:hAnsi="宋体" w:cs="宋体" w:eastAsia="宋体" w:hint="default"/>
          <w:b/>
          <w:bCs/>
        </w:rPr>
        <w:t>6</w:t>
      </w:r>
      <w:r>
        <w:rPr>
          <w:rFonts w:ascii="宋体" w:hAnsi="宋体" w:cs="宋体" w:eastAsia="宋体" w:hint="default"/>
          <w:b/>
          <w:bCs/>
        </w:rPr>
        <w:t>）收购、出售资产的目的和对公司的影响</w:t>
      </w:r>
      <w:r>
        <w:rPr>
          <w:rFonts w:ascii="宋体" w:hAnsi="宋体" w:cs="宋体" w:eastAsia="宋体" w:hint="default"/>
          <w:b/>
          <w:bCs/>
          <w:w w:val="99"/>
        </w:rPr>
        <w:t> </w:t>
      </w:r>
      <w:r>
        <w:rPr>
          <w:spacing w:val="-1"/>
        </w:rPr>
        <w:t>本次新国都出售肇庆好易联</w:t>
      </w:r>
      <w:r>
        <w:rPr>
          <w:rFonts w:ascii="宋体" w:hAnsi="宋体" w:cs="宋体" w:eastAsia="宋体" w:hint="default"/>
          <w:spacing w:val="-1"/>
        </w:rPr>
        <w:t>49%</w:t>
      </w:r>
      <w:r>
        <w:rPr>
          <w:spacing w:val="-1"/>
        </w:rPr>
        <w:t>股权的行为，系由广州银联网络发起，新国都出于优化双方优势资源考虑，同意将该资</w:t>
      </w:r>
    </w:p>
    <w:p>
      <w:pPr>
        <w:pStyle w:val="BodyText"/>
        <w:spacing w:line="477" w:lineRule="auto" w:before="54"/>
        <w:ind w:right="191"/>
        <w:jc w:val="both"/>
      </w:pPr>
      <w:r>
        <w:rPr/>
        <w:t>产出售给广州银联网络。该项交易完成后，预计可获得投资收益达到</w:t>
      </w:r>
      <w:r>
        <w:rPr>
          <w:rFonts w:ascii="宋体" w:hAnsi="宋体" w:cs="宋体" w:eastAsia="宋体" w:hint="default"/>
        </w:rPr>
        <w:t>900</w:t>
      </w:r>
      <w:r>
        <w:rPr/>
        <w:t>万元，预计将对新国都</w:t>
      </w:r>
      <w:r>
        <w:rPr>
          <w:rFonts w:ascii="宋体" w:hAnsi="宋体" w:cs="宋体" w:eastAsia="宋体" w:hint="default"/>
        </w:rPr>
        <w:t>2013</w:t>
      </w:r>
      <w:r>
        <w:rPr/>
        <w:t>年的业绩产生一定积极</w:t>
      </w:r>
      <w:r>
        <w:rPr>
          <w:spacing w:val="-84"/>
        </w:rPr>
        <w:t> </w:t>
      </w:r>
      <w:r>
        <w:rPr/>
        <w:t>影响。</w:t>
      </w:r>
    </w:p>
    <w:p>
      <w:pPr>
        <w:spacing w:after="0" w:line="477"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91" w:firstLine="420"/>
        <w:jc w:val="both"/>
      </w:pPr>
      <w:r>
        <w:rPr/>
        <w:t>本次交易由广州银联网络向新国都支付股权转让款，根据广州银联网络的资信情况，新国都董事会认为，在本次交易 中，广州银联网络的支付能力及该等款项收回的风险可控，不存在无法收回股权受让款项的风险。</w:t>
      </w:r>
    </w:p>
    <w:p>
      <w:pPr>
        <w:pStyle w:val="Heading8"/>
        <w:spacing w:line="240" w:lineRule="auto" w:before="54"/>
        <w:ind w:right="141"/>
        <w:jc w:val="left"/>
        <w:rPr>
          <w:b w:val="0"/>
          <w:bCs w:val="0"/>
        </w:rPr>
      </w:pPr>
      <w:r>
        <w:rPr>
          <w:rFonts w:ascii="宋体" w:hAnsi="宋体" w:cs="宋体" w:eastAsia="宋体" w:hint="default"/>
        </w:rPr>
        <w:t>7</w:t>
      </w:r>
      <w:r>
        <w:rPr/>
        <w:t>）最新进展</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before="0"/>
        <w:ind w:right="190" w:firstLine="420"/>
        <w:jc w:val="both"/>
      </w:pP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8</w:t>
      </w:r>
      <w:r>
        <w:rPr/>
        <w:t>日，肇庆好易联股东会就本次交易出具了《股东会决议》，</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8</w:t>
      </w:r>
      <w:r>
        <w:rPr/>
        <w:t>日，广州银联网络与新国都正式签 署了《肇庆市好易联网络有限公司股权转让合同书》。</w:t>
      </w:r>
    </w:p>
    <w:p>
      <w:pPr>
        <w:spacing w:line="240" w:lineRule="auto" w:before="11"/>
        <w:rPr>
          <w:rFonts w:ascii="宋体" w:hAnsi="宋体" w:cs="宋体" w:eastAsia="宋体" w:hint="default"/>
          <w:sz w:val="25"/>
          <w:szCs w:val="25"/>
        </w:rPr>
      </w:pPr>
    </w:p>
    <w:p>
      <w:pPr>
        <w:pStyle w:val="Heading7"/>
        <w:spacing w:line="240" w:lineRule="auto"/>
        <w:ind w:right="0"/>
        <w:jc w:val="both"/>
        <w:rPr>
          <w:b w:val="0"/>
          <w:bCs w:val="0"/>
        </w:rPr>
      </w:pPr>
      <w:r>
        <w:rPr/>
        <w:t>（</w:t>
      </w:r>
      <w:r>
        <w:rPr>
          <w:rFonts w:ascii="宋体" w:hAnsi="宋体" w:cs="宋体" w:eastAsia="宋体" w:hint="default"/>
        </w:rPr>
        <w:t>6</w:t>
      </w:r>
      <w:r>
        <w:rPr/>
        <w:t>）深圳市瑞柏泰电子有限公司（以下简称“瑞柏泰”）</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184" w:firstLine="420"/>
        <w:jc w:val="both"/>
      </w:pPr>
      <w:r>
        <w:rPr/>
        <w:t>瑞柏泰成立日期：</w:t>
      </w:r>
      <w:r>
        <w:rPr>
          <w:rFonts w:ascii="宋体" w:hAnsi="宋体" w:cs="宋体" w:eastAsia="宋体" w:hint="default"/>
        </w:rPr>
        <w:t>1999</w:t>
      </w:r>
      <w:r>
        <w:rPr/>
        <w:t>年</w:t>
      </w:r>
      <w:r>
        <w:rPr>
          <w:rFonts w:ascii="宋体" w:hAnsi="宋体" w:cs="宋体" w:eastAsia="宋体" w:hint="default"/>
        </w:rPr>
        <w:t>6</w:t>
      </w:r>
      <w:r>
        <w:rPr/>
        <w:t>月</w:t>
      </w:r>
      <w:r>
        <w:rPr>
          <w:rFonts w:ascii="宋体" w:hAnsi="宋体" w:cs="宋体" w:eastAsia="宋体" w:hint="default"/>
        </w:rPr>
        <w:t>2</w:t>
      </w:r>
      <w:r>
        <w:rPr/>
        <w:t>日，注册资本：</w:t>
      </w:r>
      <w:r>
        <w:rPr>
          <w:rFonts w:ascii="宋体" w:hAnsi="宋体" w:cs="宋体" w:eastAsia="宋体" w:hint="default"/>
        </w:rPr>
        <w:t>1052.6316</w:t>
      </w:r>
      <w:r>
        <w:rPr/>
        <w:t>万元，经营范围是：主要从事金融</w:t>
      </w:r>
      <w:r>
        <w:rPr>
          <w:rFonts w:ascii="宋体" w:hAnsi="宋体" w:cs="宋体" w:eastAsia="宋体" w:hint="default"/>
        </w:rPr>
        <w:t>POS</w:t>
      </w:r>
      <w:r>
        <w:rPr/>
        <w:t>机、多媒体自助终端等 电子支付受理设备软硬件及其配套设备的技术开发、销售。</w:t>
      </w:r>
    </w:p>
    <w:p>
      <w:pPr>
        <w:pStyle w:val="BodyText"/>
        <w:spacing w:line="240" w:lineRule="auto" w:before="54"/>
        <w:ind w:left="573" w:right="0"/>
        <w:jc w:val="left"/>
      </w:pPr>
      <w:r>
        <w:rPr>
          <w:rFonts w:ascii="宋体" w:hAnsi="宋体" w:cs="宋体" w:eastAsia="宋体" w:hint="default"/>
        </w:rPr>
        <w:t>2012</w:t>
      </w:r>
      <w:r>
        <w:rPr>
          <w:rFonts w:ascii="宋体" w:hAnsi="宋体" w:cs="宋体" w:eastAsia="宋体" w:hint="default"/>
          <w:spacing w:val="-57"/>
        </w:rPr>
        <w:t> </w:t>
      </w:r>
      <w:r>
        <w:rPr/>
        <w:t>年</w:t>
      </w:r>
      <w:r>
        <w:rPr>
          <w:rFonts w:ascii="宋体" w:hAnsi="宋体" w:cs="宋体" w:eastAsia="宋体" w:hint="default"/>
        </w:rPr>
        <w:t>10</w:t>
      </w:r>
      <w:r>
        <w:rPr/>
        <w:t>月</w:t>
      </w:r>
      <w:r>
        <w:rPr>
          <w:rFonts w:ascii="宋体" w:hAnsi="宋体" w:cs="宋体" w:eastAsia="宋体" w:hint="default"/>
        </w:rPr>
        <w:t>24</w:t>
      </w:r>
      <w:r>
        <w:rPr/>
        <w:t>日，公司在巨潮资讯网发布了《深圳市新国都技术股份有限公司关于拟收购深圳市瑞柏泰电子有限公司</w:t>
      </w:r>
    </w:p>
    <w:p>
      <w:pPr>
        <w:spacing w:line="240" w:lineRule="auto" w:before="10"/>
        <w:rPr>
          <w:rFonts w:ascii="宋体" w:hAnsi="宋体" w:cs="宋体" w:eastAsia="宋体" w:hint="default"/>
          <w:sz w:val="17"/>
          <w:szCs w:val="17"/>
        </w:rPr>
      </w:pPr>
    </w:p>
    <w:p>
      <w:pPr>
        <w:pStyle w:val="BodyText"/>
        <w:spacing w:line="477" w:lineRule="auto" w:before="0"/>
        <w:ind w:right="159"/>
        <w:jc w:val="both"/>
      </w:pPr>
      <w:r>
        <w:rPr>
          <w:rFonts w:ascii="宋体" w:hAnsi="宋体" w:cs="宋体" w:eastAsia="宋体" w:hint="default"/>
        </w:rPr>
        <w:t>20%</w:t>
      </w:r>
      <w:r>
        <w:rPr/>
        <w:t>股权的公告》，就公司与蔡敏女士之间开展的股权合作事项进行了公告。</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10</w:t>
      </w:r>
      <w:r>
        <w:rPr/>
        <w:t>日，公司召开第二届董事会第十 次会议，审议通过《审议收购深圳市瑞柏泰电子有限公司</w:t>
      </w:r>
      <w:r>
        <w:rPr>
          <w:rFonts w:ascii="宋体" w:hAnsi="宋体" w:cs="宋体" w:eastAsia="宋体" w:hint="default"/>
        </w:rPr>
        <w:t>20%</w:t>
      </w:r>
      <w:r>
        <w:rPr/>
        <w:t>股权的议案》。</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26</w:t>
      </w:r>
      <w:r>
        <w:rPr/>
        <w:t>日，公司与蔡敏女士正式签署了</w:t>
      </w:r>
    </w:p>
    <w:p>
      <w:pPr>
        <w:pStyle w:val="BodyText"/>
        <w:spacing w:line="477" w:lineRule="auto" w:before="54"/>
        <w:ind w:right="151"/>
        <w:jc w:val="both"/>
      </w:pPr>
      <w:r>
        <w:rPr/>
        <w:t>《关于受让深圳市瑞柏泰电子有限公司</w:t>
      </w:r>
      <w:r>
        <w:rPr>
          <w:rFonts w:ascii="宋体" w:hAnsi="宋体" w:cs="宋体" w:eastAsia="宋体" w:hint="default"/>
        </w:rPr>
        <w:t>20%</w:t>
      </w:r>
      <w:r>
        <w:rPr/>
        <w:t>股权的股权受让合同》，该合同于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26</w:t>
      </w:r>
      <w:r>
        <w:rPr/>
        <w:t>日经深圳市联合产权交易所编号 </w:t>
      </w:r>
      <w:r>
        <w:rPr>
          <w:rFonts w:ascii="宋体" w:hAnsi="宋体" w:cs="宋体" w:eastAsia="宋体" w:hint="default"/>
          <w:spacing w:val="-2"/>
        </w:rPr>
        <w:t>JZ20121226077</w:t>
      </w:r>
      <w:r>
        <w:rPr>
          <w:spacing w:val="-2"/>
        </w:rPr>
        <w:t>号的《股权转让见证书》见证。根据该合同约定，蔡敏女士以</w:t>
      </w:r>
      <w:r>
        <w:rPr>
          <w:rFonts w:ascii="宋体" w:hAnsi="宋体" w:cs="宋体" w:eastAsia="宋体" w:hint="default"/>
          <w:spacing w:val="-2"/>
        </w:rPr>
        <w:t>2000</w:t>
      </w:r>
      <w:r>
        <w:rPr>
          <w:spacing w:val="-2"/>
        </w:rPr>
        <w:t>万元的价格，将所持瑞柏泰</w:t>
      </w:r>
      <w:r>
        <w:rPr>
          <w:rFonts w:ascii="宋体" w:hAnsi="宋体" w:cs="宋体" w:eastAsia="宋体" w:hint="default"/>
          <w:spacing w:val="-2"/>
        </w:rPr>
        <w:t>20%</w:t>
      </w:r>
      <w:r>
        <w:rPr>
          <w:spacing w:val="-2"/>
        </w:rPr>
        <w:t>股权转让给</w:t>
      </w:r>
      <w:r>
        <w:rPr>
          <w:spacing w:val="-53"/>
        </w:rPr>
        <w:t> </w:t>
      </w:r>
      <w:r>
        <w:rPr>
          <w:spacing w:val="-53"/>
        </w:rPr>
      </w:r>
      <w:r>
        <w:rPr/>
        <w:t>新国都，新国都以超募资金支付。</w:t>
      </w:r>
    </w:p>
    <w:p>
      <w:pPr>
        <w:pStyle w:val="BodyText"/>
        <w:spacing w:line="477" w:lineRule="auto" w:before="54"/>
        <w:ind w:right="151"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日，瑞柏泰完成工商登记变更手续。变更后，瑞柏泰的股东为蔡敏女士和新国都股份，其中蔡敏女士持股</w:t>
      </w:r>
      <w:r>
        <w:rPr/>
        <w:t> 占比</w:t>
      </w:r>
      <w:r>
        <w:rPr>
          <w:rFonts w:ascii="宋体" w:hAnsi="宋体" w:cs="宋体" w:eastAsia="宋体" w:hint="default"/>
        </w:rPr>
        <w:t>80%</w:t>
      </w:r>
      <w:r>
        <w:rPr/>
        <w:t>，新国都股份持股占比</w:t>
      </w:r>
      <w:r>
        <w:rPr>
          <w:rFonts w:ascii="宋体" w:hAnsi="宋体" w:cs="宋体" w:eastAsia="宋体" w:hint="default"/>
        </w:rPr>
        <w:t>20%</w:t>
      </w:r>
      <w:r>
        <w:rPr/>
        <w:t>。</w:t>
      </w:r>
    </w:p>
    <w:p>
      <w:pPr>
        <w:pStyle w:val="BodyText"/>
        <w:spacing w:line="477" w:lineRule="auto" w:before="54"/>
        <w:ind w:right="151" w:firstLine="420"/>
        <w:jc w:val="both"/>
      </w:pPr>
      <w:r>
        <w:rPr/>
        <w:t>瑞柏泰主要从事基于电子支付受理终端设备的项目集成开发与销售，其在保险、交通行业拥有一定的客户资源积累， </w:t>
      </w:r>
      <w:r>
        <w:rPr>
          <w:spacing w:val="-2"/>
        </w:rPr>
        <w:t>且在银联体系、商业银行电子支付创新性业务方面拥有成功项目。公司通过股权受让的方式，参股瑞柏泰公司，主要目的是</w:t>
      </w:r>
      <w:r>
        <w:rPr>
          <w:spacing w:val="-64"/>
        </w:rPr>
        <w:t> </w:t>
      </w:r>
      <w:r>
        <w:rPr>
          <w:spacing w:val="-64"/>
        </w:rPr>
      </w:r>
      <w:r>
        <w:rPr/>
        <w:t>通过整合双方在研发、市场、产品、供应链以及企业管理等方面的优势，实现双方电子支付技术服务业务的进一步发展。</w:t>
      </w:r>
    </w:p>
    <w:p>
      <w:pPr>
        <w:spacing w:line="240" w:lineRule="auto" w:before="11"/>
        <w:rPr>
          <w:rFonts w:ascii="宋体" w:hAnsi="宋体" w:cs="宋体" w:eastAsia="宋体" w:hint="default"/>
          <w:sz w:val="25"/>
          <w:szCs w:val="25"/>
        </w:rPr>
      </w:pPr>
    </w:p>
    <w:p>
      <w:pPr>
        <w:pStyle w:val="Heading7"/>
        <w:spacing w:line="240" w:lineRule="auto"/>
        <w:ind w:right="0"/>
        <w:jc w:val="both"/>
        <w:rPr>
          <w:b w:val="0"/>
          <w:bCs w:val="0"/>
        </w:rPr>
      </w:pPr>
      <w:r>
        <w:rPr/>
        <w:t>（</w:t>
      </w:r>
      <w:r>
        <w:rPr>
          <w:rFonts w:ascii="宋体" w:hAnsi="宋体" w:cs="宋体" w:eastAsia="宋体" w:hint="default"/>
        </w:rPr>
        <w:t>7</w:t>
      </w:r>
      <w:r>
        <w:rPr/>
        <w:t>）</w:t>
      </w:r>
      <w:r>
        <w:rPr>
          <w:rFonts w:ascii="宋体" w:hAnsi="宋体" w:cs="宋体" w:eastAsia="宋体" w:hint="default"/>
        </w:rPr>
        <w:t>Exadigm,Inc.</w:t>
      </w:r>
      <w:r>
        <w:rPr/>
        <w:t>（以下简称“Exadigm”）</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150" w:firstLine="420"/>
        <w:jc w:val="both"/>
      </w:pPr>
      <w:r>
        <w:rPr>
          <w:rFonts w:ascii="宋体" w:hAnsi="宋体" w:cs="宋体" w:eastAsia="宋体" w:hint="default"/>
        </w:rPr>
        <w:t>Exadigm,</w:t>
      </w:r>
      <w:r>
        <w:rPr>
          <w:rFonts w:ascii="宋体" w:hAnsi="宋体" w:cs="宋体" w:eastAsia="宋体" w:hint="default"/>
          <w:spacing w:val="-6"/>
        </w:rPr>
        <w:t> </w:t>
      </w:r>
      <w:r>
        <w:rPr>
          <w:rFonts w:ascii="宋体" w:hAnsi="宋体" w:cs="宋体" w:eastAsia="宋体" w:hint="default"/>
        </w:rPr>
        <w:t>Inc.</w:t>
      </w:r>
      <w:r>
        <w:rPr/>
        <w:t>于</w:t>
      </w:r>
      <w:r>
        <w:rPr>
          <w:rFonts w:ascii="宋体" w:hAnsi="宋体" w:cs="宋体" w:eastAsia="宋体" w:hint="default"/>
        </w:rPr>
        <w:t>2000</w:t>
      </w:r>
      <w:r>
        <w:rPr/>
        <w:t>年</w:t>
      </w:r>
      <w:r>
        <w:rPr>
          <w:rFonts w:ascii="宋体" w:hAnsi="宋体" w:cs="宋体" w:eastAsia="宋体" w:hint="default"/>
        </w:rPr>
        <w:t>8</w:t>
      </w:r>
      <w:r>
        <w:rPr/>
        <w:t>月在加利福尼亚州注册成立，总部设于加利福尼亚州圣安娜市，主要在美国市场从事电子支 付技术整体解决方案的设计、开发和营销。</w:t>
      </w:r>
      <w:r>
        <w:rPr>
          <w:rFonts w:ascii="宋体" w:hAnsi="宋体" w:cs="宋体" w:eastAsia="宋体" w:hint="default"/>
        </w:rPr>
        <w:t>2007</w:t>
      </w:r>
      <w:r>
        <w:rPr/>
        <w:t>年</w:t>
      </w:r>
      <w:r>
        <w:rPr>
          <w:rFonts w:ascii="宋体" w:hAnsi="宋体" w:cs="宋体" w:eastAsia="宋体" w:hint="default"/>
        </w:rPr>
        <w:t>6</w:t>
      </w:r>
      <w:r>
        <w:rPr/>
        <w:t>月，该公司修改并重订了公司章程，成为一家特拉华州公司。</w:t>
      </w:r>
      <w:r>
        <w:rPr>
          <w:rFonts w:ascii="宋体" w:hAnsi="宋体" w:cs="宋体" w:eastAsia="宋体" w:hint="default"/>
        </w:rPr>
        <w:t>ExaDigm </w:t>
      </w:r>
      <w:r>
        <w:rPr/>
        <w:t>作为一家电子支付技术整体解决方案提供商，自创立以来，</w:t>
      </w:r>
      <w:r>
        <w:rPr>
          <w:rFonts w:ascii="宋体" w:hAnsi="宋体" w:cs="宋体" w:eastAsia="宋体" w:hint="default"/>
        </w:rPr>
        <w:t>ExaDigm</w:t>
      </w:r>
      <w:r>
        <w:rPr/>
        <w:t>的服务客户已经涵盖了金融、零售、餐饮服务、交通及 </w:t>
      </w:r>
      <w:r>
        <w:rPr>
          <w:spacing w:val="-2"/>
        </w:rPr>
        <w:t>政府采购，且提供了完整的“终端对终端”解决方案，包括移动电子付款解决方案、蜂窝连接解决方案、蜂窝无线数据解决</w:t>
      </w:r>
      <w:r>
        <w:rPr>
          <w:spacing w:val="-65"/>
        </w:rPr>
        <w:t> </w:t>
      </w:r>
      <w:r>
        <w:rPr>
          <w:spacing w:val="-65"/>
        </w:rPr>
      </w:r>
      <w:r>
        <w:rPr/>
        <w:t>方案等。</w:t>
      </w:r>
    </w:p>
    <w:p>
      <w:pPr>
        <w:pStyle w:val="BodyText"/>
        <w:spacing w:line="240" w:lineRule="auto" w:before="54"/>
        <w:ind w:left="573" w:right="141"/>
        <w:jc w:val="left"/>
      </w:pP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10</w:t>
      </w:r>
      <w:r>
        <w:rPr/>
        <w:t>日，公司第二届董事会第八次会议审议通过了《关于审议使用自有资金投资美国</w:t>
      </w:r>
      <w:r>
        <w:rPr>
          <w:rFonts w:ascii="宋体" w:hAnsi="宋体" w:cs="宋体" w:eastAsia="宋体" w:hint="default"/>
        </w:rPr>
        <w:t>Exadigm,Inc</w:t>
      </w:r>
      <w:r>
        <w:rPr/>
        <w:t>的议案》，</w:t>
      </w:r>
    </w:p>
    <w:p>
      <w:pPr>
        <w:spacing w:line="240" w:lineRule="auto" w:before="10"/>
        <w:rPr>
          <w:rFonts w:ascii="宋体" w:hAnsi="宋体" w:cs="宋体" w:eastAsia="宋体" w:hint="default"/>
          <w:sz w:val="17"/>
          <w:szCs w:val="17"/>
        </w:rPr>
      </w:pPr>
    </w:p>
    <w:p>
      <w:pPr>
        <w:pStyle w:val="BodyText"/>
        <w:spacing w:line="240" w:lineRule="auto" w:before="0"/>
        <w:ind w:right="0"/>
        <w:jc w:val="both"/>
      </w:pP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24</w:t>
      </w:r>
      <w:r>
        <w:rPr/>
        <w:t>日，公司与</w:t>
      </w:r>
      <w:r>
        <w:rPr>
          <w:rFonts w:ascii="宋体" w:hAnsi="宋体" w:cs="宋体" w:eastAsia="宋体" w:hint="default"/>
        </w:rPr>
        <w:t>ExaDigm</w:t>
      </w:r>
      <w:r>
        <w:rPr/>
        <w:t>的相关股东签署了《</w:t>
      </w:r>
      <w:r>
        <w:rPr>
          <w:rFonts w:ascii="宋体" w:hAnsi="宋体" w:cs="宋体" w:eastAsia="宋体" w:hint="default"/>
        </w:rPr>
        <w:t>WARRANT</w:t>
      </w:r>
      <w:r>
        <w:rPr>
          <w:rFonts w:ascii="宋体" w:hAnsi="宋体" w:cs="宋体" w:eastAsia="宋体" w:hint="default"/>
          <w:spacing w:val="-42"/>
        </w:rPr>
        <w:t> </w:t>
      </w:r>
      <w:r>
        <w:rPr>
          <w:rFonts w:ascii="宋体" w:hAnsi="宋体" w:cs="宋体" w:eastAsia="宋体" w:hint="default"/>
        </w:rPr>
        <w:t>TO</w:t>
      </w:r>
      <w:r>
        <w:rPr>
          <w:rFonts w:ascii="宋体" w:hAnsi="宋体" w:cs="宋体" w:eastAsia="宋体" w:hint="default"/>
          <w:spacing w:val="-42"/>
        </w:rPr>
        <w:t> </w:t>
      </w:r>
      <w:r>
        <w:rPr>
          <w:rFonts w:ascii="宋体" w:hAnsi="宋体" w:cs="宋体" w:eastAsia="宋体" w:hint="default"/>
        </w:rPr>
        <w:t>PURCHASE</w:t>
      </w:r>
      <w:r>
        <w:rPr>
          <w:rFonts w:ascii="宋体" w:hAnsi="宋体" w:cs="宋体" w:eastAsia="宋体" w:hint="default"/>
          <w:spacing w:val="-42"/>
        </w:rPr>
        <w:t> </w:t>
      </w:r>
      <w:r>
        <w:rPr>
          <w:rFonts w:ascii="宋体" w:hAnsi="宋体" w:cs="宋体" w:eastAsia="宋体" w:hint="default"/>
        </w:rPr>
        <w:t>SERIES</w:t>
      </w:r>
      <w:r>
        <w:rPr>
          <w:rFonts w:ascii="宋体" w:hAnsi="宋体" w:cs="宋体" w:eastAsia="宋体" w:hint="default"/>
          <w:spacing w:val="-42"/>
        </w:rPr>
        <w:t> </w:t>
      </w:r>
      <w:r>
        <w:rPr>
          <w:rFonts w:ascii="宋体" w:hAnsi="宋体" w:cs="宋体" w:eastAsia="宋体" w:hint="default"/>
        </w:rPr>
        <w:t>B-1</w:t>
      </w:r>
      <w:r>
        <w:rPr>
          <w:rFonts w:ascii="宋体" w:hAnsi="宋体" w:cs="宋体" w:eastAsia="宋体" w:hint="default"/>
          <w:spacing w:val="-40"/>
        </w:rPr>
        <w:t> </w:t>
      </w:r>
      <w:r>
        <w:rPr>
          <w:rFonts w:ascii="宋体" w:hAnsi="宋体" w:cs="宋体" w:eastAsia="宋体" w:hint="default"/>
        </w:rPr>
        <w:t>CONVERTIBLE</w:t>
      </w:r>
      <w:r>
        <w:rPr>
          <w:rFonts w:ascii="宋体" w:hAnsi="宋体" w:cs="宋体" w:eastAsia="宋体" w:hint="default"/>
          <w:spacing w:val="-42"/>
        </w:rPr>
        <w:t> </w:t>
      </w:r>
      <w:r>
        <w:rPr>
          <w:rFonts w:ascii="宋体" w:hAnsi="宋体" w:cs="宋体" w:eastAsia="宋体" w:hint="default"/>
        </w:rPr>
        <w:t>PREFERRED</w:t>
      </w:r>
      <w:r>
        <w:rPr>
          <w:rFonts w:ascii="宋体" w:hAnsi="宋体" w:cs="宋体" w:eastAsia="宋体" w:hint="default"/>
          <w:spacing w:val="-40"/>
        </w:rPr>
        <w:t> </w:t>
      </w:r>
      <w:r>
        <w:rPr>
          <w:rFonts w:ascii="宋体" w:hAnsi="宋体" w:cs="宋体" w:eastAsia="宋体" w:hint="default"/>
        </w:rPr>
        <w:t>STOCK</w:t>
      </w:r>
      <w:r>
        <w:rPr/>
        <w:t>》（中</w:t>
      </w:r>
    </w:p>
    <w:p>
      <w:pPr>
        <w:spacing w:after="0" w:line="24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00"/>
        <w:jc w:val="left"/>
      </w:pPr>
      <w:r>
        <w:rPr>
          <w:spacing w:val="-4"/>
        </w:rPr>
        <w:t>文参考翻译《购买</w:t>
      </w:r>
      <w:r>
        <w:rPr>
          <w:rFonts w:ascii="宋体" w:hAnsi="宋体" w:cs="宋体" w:eastAsia="宋体" w:hint="default"/>
          <w:spacing w:val="-4"/>
        </w:rPr>
        <w:t>B-1</w:t>
      </w:r>
      <w:r>
        <w:rPr>
          <w:spacing w:val="-4"/>
        </w:rPr>
        <w:t>系列可转换优先股的认股权证》）、《</w:t>
      </w:r>
      <w:r>
        <w:rPr>
          <w:rFonts w:ascii="宋体" w:hAnsi="宋体" w:cs="宋体" w:eastAsia="宋体" w:hint="default"/>
          <w:spacing w:val="-4"/>
        </w:rPr>
        <w:t>SERIES</w:t>
      </w:r>
      <w:r>
        <w:rPr>
          <w:rFonts w:ascii="宋体" w:hAnsi="宋体" w:cs="宋体" w:eastAsia="宋体" w:hint="default"/>
          <w:spacing w:val="-48"/>
        </w:rPr>
        <w:t> </w:t>
      </w:r>
      <w:r>
        <w:rPr>
          <w:rFonts w:ascii="宋体" w:hAnsi="宋体" w:cs="宋体" w:eastAsia="宋体" w:hint="default"/>
        </w:rPr>
        <w:t>B-1</w:t>
      </w:r>
      <w:r>
        <w:rPr>
          <w:rFonts w:ascii="宋体" w:hAnsi="宋体" w:cs="宋体" w:eastAsia="宋体" w:hint="default"/>
          <w:spacing w:val="-46"/>
        </w:rPr>
        <w:t> </w:t>
      </w:r>
      <w:r>
        <w:rPr>
          <w:rFonts w:ascii="宋体" w:hAnsi="宋体" w:cs="宋体" w:eastAsia="宋体" w:hint="default"/>
        </w:rPr>
        <w:t>CONVERTIBLE</w:t>
      </w:r>
      <w:r>
        <w:rPr>
          <w:rFonts w:ascii="宋体" w:hAnsi="宋体" w:cs="宋体" w:eastAsia="宋体" w:hint="default"/>
          <w:spacing w:val="-48"/>
        </w:rPr>
        <w:t> </w:t>
      </w:r>
      <w:r>
        <w:rPr>
          <w:rFonts w:ascii="宋体" w:hAnsi="宋体" w:cs="宋体" w:eastAsia="宋体" w:hint="default"/>
        </w:rPr>
        <w:t>PREFERRED</w:t>
      </w:r>
      <w:r>
        <w:rPr>
          <w:rFonts w:ascii="宋体" w:hAnsi="宋体" w:cs="宋体" w:eastAsia="宋体" w:hint="default"/>
          <w:spacing w:val="-48"/>
        </w:rPr>
        <w:t> </w:t>
      </w:r>
      <w:r>
        <w:rPr>
          <w:rFonts w:ascii="宋体" w:hAnsi="宋体" w:cs="宋体" w:eastAsia="宋体" w:hint="default"/>
        </w:rPr>
        <w:t>STOCK</w:t>
      </w:r>
      <w:r>
        <w:rPr>
          <w:rFonts w:ascii="宋体" w:hAnsi="宋体" w:cs="宋体" w:eastAsia="宋体" w:hint="default"/>
          <w:spacing w:val="-46"/>
        </w:rPr>
        <w:t> </w:t>
      </w:r>
      <w:r>
        <w:rPr>
          <w:rFonts w:ascii="宋体" w:hAnsi="宋体" w:cs="宋体" w:eastAsia="宋体" w:hint="default"/>
        </w:rPr>
        <w:t>AND</w:t>
      </w:r>
      <w:r>
        <w:rPr>
          <w:rFonts w:ascii="宋体" w:hAnsi="宋体" w:cs="宋体" w:eastAsia="宋体" w:hint="default"/>
          <w:spacing w:val="-48"/>
        </w:rPr>
        <w:t> </w:t>
      </w:r>
      <w:r>
        <w:rPr>
          <w:rFonts w:ascii="宋体" w:hAnsi="宋体" w:cs="宋体" w:eastAsia="宋体" w:hint="default"/>
        </w:rPr>
        <w:t>WARRANT</w:t>
      </w:r>
      <w:r>
        <w:rPr>
          <w:rFonts w:ascii="宋体" w:hAnsi="宋体" w:cs="宋体" w:eastAsia="宋体" w:hint="default"/>
          <w:spacing w:val="-48"/>
        </w:rPr>
        <w:t> </w:t>
      </w:r>
      <w:r>
        <w:rPr>
          <w:rFonts w:ascii="宋体" w:hAnsi="宋体" w:cs="宋体" w:eastAsia="宋体" w:hint="default"/>
        </w:rPr>
        <w:t>PURCHASE</w:t>
      </w:r>
      <w:r>
        <w:rPr>
          <w:rFonts w:ascii="宋体" w:hAnsi="宋体" w:cs="宋体" w:eastAsia="宋体" w:hint="default"/>
        </w:rPr>
        <w:t> </w:t>
      </w:r>
      <w:r>
        <w:rPr>
          <w:rFonts w:ascii="宋体" w:hAnsi="宋体" w:cs="宋体" w:eastAsia="宋体" w:hint="default"/>
          <w:spacing w:val="-13"/>
        </w:rPr>
        <w:t>AGREEMENT</w:t>
      </w:r>
      <w:r>
        <w:rPr>
          <w:spacing w:val="-13"/>
        </w:rPr>
        <w:t>》（中文参考翻译《</w:t>
      </w:r>
      <w:r>
        <w:rPr>
          <w:rFonts w:ascii="宋体" w:hAnsi="宋体" w:cs="宋体" w:eastAsia="宋体" w:hint="default"/>
          <w:spacing w:val="-13"/>
        </w:rPr>
        <w:t>B-1</w:t>
      </w:r>
      <w:r>
        <w:rPr>
          <w:spacing w:val="-13"/>
        </w:rPr>
        <w:t>系列可转换优先股及认股权证购买协议》）、《</w:t>
      </w:r>
      <w:r>
        <w:rPr>
          <w:rFonts w:ascii="宋体" w:hAnsi="宋体" w:cs="宋体" w:eastAsia="宋体" w:hint="default"/>
          <w:spacing w:val="-13"/>
        </w:rPr>
        <w:t>AMENDED</w:t>
      </w:r>
      <w:r>
        <w:rPr>
          <w:rFonts w:ascii="宋体" w:hAnsi="宋体" w:cs="宋体" w:eastAsia="宋体" w:hint="default"/>
          <w:spacing w:val="-37"/>
        </w:rPr>
        <w:t> </w:t>
      </w:r>
      <w:r>
        <w:rPr>
          <w:rFonts w:ascii="宋体" w:hAnsi="宋体" w:cs="宋体" w:eastAsia="宋体" w:hint="default"/>
          <w:spacing w:val="-1"/>
        </w:rPr>
        <w:t>AND</w:t>
      </w:r>
      <w:r>
        <w:rPr>
          <w:rFonts w:ascii="宋体" w:hAnsi="宋体" w:cs="宋体" w:eastAsia="宋体" w:hint="default"/>
          <w:spacing w:val="-40"/>
        </w:rPr>
        <w:t> </w:t>
      </w:r>
      <w:r>
        <w:rPr>
          <w:rFonts w:ascii="宋体" w:hAnsi="宋体" w:cs="宋体" w:eastAsia="宋体" w:hint="default"/>
          <w:spacing w:val="-1"/>
        </w:rPr>
        <w:t>RESTATED</w:t>
      </w:r>
      <w:r>
        <w:rPr>
          <w:rFonts w:ascii="宋体" w:hAnsi="宋体" w:cs="宋体" w:eastAsia="宋体" w:hint="default"/>
          <w:spacing w:val="-37"/>
        </w:rPr>
        <w:t> </w:t>
      </w:r>
      <w:r>
        <w:rPr>
          <w:rFonts w:ascii="宋体" w:hAnsi="宋体" w:cs="宋体" w:eastAsia="宋体" w:hint="default"/>
          <w:spacing w:val="-1"/>
        </w:rPr>
        <w:t>STOCKHOLDERS</w:t>
      </w:r>
      <w:r>
        <w:rPr>
          <w:rFonts w:ascii="宋体" w:hAnsi="宋体" w:cs="宋体" w:eastAsia="宋体" w:hint="default"/>
          <w:spacing w:val="-40"/>
        </w:rPr>
        <w:t> </w:t>
      </w:r>
      <w:r>
        <w:rPr>
          <w:rFonts w:ascii="宋体" w:hAnsi="宋体" w:cs="宋体" w:eastAsia="宋体" w:hint="default"/>
          <w:spacing w:val="-1"/>
        </w:rPr>
        <w:t>AGREEMENT</w:t>
      </w:r>
      <w:r>
        <w:rPr>
          <w:spacing w:val="-1"/>
        </w:rPr>
        <w:t>》</w:t>
      </w:r>
    </w:p>
    <w:p>
      <w:pPr>
        <w:pStyle w:val="BodyText"/>
        <w:spacing w:line="477" w:lineRule="auto" w:before="54"/>
        <w:ind w:right="191"/>
        <w:jc w:val="left"/>
      </w:pPr>
      <w:r>
        <w:rPr>
          <w:spacing w:val="-2"/>
        </w:rPr>
        <w:t>（中文参考翻译《经修订及经重述股东协议》）。并于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w:t>
      </w:r>
      <w:r>
        <w:rPr>
          <w:spacing w:val="-2"/>
        </w:rPr>
        <w:t>日办理了首笔</w:t>
      </w:r>
      <w:r>
        <w:rPr>
          <w:rFonts w:ascii="宋体" w:hAnsi="宋体" w:cs="宋体" w:eastAsia="宋体" w:hint="default"/>
          <w:spacing w:val="-2"/>
        </w:rPr>
        <w:t>50</w:t>
      </w:r>
      <w:r>
        <w:rPr>
          <w:spacing w:val="-2"/>
        </w:rPr>
        <w:t>万美元的现金投资付款手续，认购其对</w:t>
      </w:r>
      <w:r>
        <w:rPr>
          <w:spacing w:val="-59"/>
        </w:rPr>
        <w:t> </w:t>
      </w:r>
      <w:r>
        <w:rPr>
          <w:spacing w:val="-59"/>
        </w:rPr>
      </w:r>
      <w:r>
        <w:rPr/>
        <w:t>新国都第一次发行的</w:t>
      </w:r>
      <w:r>
        <w:rPr>
          <w:rFonts w:ascii="宋体" w:hAnsi="宋体" w:cs="宋体" w:eastAsia="宋体" w:hint="default"/>
        </w:rPr>
        <w:t>1,684,754</w:t>
      </w:r>
      <w:r>
        <w:rPr/>
        <w:t>股</w:t>
      </w:r>
      <w:r>
        <w:rPr>
          <w:rFonts w:ascii="宋体" w:hAnsi="宋体" w:cs="宋体" w:eastAsia="宋体" w:hint="default"/>
        </w:rPr>
        <w:t>B-1</w:t>
      </w:r>
      <w:r>
        <w:rPr/>
        <w:t>系列优先股，认购完成后，新国都现已持有已发行股份的</w:t>
      </w:r>
      <w:r>
        <w:rPr>
          <w:rFonts w:ascii="宋体" w:hAnsi="宋体" w:cs="宋体" w:eastAsia="宋体" w:hint="default"/>
        </w:rPr>
        <w:t>5.27%</w:t>
      </w:r>
      <w:r>
        <w:rPr/>
        <w:t>。</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宋体" w:hAnsi="宋体" w:cs="宋体" w:eastAsia="宋体" w:hint="default"/>
        </w:rPr>
        <w:t>7</w:t>
      </w:r>
      <w:r>
        <w:rPr/>
        <w:t>、公司控制的特殊目的主体情况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0"/>
        <w:jc w:val="left"/>
      </w:pPr>
      <w:r>
        <w:rPr/>
        <w:t>报告期内，公司不存在控制的特殊目的主体情况。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4"/>
        <w:spacing w:line="240" w:lineRule="auto"/>
        <w:ind w:right="0"/>
        <w:jc w:val="left"/>
        <w:rPr>
          <w:b w:val="0"/>
          <w:bCs w:val="0"/>
        </w:rPr>
      </w:pPr>
      <w:r>
        <w:rPr/>
        <w:t>三、公司未来发展的展望</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65"/>
        <w:ind w:right="0"/>
        <w:jc w:val="left"/>
        <w:rPr>
          <w:b w:val="0"/>
          <w:bCs w:val="0"/>
        </w:rPr>
      </w:pPr>
      <w:r>
        <w:rPr>
          <w:rFonts w:ascii="宋体" w:hAnsi="宋体" w:cs="宋体" w:eastAsia="宋体" w:hint="default"/>
        </w:rPr>
        <w:t>1</w:t>
      </w:r>
      <w:r>
        <w:rPr/>
        <w:t>、公司所处行业宏观发展趋势及市场竞争格局</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ind w:right="0"/>
        <w:jc w:val="left"/>
        <w:rPr>
          <w:b w:val="0"/>
          <w:bCs w:val="0"/>
        </w:rPr>
      </w:pPr>
      <w:r>
        <w:rPr/>
        <w:t>（</w:t>
      </w:r>
      <w:r>
        <w:rPr>
          <w:rFonts w:ascii="宋体" w:hAnsi="宋体" w:cs="宋体" w:eastAsia="宋体" w:hint="default"/>
        </w:rPr>
        <w:t>1</w:t>
      </w:r>
      <w:r>
        <w:rPr/>
        <w:t>）公司所处行业的宏观发展趋势</w:t>
      </w:r>
      <w:r>
        <w:rPr>
          <w:b w:val="0"/>
          <w:bCs w:val="0"/>
        </w:rPr>
      </w:r>
    </w:p>
    <w:p>
      <w:pPr>
        <w:spacing w:line="240" w:lineRule="auto" w:before="6"/>
        <w:rPr>
          <w:rFonts w:ascii="宋体" w:hAnsi="宋体" w:cs="宋体" w:eastAsia="宋体" w:hint="default"/>
          <w:b/>
          <w:bCs/>
          <w:sz w:val="28"/>
          <w:szCs w:val="28"/>
        </w:rPr>
      </w:pPr>
    </w:p>
    <w:p>
      <w:pPr>
        <w:pStyle w:val="BodyText"/>
        <w:spacing w:line="477" w:lineRule="auto" w:before="0"/>
        <w:ind w:right="0" w:firstLine="360"/>
        <w:jc w:val="left"/>
      </w:pPr>
      <w:r>
        <w:rPr>
          <w:spacing w:val="-4"/>
        </w:rPr>
        <w:t>随着我国经济改革的不断深入，电子支付服务市场在空间上将进一步拓展，市场总量进一步扩张。同时，随着电子商务、</w:t>
      </w:r>
      <w:r>
        <w:rPr/>
        <w:t> 互联网的发展，电子支付方式和商业模式即将迎来史无前例的创新发展阶段，并将在行业和商户应用上不断推陈出新。</w:t>
      </w:r>
    </w:p>
    <w:p>
      <w:pPr>
        <w:spacing w:line="240" w:lineRule="auto" w:before="1"/>
        <w:rPr>
          <w:rFonts w:ascii="宋体" w:hAnsi="宋体" w:cs="宋体" w:eastAsia="宋体" w:hint="default"/>
          <w:sz w:val="16"/>
          <w:szCs w:val="16"/>
        </w:rPr>
      </w:pPr>
    </w:p>
    <w:p>
      <w:pPr>
        <w:pStyle w:val="BodyText"/>
        <w:spacing w:line="240" w:lineRule="auto" w:before="0"/>
        <w:ind w:left="513" w:right="0"/>
        <w:jc w:val="left"/>
      </w:pPr>
      <w:r>
        <w:rPr/>
        <w:t>在空间上，随着我国城乡经济和社会改革的不断深入，根据中国人民银行于</w:t>
      </w:r>
      <w:r>
        <w:rPr>
          <w:rFonts w:ascii="宋体" w:hAnsi="宋体" w:cs="宋体" w:eastAsia="宋体" w:hint="default"/>
        </w:rPr>
        <w:t>2012</w:t>
      </w:r>
      <w:r>
        <w:rPr/>
        <w:t>年</w:t>
      </w:r>
      <w:r>
        <w:rPr>
          <w:rFonts w:ascii="宋体" w:hAnsi="宋体" w:cs="宋体" w:eastAsia="宋体" w:hint="default"/>
        </w:rPr>
        <w:t>5</w:t>
      </w:r>
      <w:r>
        <w:rPr/>
        <w:t>月发布的《关于中国支付体系发展</w:t>
      </w:r>
    </w:p>
    <w:p>
      <w:pPr>
        <w:spacing w:line="240" w:lineRule="auto" w:before="10"/>
        <w:rPr>
          <w:rFonts w:ascii="宋体" w:hAnsi="宋体" w:cs="宋体" w:eastAsia="宋体" w:hint="default"/>
          <w:sz w:val="17"/>
          <w:szCs w:val="17"/>
        </w:rPr>
      </w:pPr>
    </w:p>
    <w:p>
      <w:pPr>
        <w:pStyle w:val="BodyText"/>
        <w:spacing w:line="477" w:lineRule="auto" w:before="0"/>
        <w:ind w:right="0"/>
        <w:jc w:val="left"/>
      </w:pP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-2015</w:t>
      </w:r>
      <w:r>
        <w:rPr>
          <w:spacing w:val="-2"/>
        </w:rPr>
        <w:t>年）的指导意见》显示，将促进电子支付在广大农村的使用，这必将大大拓展我国电子支付服务市场的空间，</w:t>
      </w:r>
      <w:r>
        <w:rPr>
          <w:spacing w:val="-59"/>
        </w:rPr>
        <w:t> </w:t>
      </w:r>
      <w:r>
        <w:rPr>
          <w:spacing w:val="-59"/>
        </w:rPr>
      </w:r>
      <w:r>
        <w:rPr>
          <w:spacing w:val="-2"/>
        </w:rPr>
        <w:t>进一步扩大行业市场总量。在行业和商户应用创新方面，电子商务、互联网的发展，将促使出现大量新型的电子支付服务模</w:t>
      </w:r>
      <w:r>
        <w:rPr>
          <w:spacing w:val="-64"/>
        </w:rPr>
        <w:t> </w:t>
      </w:r>
      <w:r>
        <w:rPr>
          <w:spacing w:val="-64"/>
        </w:rPr>
      </w:r>
      <w:r>
        <w:rPr>
          <w:spacing w:val="-2"/>
        </w:rPr>
        <w:t>式，从而推动设备供应商在产品和应用方面不断创新。尤其是在</w:t>
      </w:r>
      <w:r>
        <w:rPr>
          <w:rFonts w:ascii="宋体" w:hAnsi="宋体" w:cs="宋体" w:eastAsia="宋体" w:hint="default"/>
          <w:spacing w:val="-2"/>
        </w:rPr>
        <w:t>2012</w:t>
      </w:r>
      <w:r>
        <w:rPr>
          <w:spacing w:val="-2"/>
        </w:rPr>
        <w:t>年，市场见证了电子商务和互联网深刻的改变了传统商</w:t>
      </w:r>
      <w:r>
        <w:rPr>
          <w:spacing w:val="-61"/>
        </w:rPr>
        <w:t> </w:t>
      </w:r>
      <w:r>
        <w:rPr>
          <w:spacing w:val="-61"/>
        </w:rPr>
      </w:r>
      <w:r>
        <w:rPr>
          <w:spacing w:val="-2"/>
        </w:rPr>
        <w:t>贸模式，这对电子支付服务模式将产生巨大影响。与此同时，我国银行卡交易费率的下调，虽然短期内会直接影响收单服务</w:t>
      </w:r>
      <w:r>
        <w:rPr>
          <w:spacing w:val="-65"/>
        </w:rPr>
        <w:t> </w:t>
      </w:r>
      <w:r>
        <w:rPr>
          <w:spacing w:val="-65"/>
        </w:rPr>
      </w:r>
      <w:r>
        <w:rPr>
          <w:spacing w:val="-2"/>
        </w:rPr>
        <w:t>机构的盈利能力，并通过行业传导，间接影响电子支付受理设备供应商的利润，但从长远来看，银行卡交易费率的降低将有</w:t>
      </w:r>
      <w:r>
        <w:rPr>
          <w:spacing w:val="-65"/>
        </w:rPr>
        <w:t> </w:t>
      </w:r>
      <w:r>
        <w:rPr>
          <w:spacing w:val="-65"/>
        </w:rPr>
      </w:r>
      <w:r>
        <w:rPr/>
        <w:t>效提高商户使用电子支付受理设备的积极性，进而有效提升行业空间。</w:t>
      </w:r>
    </w:p>
    <w:p>
      <w:pPr>
        <w:spacing w:line="240" w:lineRule="auto" w:before="1"/>
        <w:rPr>
          <w:rFonts w:ascii="宋体" w:hAnsi="宋体" w:cs="宋体" w:eastAsia="宋体" w:hint="default"/>
          <w:sz w:val="16"/>
          <w:szCs w:val="16"/>
        </w:rPr>
      </w:pPr>
    </w:p>
    <w:p>
      <w:pPr>
        <w:pStyle w:val="BodyText"/>
        <w:spacing w:line="477" w:lineRule="auto" w:before="0"/>
        <w:ind w:right="94" w:firstLine="360"/>
        <w:jc w:val="left"/>
      </w:pPr>
      <w:r>
        <w:rPr>
          <w:spacing w:val="-2"/>
        </w:rPr>
        <w:t>电子商务、网络营销是当代信息社会中数据处理技术、电子技术及网络技术综合应用于商贸领域中的产物，是当代电子</w:t>
      </w:r>
      <w:r>
        <w:rPr/>
        <w:t> </w:t>
      </w:r>
      <w:r>
        <w:rPr>
          <w:spacing w:val="-2"/>
        </w:rPr>
        <w:t>信息手段与商贸实务和营销策略相互融合的结果。近两年来，随着互联网信息碎片化以及云计算技术的成熟，主动互联网营</w:t>
      </w:r>
      <w:r>
        <w:rPr>
          <w:spacing w:val="-62"/>
        </w:rPr>
        <w:t> </w:t>
      </w:r>
      <w:r>
        <w:rPr>
          <w:spacing w:val="-62"/>
        </w:rPr>
      </w:r>
      <w:r>
        <w:rPr/>
        <w:t>销模式出现，电子商务摆脱传统销售模式生搬上互联网的现状，以主动、互动、用户关怀等多角度与用户进行深层次沟通。 </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11</w:t>
      </w:r>
      <w:r>
        <w:rPr/>
        <w:t>日，淘宝网创造了单日交易金额人民币</w:t>
      </w:r>
      <w:r>
        <w:rPr>
          <w:rFonts w:ascii="宋体" w:hAnsi="宋体" w:cs="宋体" w:eastAsia="宋体" w:hint="default"/>
        </w:rPr>
        <w:t>191</w:t>
      </w:r>
      <w:r>
        <w:rPr/>
        <w:t>亿元的惊人业绩，人们看到电子信息和网络化环境改变了传统商贸 </w:t>
      </w:r>
      <w:r>
        <w:rPr>
          <w:spacing w:val="-2"/>
        </w:rPr>
        <w:t>业务及实务操作赖以生存的基础。移动互联网快速发展使得移动网络购物日益便捷，人们可以不受时间、空间的限制，不受</w:t>
      </w:r>
      <w:r>
        <w:rPr>
          <w:spacing w:val="-63"/>
        </w:rPr>
        <w:t> </w:t>
      </w:r>
      <w:r>
        <w:rPr>
          <w:spacing w:val="-63"/>
        </w:rPr>
      </w:r>
      <w:r>
        <w:rPr>
          <w:spacing w:val="-2"/>
        </w:rPr>
        <w:t>传统购物的诸多限制，随时随地在网上交易。此外，由于电子商务减少了商品流通的中间环节，节省了大量的开支，从而也</w:t>
      </w:r>
      <w:r>
        <w:rPr>
          <w:spacing w:val="-66"/>
        </w:rPr>
        <w:t> </w:t>
      </w:r>
      <w:r>
        <w:rPr>
          <w:spacing w:val="-66"/>
        </w:rPr>
      </w:r>
      <w:r>
        <w:rPr/>
        <w:t>大大降低了商品流通和交易的成本，比传统商贸模式在价格上更具竞争力。</w:t>
      </w:r>
    </w:p>
    <w:p>
      <w:pPr>
        <w:spacing w:after="0" w:line="477"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86" w:firstLine="420"/>
        <w:jc w:val="left"/>
      </w:pPr>
      <w:r>
        <w:rPr>
          <w:spacing w:val="-1"/>
        </w:rPr>
        <w:t>商贸模式的剧烈变化，深刻影响着人们的消费习惯，交易活动的核心环节“支付”也必将受到深刻的影响。我们认为，</w:t>
      </w:r>
      <w:r>
        <w:rPr/>
        <w:t> </w:t>
      </w:r>
      <w:r>
        <w:rPr>
          <w:spacing w:val="-2"/>
        </w:rPr>
        <w:t>电子支付服务必将随着电子商务和互联网的发展而发生崭新而深刻的变化，电子支付技术和产品、电子支付服务商业模式将</w:t>
      </w:r>
      <w:r>
        <w:rPr>
          <w:spacing w:val="-64"/>
        </w:rPr>
        <w:t> </w:t>
      </w:r>
      <w:r>
        <w:rPr>
          <w:spacing w:val="-64"/>
        </w:rPr>
      </w:r>
      <w:r>
        <w:rPr/>
        <w:t>迎来创新的高峰期，从而影响甚至打破现有电子支付设备制造行业的传统竞争格局。</w:t>
      </w:r>
    </w:p>
    <w:p>
      <w:pPr>
        <w:spacing w:line="240" w:lineRule="auto" w:before="4"/>
        <w:rPr>
          <w:rFonts w:ascii="宋体" w:hAnsi="宋体" w:cs="宋体" w:eastAsia="宋体" w:hint="default"/>
          <w:sz w:val="13"/>
          <w:szCs w:val="13"/>
        </w:rPr>
      </w:pPr>
    </w:p>
    <w:p>
      <w:pPr>
        <w:pStyle w:val="Heading8"/>
        <w:spacing w:line="240" w:lineRule="auto"/>
        <w:ind w:right="0"/>
        <w:jc w:val="left"/>
        <w:rPr>
          <w:b w:val="0"/>
          <w:bCs w:val="0"/>
        </w:rPr>
      </w:pPr>
      <w:r>
        <w:rPr>
          <w:rFonts w:ascii="宋体" w:hAnsi="宋体" w:cs="宋体" w:eastAsia="宋体" w:hint="default"/>
        </w:rPr>
        <w:t>1</w:t>
      </w:r>
      <w:r>
        <w:rPr/>
        <w:t>）电子支付行业的业务发展规模和趋势</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190" w:firstLine="360"/>
        <w:jc w:val="both"/>
      </w:pPr>
      <w:r>
        <w:rPr>
          <w:spacing w:val="-2"/>
        </w:rPr>
        <w:t>对电子支付服务行业来说，我们认为，电子支付服务的商业模式将随着电子商务、互联网、物联网技术的发展而发生深</w:t>
      </w:r>
      <w:r>
        <w:rPr/>
        <w:t> </w:t>
      </w:r>
      <w:r>
        <w:rPr>
          <w:spacing w:val="-2"/>
        </w:rPr>
        <w:t>刻的变化，电子支付服务行业的商业模式将迎来全新的时代。这对每一个电子支付服务行业的市场参与者们、以及未来打算</w:t>
      </w:r>
      <w:r>
        <w:rPr>
          <w:spacing w:val="-63"/>
        </w:rPr>
        <w:t> </w:t>
      </w:r>
      <w:r>
        <w:rPr>
          <w:spacing w:val="-63"/>
        </w:rPr>
      </w:r>
      <w:r>
        <w:rPr/>
        <w:t>进入这个行业的新进入者们而言，都将是重大的机遇与挑战。</w:t>
      </w:r>
    </w:p>
    <w:p>
      <w:pPr>
        <w:pStyle w:val="BodyText"/>
        <w:spacing w:line="477" w:lineRule="auto" w:before="95"/>
        <w:ind w:right="94" w:firstLine="360"/>
        <w:jc w:val="left"/>
      </w:pPr>
      <w:r>
        <w:rPr>
          <w:spacing w:val="-2"/>
        </w:rPr>
        <w:t>根据中国人民银行于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月发布的《关于中国支付体系发展（</w:t>
      </w:r>
      <w:r>
        <w:rPr>
          <w:rFonts w:ascii="宋体" w:hAnsi="宋体" w:cs="宋体" w:eastAsia="宋体" w:hint="default"/>
          <w:spacing w:val="-2"/>
        </w:rPr>
        <w:t>2011</w:t>
      </w:r>
      <w:r>
        <w:rPr>
          <w:spacing w:val="-2"/>
        </w:rPr>
        <w:t>年</w:t>
      </w:r>
      <w:r>
        <w:rPr>
          <w:rFonts w:ascii="宋体" w:hAnsi="宋体" w:cs="宋体" w:eastAsia="宋体" w:hint="default"/>
          <w:spacing w:val="-2"/>
        </w:rPr>
        <w:t>-2015</w:t>
      </w:r>
      <w:r>
        <w:rPr>
          <w:spacing w:val="-2"/>
        </w:rPr>
        <w:t>年）的指导意见》显示，在</w:t>
      </w:r>
      <w:r>
        <w:rPr>
          <w:rFonts w:ascii="宋体" w:hAnsi="宋体" w:cs="宋体" w:eastAsia="宋体" w:hint="default"/>
          <w:spacing w:val="-2"/>
        </w:rPr>
        <w:t>2011</w:t>
      </w:r>
      <w:r>
        <w:rPr>
          <w:spacing w:val="-2"/>
        </w:rPr>
        <w:t>年至</w:t>
      </w:r>
      <w:r>
        <w:rPr>
          <w:rFonts w:ascii="宋体" w:hAnsi="宋体" w:cs="宋体" w:eastAsia="宋体" w:hint="default"/>
          <w:spacing w:val="-2"/>
        </w:rPr>
        <w:t>2015</w:t>
      </w:r>
      <w:r>
        <w:rPr>
          <w:rFonts w:ascii="宋体" w:hAnsi="宋体" w:cs="宋体" w:eastAsia="宋体" w:hint="default"/>
        </w:rPr>
        <w:t> </w:t>
      </w:r>
      <w:r>
        <w:rPr>
          <w:spacing w:val="-2"/>
        </w:rPr>
        <w:t>年，电子支付体系的主要工作目标是建设“完善以票据和银行卡为主体，以电子支付方式为发展方向，适应多种经济活动需</w:t>
      </w:r>
      <w:r>
        <w:rPr>
          <w:spacing w:val="-64"/>
        </w:rPr>
        <w:t> </w:t>
      </w:r>
      <w:r>
        <w:rPr>
          <w:spacing w:val="-64"/>
        </w:rPr>
      </w:r>
      <w:r>
        <w:rPr/>
        <w:t>要的支付工具体系”。随着国内经济和互联网技术的发展，我们认为电子支付发展的浪潮方兴未艾，电子商务的蓬勃发展、 </w:t>
      </w:r>
      <w:r>
        <w:rPr>
          <w:spacing w:val="-2"/>
        </w:rPr>
        <w:t>银行卡交易手续费率的降低等必将扩大电子支付在交易活动中的覆盖范围，并使电子支付消费总额在社会总体消费总额中所</w:t>
      </w:r>
      <w:r>
        <w:rPr>
          <w:spacing w:val="-64"/>
        </w:rPr>
        <w:t> </w:t>
      </w:r>
      <w:r>
        <w:rPr>
          <w:spacing w:val="-64"/>
        </w:rPr>
      </w:r>
      <w:r>
        <w:rPr>
          <w:spacing w:val="-2"/>
        </w:rPr>
        <w:t>占的比例得到显著提升。根据中国人民银行发布的《</w:t>
      </w:r>
      <w:r>
        <w:rPr>
          <w:rFonts w:ascii="宋体" w:hAnsi="宋体" w:cs="宋体" w:eastAsia="宋体" w:hint="default"/>
          <w:spacing w:val="-2"/>
        </w:rPr>
        <w:t>2012</w:t>
      </w:r>
      <w:r>
        <w:rPr>
          <w:spacing w:val="-2"/>
        </w:rPr>
        <w:t>年支付体系运行总体情况》显示，</w:t>
      </w:r>
      <w:r>
        <w:rPr>
          <w:rFonts w:ascii="宋体" w:hAnsi="宋体" w:cs="宋体" w:eastAsia="宋体" w:hint="default"/>
          <w:spacing w:val="-2"/>
        </w:rPr>
        <w:t>2012</w:t>
      </w:r>
      <w:r>
        <w:rPr>
          <w:spacing w:val="-2"/>
        </w:rPr>
        <w:t>年全年，银行卡渗透率已经</w:t>
      </w:r>
      <w:r>
        <w:rPr>
          <w:spacing w:val="-63"/>
        </w:rPr>
        <w:t> </w:t>
      </w:r>
      <w:r>
        <w:rPr>
          <w:spacing w:val="-63"/>
        </w:rPr>
      </w:r>
      <w:r>
        <w:rPr/>
        <w:t>达到</w:t>
      </w:r>
      <w:r>
        <w:rPr>
          <w:rFonts w:ascii="宋体" w:hAnsi="宋体" w:cs="宋体" w:eastAsia="宋体" w:hint="default"/>
        </w:rPr>
        <w:t>43.5%</w:t>
      </w:r>
      <w:r>
        <w:rPr/>
        <w:t>，同比提高了</w:t>
      </w:r>
      <w:r>
        <w:rPr>
          <w:rFonts w:ascii="宋体" w:hAnsi="宋体" w:cs="宋体" w:eastAsia="宋体" w:hint="default"/>
        </w:rPr>
        <w:t>4.9</w:t>
      </w:r>
      <w:r>
        <w:rPr/>
        <w:t>个百分点。</w:t>
      </w:r>
    </w:p>
    <w:p>
      <w:pPr>
        <w:pStyle w:val="BodyText"/>
        <w:spacing w:line="477" w:lineRule="auto" w:before="92"/>
        <w:ind w:right="186" w:firstLine="360"/>
        <w:jc w:val="both"/>
      </w:pPr>
      <w:r>
        <w:rPr/>
        <w:t>与电子支付行业不断变化的同时，</w:t>
      </w:r>
      <w:r>
        <w:rPr>
          <w:rFonts w:ascii="宋体" w:hAnsi="宋体" w:cs="宋体" w:eastAsia="宋体" w:hint="default"/>
        </w:rPr>
        <w:t>2012</w:t>
      </w:r>
      <w:r>
        <w:rPr/>
        <w:t>年，传统金融</w:t>
      </w:r>
      <w:r>
        <w:rPr>
          <w:rFonts w:ascii="宋体" w:hAnsi="宋体" w:cs="宋体" w:eastAsia="宋体" w:hint="default"/>
        </w:rPr>
        <w:t>POS</w:t>
      </w:r>
      <w:r>
        <w:rPr/>
        <w:t>机为主的电子支付受理终端设备市场仍然保持持续快速增长。 </w:t>
      </w:r>
      <w:r>
        <w:rPr>
          <w:spacing w:val="-6"/>
        </w:rPr>
        <w:t>根据中国人民银行发布的《</w:t>
      </w:r>
      <w:r>
        <w:rPr>
          <w:rFonts w:ascii="宋体" w:hAnsi="宋体" w:cs="宋体" w:eastAsia="宋体" w:hint="default"/>
          <w:spacing w:val="-6"/>
        </w:rPr>
        <w:t>2012</w:t>
      </w:r>
      <w:r>
        <w:rPr>
          <w:spacing w:val="-6"/>
        </w:rPr>
        <w:t>年支付体系运行总体情况》显示，截至</w:t>
      </w:r>
      <w:r>
        <w:rPr>
          <w:rFonts w:ascii="宋体" w:hAnsi="宋体" w:cs="宋体" w:eastAsia="宋体" w:hint="default"/>
          <w:spacing w:val="-6"/>
        </w:rPr>
        <w:t>2012 </w:t>
      </w:r>
      <w:r>
        <w:rPr>
          <w:spacing w:val="-3"/>
        </w:rPr>
        <w:t>年年末，银行卡跨行支付系统联网商户</w:t>
      </w:r>
      <w:r>
        <w:rPr>
          <w:rFonts w:ascii="宋体" w:hAnsi="宋体" w:cs="宋体" w:eastAsia="宋体" w:hint="default"/>
          <w:spacing w:val="-3"/>
        </w:rPr>
        <w:t>483.27</w:t>
      </w:r>
      <w:r>
        <w:rPr>
          <w:rFonts w:ascii="宋体" w:hAnsi="宋体" w:cs="宋体" w:eastAsia="宋体" w:hint="default"/>
          <w:spacing w:val="33"/>
        </w:rPr>
        <w:t> </w:t>
      </w:r>
      <w:r>
        <w:rPr/>
        <w:t>万 户，联网</w:t>
      </w:r>
      <w:r>
        <w:rPr>
          <w:rFonts w:ascii="宋体" w:hAnsi="宋体" w:cs="宋体" w:eastAsia="宋体" w:hint="default"/>
        </w:rPr>
        <w:t>POS </w:t>
      </w:r>
      <w:r>
        <w:rPr/>
        <w:t>机具</w:t>
      </w:r>
      <w:r>
        <w:rPr>
          <w:rFonts w:ascii="宋体" w:hAnsi="宋体" w:cs="宋体" w:eastAsia="宋体" w:hint="default"/>
        </w:rPr>
        <w:t>711.78 </w:t>
      </w:r>
      <w:r>
        <w:rPr/>
        <w:t>万台，较上年末分别增加</w:t>
      </w:r>
      <w:r>
        <w:rPr>
          <w:rFonts w:ascii="宋体" w:hAnsi="宋体" w:cs="宋体" w:eastAsia="宋体" w:hint="default"/>
        </w:rPr>
        <w:t>165.26 </w:t>
      </w:r>
      <w:r>
        <w:rPr/>
        <w:t>万户、</w:t>
      </w:r>
      <w:r>
        <w:rPr>
          <w:rFonts w:ascii="宋体" w:hAnsi="宋体" w:cs="宋体" w:eastAsia="宋体" w:hint="default"/>
        </w:rPr>
        <w:t>229.13 </w:t>
      </w:r>
      <w:r>
        <w:rPr/>
        <w:t>万台。截至</w:t>
      </w:r>
      <w:r>
        <w:rPr>
          <w:rFonts w:ascii="宋体" w:hAnsi="宋体" w:cs="宋体" w:eastAsia="宋体" w:hint="default"/>
        </w:rPr>
        <w:t>2012</w:t>
      </w:r>
      <w:r>
        <w:rPr>
          <w:rFonts w:ascii="宋体" w:hAnsi="宋体" w:cs="宋体" w:eastAsia="宋体" w:hint="default"/>
          <w:spacing w:val="-6"/>
        </w:rPr>
        <w:t> </w:t>
      </w:r>
      <w:r>
        <w:rPr/>
        <w:t>年末，每台</w:t>
      </w:r>
      <w:r>
        <w:rPr>
          <w:rFonts w:ascii="宋体" w:hAnsi="宋体" w:cs="宋体" w:eastAsia="宋体" w:hint="default"/>
        </w:rPr>
        <w:t>POS</w:t>
      </w:r>
      <w:r>
        <w:rPr/>
        <w:t>机对应的银行卡 数量为</w:t>
      </w:r>
      <w:r>
        <w:rPr>
          <w:rFonts w:ascii="宋体" w:hAnsi="宋体" w:cs="宋体" w:eastAsia="宋体" w:hint="default"/>
        </w:rPr>
        <w:t>497</w:t>
      </w:r>
      <w:r>
        <w:rPr>
          <w:rFonts w:ascii="宋体" w:hAnsi="宋体" w:cs="宋体" w:eastAsia="宋体" w:hint="default"/>
          <w:spacing w:val="1"/>
        </w:rPr>
        <w:t> </w:t>
      </w:r>
      <w:r>
        <w:rPr/>
        <w:t>张，较上年减少</w:t>
      </w:r>
      <w:r>
        <w:rPr>
          <w:rFonts w:ascii="宋体" w:hAnsi="宋体" w:cs="宋体" w:eastAsia="宋体" w:hint="default"/>
        </w:rPr>
        <w:t>26.0%</w:t>
      </w:r>
      <w:r>
        <w:rPr/>
        <w:t>。</w:t>
      </w:r>
    </w:p>
    <w:p>
      <w:pPr>
        <w:spacing w:line="240" w:lineRule="auto" w:before="7"/>
        <w:rPr>
          <w:rFonts w:ascii="宋体" w:hAnsi="宋体" w:cs="宋体" w:eastAsia="宋体" w:hint="default"/>
          <w:sz w:val="13"/>
          <w:szCs w:val="13"/>
        </w:rPr>
      </w:pPr>
    </w:p>
    <w:p>
      <w:pPr>
        <w:pStyle w:val="BodyText"/>
        <w:spacing w:line="475" w:lineRule="auto" w:before="0"/>
        <w:ind w:right="193" w:firstLine="360"/>
        <w:jc w:val="both"/>
      </w:pPr>
      <w:r>
        <w:rPr/>
        <w:t>就全球市场而言，根据</w:t>
      </w:r>
      <w:r>
        <w:rPr>
          <w:rFonts w:ascii="宋体" w:hAnsi="宋体" w:cs="宋体" w:eastAsia="宋体" w:hint="default"/>
        </w:rPr>
        <w:t>TechNavio2010</w:t>
      </w:r>
      <w:r>
        <w:rPr/>
        <w:t>年提供的报告称，全球</w:t>
      </w:r>
      <w:r>
        <w:rPr>
          <w:rFonts w:ascii="宋体" w:hAnsi="宋体" w:cs="宋体" w:eastAsia="宋体" w:hint="default"/>
        </w:rPr>
        <w:t>POS</w:t>
      </w:r>
      <w:r>
        <w:rPr/>
        <w:t>软件市场总值将在</w:t>
      </w:r>
      <w:r>
        <w:rPr>
          <w:rFonts w:ascii="宋体" w:hAnsi="宋体" w:cs="宋体" w:eastAsia="宋体" w:hint="default"/>
        </w:rPr>
        <w:t>2013</w:t>
      </w:r>
      <w:r>
        <w:rPr/>
        <w:t>年达到</w:t>
      </w:r>
      <w:r>
        <w:rPr>
          <w:rFonts w:ascii="宋体" w:hAnsi="宋体" w:cs="宋体" w:eastAsia="宋体" w:hint="default"/>
        </w:rPr>
        <w:t>33.77</w:t>
      </w:r>
      <w:r>
        <w:rPr/>
        <w:t>亿美元，在</w:t>
      </w:r>
      <w:r>
        <w:rPr>
          <w:rFonts w:ascii="宋体" w:hAnsi="宋体" w:cs="宋体" w:eastAsia="宋体" w:hint="default"/>
        </w:rPr>
        <w:t>2009</w:t>
      </w:r>
      <w:r>
        <w:rPr/>
        <w:t>年 至</w:t>
      </w:r>
      <w:r>
        <w:rPr>
          <w:rFonts w:ascii="宋体" w:hAnsi="宋体" w:cs="宋体" w:eastAsia="宋体" w:hint="default"/>
        </w:rPr>
        <w:t>2013</w:t>
      </w:r>
      <w:r>
        <w:rPr/>
        <w:t>年期间预计年均复合增长率达到</w:t>
      </w:r>
      <w:r>
        <w:rPr>
          <w:rFonts w:ascii="宋体" w:hAnsi="宋体" w:cs="宋体" w:eastAsia="宋体" w:hint="default"/>
        </w:rPr>
        <w:t>9.7%</w:t>
      </w:r>
      <w:r>
        <w:rPr/>
        <w:t>，</w:t>
      </w:r>
      <w:r>
        <w:rPr>
          <w:rFonts w:ascii="宋体" w:hAnsi="宋体" w:cs="宋体" w:eastAsia="宋体" w:hint="default"/>
        </w:rPr>
        <w:t>POS</w:t>
      </w:r>
      <w:r>
        <w:rPr/>
        <w:t>硬件市场总值在</w:t>
      </w:r>
      <w:r>
        <w:rPr>
          <w:rFonts w:ascii="宋体" w:hAnsi="宋体" w:cs="宋体" w:eastAsia="宋体" w:hint="default"/>
        </w:rPr>
        <w:t>2013</w:t>
      </w:r>
      <w:r>
        <w:rPr/>
        <w:t>年达到</w:t>
      </w:r>
      <w:r>
        <w:rPr>
          <w:rFonts w:ascii="宋体" w:hAnsi="宋体" w:cs="宋体" w:eastAsia="宋体" w:hint="default"/>
        </w:rPr>
        <w:t>178.43</w:t>
      </w:r>
      <w:r>
        <w:rPr/>
        <w:t>亿美元，在</w:t>
      </w:r>
      <w:r>
        <w:rPr>
          <w:rFonts w:ascii="宋体" w:hAnsi="宋体" w:cs="宋体" w:eastAsia="宋体" w:hint="default"/>
        </w:rPr>
        <w:t>2009</w:t>
      </w:r>
      <w:r>
        <w:rPr/>
        <w:t>年至</w:t>
      </w:r>
      <w:r>
        <w:rPr>
          <w:rFonts w:ascii="宋体" w:hAnsi="宋体" w:cs="宋体" w:eastAsia="宋体" w:hint="default"/>
        </w:rPr>
        <w:t>2013</w:t>
      </w:r>
      <w:r>
        <w:rPr/>
        <w:t>年期间预计年 均复合增长率达</w:t>
      </w:r>
      <w:r>
        <w:rPr>
          <w:rFonts w:ascii="宋体" w:hAnsi="宋体" w:cs="宋体" w:eastAsia="宋体" w:hint="default"/>
        </w:rPr>
        <w:t>9.4%</w:t>
      </w:r>
      <w:r>
        <w:rPr/>
        <w:t>，远高于全球经济的增长速度。</w:t>
      </w:r>
    </w:p>
    <w:p>
      <w:pPr>
        <w:spacing w:line="240" w:lineRule="auto" w:before="10"/>
        <w:rPr>
          <w:rFonts w:ascii="宋体" w:hAnsi="宋体" w:cs="宋体" w:eastAsia="宋体" w:hint="default"/>
          <w:sz w:val="25"/>
          <w:szCs w:val="25"/>
        </w:rPr>
      </w:pPr>
    </w:p>
    <w:p>
      <w:pPr>
        <w:pStyle w:val="Heading8"/>
        <w:spacing w:line="240" w:lineRule="auto"/>
        <w:ind w:right="0"/>
        <w:jc w:val="left"/>
        <w:rPr>
          <w:b w:val="0"/>
          <w:bCs w:val="0"/>
        </w:rPr>
      </w:pPr>
      <w:r>
        <w:rPr>
          <w:rFonts w:ascii="宋体" w:hAnsi="宋体" w:cs="宋体" w:eastAsia="宋体" w:hint="default"/>
        </w:rPr>
        <w:t>2</w:t>
      </w:r>
      <w:r>
        <w:rPr/>
        <w:t>）电子支付受理终端产品形态和技术服务的变化趋势</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2"/>
          <w:szCs w:val="22"/>
        </w:rPr>
      </w:pPr>
    </w:p>
    <w:p>
      <w:pPr>
        <w:pStyle w:val="BodyText"/>
        <w:spacing w:line="477" w:lineRule="auto" w:before="0"/>
        <w:ind w:right="190" w:firstLine="360"/>
        <w:jc w:val="both"/>
      </w:pPr>
      <w:r>
        <w:rPr>
          <w:spacing w:val="-2"/>
        </w:rPr>
        <w:t>随着国内外电子商务、互联网的发展，电子支付服务商业模式的创新和推广，移动支付受理设备、支付终端系统集成设</w:t>
      </w:r>
      <w:r>
        <w:rPr/>
        <w:t> </w:t>
      </w:r>
      <w:r>
        <w:rPr>
          <w:spacing w:val="-2"/>
        </w:rPr>
        <w:t>备日益成为电子支付受理设备的主要发展方向。我们认为，电子支付受理设备的产品形态和技术服务将主要朝着两个方向发</w:t>
      </w:r>
      <w:r>
        <w:rPr>
          <w:spacing w:val="-64"/>
        </w:rPr>
        <w:t> </w:t>
      </w:r>
      <w:r>
        <w:rPr>
          <w:spacing w:val="-64"/>
        </w:rPr>
      </w:r>
      <w:r>
        <w:rPr>
          <w:spacing w:val="-2"/>
        </w:rPr>
        <w:t>展：一是面向个人应用的小型、易携带的产品和技术服务方向，如为便于物流行业、保险业等业务人员随身携带使用的电子</w:t>
      </w:r>
      <w:r>
        <w:rPr>
          <w:spacing w:val="-64"/>
        </w:rPr>
        <w:t> </w:t>
      </w:r>
      <w:r>
        <w:rPr>
          <w:spacing w:val="-64"/>
        </w:rPr>
      </w:r>
      <w:r>
        <w:rPr>
          <w:spacing w:val="-2"/>
        </w:rPr>
        <w:t>支付受理设备，以手机为主要载体的电子支付应用软件开发服务等；另一个方向则是面向大型行业商户应用的多媒体、自助</w:t>
      </w:r>
      <w:r>
        <w:rPr>
          <w:spacing w:val="-63"/>
        </w:rPr>
        <w:t> </w:t>
      </w:r>
      <w:r>
        <w:rPr>
          <w:spacing w:val="-63"/>
        </w:rPr>
      </w:r>
      <w:r>
        <w:rPr>
          <w:spacing w:val="-2"/>
        </w:rPr>
        <w:t>式支付终端设备和大型支付业务系统软件服务方向，如适用于通信、交通、公共事业部门、烟草等大型行业应用的、带有支</w:t>
      </w:r>
      <w:r>
        <w:rPr>
          <w:spacing w:val="-66"/>
        </w:rPr>
        <w:t> </w:t>
      </w:r>
      <w:r>
        <w:rPr>
          <w:spacing w:val="-66"/>
        </w:rPr>
      </w:r>
      <w:r>
        <w:rPr>
          <w:spacing w:val="-2"/>
        </w:rPr>
        <w:t>付功能的多应用、自助式、大型集成设备。随着安卓系统在智能手机及其他电子设备的广泛应用，基于安卓系统平台本身的</w:t>
      </w:r>
    </w:p>
    <w:p>
      <w:pPr>
        <w:spacing w:after="0" w:line="477"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91"/>
        <w:jc w:val="both"/>
      </w:pPr>
      <w:r>
        <w:rPr>
          <w:spacing w:val="-2"/>
        </w:rPr>
        <w:t>自由开放性、强大的软件兼容性等特点，安卓操作系统日益成为电子支付受理软硬件研发的重要方向。在安卓系统下，电子</w:t>
      </w:r>
      <w:r>
        <w:rPr>
          <w:spacing w:val="-64"/>
        </w:rPr>
        <w:t> </w:t>
      </w:r>
      <w:r>
        <w:rPr>
          <w:spacing w:val="-64"/>
        </w:rPr>
      </w:r>
      <w:r>
        <w:rPr>
          <w:spacing w:val="-2"/>
        </w:rPr>
        <w:t>支付受理的硬件设备将成为更加通用化、规范化的产品，而个性化、定制化、丰富的应用软件、系统软件的技术开发服务可</w:t>
      </w:r>
      <w:r>
        <w:rPr>
          <w:spacing w:val="-67"/>
        </w:rPr>
        <w:t> </w:t>
      </w:r>
      <w:r>
        <w:rPr>
          <w:spacing w:val="-67"/>
        </w:rPr>
      </w:r>
      <w:r>
        <w:rPr/>
        <w:t>能成为电子支付技术服务模式创新的核心。</w:t>
      </w:r>
    </w:p>
    <w:p>
      <w:pPr>
        <w:spacing w:line="240" w:lineRule="auto" w:before="8"/>
        <w:rPr>
          <w:rFonts w:ascii="宋体" w:hAnsi="宋体" w:cs="宋体" w:eastAsia="宋体" w:hint="default"/>
          <w:sz w:val="25"/>
          <w:szCs w:val="25"/>
        </w:rPr>
      </w:pPr>
    </w:p>
    <w:p>
      <w:pPr>
        <w:pStyle w:val="Heading8"/>
        <w:spacing w:line="240" w:lineRule="auto"/>
        <w:ind w:right="0"/>
        <w:jc w:val="left"/>
        <w:rPr>
          <w:b w:val="0"/>
          <w:bCs w:val="0"/>
        </w:rPr>
      </w:pPr>
      <w:r>
        <w:rPr>
          <w:rFonts w:ascii="宋体" w:hAnsi="宋体" w:cs="宋体" w:eastAsia="宋体" w:hint="default"/>
        </w:rPr>
        <w:t>3</w:t>
      </w:r>
      <w:r>
        <w:rPr/>
        <w:t>）竞争对手情况</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477" w:lineRule="auto" w:before="0"/>
        <w:ind w:right="0" w:firstLine="360"/>
        <w:jc w:val="left"/>
      </w:pPr>
      <w:r>
        <w:rPr>
          <w:spacing w:val="-4"/>
        </w:rPr>
        <w:t>就竞争格局来看，在国内，与公司能够形成有效市场竞争威胁的电子支付受理终端设备主要品牌有百富、联迪、惠尔丰、</w:t>
      </w:r>
      <w:r>
        <w:rPr/>
        <w:t> </w:t>
      </w:r>
      <w:r>
        <w:rPr>
          <w:spacing w:val="-2"/>
        </w:rPr>
        <w:t>新大陆。其中，百富、联迪在商业银行、银联体系和第三方收单服务机构等主流设备采购商中，占据着较为全面的优势；新</w:t>
      </w:r>
      <w:r>
        <w:rPr>
          <w:spacing w:val="-70"/>
        </w:rPr>
        <w:t> </w:t>
      </w:r>
      <w:r>
        <w:rPr>
          <w:spacing w:val="-70"/>
        </w:rPr>
      </w:r>
      <w:r>
        <w:rPr>
          <w:spacing w:val="-2"/>
        </w:rPr>
        <w:t>国都在银联体系保持较明显优势，但在商业银行领域，则相较百富、联迪较弱；惠尔丰在商业银行相比新国都有优势，但是</w:t>
      </w:r>
      <w:r>
        <w:rPr>
          <w:spacing w:val="-67"/>
        </w:rPr>
        <w:t> </w:t>
      </w:r>
      <w:r>
        <w:rPr>
          <w:spacing w:val="-67"/>
        </w:rPr>
      </w:r>
      <w:r>
        <w:rPr/>
        <w:t>在银联体系则较弱；新大陆由于其业务结构相比百富、联迪、新国都更丰富，其</w:t>
      </w:r>
      <w:r>
        <w:rPr>
          <w:rFonts w:ascii="宋体" w:hAnsi="宋体" w:cs="宋体" w:eastAsia="宋体" w:hint="default"/>
        </w:rPr>
        <w:t>POS</w:t>
      </w:r>
      <w:r>
        <w:rPr/>
        <w:t>机业务相对来说在他的收入结构中占比 偏小，约为</w:t>
      </w:r>
      <w:r>
        <w:rPr>
          <w:rFonts w:ascii="宋体" w:hAnsi="宋体" w:cs="宋体" w:eastAsia="宋体" w:hint="default"/>
        </w:rPr>
        <w:t>20%</w:t>
      </w:r>
      <w:r>
        <w:rPr/>
        <w:t>，近几年来，新大陆在</w:t>
      </w:r>
      <w:r>
        <w:rPr>
          <w:rFonts w:ascii="宋体" w:hAnsi="宋体" w:cs="宋体" w:eastAsia="宋体" w:hint="default"/>
        </w:rPr>
        <w:t>POS</w:t>
      </w:r>
      <w:r>
        <w:rPr/>
        <w:t>机市场中的竞争力有一定程度的下降。</w:t>
      </w:r>
    </w:p>
    <w:p>
      <w:pPr>
        <w:pStyle w:val="BodyText"/>
        <w:spacing w:line="477" w:lineRule="auto" w:before="95"/>
        <w:ind w:right="0" w:firstLine="360"/>
        <w:jc w:val="left"/>
      </w:pPr>
      <w:r>
        <w:rPr>
          <w:spacing w:val="-2"/>
        </w:rPr>
        <w:t>在国外市场来看，目前惠尔丰、安智两大品牌在欧美地区占据着绝对的优势，百富、瑞柏等品牌则在东南亚地区占据着</w:t>
      </w:r>
      <w:r>
        <w:rPr/>
        <w:t> 较明显的优势，新国都、新大陆等国内品牌在国外市场上的影响力则相对来说较为有限，暂未形成国际影响力。</w:t>
      </w:r>
    </w:p>
    <w:p>
      <w:pPr>
        <w:spacing w:line="240" w:lineRule="auto" w:before="7"/>
        <w:rPr>
          <w:rFonts w:ascii="宋体" w:hAnsi="宋体" w:cs="宋体" w:eastAsia="宋体" w:hint="default"/>
          <w:sz w:val="13"/>
          <w:szCs w:val="13"/>
        </w:rPr>
      </w:pPr>
    </w:p>
    <w:p>
      <w:pPr>
        <w:pStyle w:val="BodyText"/>
        <w:spacing w:line="475" w:lineRule="auto" w:before="0"/>
        <w:ind w:right="192" w:firstLine="360"/>
        <w:jc w:val="both"/>
      </w:pPr>
      <w:r>
        <w:rPr>
          <w:spacing w:val="-2"/>
        </w:rPr>
        <w:t>从竞争结果来看，尽管电子支付受理设备市场规模的快速增长，但，快速增长的市场规模并没有给电子支付终端设备供</w:t>
      </w:r>
      <w:r>
        <w:rPr/>
        <w:t> 应商带来更多的实惠。经过较充分的市场竞争后，电子支付受理终端供应商在传统金融</w:t>
      </w:r>
      <w:r>
        <w:rPr>
          <w:rFonts w:ascii="宋体" w:hAnsi="宋体" w:cs="宋体" w:eastAsia="宋体" w:hint="default"/>
        </w:rPr>
        <w:t>POS</w:t>
      </w:r>
      <w:r>
        <w:rPr/>
        <w:t>机技术和产品方面日益趋同，同 质化竞争导致各厂商掀起更激烈的价格战，使得行业的利润空间不断被挤压，加上行业内长久以来对</w:t>
      </w:r>
      <w:r>
        <w:rPr>
          <w:rFonts w:ascii="宋体" w:hAnsi="宋体" w:cs="宋体" w:eastAsia="宋体" w:hint="default"/>
        </w:rPr>
        <w:t>POS</w:t>
      </w:r>
      <w:r>
        <w:rPr/>
        <w:t>软件服务的定价机 制缺失，以及生产成本、人力成本的不断上升，导致电子支付终端设备供应商的</w:t>
      </w:r>
      <w:r>
        <w:rPr>
          <w:rFonts w:ascii="宋体" w:hAnsi="宋体" w:cs="宋体" w:eastAsia="宋体" w:hint="default"/>
        </w:rPr>
        <w:t>POS</w:t>
      </w:r>
      <w:r>
        <w:rPr/>
        <w:t>业务综合利润率迅速下降。</w:t>
      </w:r>
    </w:p>
    <w:p>
      <w:pPr>
        <w:spacing w:line="240" w:lineRule="auto" w:before="10"/>
        <w:rPr>
          <w:rFonts w:ascii="宋体" w:hAnsi="宋体" w:cs="宋体" w:eastAsia="宋体" w:hint="default"/>
          <w:sz w:val="25"/>
          <w:szCs w:val="25"/>
        </w:rPr>
      </w:pPr>
    </w:p>
    <w:p>
      <w:pPr>
        <w:pStyle w:val="Heading8"/>
        <w:spacing w:line="240" w:lineRule="auto"/>
        <w:ind w:right="0"/>
        <w:jc w:val="left"/>
        <w:rPr>
          <w:b w:val="0"/>
          <w:bCs w:val="0"/>
        </w:rPr>
      </w:pPr>
      <w:r>
        <w:rPr>
          <w:rFonts w:ascii="宋体" w:hAnsi="宋体" w:cs="宋体" w:eastAsia="宋体" w:hint="default"/>
        </w:rPr>
        <w:t>4</w:t>
      </w:r>
      <w:r>
        <w:rPr/>
        <w:t>）小结</w:t>
      </w:r>
      <w:r>
        <w:rPr>
          <w:b w:val="0"/>
          <w:bCs w:val="0"/>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1"/>
          <w:szCs w:val="21"/>
        </w:rPr>
      </w:pPr>
    </w:p>
    <w:p>
      <w:pPr>
        <w:pStyle w:val="BodyText"/>
        <w:spacing w:line="477" w:lineRule="auto" w:before="0"/>
        <w:ind w:right="193" w:firstLine="480"/>
        <w:jc w:val="both"/>
      </w:pPr>
      <w:r>
        <w:rPr>
          <w:spacing w:val="-1"/>
        </w:rPr>
        <w:t>从上述分析可以看出，电子支付服务行业即将迎来全新的发展机遇和挑战，对于传统的电子支付受理终端设备供应商</w:t>
      </w:r>
      <w:r>
        <w:rPr/>
        <w:t> </w:t>
      </w:r>
      <w:r>
        <w:rPr>
          <w:spacing w:val="-2"/>
        </w:rPr>
        <w:t>来说，如何把握住市场脉搏，开发出符合市场发展趋势的创新产品和服务，如何与市场参与者之间碰撞出共赢的商业盈利模</w:t>
      </w:r>
      <w:r>
        <w:rPr>
          <w:spacing w:val="-65"/>
        </w:rPr>
        <w:t> </w:t>
      </w:r>
      <w:r>
        <w:rPr>
          <w:spacing w:val="-65"/>
        </w:rPr>
      </w:r>
      <w:r>
        <w:rPr/>
        <w:t>式，已经成为很紧迫的事。</w:t>
      </w:r>
    </w:p>
    <w:p>
      <w:pPr>
        <w:spacing w:line="240" w:lineRule="auto" w:before="11"/>
        <w:rPr>
          <w:rFonts w:ascii="宋体" w:hAnsi="宋体" w:cs="宋体" w:eastAsia="宋体" w:hint="default"/>
          <w:sz w:val="23"/>
          <w:szCs w:val="23"/>
        </w:rPr>
      </w:pPr>
    </w:p>
    <w:p>
      <w:pPr>
        <w:pStyle w:val="Heading5"/>
        <w:spacing w:line="240" w:lineRule="auto"/>
        <w:ind w:right="0"/>
        <w:jc w:val="both"/>
        <w:rPr>
          <w:b w:val="0"/>
          <w:bCs w:val="0"/>
        </w:rPr>
      </w:pPr>
      <w:r>
        <w:rPr/>
        <w:t>（</w:t>
      </w:r>
      <w:r>
        <w:rPr>
          <w:rFonts w:ascii="宋体" w:hAnsi="宋体" w:cs="宋体" w:eastAsia="宋体" w:hint="default"/>
        </w:rPr>
        <w:t>2</w:t>
      </w:r>
      <w:r>
        <w:rPr/>
        <w:t>）公司的主要优势与困难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8"/>
        <w:spacing w:line="240" w:lineRule="auto"/>
        <w:ind w:right="0"/>
        <w:jc w:val="left"/>
        <w:rPr>
          <w:b w:val="0"/>
          <w:bCs w:val="0"/>
        </w:rPr>
      </w:pPr>
      <w:r>
        <w:rPr>
          <w:rFonts w:ascii="宋体" w:hAnsi="宋体" w:cs="宋体" w:eastAsia="宋体" w:hint="default"/>
        </w:rPr>
        <w:t>1</w:t>
      </w:r>
      <w:r>
        <w:rPr/>
        <w:t>）公司的主要优势</w:t>
      </w:r>
      <w:r>
        <w:rPr>
          <w:b w:val="0"/>
          <w:bCs w:val="0"/>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1"/>
          <w:szCs w:val="21"/>
        </w:rPr>
      </w:pPr>
    </w:p>
    <w:p>
      <w:pPr>
        <w:pStyle w:val="BodyText"/>
        <w:spacing w:line="477" w:lineRule="auto" w:before="0"/>
        <w:ind w:right="0" w:firstLine="480"/>
        <w:jc w:val="left"/>
      </w:pPr>
      <w:r>
        <w:rPr>
          <w:spacing w:val="-1"/>
        </w:rPr>
        <w:t>在电子支付服务市场面临的宏观环境正在发生重大变革的背景下，相比其他竞争对手来说，新国都的主要竞争优势体</w:t>
      </w:r>
      <w:r>
        <w:rPr/>
        <w:t> 现在以下几个方面：</w:t>
      </w:r>
    </w:p>
    <w:p>
      <w:pPr>
        <w:spacing w:line="240" w:lineRule="auto" w:before="4"/>
        <w:rPr>
          <w:rFonts w:ascii="宋体" w:hAnsi="宋体" w:cs="宋体" w:eastAsia="宋体" w:hint="default"/>
          <w:sz w:val="13"/>
          <w:szCs w:val="13"/>
        </w:rPr>
      </w:pPr>
    </w:p>
    <w:p>
      <w:pPr>
        <w:pStyle w:val="BodyText"/>
        <w:spacing w:line="240" w:lineRule="auto" w:before="0"/>
        <w:ind w:left="633" w:right="0"/>
        <w:jc w:val="left"/>
      </w:pPr>
      <w:r>
        <w:rPr/>
        <w:t>一是，新国都拥有完善的研发体系、市场营销体系、生产制造体系，有利于其整合各个业务环节的资源，降低成本。</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53" w:firstLine="480"/>
        <w:jc w:val="both"/>
      </w:pPr>
      <w:r>
        <w:rPr>
          <w:spacing w:val="-1"/>
        </w:rPr>
        <w:t>二是，新国都拥有从硬件到软件，从外观到结构设计，从应用软件到系统软件、“功能配置”健全的研发团队，能够</w:t>
      </w:r>
      <w:r>
        <w:rPr/>
        <w:t> 依据市场需求研发出相关软硬件产品。</w:t>
      </w:r>
    </w:p>
    <w:p>
      <w:pPr>
        <w:spacing w:line="240" w:lineRule="auto" w:before="4"/>
        <w:rPr>
          <w:rFonts w:ascii="宋体" w:hAnsi="宋体" w:cs="宋体" w:eastAsia="宋体" w:hint="default"/>
          <w:sz w:val="13"/>
          <w:szCs w:val="13"/>
        </w:rPr>
      </w:pPr>
    </w:p>
    <w:p>
      <w:pPr>
        <w:pStyle w:val="BodyText"/>
        <w:spacing w:line="477" w:lineRule="auto" w:before="0"/>
        <w:ind w:right="152" w:firstLine="480"/>
        <w:jc w:val="both"/>
      </w:pPr>
      <w:r>
        <w:rPr>
          <w:spacing w:val="-1"/>
        </w:rPr>
        <w:t>三是，新国都在创业板成功上市融资后，目前还拥有较为充裕的资金，能够为新国都的业务发展和战略实施提供资金</w:t>
      </w:r>
      <w:r>
        <w:rPr/>
        <w:t> 保障。</w:t>
      </w:r>
    </w:p>
    <w:p>
      <w:pPr>
        <w:spacing w:line="240" w:lineRule="auto" w:before="8"/>
        <w:rPr>
          <w:rFonts w:ascii="宋体" w:hAnsi="宋体" w:cs="宋体" w:eastAsia="宋体" w:hint="default"/>
          <w:sz w:val="25"/>
          <w:szCs w:val="25"/>
        </w:rPr>
      </w:pPr>
    </w:p>
    <w:p>
      <w:pPr>
        <w:pStyle w:val="Heading8"/>
        <w:spacing w:line="240" w:lineRule="auto"/>
        <w:ind w:right="141"/>
        <w:jc w:val="left"/>
        <w:rPr>
          <w:b w:val="0"/>
          <w:bCs w:val="0"/>
        </w:rPr>
      </w:pPr>
      <w:r>
        <w:rPr>
          <w:rFonts w:ascii="宋体" w:hAnsi="宋体" w:cs="宋体" w:eastAsia="宋体" w:hint="default"/>
        </w:rPr>
        <w:t>2</w:t>
      </w:r>
      <w:r>
        <w:rPr/>
        <w:t>）公司的主要困难</w:t>
      </w:r>
      <w:r>
        <w:rPr>
          <w:b w:val="0"/>
          <w:bCs w:val="0"/>
        </w:rPr>
      </w:r>
    </w:p>
    <w:p>
      <w:pPr>
        <w:spacing w:line="240" w:lineRule="auto" w:before="9"/>
        <w:rPr>
          <w:rFonts w:ascii="宋体" w:hAnsi="宋体" w:cs="宋体" w:eastAsia="宋体" w:hint="default"/>
          <w:b/>
          <w:bCs/>
          <w:sz w:val="12"/>
          <w:szCs w:val="12"/>
        </w:rPr>
      </w:pPr>
    </w:p>
    <w:p>
      <w:pPr>
        <w:pStyle w:val="BodyText"/>
        <w:spacing w:line="590" w:lineRule="atLeast" w:before="0"/>
        <w:ind w:left="633" w:right="141"/>
        <w:jc w:val="left"/>
      </w:pPr>
      <w:r>
        <w:rPr/>
        <w:t>对于新国都来说，目前的主要困难在于： </w:t>
      </w:r>
      <w:r>
        <w:rPr>
          <w:spacing w:val="-1"/>
        </w:rPr>
        <w:t>一是，新国都目前的客户结构相比竞争对手百富、联迪、惠尔丰而言，相对较为薄弱，在商业银行市场，新国都所占</w:t>
      </w:r>
    </w:p>
    <w:p>
      <w:pPr>
        <w:spacing w:line="240" w:lineRule="auto" w:before="10"/>
        <w:rPr>
          <w:rFonts w:ascii="宋体" w:hAnsi="宋体" w:cs="宋体" w:eastAsia="宋体" w:hint="default"/>
          <w:sz w:val="17"/>
          <w:szCs w:val="17"/>
        </w:rPr>
      </w:pPr>
    </w:p>
    <w:p>
      <w:pPr>
        <w:pStyle w:val="BodyText"/>
        <w:spacing w:line="240" w:lineRule="auto" w:before="0"/>
        <w:ind w:right="141"/>
        <w:jc w:val="left"/>
      </w:pPr>
      <w:r>
        <w:rPr/>
        <w:t>市场份额一直偏低，而海外市场的开拓仍在起步阶段，海外市场的业务经验较少。</w:t>
      </w:r>
    </w:p>
    <w:p>
      <w:pPr>
        <w:spacing w:line="240" w:lineRule="auto" w:before="12"/>
        <w:rPr>
          <w:rFonts w:ascii="宋体" w:hAnsi="宋体" w:cs="宋体" w:eastAsia="宋体" w:hint="default"/>
          <w:sz w:val="26"/>
          <w:szCs w:val="26"/>
        </w:rPr>
      </w:pPr>
    </w:p>
    <w:p>
      <w:pPr>
        <w:pStyle w:val="BodyText"/>
        <w:spacing w:line="477" w:lineRule="auto" w:before="0"/>
        <w:ind w:right="151" w:firstLine="480"/>
        <w:jc w:val="both"/>
      </w:pPr>
      <w:r>
        <w:rPr>
          <w:spacing w:val="-1"/>
        </w:rPr>
        <w:t>二是，缺乏能够了解电子支付服务市场发展趋势，准确把握市场需求的市场人才，能够掌握电子支付技术发展最新变</w:t>
      </w:r>
      <w:r>
        <w:rPr/>
        <w:t> </w:t>
      </w:r>
      <w:r>
        <w:rPr>
          <w:spacing w:val="-2"/>
        </w:rPr>
        <w:t>化的技术人才，以及能够掌握科学有效管理方法的高端管理人才，是制约公司市场创新、产品和技术创新、管理创新的关键</w:t>
      </w:r>
      <w:r>
        <w:rPr>
          <w:spacing w:val="-64"/>
        </w:rPr>
        <w:t> </w:t>
      </w:r>
      <w:r>
        <w:rPr>
          <w:spacing w:val="-64"/>
        </w:rPr>
      </w:r>
      <w:r>
        <w:rPr/>
        <w:t>因素。</w:t>
      </w:r>
    </w:p>
    <w:p>
      <w:pPr>
        <w:spacing w:line="240" w:lineRule="auto" w:before="4"/>
        <w:rPr>
          <w:rFonts w:ascii="宋体" w:hAnsi="宋体" w:cs="宋体" w:eastAsia="宋体" w:hint="default"/>
          <w:sz w:val="13"/>
          <w:szCs w:val="13"/>
        </w:rPr>
      </w:pPr>
    </w:p>
    <w:p>
      <w:pPr>
        <w:pStyle w:val="BodyText"/>
        <w:spacing w:line="477" w:lineRule="auto" w:before="0"/>
        <w:ind w:right="152" w:firstLine="480"/>
        <w:jc w:val="both"/>
      </w:pPr>
      <w:r>
        <w:rPr>
          <w:spacing w:val="-1"/>
        </w:rPr>
        <w:t>三是，新国都在企业管理方面与其在业务上的快速扩张未能同步，新国都在企业管理方面的经验仍显不足，尤其是在</w:t>
      </w:r>
      <w:r>
        <w:rPr/>
        <w:t> 企业规模已经迅速扩大的情况下，如何合理有效的使用、协调、调动各种资源，存在一定经验和流程制度上的不足。</w:t>
      </w:r>
    </w:p>
    <w:p>
      <w:pPr>
        <w:pStyle w:val="Heading5"/>
        <w:spacing w:line="240" w:lineRule="auto" w:before="151"/>
        <w:ind w:right="141"/>
        <w:jc w:val="left"/>
        <w:rPr>
          <w:b w:val="0"/>
          <w:bCs w:val="0"/>
        </w:rPr>
      </w:pPr>
      <w:r>
        <w:rPr>
          <w:rFonts w:ascii="宋体" w:hAnsi="宋体" w:cs="宋体" w:eastAsia="宋体" w:hint="default"/>
        </w:rPr>
        <w:t>2</w:t>
      </w:r>
      <w:r>
        <w:rPr/>
        <w:t>、对公司未来的发展战略及经营计划的实现产生不利影响的风险因素分析</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ind w:right="141"/>
        <w:jc w:val="left"/>
        <w:rPr>
          <w:b w:val="0"/>
          <w:bCs w:val="0"/>
        </w:rPr>
      </w:pPr>
      <w:r>
        <w:rPr/>
        <w:t>（</w:t>
      </w:r>
      <w:r>
        <w:rPr>
          <w:rFonts w:ascii="宋体" w:hAnsi="宋体" w:cs="宋体" w:eastAsia="宋体" w:hint="default"/>
        </w:rPr>
        <w:t>1</w:t>
      </w:r>
      <w:r>
        <w:rPr/>
        <w:t>）对单一大客户依赖的风险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2" w:firstLine="480"/>
        <w:jc w:val="both"/>
      </w:pPr>
      <w:r>
        <w:rPr>
          <w:spacing w:val="-1"/>
        </w:rPr>
        <w:t>中国银联控股的银联商务、广州银联支付和深圳银联商务是公司主要客户，</w:t>
      </w:r>
      <w:r>
        <w:rPr>
          <w:rFonts w:ascii="宋体" w:hAnsi="宋体" w:cs="宋体" w:eastAsia="宋体" w:hint="default"/>
          <w:spacing w:val="-1"/>
        </w:rPr>
        <w:t>2010</w:t>
      </w:r>
      <w:r>
        <w:rPr>
          <w:spacing w:val="-1"/>
        </w:rPr>
        <w:t>年至</w:t>
      </w:r>
      <w:r>
        <w:rPr>
          <w:rFonts w:ascii="宋体" w:hAnsi="宋体" w:cs="宋体" w:eastAsia="宋体" w:hint="default"/>
          <w:spacing w:val="-1"/>
        </w:rPr>
        <w:t>2012</w:t>
      </w:r>
      <w:r>
        <w:rPr>
          <w:spacing w:val="-1"/>
        </w:rPr>
        <w:t>年公司对上述客户的销售收</w:t>
      </w:r>
      <w:r>
        <w:rPr/>
        <w:t> </w:t>
      </w:r>
      <w:r>
        <w:rPr>
          <w:spacing w:val="-2"/>
        </w:rPr>
        <w:t>入合计占公司营业收入的比例分别为</w:t>
      </w:r>
      <w:r>
        <w:rPr>
          <w:rFonts w:ascii="宋体" w:hAnsi="宋体" w:cs="宋体" w:eastAsia="宋体" w:hint="default"/>
          <w:spacing w:val="-2"/>
        </w:rPr>
        <w:t>40.76%</w:t>
      </w:r>
      <w:r>
        <w:rPr>
          <w:spacing w:val="-2"/>
        </w:rPr>
        <w:t>、</w:t>
      </w:r>
      <w:r>
        <w:rPr>
          <w:rFonts w:ascii="宋体" w:hAnsi="宋体" w:cs="宋体" w:eastAsia="宋体" w:hint="default"/>
          <w:spacing w:val="-2"/>
        </w:rPr>
        <w:t>44.24%</w:t>
      </w:r>
      <w:r>
        <w:rPr>
          <w:spacing w:val="-2"/>
        </w:rPr>
        <w:t>、</w:t>
      </w:r>
      <w:r>
        <w:rPr>
          <w:rFonts w:ascii="宋体" w:hAnsi="宋体" w:cs="宋体" w:eastAsia="宋体" w:hint="default"/>
          <w:spacing w:val="-2"/>
        </w:rPr>
        <w:t>28.09%</w:t>
      </w:r>
      <w:r>
        <w:rPr>
          <w:spacing w:val="-2"/>
        </w:rPr>
        <w:t>。虽然随着我国电子支付收单服务市场的发展，公司销售客户</w:t>
      </w:r>
      <w:r>
        <w:rPr>
          <w:spacing w:val="-54"/>
        </w:rPr>
        <w:t> </w:t>
      </w:r>
      <w:r>
        <w:rPr>
          <w:spacing w:val="-54"/>
        </w:rPr>
      </w:r>
      <w:r>
        <w:rPr/>
        <w:t>结构已出现多元化趋势，但中国银联体系内客户在公司销售中的占比仍然接近</w:t>
      </w:r>
      <w:r>
        <w:rPr>
          <w:rFonts w:ascii="宋体" w:hAnsi="宋体" w:cs="宋体" w:eastAsia="宋体" w:hint="default"/>
        </w:rPr>
        <w:t>30%</w:t>
      </w:r>
      <w:r>
        <w:rPr/>
        <w:t>，该体系内客户的采购价格继续下降，公 司对其销售金额有可能进一步下降，从而对公司的总体收入产生不利影响。</w:t>
      </w:r>
    </w:p>
    <w:p>
      <w:pPr>
        <w:pStyle w:val="Heading5"/>
        <w:spacing w:line="240" w:lineRule="auto" w:before="151"/>
        <w:ind w:right="141"/>
        <w:jc w:val="left"/>
        <w:rPr>
          <w:b w:val="0"/>
          <w:bCs w:val="0"/>
        </w:rPr>
      </w:pPr>
      <w:r>
        <w:rPr/>
        <w:t>（</w:t>
      </w:r>
      <w:r>
        <w:rPr>
          <w:rFonts w:ascii="宋体" w:hAnsi="宋体" w:cs="宋体" w:eastAsia="宋体" w:hint="default"/>
        </w:rPr>
        <w:t>2</w:t>
      </w:r>
      <w:r>
        <w:rPr/>
        <w:t>）应收账款回收风险</w:t>
      </w:r>
      <w:r>
        <w:rPr>
          <w:b w:val="0"/>
          <w:bCs w:val="0"/>
        </w:rPr>
      </w:r>
    </w:p>
    <w:p>
      <w:pPr>
        <w:spacing w:line="240" w:lineRule="auto" w:before="10"/>
        <w:rPr>
          <w:rFonts w:ascii="宋体" w:hAnsi="宋体" w:cs="宋体" w:eastAsia="宋体" w:hint="default"/>
          <w:b/>
          <w:bCs/>
          <w:sz w:val="25"/>
          <w:szCs w:val="25"/>
        </w:rPr>
      </w:pPr>
    </w:p>
    <w:p>
      <w:pPr>
        <w:pStyle w:val="BodyText"/>
        <w:spacing w:line="477" w:lineRule="auto" w:before="0"/>
        <w:ind w:right="148" w:firstLine="480"/>
        <w:jc w:val="both"/>
      </w:pPr>
      <w:r>
        <w:rPr>
          <w:spacing w:val="-1"/>
        </w:rPr>
        <w:t>随着社会第三方收单服务机构的增加，越来越多的第三方收单服务机构成为公司的客户，</w:t>
      </w:r>
      <w:r>
        <w:rPr>
          <w:rFonts w:ascii="宋体" w:hAnsi="宋体" w:cs="宋体" w:eastAsia="宋体" w:hint="default"/>
          <w:spacing w:val="-1"/>
        </w:rPr>
        <w:t>2012</w:t>
      </w:r>
      <w:r>
        <w:rPr>
          <w:spacing w:val="-1"/>
        </w:rPr>
        <w:t>年，公司向第三方收单</w:t>
      </w:r>
      <w:r>
        <w:rPr/>
        <w:t> 服务机构实现销售收入占比达到总收入的</w:t>
      </w:r>
      <w:r>
        <w:rPr>
          <w:rFonts w:ascii="宋体" w:hAnsi="宋体" w:cs="宋体" w:eastAsia="宋体" w:hint="default"/>
        </w:rPr>
        <w:t>25.05%</w:t>
      </w:r>
      <w:r>
        <w:rPr/>
        <w:t>，同比增长</w:t>
      </w:r>
      <w:r>
        <w:rPr>
          <w:rFonts w:ascii="宋体" w:hAnsi="宋体" w:cs="宋体" w:eastAsia="宋体" w:hint="default"/>
        </w:rPr>
        <w:t>121.2%</w:t>
      </w:r>
      <w:r>
        <w:rPr/>
        <w:t>，其中第三方收单机构应收账款为</w:t>
      </w:r>
      <w:r>
        <w:rPr>
          <w:rFonts w:ascii="宋体" w:hAnsi="宋体" w:cs="宋体" w:eastAsia="宋体" w:hint="default"/>
        </w:rPr>
        <w:t>5182.84</w:t>
      </w:r>
      <w:r>
        <w:rPr/>
        <w:t>万元，占公司 </w:t>
      </w:r>
      <w:r>
        <w:rPr>
          <w:spacing w:val="-2"/>
        </w:rPr>
        <w:t>应收账款的比例为</w:t>
      </w:r>
      <w:r>
        <w:rPr>
          <w:rFonts w:ascii="宋体" w:hAnsi="宋体" w:cs="宋体" w:eastAsia="宋体" w:hint="default"/>
          <w:spacing w:val="-2"/>
        </w:rPr>
        <w:t>26.35%</w:t>
      </w:r>
      <w:r>
        <w:rPr>
          <w:spacing w:val="-2"/>
        </w:rPr>
        <w:t>。第三方收单服务机构的资金有相当部分来自于民间资金，投资人的资金实力往往参差不齐，由此</w:t>
      </w:r>
      <w:r>
        <w:rPr>
          <w:spacing w:val="-60"/>
        </w:rPr>
        <w:t> </w:t>
      </w:r>
      <w:r>
        <w:rPr>
          <w:spacing w:val="-60"/>
        </w:rPr>
      </w:r>
      <w:r>
        <w:rPr/>
        <w:t>导致公司的应收账款回收风险增加。</w:t>
      </w:r>
    </w:p>
    <w:p>
      <w:pPr>
        <w:spacing w:line="240" w:lineRule="auto" w:before="4"/>
        <w:rPr>
          <w:rFonts w:ascii="宋体" w:hAnsi="宋体" w:cs="宋体" w:eastAsia="宋体" w:hint="default"/>
          <w:sz w:val="13"/>
          <w:szCs w:val="13"/>
        </w:rPr>
      </w:pPr>
    </w:p>
    <w:p>
      <w:pPr>
        <w:pStyle w:val="BodyText"/>
        <w:spacing w:line="477" w:lineRule="auto" w:before="0"/>
        <w:ind w:right="152" w:firstLine="480"/>
        <w:jc w:val="both"/>
      </w:pPr>
      <w:r>
        <w:rPr>
          <w:spacing w:val="-1"/>
        </w:rPr>
        <w:t>针对该风险，公司在</w:t>
      </w:r>
      <w:r>
        <w:rPr>
          <w:rFonts w:ascii="宋体" w:hAnsi="宋体" w:cs="宋体" w:eastAsia="宋体" w:hint="default"/>
          <w:spacing w:val="-1"/>
        </w:rPr>
        <w:t>2012</w:t>
      </w:r>
      <w:r>
        <w:rPr>
          <w:spacing w:val="-1"/>
        </w:rPr>
        <w:t>年进一步完善了客户信用风险评价制度和流程，加强了应收账款风险的管理，包括应收账款</w:t>
      </w:r>
      <w:r>
        <w:rPr/>
        <w:t> 金额核对、账期管理等。</w:t>
      </w:r>
    </w:p>
    <w:p>
      <w:pPr>
        <w:spacing w:after="0" w:line="477"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5"/>
        <w:spacing w:line="240" w:lineRule="auto" w:before="175"/>
        <w:ind w:right="141"/>
        <w:jc w:val="left"/>
        <w:rPr>
          <w:b w:val="0"/>
          <w:bCs w:val="0"/>
        </w:rPr>
      </w:pPr>
      <w:r>
        <w:rPr/>
        <w:t>（</w:t>
      </w:r>
      <w:r>
        <w:rPr>
          <w:rFonts w:ascii="宋体" w:hAnsi="宋体" w:cs="宋体" w:eastAsia="宋体" w:hint="default"/>
        </w:rPr>
        <w:t>3</w:t>
      </w:r>
      <w:r>
        <w:rPr/>
        <w:t>）短期内经营业绩下降的风险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1" w:firstLine="480"/>
        <w:jc w:val="both"/>
      </w:pPr>
      <w:r>
        <w:rPr>
          <w:spacing w:val="-1"/>
        </w:rPr>
        <w:t>如果国内目前电子支付受理终端设备供应商之间“同质化竞争”态势不能得到有效的改变，公司的产品价格将面临进</w:t>
      </w:r>
      <w:r>
        <w:rPr/>
        <w:t> </w:t>
      </w:r>
      <w:r>
        <w:rPr>
          <w:spacing w:val="-2"/>
        </w:rPr>
        <w:t>一步下降，公司的毛利率进一步下降，如果公司不能迅速推出利润率高的新产品、寻找到新的市场突破口，以提升公司的综</w:t>
      </w:r>
      <w:r>
        <w:rPr>
          <w:spacing w:val="-65"/>
        </w:rPr>
        <w:t> </w:t>
      </w:r>
      <w:r>
        <w:rPr>
          <w:spacing w:val="-65"/>
        </w:rPr>
      </w:r>
      <w:r>
        <w:rPr/>
        <w:t>合运营能力、提高毛利率水平，则短期内，公司的经营业绩可能面临进一步下降的风险。</w:t>
      </w:r>
    </w:p>
    <w:p>
      <w:pPr>
        <w:spacing w:line="240" w:lineRule="auto" w:before="4"/>
        <w:rPr>
          <w:rFonts w:ascii="宋体" w:hAnsi="宋体" w:cs="宋体" w:eastAsia="宋体" w:hint="default"/>
          <w:sz w:val="13"/>
          <w:szCs w:val="13"/>
        </w:rPr>
      </w:pPr>
    </w:p>
    <w:p>
      <w:pPr>
        <w:pStyle w:val="BodyText"/>
        <w:spacing w:line="477" w:lineRule="auto" w:before="0"/>
        <w:ind w:right="150" w:firstLine="480"/>
        <w:jc w:val="both"/>
      </w:pPr>
      <w:r>
        <w:rPr>
          <w:spacing w:val="-1"/>
        </w:rPr>
        <w:t>针对该风险，公司将加快新产品的上市，以保持公司产品的平均价格和综合毛利率达到一定水平。另一方面，公司将</w:t>
      </w:r>
      <w:r>
        <w:rPr/>
        <w:t> </w:t>
      </w:r>
      <w:r>
        <w:rPr>
          <w:spacing w:val="-2"/>
        </w:rPr>
        <w:t>加大国内商业银行市场和海外市场的开拓力度，在已经中标的商业银行中，提高销售占比，在海外市场则加速推进有合作意</w:t>
      </w:r>
      <w:r>
        <w:rPr>
          <w:spacing w:val="-63"/>
        </w:rPr>
        <w:t> </w:t>
      </w:r>
      <w:r>
        <w:rPr>
          <w:spacing w:val="-63"/>
        </w:rPr>
      </w:r>
      <w:r>
        <w:rPr/>
        <w:t>向地区的销售落地工作，提升公司经营业绩。</w:t>
      </w:r>
    </w:p>
    <w:p>
      <w:pPr>
        <w:pStyle w:val="Heading5"/>
        <w:spacing w:line="240" w:lineRule="auto" w:before="152"/>
        <w:ind w:right="141"/>
        <w:jc w:val="left"/>
        <w:rPr>
          <w:b w:val="0"/>
          <w:bCs w:val="0"/>
        </w:rPr>
      </w:pPr>
      <w:r>
        <w:rPr/>
        <w:t>（</w:t>
      </w:r>
      <w:r>
        <w:rPr>
          <w:rFonts w:ascii="宋体" w:hAnsi="宋体" w:cs="宋体" w:eastAsia="宋体" w:hint="default"/>
        </w:rPr>
        <w:t>4</w:t>
      </w:r>
      <w:r>
        <w:rPr/>
        <w:t>）产品、技术、服务创新性不够的风险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2" w:firstLine="480"/>
        <w:jc w:val="both"/>
      </w:pPr>
      <w:r>
        <w:rPr>
          <w:spacing w:val="-1"/>
        </w:rPr>
        <w:t>如果公司不能及时跟上行业发展的步伐，在产品、技术和服务创新方面不能适应客户和市场的需求，则可能面临公司</w:t>
      </w:r>
      <w:r>
        <w:rPr/>
        <w:t> 产品、技术、服务与市场需求脱节，无法把握住行业发展的机会，造成公司竞争力下降的风险。</w:t>
      </w:r>
    </w:p>
    <w:p>
      <w:pPr>
        <w:spacing w:line="240" w:lineRule="auto" w:before="4"/>
        <w:rPr>
          <w:rFonts w:ascii="宋体" w:hAnsi="宋体" w:cs="宋体" w:eastAsia="宋体" w:hint="default"/>
          <w:sz w:val="13"/>
          <w:szCs w:val="13"/>
        </w:rPr>
      </w:pPr>
    </w:p>
    <w:p>
      <w:pPr>
        <w:pStyle w:val="BodyText"/>
        <w:spacing w:line="477" w:lineRule="auto" w:before="0"/>
        <w:ind w:right="150" w:firstLine="480"/>
        <w:jc w:val="both"/>
      </w:pPr>
      <w:r>
        <w:rPr>
          <w:spacing w:val="-1"/>
        </w:rPr>
        <w:t>针对该风险，公司将采取积极引进高端人才的策略，来提高公司在产品、技术和服务的创新能力和水平。公司已经成</w:t>
      </w:r>
      <w:r>
        <w:rPr/>
        <w:t> 立了创新业务部，负责技术、产品的创新开发工作。</w:t>
      </w:r>
    </w:p>
    <w:p>
      <w:pPr>
        <w:pStyle w:val="Heading5"/>
        <w:spacing w:line="240" w:lineRule="auto" w:before="151"/>
        <w:ind w:right="141"/>
        <w:jc w:val="left"/>
        <w:rPr>
          <w:b w:val="0"/>
          <w:bCs w:val="0"/>
        </w:rPr>
      </w:pPr>
      <w:r>
        <w:rPr/>
        <w:t>（</w:t>
      </w:r>
      <w:r>
        <w:rPr>
          <w:rFonts w:ascii="宋体" w:hAnsi="宋体" w:cs="宋体" w:eastAsia="宋体" w:hint="default"/>
        </w:rPr>
        <w:t>5</w:t>
      </w:r>
      <w:r>
        <w:rPr/>
        <w:t>）海外市场开拓低于预期的风险</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41" w:firstLine="480"/>
        <w:jc w:val="left"/>
      </w:pPr>
      <w:r>
        <w:rPr/>
        <w:t>自</w:t>
      </w:r>
      <w:r>
        <w:rPr>
          <w:rFonts w:ascii="宋体" w:hAnsi="宋体" w:cs="宋体" w:eastAsia="宋体" w:hint="default"/>
        </w:rPr>
        <w:t>2009</w:t>
      </w:r>
      <w:r>
        <w:rPr/>
        <w:t>年开始，公司即筹备组建了海外业务团队，负责与海外市场的拓展和信息交流。</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28</w:t>
      </w:r>
      <w:r>
        <w:rPr/>
        <w:t>日，公司第二届 </w:t>
      </w:r>
      <w:r>
        <w:rPr>
          <w:spacing w:val="-2"/>
        </w:rPr>
        <w:t>董事会第十二次会议审议通过了公司组织架构调整的议案，正式批准建立了一级部门国际业务部，将拓展国外市场作为市场</w:t>
      </w:r>
      <w:r>
        <w:rPr>
          <w:spacing w:val="-64"/>
        </w:rPr>
        <w:t> </w:t>
      </w:r>
      <w:r>
        <w:rPr>
          <w:spacing w:val="-64"/>
        </w:rPr>
      </w:r>
      <w:r>
        <w:rPr/>
        <w:t>工作的重点，但仍然存在国外市场开拓失败的风险。</w:t>
      </w:r>
    </w:p>
    <w:p>
      <w:pPr>
        <w:spacing w:line="240" w:lineRule="auto" w:before="4"/>
        <w:rPr>
          <w:rFonts w:ascii="宋体" w:hAnsi="宋体" w:cs="宋体" w:eastAsia="宋体" w:hint="default"/>
          <w:sz w:val="13"/>
          <w:szCs w:val="13"/>
        </w:rPr>
      </w:pPr>
    </w:p>
    <w:p>
      <w:pPr>
        <w:pStyle w:val="BodyText"/>
        <w:spacing w:line="240" w:lineRule="auto" w:before="0"/>
        <w:ind w:left="633" w:right="141"/>
        <w:jc w:val="left"/>
      </w:pPr>
      <w:r>
        <w:rPr/>
        <w:t>针对该风险，公司将在市场、研发等资源配置上向国外市场倾斜，努力降低国外市场开拓失败的风险。</w:t>
      </w:r>
    </w:p>
    <w:p>
      <w:pPr>
        <w:spacing w:line="240" w:lineRule="auto" w:before="2"/>
        <w:rPr>
          <w:rFonts w:ascii="宋体" w:hAnsi="宋体" w:cs="宋体" w:eastAsia="宋体" w:hint="default"/>
          <w:sz w:val="25"/>
          <w:szCs w:val="25"/>
        </w:rPr>
      </w:pPr>
    </w:p>
    <w:p>
      <w:pPr>
        <w:pStyle w:val="Heading5"/>
        <w:spacing w:line="240" w:lineRule="auto"/>
        <w:ind w:right="141"/>
        <w:jc w:val="left"/>
        <w:rPr>
          <w:b w:val="0"/>
          <w:bCs w:val="0"/>
        </w:rPr>
      </w:pPr>
      <w:r>
        <w:rPr>
          <w:rFonts w:ascii="宋体" w:hAnsi="宋体" w:cs="宋体" w:eastAsia="宋体" w:hint="default"/>
        </w:rPr>
        <w:t>3</w:t>
      </w:r>
      <w:r>
        <w:rPr/>
        <w:t>、管理层所关注的发展机遇和挑战</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ind w:right="141"/>
        <w:jc w:val="left"/>
        <w:rPr>
          <w:b w:val="0"/>
          <w:bCs w:val="0"/>
        </w:rPr>
      </w:pPr>
      <w:r>
        <w:rPr/>
        <w:t>（</w:t>
      </w:r>
      <w:r>
        <w:rPr>
          <w:rFonts w:ascii="宋体" w:hAnsi="宋体" w:cs="宋体" w:eastAsia="宋体" w:hint="default"/>
        </w:rPr>
        <w:t>1</w:t>
      </w:r>
      <w:r>
        <w:rPr/>
        <w:t>）机遇</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0" w:firstLine="420"/>
        <w:jc w:val="both"/>
      </w:pPr>
      <w:r>
        <w:rPr>
          <w:rFonts w:ascii="宋体" w:hAnsi="宋体" w:cs="宋体" w:eastAsia="宋体" w:hint="default"/>
          <w:spacing w:val="-1"/>
        </w:rPr>
        <w:t>1</w:t>
      </w:r>
      <w:r>
        <w:rPr>
          <w:spacing w:val="-1"/>
        </w:rPr>
        <w:t>）我国宏观经济继续保持稳定增长，我国传统的银行卡受理市场仍保持持续较快发展，同时，全球电子支付服务市场</w:t>
      </w:r>
      <w:r>
        <w:rPr/>
        <w:t> 蓬勃发展，根据</w:t>
      </w:r>
      <w:r>
        <w:rPr>
          <w:rFonts w:ascii="宋体" w:hAnsi="宋体" w:cs="宋体" w:eastAsia="宋体" w:hint="default"/>
        </w:rPr>
        <w:t>TechNavio2010</w:t>
      </w:r>
      <w:r>
        <w:rPr/>
        <w:t>年提供的报告称，在</w:t>
      </w:r>
      <w:r>
        <w:rPr>
          <w:rFonts w:ascii="宋体" w:hAnsi="宋体" w:cs="宋体" w:eastAsia="宋体" w:hint="default"/>
        </w:rPr>
        <w:t>2009</w:t>
      </w:r>
      <w:r>
        <w:rPr/>
        <w:t>年至</w:t>
      </w:r>
      <w:r>
        <w:rPr>
          <w:rFonts w:ascii="宋体" w:hAnsi="宋体" w:cs="宋体" w:eastAsia="宋体" w:hint="default"/>
        </w:rPr>
        <w:t>2013</w:t>
      </w:r>
      <w:r>
        <w:rPr/>
        <w:t>年期间，</w:t>
      </w:r>
      <w:r>
        <w:rPr>
          <w:rFonts w:ascii="宋体" w:hAnsi="宋体" w:cs="宋体" w:eastAsia="宋体" w:hint="default"/>
        </w:rPr>
        <w:t>POS</w:t>
      </w:r>
      <w:r>
        <w:rPr/>
        <w:t>软硬件的年均复合增长率均接近</w:t>
      </w:r>
      <w:r>
        <w:rPr>
          <w:rFonts w:ascii="宋体" w:hAnsi="宋体" w:cs="宋体" w:eastAsia="宋体" w:hint="default"/>
        </w:rPr>
        <w:t>10%</w:t>
      </w:r>
      <w:r>
        <w:rPr/>
        <w:t>左右。随 </w:t>
      </w:r>
      <w:r>
        <w:rPr>
          <w:spacing w:val="-2"/>
        </w:rPr>
        <w:t>着电子商务、互联网的发展，电子支付服务的服务模式、应用模式都将出现新一轮的变革，为公司未来的发展和业务转型提</w:t>
      </w:r>
      <w:r>
        <w:rPr>
          <w:spacing w:val="-64"/>
        </w:rPr>
        <w:t> </w:t>
      </w:r>
      <w:r>
        <w:rPr>
          <w:spacing w:val="-64"/>
        </w:rPr>
      </w:r>
      <w:r>
        <w:rPr/>
        <w:t>供了难得的宏观机遇。</w:t>
      </w:r>
    </w:p>
    <w:p>
      <w:pPr>
        <w:pStyle w:val="BodyText"/>
        <w:spacing w:line="477" w:lineRule="auto" w:before="104"/>
        <w:ind w:right="152" w:firstLine="420"/>
        <w:jc w:val="both"/>
      </w:pPr>
      <w:r>
        <w:rPr>
          <w:rFonts w:ascii="宋体" w:hAnsi="宋体" w:cs="宋体" w:eastAsia="宋体" w:hint="default"/>
          <w:spacing w:val="-2"/>
        </w:rPr>
        <w:t>2</w:t>
      </w:r>
      <w:r>
        <w:rPr>
          <w:spacing w:val="-2"/>
        </w:rPr>
        <w:t>）随着国内金融改革的推进，金融混业经营的壁垒已经打破，商业银行在金融产品开发、后台流程管理、业务模式等</w:t>
      </w:r>
      <w:r>
        <w:rPr/>
        <w:t> </w:t>
      </w:r>
      <w:r>
        <w:rPr>
          <w:spacing w:val="-2"/>
        </w:rPr>
        <w:t>方面均开始追求创新，同时，基金、保险、证券、信托等金融市场主体也开始重新定位各自的业务发展，预计将给电子支付</w:t>
      </w:r>
      <w:r>
        <w:rPr>
          <w:spacing w:val="-68"/>
        </w:rPr>
        <w:t> </w:t>
      </w:r>
      <w:r>
        <w:rPr>
          <w:spacing w:val="-68"/>
        </w:rPr>
      </w:r>
      <w:r>
        <w:rPr/>
        <w:t>服务市场带来新的市场机会。</w:t>
      </w:r>
    </w:p>
    <w:p>
      <w:pPr>
        <w:pStyle w:val="BodyText"/>
        <w:spacing w:line="240" w:lineRule="auto" w:before="104"/>
        <w:ind w:left="573" w:right="0"/>
        <w:jc w:val="left"/>
      </w:pPr>
      <w:r>
        <w:rPr>
          <w:rFonts w:ascii="宋体" w:hAnsi="宋体" w:cs="宋体" w:eastAsia="宋体" w:hint="default"/>
        </w:rPr>
        <w:t>3</w:t>
      </w:r>
      <w:r>
        <w:rPr/>
        <w:t>）互联网、物联网技术的发展，以及信息化进程的加快，大型行业客户如电力、烟草、保险、石油化工、物流、交通</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28" w:lineRule="auto" w:before="0"/>
        <w:ind w:left="573" w:right="175" w:hanging="421"/>
        <w:jc w:val="left"/>
      </w:pPr>
      <w:r>
        <w:rPr/>
        <w:t>等行业已经形成了对电子支付服务的市场需求，为公司提供了更广阔的发展空间。 </w:t>
      </w:r>
      <w:r>
        <w:rPr>
          <w:rFonts w:ascii="宋体" w:hAnsi="宋体" w:cs="宋体" w:eastAsia="宋体" w:hint="default"/>
          <w:spacing w:val="-1"/>
        </w:rPr>
        <w:t>4</w:t>
      </w:r>
      <w:r>
        <w:rPr>
          <w:spacing w:val="-1"/>
        </w:rPr>
        <w:t>）电子支付技术和服务的创新，以及收单服务业务模式的创新，将打破行业内的市场格局，为公司在业务和商业模式</w:t>
      </w:r>
    </w:p>
    <w:p>
      <w:pPr>
        <w:pStyle w:val="BodyText"/>
        <w:spacing w:line="240" w:lineRule="auto" w:before="16"/>
        <w:ind w:right="0"/>
        <w:jc w:val="left"/>
      </w:pPr>
      <w:r>
        <w:rPr/>
        <w:t>上的转型带来全新的契机。</w:t>
      </w:r>
    </w:p>
    <w:p>
      <w:pPr>
        <w:spacing w:line="240" w:lineRule="auto" w:before="5"/>
        <w:rPr>
          <w:rFonts w:ascii="宋体" w:hAnsi="宋体" w:cs="宋体" w:eastAsia="宋体" w:hint="default"/>
          <w:sz w:val="25"/>
          <w:szCs w:val="25"/>
        </w:rPr>
      </w:pPr>
    </w:p>
    <w:p>
      <w:pPr>
        <w:pStyle w:val="Heading5"/>
        <w:spacing w:line="240" w:lineRule="auto"/>
        <w:ind w:right="0"/>
        <w:jc w:val="left"/>
        <w:rPr>
          <w:b w:val="0"/>
          <w:bCs w:val="0"/>
        </w:rPr>
      </w:pPr>
      <w:r>
        <w:rPr/>
        <w:t>（</w:t>
      </w:r>
      <w:r>
        <w:rPr>
          <w:rFonts w:ascii="宋体" w:hAnsi="宋体" w:cs="宋体" w:eastAsia="宋体" w:hint="default"/>
        </w:rPr>
        <w:t>2</w:t>
      </w:r>
      <w:r>
        <w:rPr/>
        <w:t>）挑战</w:t>
      </w:r>
      <w:r>
        <w:rPr>
          <w:b w:val="0"/>
          <w:bCs w:val="0"/>
        </w:rPr>
      </w:r>
    </w:p>
    <w:p>
      <w:pPr>
        <w:spacing w:line="240" w:lineRule="auto" w:before="7"/>
        <w:rPr>
          <w:rFonts w:ascii="宋体" w:hAnsi="宋体" w:cs="宋体" w:eastAsia="宋体" w:hint="default"/>
          <w:b/>
          <w:bCs/>
          <w:sz w:val="25"/>
          <w:szCs w:val="25"/>
        </w:rPr>
      </w:pPr>
    </w:p>
    <w:p>
      <w:pPr>
        <w:spacing w:line="528" w:lineRule="auto" w:before="0"/>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）在行业迎来全新发展的背景下，公司对新技术、新服务、新模式、新市场的把握方面存在重大挑战</w:t>
      </w:r>
      <w:r>
        <w:rPr>
          <w:rFonts w:ascii="宋体" w:hAnsi="宋体" w:cs="宋体" w:eastAsia="宋体" w:hint="default"/>
          <w:b/>
          <w:bCs/>
          <w:w w:val="99"/>
          <w:sz w:val="18"/>
          <w:szCs w:val="18"/>
        </w:rPr>
        <w:t> </w:t>
      </w:r>
      <w:r>
        <w:rPr>
          <w:rFonts w:ascii="宋体" w:hAnsi="宋体" w:cs="宋体" w:eastAsia="宋体" w:hint="default"/>
          <w:sz w:val="18"/>
          <w:szCs w:val="18"/>
        </w:rPr>
        <w:t>尽管电子商务、互联网的发展为电子支付服务市场注入了全新的机遇，且必将引领电子支付新的发展方向，但电子商</w:t>
      </w:r>
    </w:p>
    <w:p>
      <w:pPr>
        <w:pStyle w:val="BodyText"/>
        <w:spacing w:line="477" w:lineRule="auto" w:before="16"/>
        <w:ind w:right="0"/>
        <w:jc w:val="left"/>
      </w:pPr>
      <w:r>
        <w:rPr>
          <w:spacing w:val="-2"/>
        </w:rPr>
        <w:t>务和互联网时代的市场需求、业务模式尚未成型，这给了所有市场参与者们引领市场需求、构建业务模式的最佳机会，但这</w:t>
      </w:r>
      <w:r>
        <w:rPr>
          <w:spacing w:val="-64"/>
        </w:rPr>
        <w:t> </w:t>
      </w:r>
      <w:r>
        <w:rPr>
          <w:spacing w:val="-64"/>
        </w:rPr>
      </w:r>
      <w:r>
        <w:rPr>
          <w:spacing w:val="-4"/>
        </w:rPr>
        <w:t>有待所有市场参与者们对新技术、新服务、新模式和新市场的解读。公司能否基于上述要求，把握住技术和业务的发展方向，</w:t>
      </w:r>
      <w:r>
        <w:rPr>
          <w:spacing w:val="-46"/>
        </w:rPr>
        <w:t> </w:t>
      </w:r>
      <w:r>
        <w:rPr>
          <w:spacing w:val="-46"/>
        </w:rPr>
      </w:r>
      <w:r>
        <w:rPr/>
        <w:t>推出符合市场需求的产品和服务，是一个重大的挑战。</w:t>
      </w:r>
    </w:p>
    <w:p>
      <w:pPr>
        <w:pStyle w:val="BodyText"/>
        <w:spacing w:line="477" w:lineRule="auto" w:before="102"/>
        <w:ind w:right="0" w:firstLine="420"/>
        <w:jc w:val="left"/>
      </w:pPr>
      <w:r>
        <w:rPr/>
        <w:t>为此，公司计划在</w:t>
      </w:r>
      <w:r>
        <w:rPr>
          <w:rFonts w:ascii="宋体" w:hAnsi="宋体" w:cs="宋体" w:eastAsia="宋体" w:hint="default"/>
        </w:rPr>
        <w:t>2013</w:t>
      </w:r>
      <w:r>
        <w:rPr/>
        <w:t>年加大对新技术、新产品的研发投入，积极探索新的业务模式，提高公司的市场适应能力，以 确保抓住行业发展的新机遇。</w:t>
      </w:r>
    </w:p>
    <w:p>
      <w:pPr>
        <w:spacing w:line="528" w:lineRule="auto" w:before="104"/>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）激烈市场竞争环境下，对公司综合管理水平的挑战</w:t>
      </w:r>
      <w:r>
        <w:rPr>
          <w:rFonts w:ascii="宋体" w:hAnsi="宋体" w:cs="宋体" w:eastAsia="宋体" w:hint="default"/>
          <w:b/>
          <w:bCs/>
          <w:w w:val="99"/>
          <w:sz w:val="18"/>
          <w:szCs w:val="18"/>
        </w:rPr>
        <w:t> </w:t>
      </w:r>
      <w:r>
        <w:rPr>
          <w:rFonts w:ascii="宋体" w:hAnsi="宋体" w:cs="宋体" w:eastAsia="宋体" w:hint="default"/>
          <w:sz w:val="18"/>
          <w:szCs w:val="18"/>
        </w:rPr>
        <w:t>随着电子支付终端设备硬件产品价格战的白热化，电子支付终端设备制造行业的整体毛利率迅速下降，而成本支出却</w:t>
      </w:r>
    </w:p>
    <w:p>
      <w:pPr>
        <w:pStyle w:val="BodyText"/>
        <w:spacing w:line="528" w:lineRule="auto" w:before="16"/>
        <w:ind w:left="573" w:right="0" w:hanging="421"/>
        <w:jc w:val="left"/>
      </w:pPr>
      <w:r>
        <w:rPr/>
        <w:t>有升无降，如何控制成本、提高利润率，是考验公司综合管理水平的试金石。 </w:t>
      </w:r>
      <w:r>
        <w:rPr>
          <w:rFonts w:ascii="宋体" w:hAnsi="宋体" w:cs="宋体" w:eastAsia="宋体" w:hint="default"/>
          <w:spacing w:val="-3"/>
        </w:rPr>
        <w:t>2013</w:t>
      </w:r>
      <w:r>
        <w:rPr>
          <w:spacing w:val="-3"/>
        </w:rPr>
        <w:t>年，公司将在</w:t>
      </w:r>
      <w:r>
        <w:rPr>
          <w:rFonts w:ascii="宋体" w:hAnsi="宋体" w:cs="宋体" w:eastAsia="宋体" w:hint="default"/>
          <w:spacing w:val="-3"/>
        </w:rPr>
        <w:t>IBM</w:t>
      </w:r>
      <w:r>
        <w:rPr>
          <w:spacing w:val="-3"/>
        </w:rPr>
        <w:t>企业管理咨询项目的推动下，不断优化组织结构和业务流程、优化资源配置，强化财务预算管理，</w:t>
      </w:r>
    </w:p>
    <w:p>
      <w:pPr>
        <w:pStyle w:val="BodyText"/>
        <w:spacing w:line="477" w:lineRule="auto" w:before="17"/>
        <w:ind w:right="0"/>
        <w:jc w:val="left"/>
      </w:pPr>
      <w:r>
        <w:rPr>
          <w:spacing w:val="-2"/>
        </w:rPr>
        <w:t>提高人均效率，加强内部风险控制，以提升公司内部信息流的传递速度，提高对市场信息的甄别能力，提高研发的投入产出</w:t>
      </w:r>
      <w:r>
        <w:rPr>
          <w:spacing w:val="-65"/>
        </w:rPr>
        <w:t> </w:t>
      </w:r>
      <w:r>
        <w:rPr>
          <w:spacing w:val="-65"/>
        </w:rPr>
      </w:r>
      <w:r>
        <w:rPr/>
        <w:t>比，全面提升公司的综合管理水平。</w:t>
      </w:r>
    </w:p>
    <w:p>
      <w:pPr>
        <w:spacing w:line="528" w:lineRule="auto" w:before="104"/>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）对高端人才的持续需求</w:t>
      </w:r>
      <w:r>
        <w:rPr>
          <w:rFonts w:ascii="宋体" w:hAnsi="宋体" w:cs="宋体" w:eastAsia="宋体" w:hint="default"/>
          <w:b/>
          <w:bCs/>
          <w:w w:val="99"/>
          <w:sz w:val="18"/>
          <w:szCs w:val="18"/>
        </w:rPr>
        <w:t> </w:t>
      </w:r>
      <w:r>
        <w:rPr>
          <w:rFonts w:ascii="宋体" w:hAnsi="宋体" w:cs="宋体" w:eastAsia="宋体" w:hint="default"/>
          <w:sz w:val="18"/>
          <w:szCs w:val="18"/>
        </w:rPr>
        <w:t>在行业面临转型的关键时期，企业急需了解电子支付服务市场发展趋势、准确把握市场需求的市场人才；急需能够掌</w:t>
      </w:r>
    </w:p>
    <w:p>
      <w:pPr>
        <w:pStyle w:val="BodyText"/>
        <w:spacing w:line="477" w:lineRule="auto" w:before="16"/>
        <w:ind w:right="0"/>
        <w:jc w:val="left"/>
      </w:pPr>
      <w:r>
        <w:rPr>
          <w:spacing w:val="-2"/>
        </w:rPr>
        <w:t>握电子支付技术发展最新变化的技术人才，以及能够掌握科学有效管理方法的高端管理人才，这些关键性人才是制约公司市</w:t>
      </w:r>
      <w:r>
        <w:rPr>
          <w:spacing w:val="-64"/>
        </w:rPr>
        <w:t> </w:t>
      </w:r>
      <w:r>
        <w:rPr>
          <w:spacing w:val="-64"/>
        </w:rPr>
      </w:r>
      <w:r>
        <w:rPr/>
        <w:t>场创新、产品和技术创新、管理创新的关键性因素。</w:t>
      </w:r>
    </w:p>
    <w:p>
      <w:pPr>
        <w:spacing w:line="528" w:lineRule="auto" w:before="102"/>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）市场竞争进入白热化阶段，行业平均利润率急剧下降</w:t>
      </w:r>
      <w:r>
        <w:rPr>
          <w:rFonts w:ascii="宋体" w:hAnsi="宋体" w:cs="宋体" w:eastAsia="宋体" w:hint="default"/>
          <w:b/>
          <w:bCs/>
          <w:w w:val="99"/>
          <w:sz w:val="18"/>
          <w:szCs w:val="18"/>
        </w:rPr>
        <w:t> </w:t>
      </w:r>
      <w:r>
        <w:rPr>
          <w:rFonts w:ascii="宋体" w:hAnsi="宋体" w:cs="宋体" w:eastAsia="宋体" w:hint="default"/>
          <w:sz w:val="18"/>
          <w:szCs w:val="18"/>
        </w:rPr>
        <w:t>金融</w:t>
      </w:r>
      <w:r>
        <w:rPr>
          <w:rFonts w:ascii="宋体" w:hAnsi="宋体" w:cs="宋体" w:eastAsia="宋体" w:hint="default"/>
          <w:sz w:val="18"/>
          <w:szCs w:val="18"/>
        </w:rPr>
        <w:t>POS</w:t>
      </w:r>
      <w:r>
        <w:rPr>
          <w:rFonts w:ascii="宋体" w:hAnsi="宋体" w:cs="宋体" w:eastAsia="宋体" w:hint="default"/>
          <w:sz w:val="18"/>
          <w:szCs w:val="18"/>
        </w:rPr>
        <w:t>机本身为软硬一体化的产品，随着收单服务市场的发展和</w:t>
      </w:r>
      <w:r>
        <w:rPr>
          <w:rFonts w:ascii="宋体" w:hAnsi="宋体" w:cs="宋体" w:eastAsia="宋体" w:hint="default"/>
          <w:sz w:val="18"/>
          <w:szCs w:val="18"/>
        </w:rPr>
        <w:t>POS</w:t>
      </w:r>
      <w:r>
        <w:rPr>
          <w:rFonts w:ascii="宋体" w:hAnsi="宋体" w:cs="宋体" w:eastAsia="宋体" w:hint="default"/>
          <w:sz w:val="18"/>
          <w:szCs w:val="18"/>
        </w:rPr>
        <w:t>机技术的通用化，设备生产厂商之间的价格战进</w:t>
      </w:r>
    </w:p>
    <w:p>
      <w:pPr>
        <w:pStyle w:val="BodyText"/>
        <w:spacing w:line="477" w:lineRule="auto" w:before="16"/>
        <w:ind w:right="0"/>
        <w:jc w:val="left"/>
      </w:pPr>
      <w:r>
        <w:rPr>
          <w:spacing w:val="-2"/>
        </w:rPr>
        <w:t>入白热化阶段。激烈的市场竞争导致了硬件产品价格的急剧下降，而无形的、成本高昂的软件开发服务却没有形成有效的市</w:t>
      </w:r>
      <w:r>
        <w:rPr>
          <w:spacing w:val="-66"/>
        </w:rPr>
        <w:t> </w:t>
      </w:r>
      <w:r>
        <w:rPr>
          <w:spacing w:val="-66"/>
        </w:rPr>
      </w:r>
      <w:r>
        <w:rPr/>
        <w:t>场定价机制，大部分为免费捆绑提供，因此，设备制造商的利润空间被迅速挤压，企业经营日益艰难。</w:t>
      </w:r>
    </w:p>
    <w:p>
      <w:pPr>
        <w:pStyle w:val="BodyText"/>
        <w:spacing w:line="477" w:lineRule="auto" w:before="104"/>
        <w:ind w:right="0" w:firstLine="420"/>
        <w:jc w:val="left"/>
      </w:pPr>
      <w:r>
        <w:rPr/>
        <w:t>因此，公司需要开发、提供高附加值的产品和技术服务，寻找多赢的商业模式，以维持公司的持续健康发展，巩固公 司的市场竞争地位，提升公司的综合实力。</w:t>
      </w:r>
    </w:p>
    <w:p>
      <w:pPr>
        <w:pStyle w:val="Heading5"/>
        <w:spacing w:line="240" w:lineRule="auto" w:before="153"/>
        <w:ind w:right="0"/>
        <w:jc w:val="left"/>
        <w:rPr>
          <w:b w:val="0"/>
          <w:bCs w:val="0"/>
        </w:rPr>
      </w:pPr>
      <w:r>
        <w:rPr/>
        <w:t>（</w:t>
      </w:r>
      <w:r>
        <w:rPr>
          <w:rFonts w:ascii="宋体" w:hAnsi="宋体" w:cs="宋体" w:eastAsia="宋体" w:hint="default"/>
        </w:rPr>
        <w:t>3</w:t>
      </w:r>
      <w:r>
        <w:rPr/>
        <w:t>）</w:t>
      </w:r>
      <w:r>
        <w:rPr>
          <w:rFonts w:ascii="宋体" w:hAnsi="宋体" w:cs="宋体" w:eastAsia="宋体" w:hint="default"/>
        </w:rPr>
        <w:t>2013</w:t>
      </w:r>
      <w:r>
        <w:rPr/>
        <w:t>年度公司的经营计划</w:t>
      </w:r>
      <w:r>
        <w:rPr>
          <w:b w:val="0"/>
          <w:bCs w:val="0"/>
        </w:rPr>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77" w:lineRule="auto" w:before="0"/>
        <w:ind w:right="0" w:firstLine="480"/>
        <w:jc w:val="left"/>
      </w:pPr>
      <w:r>
        <w:rPr>
          <w:rFonts w:ascii="宋体" w:hAnsi="宋体" w:cs="宋体" w:eastAsia="宋体" w:hint="default"/>
          <w:spacing w:val="-3"/>
        </w:rPr>
        <w:t>2013</w:t>
      </w:r>
      <w:r>
        <w:rPr>
          <w:spacing w:val="-3"/>
        </w:rPr>
        <w:t>年，公司将继续围绕成为优秀的电子支付技术综合解决方案供应商的发展目标，紧跟电子支付技术和市场的发展，</w:t>
      </w:r>
      <w:r>
        <w:rPr/>
        <w:t> </w:t>
      </w:r>
      <w:r>
        <w:rPr>
          <w:spacing w:val="-2"/>
        </w:rPr>
        <w:t>开展金融</w:t>
      </w:r>
      <w:r>
        <w:rPr>
          <w:rFonts w:ascii="宋体" w:hAnsi="宋体" w:cs="宋体" w:eastAsia="宋体" w:hint="default"/>
          <w:spacing w:val="-2"/>
        </w:rPr>
        <w:t>POS</w:t>
      </w:r>
      <w:r>
        <w:rPr>
          <w:spacing w:val="-2"/>
        </w:rPr>
        <w:t>等硬件设备、支付软件的研发、生产和销售业务。假设公司维持现有金融</w:t>
      </w:r>
      <w:r>
        <w:rPr>
          <w:rFonts w:ascii="宋体" w:hAnsi="宋体" w:cs="宋体" w:eastAsia="宋体" w:hint="default"/>
          <w:spacing w:val="-2"/>
        </w:rPr>
        <w:t>POS</w:t>
      </w:r>
      <w:r>
        <w:rPr>
          <w:spacing w:val="-2"/>
        </w:rPr>
        <w:t>机产品销售和业务模式，且仍然以</w:t>
      </w:r>
      <w:r>
        <w:rPr>
          <w:spacing w:val="-59"/>
        </w:rPr>
        <w:t> </w:t>
      </w:r>
      <w:r>
        <w:rPr>
          <w:spacing w:val="-59"/>
        </w:rPr>
      </w:r>
      <w:r>
        <w:rPr/>
        <w:t>国内市场销售为主，则根据目前国内市场竞争的情况来看，</w:t>
      </w:r>
      <w:r>
        <w:rPr>
          <w:rFonts w:ascii="宋体" w:hAnsi="宋体" w:cs="宋体" w:eastAsia="宋体" w:hint="default"/>
        </w:rPr>
        <w:t>2013</w:t>
      </w:r>
      <w:r>
        <w:rPr/>
        <w:t>年，以金融</w:t>
      </w:r>
      <w:r>
        <w:rPr>
          <w:rFonts w:ascii="宋体" w:hAnsi="宋体" w:cs="宋体" w:eastAsia="宋体" w:hint="default"/>
        </w:rPr>
        <w:t>POS</w:t>
      </w:r>
      <w:r>
        <w:rPr/>
        <w:t>机为代表的电子支付受理终端平均单价预计</w:t>
      </w:r>
      <w:r>
        <w:rPr>
          <w:spacing w:val="-84"/>
        </w:rPr>
        <w:t> </w:t>
      </w:r>
      <w:r>
        <w:rPr>
          <w:spacing w:val="-84"/>
        </w:rPr>
      </w:r>
      <w:r>
        <w:rPr>
          <w:spacing w:val="-2"/>
        </w:rPr>
        <w:t>仍将继续下调，公司全年的销售额小幅增长，出机数量进一步增加，在国内市场的市场份额将进一步扩大，争取商业银行的</w:t>
      </w:r>
      <w:r>
        <w:rPr>
          <w:spacing w:val="-65"/>
        </w:rPr>
        <w:t> </w:t>
      </w:r>
      <w:r>
        <w:rPr>
          <w:spacing w:val="-65"/>
        </w:rPr>
      </w:r>
      <w:r>
        <w:rPr>
          <w:spacing w:val="-2"/>
        </w:rPr>
        <w:t>销售量进一步提升，海外市场销售获得较大增长。与此同时，为了适应行业的发展，提高公司的管理水平，公司的研发费用</w:t>
      </w:r>
      <w:r>
        <w:rPr>
          <w:spacing w:val="-67"/>
        </w:rPr>
        <w:t> </w:t>
      </w:r>
      <w:r>
        <w:rPr>
          <w:spacing w:val="-67"/>
        </w:rPr>
      </w:r>
      <w:r>
        <w:rPr>
          <w:spacing w:val="-2"/>
        </w:rPr>
        <w:t>占比、管理费用占比将进一步提高。为了提高公司运营效率，保持公司持续健康发展，公司计划在</w:t>
      </w:r>
      <w:r>
        <w:rPr>
          <w:rFonts w:ascii="宋体" w:hAnsi="宋体" w:cs="宋体" w:eastAsia="宋体" w:hint="default"/>
          <w:spacing w:val="-2"/>
        </w:rPr>
        <w:t>2013</w:t>
      </w:r>
      <w:r>
        <w:rPr>
          <w:spacing w:val="-2"/>
        </w:rPr>
        <w:t>年主要从以下方面开</w:t>
      </w:r>
      <w:r>
        <w:rPr>
          <w:spacing w:val="-59"/>
        </w:rPr>
        <w:t> </w:t>
      </w:r>
      <w:r>
        <w:rPr>
          <w:spacing w:val="-59"/>
        </w:rPr>
      </w:r>
      <w:r>
        <w:rPr/>
        <w:t>展工作：</w:t>
      </w:r>
    </w:p>
    <w:p>
      <w:pPr>
        <w:pStyle w:val="Heading8"/>
        <w:spacing w:line="240" w:lineRule="auto" w:before="104"/>
        <w:ind w:left="633" w:right="0"/>
        <w:jc w:val="left"/>
        <w:rPr>
          <w:b w:val="0"/>
          <w:bCs w:val="0"/>
        </w:rPr>
      </w:pPr>
      <w:r>
        <w:rPr>
          <w:rFonts w:ascii="宋体" w:hAnsi="宋体" w:cs="宋体" w:eastAsia="宋体" w:hint="default"/>
        </w:rPr>
        <w:t>1</w:t>
      </w:r>
      <w:r>
        <w:rPr/>
        <w:t>）继续实行积极的市场政策，确保公司的市场竞争地位不动摇</w:t>
      </w:r>
      <w:r>
        <w:rPr>
          <w:b w:val="0"/>
          <w:bCs w:val="0"/>
        </w:rPr>
      </w:r>
    </w:p>
    <w:p>
      <w:pPr>
        <w:spacing w:line="240" w:lineRule="auto" w:before="9"/>
        <w:rPr>
          <w:rFonts w:ascii="宋体" w:hAnsi="宋体" w:cs="宋体" w:eastAsia="宋体" w:hint="default"/>
          <w:b/>
          <w:bCs/>
          <w:sz w:val="21"/>
          <w:szCs w:val="21"/>
        </w:rPr>
      </w:pPr>
    </w:p>
    <w:p>
      <w:pPr>
        <w:pStyle w:val="BodyText"/>
        <w:spacing w:line="477" w:lineRule="auto" w:before="0"/>
        <w:ind w:right="190" w:firstLine="480"/>
        <w:jc w:val="both"/>
      </w:pPr>
      <w:r>
        <w:rPr>
          <w:rFonts w:ascii="宋体" w:hAnsi="宋体" w:cs="宋体" w:eastAsia="宋体" w:hint="default"/>
          <w:spacing w:val="-1"/>
        </w:rPr>
        <w:t>2013</w:t>
      </w:r>
      <w:r>
        <w:rPr>
          <w:spacing w:val="-1"/>
        </w:rPr>
        <w:t>年，公司将继续采取积极的市场政策，在商业银行、第三方收单服务方、行业客户方面加大市场开发力度并加大</w:t>
      </w:r>
      <w:r>
        <w:rPr/>
        <w:t> </w:t>
      </w:r>
      <w:r>
        <w:rPr>
          <w:spacing w:val="-2"/>
        </w:rPr>
        <w:t>销售落地工作，做好售前、售中、售后服务；大力推动海外市场的开发，加大对海外客户的技术服务资源投入，切实做好海</w:t>
      </w:r>
      <w:r>
        <w:rPr>
          <w:spacing w:val="-68"/>
        </w:rPr>
        <w:t> </w:t>
      </w:r>
      <w:r>
        <w:rPr>
          <w:spacing w:val="-68"/>
        </w:rPr>
      </w:r>
      <w:r>
        <w:rPr>
          <w:spacing w:val="-2"/>
        </w:rPr>
        <w:t>外客户的营销服务工作，争取获得更多的订单。在激烈的市场竞争下，公司将通过积极的市场政策，将确保公司市场竞争地</w:t>
      </w:r>
      <w:r>
        <w:rPr>
          <w:spacing w:val="-64"/>
        </w:rPr>
        <w:t> </w:t>
      </w:r>
      <w:r>
        <w:rPr>
          <w:spacing w:val="-64"/>
        </w:rPr>
      </w:r>
      <w:r>
        <w:rPr/>
        <w:t>位不动摇作为</w:t>
      </w:r>
      <w:r>
        <w:rPr>
          <w:rFonts w:ascii="宋体" w:hAnsi="宋体" w:cs="宋体" w:eastAsia="宋体" w:hint="default"/>
        </w:rPr>
        <w:t>2013</w:t>
      </w:r>
      <w:r>
        <w:rPr/>
        <w:t>年工作的第一目标，并在此前提下，实现公司</w:t>
      </w:r>
      <w:r>
        <w:rPr>
          <w:rFonts w:ascii="宋体" w:hAnsi="宋体" w:cs="宋体" w:eastAsia="宋体" w:hint="default"/>
        </w:rPr>
        <w:t>2013</w:t>
      </w:r>
      <w:r>
        <w:rPr/>
        <w:t>年营业收入持续平稳增长，并持续实现盈利。</w:t>
      </w:r>
    </w:p>
    <w:p>
      <w:pPr>
        <w:spacing w:line="528" w:lineRule="auto" w:before="102"/>
        <w:ind w:left="633" w:right="153" w:firstLine="0"/>
        <w:jc w:val="left"/>
        <w:rPr>
          <w:rFonts w:ascii="宋体" w:hAnsi="宋体" w:cs="宋体" w:eastAsia="宋体" w:hint="default"/>
          <w:sz w:val="18"/>
          <w:szCs w:val="18"/>
        </w:rPr>
      </w:pPr>
      <w:r>
        <w:rPr>
          <w:rFonts w:ascii="宋体" w:hAnsi="宋体" w:cs="宋体" w:eastAsia="宋体" w:hint="default"/>
          <w:sz w:val="18"/>
          <w:szCs w:val="18"/>
        </w:rPr>
        <w:t>在积极推进市场扩张的基础上，公司还将积极探索新的业务模式和新的商业模式，以适应行业发展变化的最新趋势。 </w:t>
      </w:r>
      <w:r>
        <w:rPr>
          <w:rFonts w:ascii="宋体" w:hAnsi="宋体" w:cs="宋体" w:eastAsia="宋体" w:hint="default"/>
          <w:b/>
          <w:bCs/>
          <w:sz w:val="18"/>
          <w:szCs w:val="18"/>
        </w:rPr>
        <w:t>2</w:t>
      </w:r>
      <w:r>
        <w:rPr>
          <w:rFonts w:ascii="宋体" w:hAnsi="宋体" w:cs="宋体" w:eastAsia="宋体" w:hint="default"/>
          <w:b/>
          <w:bCs/>
          <w:sz w:val="18"/>
          <w:szCs w:val="18"/>
        </w:rPr>
        <w:t>）在控制研发费用支出总额的基础上，加大对新产品、新技术的研发投入</w:t>
      </w:r>
      <w:r>
        <w:rPr>
          <w:rFonts w:ascii="宋体" w:hAnsi="宋体" w:cs="宋体" w:eastAsia="宋体" w:hint="default"/>
          <w:b/>
          <w:bCs/>
          <w:w w:val="99"/>
          <w:sz w:val="18"/>
          <w:szCs w:val="18"/>
        </w:rPr>
        <w:t> </w:t>
      </w:r>
      <w:r>
        <w:rPr>
          <w:rFonts w:ascii="宋体" w:hAnsi="宋体" w:cs="宋体" w:eastAsia="宋体" w:hint="default"/>
          <w:sz w:val="18"/>
          <w:szCs w:val="18"/>
        </w:rPr>
        <w:t>公司连续两年研发费用占比达到营业收入的</w:t>
      </w:r>
      <w:r>
        <w:rPr>
          <w:rFonts w:ascii="宋体" w:hAnsi="宋体" w:cs="宋体" w:eastAsia="宋体" w:hint="default"/>
          <w:sz w:val="18"/>
          <w:szCs w:val="18"/>
        </w:rPr>
        <w:t>13%</w:t>
      </w:r>
      <w:r>
        <w:rPr>
          <w:rFonts w:ascii="宋体" w:hAnsi="宋体" w:cs="宋体" w:eastAsia="宋体" w:hint="default"/>
          <w:sz w:val="18"/>
          <w:szCs w:val="18"/>
        </w:rPr>
        <w:t>以上，在行业内已经处于中上水平。报告期内，为了实现公司成为一</w:t>
      </w:r>
    </w:p>
    <w:p>
      <w:pPr>
        <w:pStyle w:val="BodyText"/>
        <w:spacing w:line="477" w:lineRule="auto" w:before="17"/>
        <w:ind w:right="94"/>
        <w:jc w:val="left"/>
      </w:pPr>
      <w:r>
        <w:rPr>
          <w:spacing w:val="-2"/>
        </w:rPr>
        <w:t>家“优秀的电子支付技术整体解决方案供应商”的发展战略，适应市场的新发展、新变化，公司将在保持现有研发优势、控</w:t>
      </w:r>
      <w:r>
        <w:rPr>
          <w:spacing w:val="-66"/>
        </w:rPr>
        <w:t> </w:t>
      </w:r>
      <w:r>
        <w:rPr>
          <w:spacing w:val="-66"/>
        </w:rPr>
      </w:r>
      <w:r>
        <w:rPr/>
        <w:t>制总体研发费用支出的基础上，更加重视对新产品、新技术的研发，将有限的研发资源适度向新产品、新技术的研发倾斜。</w:t>
      </w:r>
    </w:p>
    <w:p>
      <w:pPr>
        <w:spacing w:line="477" w:lineRule="auto" w:before="104"/>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）严格控制研发费用、销售费用、管理费用支出，进一步提高经营效率</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报告期内，在实现销售收入同比增长</w:t>
      </w:r>
      <w:r>
        <w:rPr>
          <w:rFonts w:ascii="宋体" w:hAnsi="宋体" w:cs="宋体" w:eastAsia="宋体" w:hint="default"/>
          <w:spacing w:val="-1"/>
          <w:sz w:val="18"/>
          <w:szCs w:val="18"/>
        </w:rPr>
        <w:t>44.93%</w:t>
      </w:r>
      <w:r>
        <w:rPr>
          <w:rFonts w:ascii="宋体" w:hAnsi="宋体" w:cs="宋体" w:eastAsia="宋体" w:hint="default"/>
          <w:spacing w:val="-1"/>
          <w:sz w:val="18"/>
          <w:szCs w:val="18"/>
        </w:rPr>
        <w:t>的情况下，尽管公司研发费用相比</w:t>
      </w:r>
      <w:r>
        <w:rPr>
          <w:rFonts w:ascii="宋体" w:hAnsi="宋体" w:cs="宋体" w:eastAsia="宋体" w:hint="default"/>
          <w:spacing w:val="-1"/>
          <w:sz w:val="18"/>
          <w:szCs w:val="18"/>
        </w:rPr>
        <w:t>2011</w:t>
      </w:r>
      <w:r>
        <w:rPr>
          <w:rFonts w:ascii="宋体" w:hAnsi="宋体" w:cs="宋体" w:eastAsia="宋体" w:hint="default"/>
          <w:spacing w:val="-1"/>
          <w:sz w:val="18"/>
          <w:szCs w:val="18"/>
        </w:rPr>
        <w:t>年度增加了</w:t>
      </w:r>
      <w:r>
        <w:rPr>
          <w:rFonts w:ascii="宋体" w:hAnsi="宋体" w:cs="宋体" w:eastAsia="宋体" w:hint="default"/>
          <w:spacing w:val="-1"/>
          <w:sz w:val="18"/>
          <w:szCs w:val="18"/>
        </w:rPr>
        <w:t>44.59%</w:t>
      </w:r>
      <w:r>
        <w:rPr>
          <w:rFonts w:ascii="宋体" w:hAnsi="宋体" w:cs="宋体" w:eastAsia="宋体" w:hint="default"/>
          <w:spacing w:val="-1"/>
          <w:sz w:val="18"/>
          <w:szCs w:val="18"/>
        </w:rPr>
        <w:t>，销售费用相比</w:t>
      </w:r>
    </w:p>
    <w:p>
      <w:pPr>
        <w:pStyle w:val="BodyText"/>
        <w:spacing w:line="240" w:lineRule="auto" w:before="54"/>
        <w:ind w:right="0"/>
        <w:jc w:val="left"/>
      </w:pPr>
      <w:r>
        <w:rPr>
          <w:rFonts w:ascii="宋体" w:hAnsi="宋体" w:cs="宋体" w:eastAsia="宋体" w:hint="default"/>
        </w:rPr>
        <w:t>2011</w:t>
      </w:r>
      <w:r>
        <w:rPr/>
        <w:t>年度增加了</w:t>
      </w:r>
      <w:r>
        <w:rPr>
          <w:rFonts w:ascii="宋体" w:hAnsi="宋体" w:cs="宋体" w:eastAsia="宋体" w:hint="default"/>
        </w:rPr>
        <w:t>26.15%</w:t>
      </w:r>
      <w:r>
        <w:rPr/>
        <w:t>、管理费用相比</w:t>
      </w:r>
      <w:r>
        <w:rPr>
          <w:rFonts w:ascii="宋体" w:hAnsi="宋体" w:cs="宋体" w:eastAsia="宋体" w:hint="default"/>
        </w:rPr>
        <w:t>2011</w:t>
      </w:r>
      <w:r>
        <w:rPr/>
        <w:t>年度增加了</w:t>
      </w:r>
      <w:r>
        <w:rPr>
          <w:rFonts w:ascii="宋体" w:hAnsi="宋体" w:cs="宋体" w:eastAsia="宋体" w:hint="default"/>
        </w:rPr>
        <w:t>42.37%</w:t>
      </w:r>
      <w:r>
        <w:rPr/>
        <w:t>，但研发费用占营业收入的比例则从</w:t>
      </w:r>
      <w:r>
        <w:rPr>
          <w:rFonts w:ascii="宋体" w:hAnsi="宋体" w:cs="宋体" w:eastAsia="宋体" w:hint="default"/>
        </w:rPr>
        <w:t>2011</w:t>
      </w:r>
      <w:r>
        <w:rPr/>
        <w:t>年度的</w:t>
      </w:r>
      <w:r>
        <w:rPr>
          <w:rFonts w:ascii="宋体" w:hAnsi="宋体" w:cs="宋体" w:eastAsia="宋体" w:hint="default"/>
        </w:rPr>
        <w:t>13.47%</w:t>
      </w:r>
      <w:r>
        <w:rPr/>
        <w:t>下降至</w:t>
      </w:r>
    </w:p>
    <w:p>
      <w:pPr>
        <w:spacing w:line="240" w:lineRule="auto" w:before="10"/>
        <w:rPr>
          <w:rFonts w:ascii="宋体" w:hAnsi="宋体" w:cs="宋体" w:eastAsia="宋体" w:hint="default"/>
          <w:sz w:val="17"/>
          <w:szCs w:val="17"/>
        </w:rPr>
      </w:pPr>
    </w:p>
    <w:p>
      <w:pPr>
        <w:pStyle w:val="BodyText"/>
        <w:spacing w:line="477" w:lineRule="auto" w:before="0"/>
        <w:ind w:right="0"/>
        <w:jc w:val="left"/>
      </w:pPr>
      <w:r>
        <w:rPr/>
        <w:pict>
          <v:shape style="position:absolute;margin-left:56.279999pt;margin-top:42.431721pt;width:479.75pt;height:149.9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4"/>
                    <w:gridCol w:w="1532"/>
                    <w:gridCol w:w="1692"/>
                    <w:gridCol w:w="1534"/>
                    <w:gridCol w:w="1690"/>
                    <w:gridCol w:w="1961"/>
                  </w:tblGrid>
                  <w:tr>
                    <w:trPr>
                      <w:trHeight w:val="505" w:hRule="exact"/>
                    </w:trPr>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3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7"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1961" w:type="dxa"/>
                        <w:vMerge w:val="restart"/>
                        <w:tcBorders>
                          <w:top w:val="single" w:sz="6" w:space="0" w:color="000000"/>
                          <w:left w:val="single" w:sz="6" w:space="0" w:color="000000"/>
                          <w:right w:val="single" w:sz="6" w:space="0" w:color="000000"/>
                        </w:tcBorders>
                      </w:tcPr>
                      <w:p>
                        <w:pPr>
                          <w:pStyle w:val="TableParagraph"/>
                          <w:spacing w:line="240" w:lineRule="auto" w:before="97"/>
                          <w:ind w:left="612" w:right="0"/>
                          <w:jc w:val="left"/>
                          <w:rPr>
                            <w:rFonts w:ascii="宋体" w:hAnsi="宋体" w:cs="宋体" w:eastAsia="宋体" w:hint="default"/>
                            <w:sz w:val="18"/>
                            <w:szCs w:val="18"/>
                          </w:rPr>
                        </w:pPr>
                        <w:r>
                          <w:rPr>
                            <w:rFonts w:ascii="宋体" w:hAnsi="宋体" w:cs="宋体" w:eastAsia="宋体" w:hint="default"/>
                            <w:sz w:val="18"/>
                            <w:szCs w:val="18"/>
                          </w:rPr>
                          <w:t>占比增减</w:t>
                        </w:r>
                      </w:p>
                    </w:tc>
                  </w:tr>
                  <w:tr>
                    <w:trPr>
                      <w:trHeight w:val="970" w:hRule="exact"/>
                    </w:trPr>
                    <w:tc>
                      <w:tcPr>
                        <w:tcW w:w="1164"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占营业收入比例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占营业收入比例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61" w:type="dxa"/>
                        <w:vMerge/>
                        <w:tcBorders>
                          <w:left w:val="single" w:sz="6" w:space="0" w:color="000000"/>
                          <w:bottom w:val="single" w:sz="6" w:space="0" w:color="000000"/>
                          <w:right w:val="single" w:sz="6" w:space="0" w:color="000000"/>
                        </w:tcBorders>
                      </w:tcPr>
                      <w:p>
                        <w:pPr/>
                      </w:p>
                    </w:tc>
                  </w:tr>
                  <w:tr>
                    <w:trPr>
                      <w:trHeight w:val="504"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29" w:right="0"/>
                          <w:jc w:val="left"/>
                          <w:rPr>
                            <w:rFonts w:ascii="宋体" w:hAnsi="宋体" w:cs="宋体" w:eastAsia="宋体" w:hint="default"/>
                            <w:sz w:val="18"/>
                            <w:szCs w:val="18"/>
                          </w:rPr>
                        </w:pPr>
                        <w:r>
                          <w:rPr>
                            <w:rFonts w:ascii="宋体"/>
                            <w:sz w:val="18"/>
                          </w:rPr>
                          <w:t>495,075,044.67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100%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341,596,897.96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100%</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0%</w:t>
                        </w:r>
                      </w:p>
                    </w:tc>
                  </w:tr>
                  <w:tr>
                    <w:trPr>
                      <w:trHeight w:val="502"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66,533,514.04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13.44%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46,014,535.73</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13.47%</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sz w:val="18"/>
                          </w:rPr>
                          <w:t>-0.03%</w:t>
                        </w:r>
                      </w:p>
                    </w:tc>
                  </w:tr>
                  <w:tr>
                    <w:trPr>
                      <w:trHeight w:val="504"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72" w:right="0"/>
                          <w:jc w:val="left"/>
                          <w:rPr>
                            <w:rFonts w:ascii="宋体" w:hAnsi="宋体" w:cs="宋体" w:eastAsia="宋体" w:hint="default"/>
                            <w:sz w:val="18"/>
                            <w:szCs w:val="18"/>
                          </w:rPr>
                        </w:pPr>
                        <w:r>
                          <w:rPr>
                            <w:rFonts w:ascii="宋体"/>
                            <w:sz w:val="18"/>
                          </w:rPr>
                          <w:t>75,653,382.18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15.28%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sz w:val="18"/>
                          </w:rPr>
                          <w:t>59,969,577.45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17.56%</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-2.27%</w:t>
                        </w:r>
                      </w:p>
                    </w:tc>
                  </w:tr>
                </w:tbl>
                <w:p>
                  <w:pPr/>
                </w:p>
              </w:txbxContent>
            </v:textbox>
            <w10:wrap type="none"/>
          </v:shape>
        </w:pict>
      </w:r>
      <w:r>
        <w:rPr>
          <w:rFonts w:ascii="宋体" w:hAnsi="宋体" w:cs="宋体" w:eastAsia="宋体" w:hint="default"/>
        </w:rPr>
        <w:t>13.44%</w:t>
      </w:r>
      <w:r>
        <w:rPr/>
        <w:t>，销售费用占营业收入的比例从</w:t>
      </w:r>
      <w:r>
        <w:rPr>
          <w:rFonts w:ascii="宋体" w:hAnsi="宋体" w:cs="宋体" w:eastAsia="宋体" w:hint="default"/>
        </w:rPr>
        <w:t>2011</w:t>
      </w:r>
      <w:r>
        <w:rPr/>
        <w:t>年度的</w:t>
      </w:r>
      <w:r>
        <w:rPr>
          <w:rFonts w:ascii="宋体" w:hAnsi="宋体" w:cs="宋体" w:eastAsia="宋体" w:hint="default"/>
        </w:rPr>
        <w:t>17.56%</w:t>
      </w:r>
      <w:r>
        <w:rPr/>
        <w:t>下降至</w:t>
      </w:r>
      <w:r>
        <w:rPr>
          <w:rFonts w:ascii="宋体" w:hAnsi="宋体" w:cs="宋体" w:eastAsia="宋体" w:hint="default"/>
        </w:rPr>
        <w:t>15.28%</w:t>
      </w:r>
      <w:r>
        <w:rPr/>
        <w:t>，管理费用占营业收入的比例从</w:t>
      </w:r>
      <w:r>
        <w:rPr>
          <w:rFonts w:ascii="宋体" w:hAnsi="宋体" w:cs="宋体" w:eastAsia="宋体" w:hint="default"/>
        </w:rPr>
        <w:t>2011</w:t>
      </w:r>
      <w:r>
        <w:rPr/>
        <w:t>年度的</w:t>
      </w:r>
      <w:r>
        <w:rPr>
          <w:rFonts w:ascii="宋体" w:hAnsi="宋体" w:cs="宋体" w:eastAsia="宋体" w:hint="default"/>
        </w:rPr>
        <w:t>19.33%</w:t>
      </w:r>
      <w:r>
        <w:rPr>
          <w:rFonts w:ascii="宋体" w:hAnsi="宋体" w:cs="宋体" w:eastAsia="宋体" w:hint="default"/>
          <w:spacing w:val="-14"/>
        </w:rPr>
        <w:t> </w:t>
      </w:r>
      <w:r>
        <w:rPr>
          <w:rFonts w:ascii="宋体" w:hAnsi="宋体" w:cs="宋体" w:eastAsia="宋体" w:hint="default"/>
          <w:spacing w:val="-14"/>
        </w:rPr>
      </w:r>
      <w:r>
        <w:rPr/>
        <w:t>下降至</w:t>
      </w:r>
      <w:r>
        <w:rPr>
          <w:rFonts w:ascii="宋体" w:hAnsi="宋体" w:cs="宋体" w:eastAsia="宋体" w:hint="default"/>
        </w:rPr>
        <w:t>18.99%</w:t>
      </w:r>
      <w:r>
        <w:rPr/>
        <w:t>，研发费用、销售费用和管理费用在营业收入的占比均出现了微幅下降。</w:t>
      </w:r>
    </w:p>
    <w:p>
      <w:pPr>
        <w:spacing w:after="0" w:line="477" w:lineRule="auto"/>
        <w:jc w:val="lef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64"/>
        <w:gridCol w:w="1532"/>
        <w:gridCol w:w="1692"/>
        <w:gridCol w:w="1534"/>
        <w:gridCol w:w="1690"/>
        <w:gridCol w:w="1961"/>
      </w:tblGrid>
      <w:tr>
        <w:trPr>
          <w:trHeight w:val="504"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93,999,504.84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18.99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75" w:right="0"/>
              <w:jc w:val="left"/>
              <w:rPr>
                <w:rFonts w:ascii="宋体" w:hAnsi="宋体" w:cs="宋体" w:eastAsia="宋体" w:hint="default"/>
                <w:sz w:val="18"/>
                <w:szCs w:val="18"/>
              </w:rPr>
            </w:pPr>
            <w:r>
              <w:rPr>
                <w:rFonts w:ascii="宋体"/>
                <w:sz w:val="18"/>
              </w:rPr>
              <w:t>66,023,224.05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19.33%</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sz w:val="18"/>
              </w:rPr>
              <w:t>-0.34%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477" w:lineRule="auto"/>
        <w:ind w:right="0" w:firstLine="480"/>
        <w:jc w:val="left"/>
      </w:pPr>
      <w:r>
        <w:rPr>
          <w:rFonts w:ascii="宋体" w:hAnsi="宋体" w:cs="宋体" w:eastAsia="宋体" w:hint="default"/>
        </w:rPr>
        <w:t>2013</w:t>
      </w:r>
      <w:r>
        <w:rPr/>
        <w:t>年，公司将严格控制研发费用、销售费用、管理费用的支出总额，通过优化流程管理、提高管理效率、提升人均 </w:t>
      </w:r>
      <w:r>
        <w:rPr>
          <w:spacing w:val="-4"/>
        </w:rPr>
        <w:t>效能，力争实现“三大费用”的支出总额稳中有降，进一步降低“三大费用”占营业收入的比重，有效提升公司的经营效率。</w:t>
      </w:r>
    </w:p>
    <w:p>
      <w:pPr>
        <w:spacing w:line="528" w:lineRule="auto" w:before="102"/>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）加大高端人才引进力度，优化人力资源结构</w:t>
      </w:r>
      <w:r>
        <w:rPr>
          <w:rFonts w:ascii="宋体" w:hAnsi="宋体" w:cs="宋体" w:eastAsia="宋体" w:hint="default"/>
          <w:b/>
          <w:bCs/>
          <w:w w:val="99"/>
          <w:sz w:val="18"/>
          <w:szCs w:val="18"/>
        </w:rPr>
        <w:t> </w:t>
      </w:r>
      <w:r>
        <w:rPr>
          <w:rFonts w:ascii="宋体" w:hAnsi="宋体" w:cs="宋体" w:eastAsia="宋体" w:hint="default"/>
          <w:sz w:val="18"/>
          <w:szCs w:val="18"/>
        </w:rPr>
        <w:t>报告期内，公司员工总数相比</w:t>
      </w:r>
      <w:r>
        <w:rPr>
          <w:rFonts w:ascii="宋体" w:hAnsi="宋体" w:cs="宋体" w:eastAsia="宋体" w:hint="default"/>
          <w:sz w:val="18"/>
          <w:szCs w:val="18"/>
        </w:rPr>
        <w:t>2011</w:t>
      </w:r>
      <w:r>
        <w:rPr>
          <w:rFonts w:ascii="宋体" w:hAnsi="宋体" w:cs="宋体" w:eastAsia="宋体" w:hint="default"/>
          <w:sz w:val="18"/>
          <w:szCs w:val="18"/>
        </w:rPr>
        <w:t>年增加了</w:t>
      </w:r>
      <w:r>
        <w:rPr>
          <w:rFonts w:ascii="宋体" w:hAnsi="宋体" w:cs="宋体" w:eastAsia="宋体" w:hint="default"/>
          <w:sz w:val="18"/>
          <w:szCs w:val="18"/>
        </w:rPr>
        <w:t>34%</w:t>
      </w:r>
      <w:r>
        <w:rPr>
          <w:rFonts w:ascii="宋体" w:hAnsi="宋体" w:cs="宋体" w:eastAsia="宋体" w:hint="default"/>
          <w:sz w:val="18"/>
          <w:szCs w:val="18"/>
        </w:rPr>
        <w:t>，增加的人员中，生产工人和应届毕业生占比较大。</w:t>
      </w:r>
      <w:r>
        <w:rPr>
          <w:rFonts w:ascii="宋体" w:hAnsi="宋体" w:cs="宋体" w:eastAsia="宋体" w:hint="default"/>
          <w:sz w:val="18"/>
          <w:szCs w:val="18"/>
        </w:rPr>
        <w:t>2013</w:t>
      </w:r>
      <w:r>
        <w:rPr>
          <w:rFonts w:ascii="宋体" w:hAnsi="宋体" w:cs="宋体" w:eastAsia="宋体" w:hint="default"/>
          <w:sz w:val="18"/>
          <w:szCs w:val="18"/>
        </w:rPr>
        <w:t>年，公司将</w:t>
      </w:r>
    </w:p>
    <w:p>
      <w:pPr>
        <w:pStyle w:val="BodyText"/>
        <w:spacing w:line="477" w:lineRule="auto" w:before="16"/>
        <w:ind w:right="0"/>
        <w:jc w:val="left"/>
      </w:pPr>
      <w:r>
        <w:rPr>
          <w:spacing w:val="-2"/>
        </w:rPr>
        <w:t>加大高端人才的引进，提升关键岗位的绩效和功能，与公司推行的流程优化工作相配合，有效提高公司研发、市场和管理能</w:t>
      </w:r>
      <w:r>
        <w:rPr>
          <w:spacing w:val="-65"/>
        </w:rPr>
        <w:t> </w:t>
      </w:r>
      <w:r>
        <w:rPr>
          <w:spacing w:val="-65"/>
        </w:rPr>
      </w:r>
      <w:r>
        <w:rPr/>
        <w:t>力。</w:t>
      </w:r>
    </w:p>
    <w:p>
      <w:pPr>
        <w:pStyle w:val="Heading5"/>
        <w:spacing w:line="240" w:lineRule="auto" w:before="154"/>
        <w:ind w:right="0"/>
        <w:jc w:val="left"/>
        <w:rPr>
          <w:b w:val="0"/>
          <w:bCs w:val="0"/>
        </w:rPr>
      </w:pPr>
      <w:r>
        <w:rPr>
          <w:rFonts w:ascii="宋体" w:hAnsi="宋体" w:cs="宋体" w:eastAsia="宋体" w:hint="default"/>
        </w:rPr>
        <w:t>4</w:t>
      </w:r>
      <w:r>
        <w:rPr/>
        <w:t>、公司未来发展战略规划及资金需求和使用计划</w:t>
      </w:r>
      <w:r>
        <w:rPr>
          <w:b w:val="0"/>
          <w:bCs w:val="0"/>
        </w:rPr>
      </w:r>
    </w:p>
    <w:p>
      <w:pPr>
        <w:spacing w:line="240" w:lineRule="auto" w:before="10"/>
        <w:rPr>
          <w:rFonts w:ascii="宋体" w:hAnsi="宋体" w:cs="宋体" w:eastAsia="宋体" w:hint="default"/>
          <w:b/>
          <w:bCs/>
          <w:sz w:val="23"/>
          <w:szCs w:val="23"/>
        </w:rPr>
      </w:pPr>
    </w:p>
    <w:p>
      <w:pPr>
        <w:pStyle w:val="Heading5"/>
        <w:spacing w:line="240" w:lineRule="auto"/>
        <w:ind w:right="0"/>
        <w:jc w:val="left"/>
        <w:rPr>
          <w:b w:val="0"/>
          <w:bCs w:val="0"/>
        </w:rPr>
      </w:pPr>
      <w:r>
        <w:rPr/>
        <w:t>（</w:t>
      </w:r>
      <w:r>
        <w:rPr>
          <w:rFonts w:ascii="宋体" w:hAnsi="宋体" w:cs="宋体" w:eastAsia="宋体" w:hint="default"/>
        </w:rPr>
        <w:t>1</w:t>
      </w:r>
      <w:r>
        <w:rPr/>
        <w:t>）公司未来发展战略规划</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0" w:firstLine="420"/>
        <w:jc w:val="left"/>
      </w:pPr>
      <w:r>
        <w:rPr>
          <w:rFonts w:ascii="宋体" w:hAnsi="宋体" w:cs="宋体" w:eastAsia="宋体" w:hint="default"/>
          <w:spacing w:val="-2"/>
        </w:rPr>
        <w:t>2013</w:t>
      </w:r>
      <w:r>
        <w:rPr>
          <w:spacing w:val="-2"/>
        </w:rPr>
        <w:t>年，公司将继续围绕成为优秀的电子支付技术综合解决方案供应商的发展目标，紧跟电子支付技术和市场的发展，</w:t>
      </w:r>
      <w:r>
        <w:rPr/>
        <w:t> 开展金融</w:t>
      </w:r>
      <w:r>
        <w:rPr>
          <w:rFonts w:ascii="宋体" w:hAnsi="宋体" w:cs="宋体" w:eastAsia="宋体" w:hint="default"/>
        </w:rPr>
        <w:t>POS</w:t>
      </w:r>
      <w:r>
        <w:rPr/>
        <w:t>等硬件设备、支付软件的研发、生产和销售业务。</w:t>
      </w:r>
    </w:p>
    <w:p>
      <w:pPr>
        <w:spacing w:line="240" w:lineRule="auto" w:before="4"/>
        <w:rPr>
          <w:rFonts w:ascii="宋体" w:hAnsi="宋体" w:cs="宋体" w:eastAsia="宋体" w:hint="default"/>
          <w:sz w:val="13"/>
          <w:szCs w:val="13"/>
        </w:rPr>
      </w:pPr>
    </w:p>
    <w:p>
      <w:pPr>
        <w:pStyle w:val="Heading8"/>
        <w:spacing w:line="240" w:lineRule="auto"/>
        <w:ind w:right="0"/>
        <w:jc w:val="left"/>
        <w:rPr>
          <w:b w:val="0"/>
          <w:bCs w:val="0"/>
        </w:rPr>
      </w:pPr>
      <w:r>
        <w:rPr>
          <w:rFonts w:ascii="宋体" w:hAnsi="宋体" w:cs="宋体" w:eastAsia="宋体" w:hint="default"/>
        </w:rPr>
        <w:t>1</w:t>
      </w:r>
      <w:r>
        <w:rPr/>
        <w:t>）推行科学化管理，提高公司整体运营效率</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94" w:firstLine="420"/>
        <w:jc w:val="left"/>
      </w:pPr>
      <w:r>
        <w:rPr/>
        <w:t>随着公司的快速发展，公司的管理体制已经满足不了公司的需求。</w:t>
      </w:r>
      <w:r>
        <w:rPr>
          <w:rFonts w:ascii="宋体" w:hAnsi="宋体" w:cs="宋体" w:eastAsia="宋体" w:hint="default"/>
        </w:rPr>
        <w:t>2013</w:t>
      </w:r>
      <w:r>
        <w:rPr/>
        <w:t>年，公司将</w:t>
      </w:r>
      <w:r>
        <w:rPr>
          <w:rFonts w:ascii="宋体" w:hAnsi="宋体" w:cs="宋体" w:eastAsia="宋体" w:hint="default"/>
        </w:rPr>
        <w:t>IBM</w:t>
      </w:r>
      <w:r>
        <w:rPr/>
        <w:t>企业咨询管理项目的基础上，加 强市场信息管理、产品需求管理、产品研发质量管理，提升企业内部信息传递效率和部门协作契合度，有效控制管理成本； </w:t>
      </w:r>
      <w:r>
        <w:rPr>
          <w:spacing w:val="-2"/>
        </w:rPr>
        <w:t>梳理产品开发需求确立流程，提高研发产出率，提高研发的投入产出比；加大营销管理力度，制定科学合理的绩效考核标准</w:t>
      </w:r>
      <w:r>
        <w:rPr>
          <w:spacing w:val="-65"/>
        </w:rPr>
        <w:t> </w:t>
      </w:r>
      <w:r>
        <w:rPr>
          <w:spacing w:val="-65"/>
        </w:rPr>
      </w:r>
      <w:r>
        <w:rPr/>
        <w:t>与指标，提高销售效率；全面加强财务预算管理，严格费用支出申报与报销审核，综合提高企业的运营能力。</w:t>
      </w:r>
    </w:p>
    <w:p>
      <w:pPr>
        <w:spacing w:line="240" w:lineRule="auto" w:before="4"/>
        <w:rPr>
          <w:rFonts w:ascii="宋体" w:hAnsi="宋体" w:cs="宋体" w:eastAsia="宋体" w:hint="default"/>
          <w:sz w:val="13"/>
          <w:szCs w:val="13"/>
        </w:rPr>
      </w:pPr>
    </w:p>
    <w:p>
      <w:pPr>
        <w:pStyle w:val="BodyText"/>
        <w:spacing w:line="477" w:lineRule="auto" w:before="0"/>
        <w:ind w:right="0" w:firstLine="420"/>
        <w:jc w:val="left"/>
      </w:pPr>
      <w:r>
        <w:rPr/>
        <w:t>进一步加强内部审计工作，对公司的各项制度执行情况加强监督和检查，以控制公司经营风险，督促各项工作的落实 与执行。</w:t>
      </w:r>
    </w:p>
    <w:p>
      <w:pPr>
        <w:spacing w:line="240" w:lineRule="auto" w:before="4"/>
        <w:rPr>
          <w:rFonts w:ascii="宋体" w:hAnsi="宋体" w:cs="宋体" w:eastAsia="宋体" w:hint="default"/>
          <w:sz w:val="13"/>
          <w:szCs w:val="13"/>
        </w:rPr>
      </w:pPr>
    </w:p>
    <w:p>
      <w:pPr>
        <w:pStyle w:val="Heading8"/>
        <w:spacing w:line="240" w:lineRule="auto"/>
        <w:ind w:right="0"/>
        <w:jc w:val="left"/>
        <w:rPr>
          <w:b w:val="0"/>
          <w:bCs w:val="0"/>
        </w:rPr>
      </w:pPr>
      <w:r>
        <w:rPr>
          <w:rFonts w:ascii="宋体" w:hAnsi="宋体" w:cs="宋体" w:eastAsia="宋体" w:hint="default"/>
        </w:rPr>
        <w:t>2</w:t>
      </w:r>
      <w:r>
        <w:rPr/>
        <w:t>）保持积极的市场参与姿态，重点开拓国内商业银行市场和海外市场</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171" w:firstLine="480"/>
        <w:jc w:val="both"/>
      </w:pPr>
      <w:r>
        <w:rPr/>
        <w:t>国内市场方面，重点做好商业银行的招投标工作和销售落地工作，对已经中标的商业银行，加大落实销售落地工作； </w:t>
      </w:r>
      <w:r>
        <w:rPr>
          <w:spacing w:val="-2"/>
        </w:rPr>
        <w:t>对尚未中标的商业银行，加大市场开拓力度，力争在</w:t>
      </w:r>
      <w:r>
        <w:rPr>
          <w:rFonts w:ascii="宋体" w:hAnsi="宋体" w:cs="宋体" w:eastAsia="宋体" w:hint="default"/>
          <w:spacing w:val="-2"/>
        </w:rPr>
        <w:t>2013</w:t>
      </w:r>
      <w:r>
        <w:rPr>
          <w:spacing w:val="-2"/>
        </w:rPr>
        <w:t>年商业银行的中标和销售业绩取得更大突破。继续扩大第三方客户</w:t>
      </w:r>
      <w:r>
        <w:rPr>
          <w:spacing w:val="-60"/>
        </w:rPr>
        <w:t> </w:t>
      </w:r>
      <w:r>
        <w:rPr>
          <w:spacing w:val="-60"/>
        </w:rPr>
      </w:r>
      <w:r>
        <w:rPr/>
        <w:t>基础，对第三方客户进行信用评估和信用控制，做好第三方客户的信用风险管理。</w:t>
      </w:r>
    </w:p>
    <w:p>
      <w:pPr>
        <w:spacing w:line="240" w:lineRule="auto" w:before="4"/>
        <w:rPr>
          <w:rFonts w:ascii="宋体" w:hAnsi="宋体" w:cs="宋体" w:eastAsia="宋体" w:hint="default"/>
          <w:sz w:val="13"/>
          <w:szCs w:val="13"/>
        </w:rPr>
      </w:pPr>
    </w:p>
    <w:p>
      <w:pPr>
        <w:pStyle w:val="BodyText"/>
        <w:spacing w:line="477" w:lineRule="auto" w:before="0"/>
        <w:ind w:right="0" w:firstLine="420"/>
        <w:jc w:val="left"/>
      </w:pPr>
      <w:r>
        <w:rPr>
          <w:rFonts w:ascii="宋体" w:hAnsi="宋体" w:cs="宋体" w:eastAsia="宋体" w:hint="default"/>
        </w:rPr>
        <w:t>2013</w:t>
      </w:r>
      <w:r>
        <w:rPr/>
        <w:t>年，公司还将重点开拓海外市场，促进海外客户的销售落地，开展海外客户的售前、售中及售后技术服务，加快 适应海外客户需求的产品研发，以多种商业合作形式与海外客户、代理商进行合作，有效提升海外市场销售占比。</w:t>
      </w:r>
    </w:p>
    <w:p>
      <w:pPr>
        <w:spacing w:line="240" w:lineRule="auto" w:before="4"/>
        <w:rPr>
          <w:rFonts w:ascii="宋体" w:hAnsi="宋体" w:cs="宋体" w:eastAsia="宋体" w:hint="default"/>
          <w:sz w:val="13"/>
          <w:szCs w:val="13"/>
        </w:rPr>
      </w:pPr>
    </w:p>
    <w:p>
      <w:pPr>
        <w:pStyle w:val="Heading8"/>
        <w:spacing w:line="240" w:lineRule="auto"/>
        <w:ind w:right="0"/>
        <w:jc w:val="left"/>
        <w:rPr>
          <w:b w:val="0"/>
          <w:bCs w:val="0"/>
        </w:rPr>
      </w:pPr>
      <w:r>
        <w:rPr>
          <w:rFonts w:ascii="宋体" w:hAnsi="宋体" w:cs="宋体" w:eastAsia="宋体" w:hint="default"/>
        </w:rPr>
        <w:t>3</w:t>
      </w:r>
      <w:r>
        <w:rPr/>
        <w:t>）加大研发投入，研究新技术、新产品</w:t>
      </w:r>
      <w:r>
        <w:rPr>
          <w:b w:val="0"/>
          <w:bCs w:val="0"/>
        </w:rPr>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77" w:lineRule="auto" w:before="0"/>
        <w:ind w:right="149" w:firstLine="480"/>
        <w:jc w:val="both"/>
      </w:pPr>
      <w:r>
        <w:rPr>
          <w:rFonts w:ascii="宋体" w:hAnsi="宋体" w:cs="宋体" w:eastAsia="宋体" w:hint="default"/>
          <w:spacing w:val="-1"/>
        </w:rPr>
        <w:t>2013</w:t>
      </w:r>
      <w:r>
        <w:rPr>
          <w:spacing w:val="-1"/>
        </w:rPr>
        <w:t>年，基于传统金融</w:t>
      </w:r>
      <w:r>
        <w:rPr>
          <w:rFonts w:ascii="宋体" w:hAnsi="宋体" w:cs="宋体" w:eastAsia="宋体" w:hint="default"/>
          <w:spacing w:val="-1"/>
        </w:rPr>
        <w:t>POS</w:t>
      </w:r>
      <w:r>
        <w:rPr>
          <w:spacing w:val="-1"/>
        </w:rPr>
        <w:t>设备仍占市场主流的判断，公司将继续优化传统金融</w:t>
      </w:r>
      <w:r>
        <w:rPr>
          <w:rFonts w:ascii="宋体" w:hAnsi="宋体" w:cs="宋体" w:eastAsia="宋体" w:hint="default"/>
          <w:spacing w:val="-1"/>
        </w:rPr>
        <w:t>POS</w:t>
      </w:r>
      <w:r>
        <w:rPr>
          <w:spacing w:val="-1"/>
        </w:rPr>
        <w:t>设备的品质，提升产品稳定性、安</w:t>
      </w:r>
      <w:r>
        <w:rPr/>
        <w:t> </w:t>
      </w:r>
      <w:r>
        <w:rPr>
          <w:spacing w:val="-2"/>
        </w:rPr>
        <w:t>全性。与此同时，为了抓住行业发展机会，公司还将加大基于互联网应用的电子支付技术和产品的研发，以适应市场的新需</w:t>
      </w:r>
      <w:r>
        <w:rPr>
          <w:spacing w:val="-64"/>
        </w:rPr>
        <w:t> </w:t>
      </w:r>
      <w:r>
        <w:rPr>
          <w:spacing w:val="-64"/>
        </w:rPr>
      </w:r>
      <w:r>
        <w:rPr/>
        <w:t>求。</w:t>
      </w:r>
    </w:p>
    <w:p>
      <w:pPr>
        <w:spacing w:line="240" w:lineRule="auto" w:before="4"/>
        <w:rPr>
          <w:rFonts w:ascii="宋体" w:hAnsi="宋体" w:cs="宋体" w:eastAsia="宋体" w:hint="default"/>
          <w:sz w:val="13"/>
          <w:szCs w:val="13"/>
        </w:rPr>
      </w:pPr>
    </w:p>
    <w:p>
      <w:pPr>
        <w:pStyle w:val="Heading8"/>
        <w:spacing w:line="240" w:lineRule="auto"/>
        <w:ind w:right="141"/>
        <w:jc w:val="left"/>
        <w:rPr>
          <w:b w:val="0"/>
          <w:bCs w:val="0"/>
        </w:rPr>
      </w:pPr>
      <w:r>
        <w:rPr>
          <w:rFonts w:ascii="宋体" w:hAnsi="宋体" w:cs="宋体" w:eastAsia="宋体" w:hint="default"/>
        </w:rPr>
        <w:t>4</w:t>
      </w:r>
      <w:r>
        <w:rPr/>
        <w:t>）优化人力资源配置，提升人均效能</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155" w:firstLine="480"/>
        <w:jc w:val="both"/>
      </w:pPr>
      <w:r>
        <w:rPr/>
        <w:t>完善部门和岗位</w:t>
      </w:r>
      <w:r>
        <w:rPr>
          <w:rFonts w:ascii="宋体" w:hAnsi="宋体" w:cs="宋体" w:eastAsia="宋体" w:hint="default"/>
        </w:rPr>
        <w:t>KPI</w:t>
      </w:r>
      <w:r>
        <w:rPr/>
        <w:t>指标体系，完善员工激励体系，加强业务指标考核。同时，大力引进高端人才，优化人力资源配 </w:t>
      </w:r>
      <w:r>
        <w:rPr>
          <w:spacing w:val="-2"/>
        </w:rPr>
        <w:t>置，淘汰冗员，提升人均效能。继续推进企业文化建设，提升企业凝聚力。完善员工培训机制，加大培训奖励力度，提升员</w:t>
      </w:r>
      <w:r>
        <w:rPr>
          <w:spacing w:val="-72"/>
        </w:rPr>
        <w:t> </w:t>
      </w:r>
      <w:r>
        <w:rPr>
          <w:spacing w:val="-72"/>
        </w:rPr>
      </w:r>
      <w:r>
        <w:rPr/>
        <w:t>工综合职业素质。大力引进研发、销售、管理方面的高端人才，有效提升企业整体能力。</w:t>
      </w:r>
    </w:p>
    <w:p>
      <w:pPr>
        <w:spacing w:line="240" w:lineRule="auto" w:before="5"/>
        <w:rPr>
          <w:rFonts w:ascii="宋体" w:hAnsi="宋体" w:cs="宋体" w:eastAsia="宋体" w:hint="default"/>
          <w:sz w:val="13"/>
          <w:szCs w:val="13"/>
        </w:rPr>
      </w:pPr>
    </w:p>
    <w:p>
      <w:pPr>
        <w:pStyle w:val="Heading8"/>
        <w:spacing w:line="240" w:lineRule="auto"/>
        <w:ind w:right="141"/>
        <w:jc w:val="left"/>
        <w:rPr>
          <w:b w:val="0"/>
          <w:bCs w:val="0"/>
        </w:rPr>
      </w:pPr>
      <w:r>
        <w:rPr>
          <w:rFonts w:ascii="宋体" w:hAnsi="宋体" w:cs="宋体" w:eastAsia="宋体" w:hint="default"/>
        </w:rPr>
        <w:t>5</w:t>
      </w:r>
      <w:r>
        <w:rPr/>
        <w:t>）加强投资者关系建设</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before="0"/>
        <w:ind w:right="130" w:firstLine="480"/>
        <w:jc w:val="both"/>
      </w:pPr>
      <w:r>
        <w:rPr/>
        <w:t>投资者关系是公司进入资本市场后必须长期坚持和努力的重要工作。</w:t>
      </w:r>
      <w:r>
        <w:rPr>
          <w:rFonts w:ascii="宋体" w:hAnsi="宋体" w:cs="宋体" w:eastAsia="宋体" w:hint="default"/>
        </w:rPr>
        <w:t>2013</w:t>
      </w:r>
      <w:r>
        <w:rPr/>
        <w:t>年，公司将进一步加强信息披露管理流程， </w:t>
      </w:r>
      <w:r>
        <w:rPr>
          <w:spacing w:val="-2"/>
        </w:rPr>
        <w:t>认真对待投资者沟通工作，加强公司与投资者和潜在投资者之间的沟通，促进投资者对公司价值了解和认同，促进公司与投</w:t>
      </w:r>
      <w:r>
        <w:rPr>
          <w:spacing w:val="-63"/>
        </w:rPr>
        <w:t> </w:t>
      </w:r>
      <w:r>
        <w:rPr>
          <w:spacing w:val="-63"/>
        </w:rPr>
      </w:r>
      <w:r>
        <w:rPr/>
        <w:t>资者之间的信任度，为公司的长期发展打下坚实的投资者关系基础。</w:t>
      </w:r>
    </w:p>
    <w:p>
      <w:pPr>
        <w:pStyle w:val="Heading5"/>
        <w:spacing w:line="240" w:lineRule="auto" w:before="151"/>
        <w:ind w:right="141"/>
        <w:jc w:val="left"/>
        <w:rPr>
          <w:b w:val="0"/>
          <w:bCs w:val="0"/>
        </w:rPr>
      </w:pPr>
      <w:r>
        <w:rPr/>
        <w:t>（</w:t>
      </w:r>
      <w:r>
        <w:rPr>
          <w:rFonts w:ascii="宋体" w:hAnsi="宋体" w:cs="宋体" w:eastAsia="宋体" w:hint="default"/>
        </w:rPr>
        <w:t>2</w:t>
      </w:r>
      <w:r>
        <w:rPr/>
        <w:t>）公司为实现发展战略规划所需的资金需求及使用计划</w:t>
      </w:r>
      <w:r>
        <w:rPr>
          <w:b w:val="0"/>
          <w:bCs w:val="0"/>
        </w:rPr>
      </w:r>
    </w:p>
    <w:p>
      <w:pPr>
        <w:spacing w:line="240" w:lineRule="auto" w:before="9"/>
        <w:rPr>
          <w:rFonts w:ascii="宋体" w:hAnsi="宋体" w:cs="宋体" w:eastAsia="宋体" w:hint="default"/>
          <w:b/>
          <w:bCs/>
          <w:sz w:val="25"/>
          <w:szCs w:val="25"/>
        </w:rPr>
      </w:pPr>
    </w:p>
    <w:p>
      <w:pPr>
        <w:pStyle w:val="BodyText"/>
        <w:spacing w:line="477" w:lineRule="auto" w:before="0"/>
        <w:ind w:right="151" w:firstLine="480"/>
        <w:jc w:val="both"/>
      </w:pPr>
      <w:r>
        <w:rPr/>
        <w:t>公司首次公开发行</w:t>
      </w:r>
      <w:r>
        <w:rPr>
          <w:rFonts w:ascii="宋体" w:hAnsi="宋体" w:cs="宋体" w:eastAsia="宋体" w:hint="default"/>
        </w:rPr>
        <w:t>A</w:t>
      </w:r>
      <w:r>
        <w:rPr/>
        <w:t>股后募集资金净额</w:t>
      </w:r>
      <w:r>
        <w:rPr>
          <w:rFonts w:ascii="宋体" w:hAnsi="宋体" w:cs="宋体" w:eastAsia="宋体" w:hint="default"/>
        </w:rPr>
        <w:t>646,334,934.33</w:t>
      </w:r>
      <w:r>
        <w:rPr/>
        <w:t>元，公司将严格按照中国证监会和深交所各项规定管好和用好 </w:t>
      </w:r>
      <w:r>
        <w:rPr>
          <w:spacing w:val="-2"/>
        </w:rPr>
        <w:t>募集资金、超募资金，严格执行审批程序，积极推进募投项目建设和制订并实施超募资金使用方案，努力提高资金的使用效</w:t>
      </w:r>
      <w:r>
        <w:rPr>
          <w:spacing w:val="-64"/>
        </w:rPr>
        <w:t> </w:t>
      </w:r>
      <w:r>
        <w:rPr>
          <w:spacing w:val="-64"/>
        </w:rPr>
      </w:r>
      <w:r>
        <w:rPr/>
        <w:t>率。同时，公司将合理安排自有资金，确保公司未来发展资金需求，为公司的长远发展奠定基础，为股东创造最大效益。</w:t>
      </w:r>
    </w:p>
    <w:p>
      <w:pPr>
        <w:spacing w:line="240" w:lineRule="auto" w:before="5"/>
        <w:rPr>
          <w:rFonts w:ascii="宋体" w:hAnsi="宋体" w:cs="宋体" w:eastAsia="宋体" w:hint="default"/>
          <w:sz w:val="23"/>
          <w:szCs w:val="23"/>
        </w:rPr>
      </w:pPr>
    </w:p>
    <w:p>
      <w:pPr>
        <w:pStyle w:val="Heading4"/>
        <w:spacing w:line="240" w:lineRule="auto"/>
        <w:ind w:right="141"/>
        <w:jc w:val="left"/>
        <w:rPr>
          <w:b w:val="0"/>
          <w:bCs w:val="0"/>
        </w:rPr>
      </w:pPr>
      <w:r>
        <w:rPr/>
        <w:t>四、董事会对会计师事务所本报告期“非标准审计报告”的说明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141"/>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4"/>
        <w:spacing w:line="240" w:lineRule="auto"/>
        <w:ind w:right="141"/>
        <w:jc w:val="left"/>
        <w:rPr>
          <w:b w:val="0"/>
          <w:bCs w:val="0"/>
        </w:rPr>
      </w:pPr>
      <w:r>
        <w:rPr/>
        <w:t>五、董事会关于报告期会计政策、会计估计变更或重要前期差错更正的说明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141"/>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4"/>
        <w:spacing w:line="240" w:lineRule="auto"/>
        <w:ind w:right="141"/>
        <w:jc w:val="left"/>
        <w:rPr>
          <w:b w:val="0"/>
          <w:bCs w:val="0"/>
        </w:rPr>
      </w:pPr>
      <w:r>
        <w:rPr/>
        <w:t>六、公司利润分配及分红派息情况</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65"/>
        <w:ind w:right="141"/>
        <w:jc w:val="left"/>
        <w:rPr>
          <w:b w:val="0"/>
          <w:bCs w:val="0"/>
        </w:rPr>
      </w:pPr>
      <w:r>
        <w:rPr>
          <w:rFonts w:ascii="宋体" w:hAnsi="宋体" w:cs="宋体" w:eastAsia="宋体" w:hint="default"/>
        </w:rPr>
        <w:t>1</w:t>
      </w:r>
      <w:r>
        <w:rPr/>
        <w:t>、报告期内利润分配政策特别是现金分红政策的制定、执行或调整情况</w:t>
      </w:r>
      <w:r>
        <w:rPr>
          <w:b w:val="0"/>
          <w:bCs w:val="0"/>
        </w:rPr>
      </w:r>
    </w:p>
    <w:p>
      <w:pPr>
        <w:spacing w:line="240" w:lineRule="auto" w:before="8"/>
        <w:rPr>
          <w:rFonts w:ascii="宋体" w:hAnsi="宋体" w:cs="宋体" w:eastAsia="宋体" w:hint="default"/>
          <w:b/>
          <w:bCs/>
          <w:sz w:val="19"/>
          <w:szCs w:val="19"/>
        </w:rPr>
      </w:pPr>
    </w:p>
    <w:p>
      <w:pPr>
        <w:pStyle w:val="BodyText"/>
        <w:spacing w:line="240" w:lineRule="auto" w:before="0"/>
        <w:ind w:left="573" w:right="0"/>
        <w:jc w:val="left"/>
      </w:pPr>
      <w:r>
        <w:rPr/>
        <w:t>根据中国证券监督管理委员会</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t>日下发的《关于进一步落实上市公司现金分红有关事项的通知》（以下简</w:t>
      </w:r>
    </w:p>
    <w:p>
      <w:pPr>
        <w:spacing w:line="240" w:lineRule="auto" w:before="10"/>
        <w:rPr>
          <w:rFonts w:ascii="宋体" w:hAnsi="宋体" w:cs="宋体" w:eastAsia="宋体" w:hint="default"/>
          <w:sz w:val="17"/>
          <w:szCs w:val="17"/>
        </w:rPr>
      </w:pPr>
    </w:p>
    <w:p>
      <w:pPr>
        <w:pStyle w:val="BodyText"/>
        <w:spacing w:line="477" w:lineRule="auto" w:before="0"/>
        <w:ind w:right="147"/>
        <w:jc w:val="left"/>
      </w:pPr>
      <w:r>
        <w:rPr/>
        <w:t>称“《通知》”）及深圳监管局于</w:t>
      </w:r>
      <w:r>
        <w:rPr>
          <w:spacing w:val="-45"/>
        </w:rPr>
        <w:t> </w:t>
      </w: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5</w:t>
      </w:r>
      <w:r>
        <w:rPr>
          <w:rFonts w:ascii="宋体" w:hAnsi="宋体" w:cs="宋体" w:eastAsia="宋体" w:hint="default"/>
          <w:spacing w:val="-47"/>
        </w:rPr>
        <w:t> </w:t>
      </w:r>
      <w:r>
        <w:rPr/>
        <w:t>月</w:t>
      </w:r>
      <w:r>
        <w:rPr>
          <w:spacing w:val="-46"/>
        </w:rPr>
        <w:t> </w:t>
      </w:r>
      <w:r>
        <w:rPr>
          <w:rFonts w:ascii="宋体" w:hAnsi="宋体" w:cs="宋体" w:eastAsia="宋体" w:hint="default"/>
        </w:rPr>
        <w:t>18</w:t>
      </w:r>
      <w:r>
        <w:rPr>
          <w:rFonts w:ascii="宋体" w:hAnsi="宋体" w:cs="宋体" w:eastAsia="宋体" w:hint="default"/>
          <w:spacing w:val="-45"/>
        </w:rPr>
        <w:t> </w:t>
      </w:r>
      <w:r>
        <w:rPr/>
        <w:t>日下发的《关于认真贯彻落实</w:t>
      </w:r>
      <w:r>
        <w:rPr>
          <w:rFonts w:ascii="宋体" w:hAnsi="宋体" w:cs="宋体" w:eastAsia="宋体" w:hint="default"/>
        </w:rPr>
        <w:t>&lt;</w:t>
      </w:r>
      <w:r>
        <w:rPr/>
        <w:t>关于进一步落实上市公司现金分红有关事 项的通知</w:t>
      </w:r>
      <w:r>
        <w:rPr>
          <w:rFonts w:ascii="宋体" w:hAnsi="宋体" w:cs="宋体" w:eastAsia="宋体" w:hint="default"/>
        </w:rPr>
        <w:t>&gt; </w:t>
      </w:r>
      <w:r>
        <w:rPr/>
        <w:t>有关要求的通知》（深证局公司字〔</w:t>
      </w:r>
      <w:r>
        <w:rPr>
          <w:rFonts w:ascii="宋体" w:hAnsi="宋体" w:cs="宋体" w:eastAsia="宋体" w:hint="default"/>
        </w:rPr>
        <w:t>2012</w:t>
      </w:r>
      <w:r>
        <w:rPr/>
        <w:t>〕</w:t>
      </w:r>
      <w:r>
        <w:rPr>
          <w:rFonts w:ascii="宋体" w:hAnsi="宋体" w:cs="宋体" w:eastAsia="宋体" w:hint="default"/>
        </w:rPr>
        <w:t>43</w:t>
      </w:r>
      <w:r>
        <w:rPr>
          <w:rFonts w:ascii="宋体" w:hAnsi="宋体" w:cs="宋体" w:eastAsia="宋体" w:hint="default"/>
          <w:spacing w:val="-3"/>
        </w:rPr>
        <w:t> </w:t>
      </w:r>
      <w:r>
        <w:rPr/>
        <w:t>号）要求，公司积极组织公司实际控制人、董事、监事及高级管</w:t>
      </w:r>
    </w:p>
    <w:p>
      <w:pPr>
        <w:spacing w:after="0" w:line="47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0"/>
        <w:jc w:val="left"/>
      </w:pPr>
      <w:r>
        <w:rPr>
          <w:spacing w:val="-2"/>
        </w:rPr>
        <w:t>理人员对《通知》进行了认真学习和解读，并结合公司实际情况，就股东回报规划事宜与公司独立董事和部分流通股股东进</w:t>
      </w:r>
      <w:r>
        <w:rPr>
          <w:spacing w:val="-64"/>
        </w:rPr>
        <w:t> </w:t>
      </w:r>
      <w:r>
        <w:rPr>
          <w:spacing w:val="-64"/>
        </w:rPr>
      </w:r>
      <w:r>
        <w:rPr/>
        <w:t>行交流，从股东回报规划安排、利润分配尤其是现金分红事项决策程序和机制的完善上做了深入研究论证。</w:t>
      </w:r>
    </w:p>
    <w:p>
      <w:pPr>
        <w:pStyle w:val="BodyText"/>
        <w:spacing w:line="240" w:lineRule="auto" w:before="95"/>
        <w:ind w:left="573" w:right="0"/>
        <w:jc w:val="left"/>
      </w:pPr>
      <w:r>
        <w:rPr/>
        <w:t>公司根据《通知》的要求，对《公司章程》与《通知》进行比照自查，并召开董事会审议制订《现金分红管理制度》</w:t>
      </w:r>
    </w:p>
    <w:p>
      <w:pPr>
        <w:spacing w:line="240" w:lineRule="auto" w:before="10"/>
        <w:rPr>
          <w:rFonts w:ascii="宋体" w:hAnsi="宋体" w:cs="宋体" w:eastAsia="宋体" w:hint="default"/>
          <w:sz w:val="17"/>
          <w:szCs w:val="17"/>
        </w:rPr>
      </w:pPr>
    </w:p>
    <w:p>
      <w:pPr>
        <w:pStyle w:val="BodyText"/>
        <w:spacing w:line="477" w:lineRule="auto" w:before="0"/>
        <w:ind w:right="0"/>
        <w:jc w:val="left"/>
      </w:pPr>
      <w:r>
        <w:rPr>
          <w:spacing w:val="-2"/>
        </w:rPr>
        <w:t>（详见公司同日在巨潮网披露的《深圳市新国都技术股份有限公司现金分红管理制度》），对《公司章程》中相关利润分配</w:t>
      </w:r>
      <w:r>
        <w:rPr>
          <w:spacing w:val="-68"/>
        </w:rPr>
        <w:t> </w:t>
      </w:r>
      <w:r>
        <w:rPr>
          <w:spacing w:val="-68"/>
        </w:rPr>
      </w:r>
      <w:r>
        <w:rPr/>
        <w:t>政策的条款进行修订。《公司章程》中涉及利润分配的条文如下：</w:t>
      </w:r>
    </w:p>
    <w:p>
      <w:pPr>
        <w:pStyle w:val="BodyText"/>
        <w:spacing w:line="477" w:lineRule="auto" w:before="92"/>
        <w:ind w:right="177" w:firstLine="511"/>
        <w:jc w:val="left"/>
      </w:pPr>
      <w:r>
        <w:rPr/>
        <w:t>“第一百五十四条：公司分配当年税后利润时，应当提取利润的</w:t>
      </w:r>
      <w:r>
        <w:rPr>
          <w:spacing w:val="-54"/>
        </w:rPr>
        <w:t> </w:t>
      </w:r>
      <w:r>
        <w:rPr>
          <w:rFonts w:ascii="宋体" w:hAnsi="宋体" w:cs="宋体" w:eastAsia="宋体" w:hint="default"/>
        </w:rPr>
        <w:t>10%</w:t>
      </w:r>
      <w:r>
        <w:rPr/>
        <w:t>列入公司法定公积金。公司法定公积金累计额为 公司注册资本的</w:t>
      </w:r>
      <w:r>
        <w:rPr>
          <w:spacing w:val="-47"/>
        </w:rPr>
        <w:t> </w:t>
      </w:r>
      <w:r>
        <w:rPr>
          <w:rFonts w:ascii="宋体" w:hAnsi="宋体" w:cs="宋体" w:eastAsia="宋体" w:hint="default"/>
        </w:rPr>
        <w:t>50%</w:t>
      </w:r>
      <w:r>
        <w:rPr/>
        <w:t>以上的，可以不再提取。</w:t>
      </w:r>
    </w:p>
    <w:p>
      <w:pPr>
        <w:pStyle w:val="BodyText"/>
        <w:spacing w:line="518" w:lineRule="auto" w:before="95"/>
        <w:ind w:left="573" w:right="213"/>
        <w:jc w:val="left"/>
      </w:pPr>
      <w:r>
        <w:rPr/>
        <w:t>公司的法定公积金不足以弥补以前年度亏损的，在依照前款规定提取法定公积金之前，应当先用当年利润弥补亏损。 公司从税后利润中提取法定公积金后，经股东大会决议，还可以从税后利润中提取任意公积金。 公司弥补亏损和提取公积金后所余税后利润，按照股东持有的股份比例分配。 股东大会违反前款规定，在公司弥补亏损和提取法定公积金之前向股东分配利润的，股东必须将违反规定分配的利润</w:t>
      </w:r>
    </w:p>
    <w:p>
      <w:pPr>
        <w:pStyle w:val="BodyText"/>
        <w:spacing w:line="240" w:lineRule="auto" w:before="23"/>
        <w:ind w:right="0"/>
        <w:jc w:val="left"/>
      </w:pPr>
      <w:r>
        <w:rPr/>
        <w:t>退还公司。</w:t>
      </w:r>
    </w:p>
    <w:p>
      <w:pPr>
        <w:spacing w:line="240" w:lineRule="auto" w:before="12"/>
        <w:rPr>
          <w:rFonts w:ascii="宋体" w:hAnsi="宋体" w:cs="宋体" w:eastAsia="宋体" w:hint="default"/>
          <w:sz w:val="20"/>
          <w:szCs w:val="20"/>
        </w:rPr>
      </w:pPr>
    </w:p>
    <w:p>
      <w:pPr>
        <w:pStyle w:val="BodyText"/>
        <w:spacing w:line="516" w:lineRule="auto" w:before="0"/>
        <w:ind w:left="573" w:right="213"/>
        <w:jc w:val="left"/>
      </w:pPr>
      <w:r>
        <w:rPr/>
        <w:t>公司持有的本公司股份不参与分配利润。 第一百五十五条：公司的公积金用于弥补公司的亏损、扩大公司生产经营或者转为增加公司资本。但是，资本公积金</w:t>
      </w:r>
    </w:p>
    <w:p>
      <w:pPr>
        <w:pStyle w:val="BodyText"/>
        <w:spacing w:line="518" w:lineRule="auto" w:before="25"/>
        <w:ind w:left="573" w:right="2777" w:hanging="421"/>
        <w:jc w:val="left"/>
      </w:pPr>
      <w:r>
        <w:rPr/>
        <w:t>将不用于弥补公司的亏损。 法定公积金转为资本时，所留存的该项公积金不得少于转增前公司注册资本的</w:t>
      </w:r>
      <w:r>
        <w:rPr>
          <w:spacing w:val="-44"/>
        </w:rPr>
        <w:t> </w:t>
      </w:r>
      <w:r>
        <w:rPr>
          <w:rFonts w:ascii="宋体" w:hAnsi="宋体" w:cs="宋体" w:eastAsia="宋体" w:hint="default"/>
        </w:rPr>
        <w:t>25%</w:t>
      </w:r>
      <w:r>
        <w:rPr/>
        <w:t>。</w:t>
      </w:r>
    </w:p>
    <w:p>
      <w:pPr>
        <w:pStyle w:val="BodyText"/>
        <w:spacing w:line="516" w:lineRule="auto" w:before="64"/>
        <w:ind w:left="573" w:right="85"/>
        <w:jc w:val="left"/>
      </w:pPr>
      <w:r>
        <w:rPr/>
        <w:t>公司股东大会对利润分配方案作出决议后，公司董事会须在股东大会召开后</w:t>
      </w:r>
      <w:r>
        <w:rPr>
          <w:spacing w:val="-44"/>
        </w:rPr>
        <w:t> </w:t>
      </w:r>
      <w:r>
        <w:rPr>
          <w:rFonts w:ascii="宋体" w:hAnsi="宋体" w:cs="宋体" w:eastAsia="宋体" w:hint="default"/>
        </w:rPr>
        <w:t>2</w:t>
      </w:r>
      <w:r>
        <w:rPr>
          <w:rFonts w:ascii="宋体" w:hAnsi="宋体" w:cs="宋体" w:eastAsia="宋体" w:hint="default"/>
          <w:spacing w:val="-44"/>
        </w:rPr>
        <w:t> </w:t>
      </w:r>
      <w:r>
        <w:rPr>
          <w:spacing w:val="-3"/>
        </w:rPr>
        <w:t>个月内完成股利（或股份）的派发事项。</w:t>
      </w:r>
      <w:r>
        <w:rPr/>
        <w:t> 第一百五十六条：公司可以采取现金或者股票的方式分配股利。公司分配现金股利，以人民币计价和支付。 第一百五十七条</w:t>
      </w:r>
      <w:r>
        <w:rPr>
          <w:spacing w:val="89"/>
        </w:rPr>
        <w:t> </w:t>
      </w:r>
      <w:r>
        <w:rPr/>
        <w:t>公司应实施积极的利润分配政策，利润分配政策保持连续性和稳定性，最近三年以现金方式累计分</w:t>
      </w:r>
    </w:p>
    <w:p>
      <w:pPr>
        <w:pStyle w:val="BodyText"/>
        <w:spacing w:line="516" w:lineRule="auto" w:before="25"/>
        <w:ind w:left="573" w:right="213" w:hanging="421"/>
        <w:jc w:val="left"/>
      </w:pPr>
      <w:r>
        <w:rPr/>
        <w:t>配的利润不少于最近三年实现的年均可分配利润的百分之三十；在有条件的情况下，公司可以进行中期现金分红。 公司董事会未做出现金利润分配预案的，应当在定期报告中披露原因，独立董事应当对此发表独立意见。” 对上述公司章程中涉及利润分配的条款，公司拟保持第一百五十四条的内容不变，只对第一百五十五条至第一百五十</w:t>
      </w:r>
    </w:p>
    <w:p>
      <w:pPr>
        <w:pStyle w:val="BodyText"/>
        <w:spacing w:line="518" w:lineRule="auto" w:before="26"/>
        <w:ind w:left="573" w:right="7953" w:hanging="421"/>
        <w:jc w:val="left"/>
      </w:pPr>
      <w:r>
        <w:rPr/>
        <w:t>七条的内容进行修订。 具体拟修订如下：</w:t>
      </w:r>
    </w:p>
    <w:p>
      <w:pPr>
        <w:pStyle w:val="BodyText"/>
        <w:spacing w:line="477" w:lineRule="auto" w:before="64"/>
        <w:ind w:right="214" w:firstLine="420"/>
        <w:jc w:val="left"/>
      </w:pPr>
      <w:r>
        <w:rPr/>
        <w:t>“第一百五十五条：公司的公积金用于弥补公司的亏损、扩大公司生产经营或者转为增加公司资本。但是，资本公积 金将不用于弥补公司的亏损。</w:t>
      </w:r>
    </w:p>
    <w:p>
      <w:pPr>
        <w:pStyle w:val="BodyText"/>
        <w:spacing w:line="518" w:lineRule="auto" w:before="92"/>
        <w:ind w:left="573" w:right="213"/>
        <w:jc w:val="left"/>
      </w:pPr>
      <w:r>
        <w:rPr/>
        <w:t>法定公积金转为资本时，所留存的该项公积金不得少于转增前公司注册资本的</w:t>
      </w:r>
      <w:r>
        <w:rPr>
          <w:spacing w:val="-44"/>
        </w:rPr>
        <w:t> </w:t>
      </w:r>
      <w:r>
        <w:rPr>
          <w:rFonts w:ascii="宋体" w:hAnsi="宋体" w:cs="宋体" w:eastAsia="宋体" w:hint="default"/>
        </w:rPr>
        <w:t>25%</w:t>
      </w:r>
      <w:r>
        <w:rPr/>
        <w:t>。 公司利润分配预案由公司董事会根据监管政策和公司经营状况拟定，由独立董事发表独立意见，并提交公司股东大会</w:t>
      </w:r>
    </w:p>
    <w:p>
      <w:pPr>
        <w:spacing w:after="0" w:line="518"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30"/>
        <w:jc w:val="left"/>
      </w:pPr>
      <w:r>
        <w:rPr/>
        <w:t>审议通过后方可实施。公司股东大会对利润分配方案作出决议后，公司董事会须在股东大会召开后</w:t>
      </w:r>
      <w:r>
        <w:rPr>
          <w:spacing w:val="-68"/>
        </w:rPr>
        <w:t> </w:t>
      </w:r>
      <w:r>
        <w:rPr>
          <w:rFonts w:ascii="宋体" w:hAnsi="宋体" w:cs="宋体" w:eastAsia="宋体" w:hint="default"/>
        </w:rPr>
        <w:t>2</w:t>
      </w:r>
      <w:r>
        <w:rPr>
          <w:rFonts w:ascii="宋体" w:hAnsi="宋体" w:cs="宋体" w:eastAsia="宋体" w:hint="default"/>
          <w:spacing w:val="-68"/>
        </w:rPr>
        <w:t> </w:t>
      </w:r>
      <w:r>
        <w:rPr>
          <w:spacing w:val="-3"/>
        </w:rPr>
        <w:t>个月内完成股利（或股</w:t>
      </w:r>
      <w:r>
        <w:rPr/>
        <w:t> 份）的派发事项。</w:t>
      </w:r>
    </w:p>
    <w:p>
      <w:pPr>
        <w:pStyle w:val="BodyText"/>
        <w:spacing w:line="477" w:lineRule="auto" w:before="95"/>
        <w:ind w:right="174" w:firstLine="420"/>
        <w:jc w:val="left"/>
      </w:pPr>
      <w:r>
        <w:rPr/>
        <w:t>公司监事会应对董事会和管理层执行公司利润分配政策和股东回报规划的情况及决策程序进行监督，并针对年度盈利 但未提出利润分配预案的情况，发表专项说明和意见。”</w:t>
      </w:r>
    </w:p>
    <w:p>
      <w:pPr>
        <w:pStyle w:val="BodyText"/>
        <w:spacing w:line="477" w:lineRule="auto" w:before="92"/>
        <w:ind w:right="141" w:firstLine="511"/>
        <w:jc w:val="left"/>
      </w:pPr>
      <w:r>
        <w:rPr>
          <w:spacing w:val="-2"/>
        </w:rPr>
        <w:t>“第一百五十六条：公司可以采用现金、股票、现金与股票相结合或者法律、法规允许的其他方式分配利润。公司分</w:t>
      </w:r>
      <w:r>
        <w:rPr/>
        <w:t> 配现金股利，以人民币计价和支付。</w:t>
      </w:r>
    </w:p>
    <w:p>
      <w:pPr>
        <w:pStyle w:val="BodyText"/>
        <w:spacing w:line="477" w:lineRule="auto" w:before="95"/>
        <w:ind w:right="174" w:firstLine="420"/>
        <w:jc w:val="left"/>
      </w:pPr>
      <w:r>
        <w:rPr/>
        <w:t>公司对公司章程确定的现金分红政策进行调整或者变更的，应当由董事会拟定调整方案，独立董事发表独立意见，并 提交公司股东大会经出席股东大会的股东所持表决权的</w:t>
      </w:r>
      <w:r>
        <w:rPr>
          <w:spacing w:val="-45"/>
        </w:rPr>
        <w:t> </w:t>
      </w:r>
      <w:r>
        <w:rPr>
          <w:rFonts w:ascii="宋体" w:hAnsi="宋体" w:cs="宋体" w:eastAsia="宋体" w:hint="default"/>
        </w:rPr>
        <w:t>2/3</w:t>
      </w:r>
      <w:r>
        <w:rPr>
          <w:rFonts w:ascii="宋体" w:hAnsi="宋体" w:cs="宋体" w:eastAsia="宋体" w:hint="default"/>
          <w:spacing w:val="-47"/>
        </w:rPr>
        <w:t> </w:t>
      </w:r>
      <w:r>
        <w:rPr/>
        <w:t>以上通过。”</w:t>
      </w:r>
    </w:p>
    <w:p>
      <w:pPr>
        <w:pStyle w:val="BodyText"/>
        <w:spacing w:line="477" w:lineRule="auto" w:before="95"/>
        <w:ind w:right="141" w:firstLine="511"/>
        <w:jc w:val="left"/>
      </w:pPr>
      <w:r>
        <w:rPr>
          <w:spacing w:val="-2"/>
        </w:rPr>
        <w:t>“第一百五十七条：公司制定利润分配预案应当重视中小投资者的合理投资回报，充分听取中小投资者和公司独立董</w:t>
      </w:r>
      <w:r>
        <w:rPr/>
        <w:t> 事的意见。独立董事对公司利润分配事宜应发表独立意见。</w:t>
      </w:r>
    </w:p>
    <w:p>
      <w:pPr>
        <w:pStyle w:val="BodyText"/>
        <w:spacing w:line="477" w:lineRule="auto" w:before="92"/>
        <w:ind w:right="174" w:firstLine="420"/>
        <w:jc w:val="left"/>
      </w:pPr>
      <w:r>
        <w:rPr/>
        <w:t>公司应实施积极的利润分配政策，利润分配政策保持连续性和稳定性，最近三年以现金方式累计分配的利润不少于最 近三年实现的年均可分配利润的百分之三十；在有条件的情况下，公司可以进行中期现金分红。</w:t>
      </w:r>
    </w:p>
    <w:p>
      <w:pPr>
        <w:pStyle w:val="BodyText"/>
        <w:spacing w:line="477" w:lineRule="auto" w:before="95"/>
        <w:ind w:right="174" w:firstLine="420"/>
        <w:jc w:val="left"/>
      </w:pPr>
      <w:r>
        <w:rPr/>
        <w:t>公司应保持利润分配政策的连续性与稳定性，在满足现金分红的条件下，每年以现金方式分配的利润应不低于当年实 现的可分配利润的</w:t>
      </w:r>
      <w:r>
        <w:rPr>
          <w:spacing w:val="-44"/>
        </w:rPr>
        <w:t> </w:t>
      </w:r>
      <w:r>
        <w:rPr>
          <w:rFonts w:ascii="宋体" w:hAnsi="宋体" w:cs="宋体" w:eastAsia="宋体" w:hint="default"/>
        </w:rPr>
        <w:t>10%</w:t>
      </w:r>
      <w:r>
        <w:rPr/>
        <w:t>。</w:t>
      </w:r>
    </w:p>
    <w:p>
      <w:pPr>
        <w:pStyle w:val="BodyText"/>
        <w:spacing w:line="518" w:lineRule="auto" w:before="95"/>
        <w:ind w:left="573" w:right="83"/>
        <w:jc w:val="left"/>
      </w:pPr>
      <w:r>
        <w:rPr/>
        <w:t>公司董事会未做出现金利润分配预案的，应当在定期报告中披露原因，独立董事应当对此发表独立意见。 公司实施现金分红应满足以下条件： </w:t>
      </w:r>
      <w:r>
        <w:rPr>
          <w:rFonts w:ascii="宋体" w:hAnsi="宋体" w:cs="宋体" w:eastAsia="宋体" w:hint="default"/>
        </w:rPr>
        <w:t>1</w:t>
      </w:r>
      <w:r>
        <w:rPr/>
        <w:t>）公司当年合并报表经营活动产生的现金流量净额为正，且现金流充裕，实施现金分红不会影响公司后续持续经营；</w:t>
      </w:r>
    </w:p>
    <w:p>
      <w:pPr>
        <w:pStyle w:val="BodyText"/>
        <w:spacing w:line="240" w:lineRule="auto" w:before="64"/>
        <w:ind w:left="573" w:right="141"/>
        <w:jc w:val="left"/>
      </w:pPr>
      <w:r>
        <w:rPr>
          <w:rFonts w:ascii="宋体" w:hAnsi="宋体" w:cs="宋体" w:eastAsia="宋体" w:hint="default"/>
        </w:rPr>
        <w:t>2</w:t>
      </w:r>
      <w:r>
        <w:rPr/>
        <w:t>）公司当年合并报表实现的净利润弥补以前年度亏损后的每股收益不低于</w:t>
      </w:r>
      <w:r>
        <w:rPr>
          <w:spacing w:val="-44"/>
        </w:rPr>
        <w:t> </w:t>
      </w:r>
      <w:r>
        <w:rPr>
          <w:rFonts w:ascii="宋体" w:hAnsi="宋体" w:cs="宋体" w:eastAsia="宋体" w:hint="default"/>
        </w:rPr>
        <w:t>0.1</w:t>
      </w:r>
      <w:r>
        <w:rPr>
          <w:rFonts w:ascii="宋体" w:hAnsi="宋体" w:cs="宋体" w:eastAsia="宋体" w:hint="default"/>
          <w:spacing w:val="-44"/>
        </w:rPr>
        <w:t> </w:t>
      </w:r>
      <w:r>
        <w:rPr/>
        <w:t>元；</w:t>
      </w:r>
    </w:p>
    <w:p>
      <w:pPr>
        <w:spacing w:line="240" w:lineRule="auto" w:before="9"/>
        <w:rPr>
          <w:rFonts w:ascii="宋体" w:hAnsi="宋体" w:cs="宋体" w:eastAsia="宋体" w:hint="default"/>
          <w:sz w:val="20"/>
          <w:szCs w:val="20"/>
        </w:rPr>
      </w:pPr>
    </w:p>
    <w:p>
      <w:pPr>
        <w:pStyle w:val="BodyText"/>
        <w:spacing w:line="240" w:lineRule="auto" w:before="0"/>
        <w:ind w:left="573" w:right="141"/>
        <w:jc w:val="left"/>
      </w:pPr>
      <w:r>
        <w:rPr>
          <w:rFonts w:ascii="宋体" w:hAnsi="宋体" w:cs="宋体" w:eastAsia="宋体" w:hint="default"/>
        </w:rPr>
        <w:t>3</w:t>
      </w:r>
      <w:r>
        <w:rPr/>
        <w:t>）审计机构对公司的该年度财务报告出具标准无保留意见的审计报告；</w:t>
      </w:r>
    </w:p>
    <w:p>
      <w:pPr>
        <w:spacing w:line="240" w:lineRule="auto" w:before="12"/>
        <w:rPr>
          <w:rFonts w:ascii="宋体" w:hAnsi="宋体" w:cs="宋体" w:eastAsia="宋体" w:hint="default"/>
          <w:sz w:val="20"/>
          <w:szCs w:val="20"/>
        </w:rPr>
      </w:pPr>
    </w:p>
    <w:p>
      <w:pPr>
        <w:pStyle w:val="BodyText"/>
        <w:spacing w:line="518" w:lineRule="auto" w:before="0"/>
        <w:ind w:left="573" w:right="173"/>
        <w:jc w:val="left"/>
      </w:pPr>
      <w:r>
        <w:rPr>
          <w:rFonts w:ascii="宋体" w:hAnsi="宋体" w:cs="宋体" w:eastAsia="宋体" w:hint="default"/>
        </w:rPr>
        <w:t>4</w:t>
      </w:r>
      <w:r>
        <w:rPr/>
        <w:t>）公司无重大投资计划或重大现金支出等事项发生（募集资金项目除外）。 重大投资计划或重大现金支出是指：公司未来十二个月内拟对外投资或者购买资产的累计支出达到或者超过公司最近</w:t>
      </w:r>
    </w:p>
    <w:p>
      <w:pPr>
        <w:pStyle w:val="BodyText"/>
        <w:spacing w:line="516" w:lineRule="auto" w:before="23"/>
        <w:ind w:left="573" w:right="173" w:hanging="421"/>
        <w:jc w:val="left"/>
      </w:pPr>
      <w:r>
        <w:rPr/>
        <w:t>一期经审计净资产的</w:t>
      </w:r>
      <w:r>
        <w:rPr>
          <w:spacing w:val="-45"/>
        </w:rPr>
        <w:t> </w:t>
      </w:r>
      <w:r>
        <w:rPr>
          <w:rFonts w:ascii="宋体" w:hAnsi="宋体" w:cs="宋体" w:eastAsia="宋体" w:hint="default"/>
        </w:rPr>
        <w:t>10%</w:t>
      </w:r>
      <w:r>
        <w:rPr/>
        <w:t>，且达到或者超过人民币</w:t>
      </w:r>
      <w:r>
        <w:rPr>
          <w:spacing w:val="-45"/>
        </w:rPr>
        <w:t> </w:t>
      </w:r>
      <w:r>
        <w:rPr>
          <w:rFonts w:ascii="宋体" w:hAnsi="宋体" w:cs="宋体" w:eastAsia="宋体" w:hint="default"/>
        </w:rPr>
        <w:t>3000</w:t>
      </w:r>
      <w:r>
        <w:rPr>
          <w:rFonts w:ascii="宋体" w:hAnsi="宋体" w:cs="宋体" w:eastAsia="宋体" w:hint="default"/>
          <w:spacing w:val="-44"/>
        </w:rPr>
        <w:t> </w:t>
      </w:r>
      <w:r>
        <w:rPr/>
        <w:t>万元。” 以上修订内容为公司初步修订方案，具体事宜已提交公司第二届董事会第八次会议进行讨论并审议通过，最终方案将</w:t>
      </w:r>
    </w:p>
    <w:p>
      <w:pPr>
        <w:pStyle w:val="BodyText"/>
        <w:spacing w:line="518" w:lineRule="auto" w:before="25"/>
        <w:ind w:left="573" w:right="132" w:hanging="421"/>
        <w:jc w:val="left"/>
      </w:pPr>
      <w:r>
        <w:rPr/>
        <w:t>以公司通过股东大会会议审议为准。 公司通过电话专线、传真、电子邮件、投资者互动平台等多种方式听取公众投资者的意见和诉求</w:t>
      </w:r>
      <w:r>
        <w:rPr>
          <w:rFonts w:ascii="宋体" w:hAnsi="宋体" w:cs="宋体" w:eastAsia="宋体" w:hint="default"/>
        </w:rPr>
        <w:t>,</w:t>
      </w:r>
      <w:r>
        <w:rPr/>
        <w:t>详情请见公司于</w:t>
      </w:r>
      <w:r>
        <w:rPr>
          <w:spacing w:val="-70"/>
        </w:rPr>
        <w:t> </w:t>
      </w:r>
      <w:r>
        <w:rPr>
          <w:rFonts w:ascii="宋体" w:hAnsi="宋体" w:cs="宋体" w:eastAsia="宋体" w:hint="default"/>
        </w:rPr>
        <w:t>7</w:t>
      </w:r>
      <w:r>
        <w:rPr>
          <w:rFonts w:ascii="宋体" w:hAnsi="宋体" w:cs="宋体" w:eastAsia="宋体" w:hint="default"/>
          <w:spacing w:val="-69"/>
        </w:rPr>
        <w:t> </w:t>
      </w:r>
      <w:r>
        <w:rPr/>
        <w:t>月</w:t>
      </w:r>
    </w:p>
    <w:p>
      <w:pPr>
        <w:pStyle w:val="BodyText"/>
        <w:spacing w:line="477" w:lineRule="auto" w:before="23"/>
        <w:ind w:right="142"/>
        <w:jc w:val="left"/>
      </w:pPr>
      <w:r>
        <w:rPr>
          <w:rFonts w:ascii="宋体" w:hAnsi="宋体" w:cs="宋体" w:eastAsia="宋体" w:hint="default"/>
        </w:rPr>
        <w:t>3</w:t>
      </w:r>
      <w:r>
        <w:rPr>
          <w:rFonts w:ascii="宋体" w:hAnsi="宋体" w:cs="宋体" w:eastAsia="宋体" w:hint="default"/>
          <w:spacing w:val="-35"/>
        </w:rPr>
        <w:t> </w:t>
      </w:r>
      <w:r>
        <w:rPr>
          <w:spacing w:val="-1"/>
        </w:rPr>
        <w:t>日在巨潮网发布的《关于贯彻落实现金分红有关事项征求投资者意见的公告》。截至报告期，公司通过以上多种方式接到</w:t>
      </w:r>
      <w:r>
        <w:rPr/>
        <w:t> 众多投资者提出的宝贵意见和建议，公司均及时给予了回复。</w:t>
      </w:r>
    </w:p>
    <w:p>
      <w:pPr>
        <w:pStyle w:val="BodyText"/>
        <w:spacing w:line="240" w:lineRule="auto" w:before="95"/>
        <w:ind w:left="573" w:right="141"/>
        <w:jc w:val="left"/>
      </w:pPr>
      <w:r>
        <w:rPr/>
        <w:t>公司独立董事对本次公司现金分红政策的制订情况发表独立意见如下：公司《关于股东回报规划事宜的论证报告》已</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50"/>
        <w:jc w:val="both"/>
      </w:pPr>
      <w:r>
        <w:rPr>
          <w:spacing w:val="-2"/>
        </w:rPr>
        <w:t>详细说明股东回报规划安排的具体内容和理由、对利润分配的决策程序和机制的完善情况，在论证股东回报规划时充分重视</w:t>
      </w:r>
      <w:r>
        <w:rPr>
          <w:spacing w:val="-64"/>
        </w:rPr>
        <w:t> </w:t>
      </w:r>
      <w:r>
        <w:rPr>
          <w:spacing w:val="-64"/>
        </w:rPr>
      </w:r>
      <w:r>
        <w:rPr>
          <w:spacing w:val="-2"/>
        </w:rPr>
        <w:t>投资者的合理投资回报并兼顾公司的可持续性发展，在保证公司正常经营发展的前提下，为公司建立了持续、稳定及积极的</w:t>
      </w:r>
      <w:r>
        <w:rPr>
          <w:spacing w:val="-63"/>
        </w:rPr>
        <w:t> </w:t>
      </w:r>
      <w:r>
        <w:rPr>
          <w:spacing w:val="-63"/>
        </w:rPr>
      </w:r>
      <w:r>
        <w:rPr/>
        <w:t>分红政策，符合公司实际情况及法律法规要求并进一步增强了公司现金分红的透明度。</w:t>
      </w:r>
    </w:p>
    <w:p>
      <w:pPr>
        <w:pStyle w:val="BodyText"/>
        <w:spacing w:line="477" w:lineRule="auto" w:before="95"/>
        <w:ind w:right="151" w:firstLine="420"/>
        <w:jc w:val="both"/>
      </w:pPr>
      <w:r>
        <w:rPr/>
        <w:t>公司董事会对本次公司现金分红政策的制订情况发表了如下意见：本次股东回报规划在综合分析公司盈利能力、经营 </w:t>
      </w:r>
      <w:r>
        <w:rPr>
          <w:spacing w:val="-2"/>
        </w:rPr>
        <w:t>发展规划、股东回报、社会资金成本及外部融资环境等因素的基础上，充分考虑公司目前及未来盈利能力、项目投资资金需</w:t>
      </w:r>
      <w:r>
        <w:rPr>
          <w:spacing w:val="-64"/>
        </w:rPr>
        <w:t> </w:t>
      </w:r>
      <w:r>
        <w:rPr>
          <w:spacing w:val="-64"/>
        </w:rPr>
      </w:r>
      <w:r>
        <w:rPr/>
        <w:t>求、银行融资环境等情况，符合股东的合理投资回报和公司长远发展的要求。</w:t>
      </w:r>
    </w:p>
    <w:p>
      <w:pPr>
        <w:spacing w:line="482" w:lineRule="auto" w:before="92"/>
        <w:ind w:left="152" w:right="141" w:firstLine="420"/>
        <w:jc w:val="left"/>
        <w:rPr>
          <w:rFonts w:ascii="宋体" w:hAnsi="宋体" w:cs="宋体" w:eastAsia="宋体" w:hint="default"/>
          <w:sz w:val="21"/>
          <w:szCs w:val="21"/>
        </w:rPr>
      </w:pPr>
      <w:r>
        <w:rPr>
          <w:rFonts w:ascii="宋体" w:hAnsi="宋体" w:cs="宋体" w:eastAsia="宋体" w:hint="default"/>
          <w:sz w:val="18"/>
          <w:szCs w:val="18"/>
        </w:rPr>
        <w:t>公司现金分红政策的制定及执行，符合公司章程的规定或股东大会决议的要求，分红标准和比例明确清晰，相关决策 </w:t>
      </w:r>
      <w:r>
        <w:rPr>
          <w:rFonts w:ascii="宋体" w:hAnsi="宋体" w:cs="宋体" w:eastAsia="宋体" w:hint="default"/>
          <w:spacing w:val="-2"/>
          <w:sz w:val="18"/>
          <w:szCs w:val="18"/>
        </w:rPr>
        <w:t>程序和机制完备，独立董事尽职履责并发挥了应有的作用，公司为中小股东提供了充分表达意见和诉求的机会，中小股东的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合法权益得到充分维护。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、公司报告期利润分配预案及资本公积金转增股本预案与公司章程和分红管理办法等的相关规定一致</w:t>
      </w:r>
      <w:r>
        <w:rPr>
          <w:rFonts w:ascii="宋体" w:hAnsi="宋体" w:cs="宋体" w:eastAsia="宋体" w:hint="default"/>
          <w:sz w:val="21"/>
          <w:szCs w:val="21"/>
        </w:rPr>
      </w:r>
    </w:p>
    <w:p>
      <w:pPr>
        <w:pStyle w:val="BodyText"/>
        <w:spacing w:line="516" w:lineRule="auto" w:before="6"/>
        <w:ind w:left="573" w:right="2873"/>
        <w:jc w:val="left"/>
      </w:pPr>
      <w:r>
        <w:rPr/>
        <w:pict>
          <v:shape style="position:absolute;margin-left:57pt;margin-top:46.69173pt;width:478.7pt;height:223.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5863"/>
                  </w:tblGrid>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80,537,279.89</w:t>
                        </w:r>
                      </w:p>
                    </w:tc>
                  </w:tr>
                  <w:tr>
                    <w:trPr>
                      <w:trHeight w:val="55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559"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以公司总股本 </w:t>
                        </w:r>
                        <w:r>
                          <w:rPr>
                            <w:rFonts w:ascii="Times New Roman" w:hAnsi="Times New Roman" w:cs="Times New Roman" w:eastAsia="Times New Roman" w:hint="default"/>
                            <w:sz w:val="18"/>
                            <w:szCs w:val="18"/>
                          </w:rPr>
                          <w:t>114,300,000 </w:t>
                        </w:r>
                        <w:r>
                          <w:rPr>
                            <w:rFonts w:ascii="宋体" w:hAnsi="宋体" w:cs="宋体" w:eastAsia="宋体" w:hint="default"/>
                            <w:sz w:val="18"/>
                            <w:szCs w:val="18"/>
                          </w:rPr>
                          <w:t>股为基数，向全体股东每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元人民币（含税）</w:t>
                        </w:r>
                      </w:p>
                    </w:tc>
                  </w:tr>
                </w:tbl>
                <w:p>
                  <w:pPr/>
                </w:p>
              </w:txbxContent>
            </v:textbox>
            <w10:wrap type="none"/>
          </v:shape>
        </w:pict>
      </w:r>
      <w:r>
        <w:rPr/>
        <w:t>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5"/>
        <w:spacing w:line="240" w:lineRule="auto" w:before="36"/>
        <w:ind w:right="0"/>
        <w:jc w:val="both"/>
        <w:rPr>
          <w:b w:val="0"/>
          <w:bCs w:val="0"/>
        </w:rPr>
      </w:pPr>
      <w:r>
        <w:rPr>
          <w:rFonts w:ascii="Times New Roman" w:hAnsi="Times New Roman" w:cs="Times New Roman" w:eastAsia="Times New Roman" w:hint="default"/>
        </w:rPr>
        <w:t>3</w:t>
      </w:r>
      <w:r>
        <w:rPr/>
        <w:t>、公司近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0"/>
        <w:ind w:left="633" w:right="0"/>
        <w:jc w:val="left"/>
      </w:pPr>
      <w:r>
        <w:rPr>
          <w:rFonts w:ascii="Times New Roman" w:hAnsi="Times New Roman" w:cs="Times New Roman" w:eastAsia="Times New Roman" w:hint="default"/>
        </w:rPr>
        <w:t>1.2011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2010</w:t>
      </w:r>
      <w:r>
        <w:rPr/>
        <w:t>年年度股东大会审议通过</w:t>
      </w:r>
      <w:r>
        <w:rPr>
          <w:rFonts w:ascii="Times New Roman" w:hAnsi="Times New Roman" w:cs="Times New Roman" w:eastAsia="Times New Roman" w:hint="default"/>
        </w:rPr>
        <w:t>2010</w:t>
      </w:r>
      <w:r>
        <w:rPr/>
        <w:t>年度权益分配方案，公司以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spacing w:line="240" w:lineRule="auto" w:before="9"/>
        <w:rPr>
          <w:rFonts w:ascii="宋体" w:hAnsi="宋体" w:cs="宋体" w:eastAsia="宋体" w:hint="default"/>
          <w:sz w:val="16"/>
          <w:szCs w:val="16"/>
        </w:rPr>
      </w:pPr>
    </w:p>
    <w:p>
      <w:pPr>
        <w:pStyle w:val="BodyText"/>
        <w:spacing w:line="451" w:lineRule="auto" w:before="0"/>
        <w:ind w:right="148"/>
        <w:jc w:val="both"/>
      </w:pPr>
      <w:r>
        <w:rPr>
          <w:rFonts w:ascii="Times New Roman" w:hAnsi="Times New Roman" w:cs="Times New Roman" w:eastAsia="Times New Roman" w:hint="default"/>
        </w:rPr>
        <w:t>6350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元（含税），共分配现金股利</w:t>
      </w:r>
      <w:r>
        <w:rPr>
          <w:rFonts w:ascii="Times New Roman" w:hAnsi="Times New Roman" w:cs="Times New Roman" w:eastAsia="Times New Roman" w:hint="default"/>
        </w:rPr>
        <w:t>1270</w:t>
      </w:r>
      <w:r>
        <w:rPr/>
        <w:t>万元，剩余未分配利润结转以后年度，同时， 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6350</w:t>
      </w:r>
      <w:r>
        <w:rPr/>
        <w:t>万股为基数，由资本公积金向全体股东每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spacing w:val="-3"/>
        </w:rPr>
        <w:t>股转增</w:t>
      </w:r>
      <w:r>
        <w:rPr>
          <w:rFonts w:ascii="Times New Roman" w:hAnsi="Times New Roman" w:cs="Times New Roman" w:eastAsia="Times New Roman" w:hint="default"/>
          <w:spacing w:val="-3"/>
        </w:rPr>
        <w:t>8</w:t>
      </w:r>
      <w:r>
        <w:rPr>
          <w:spacing w:val="-3"/>
        </w:rPr>
        <w:t>股，合计转增股本</w:t>
      </w:r>
      <w:r>
        <w:rPr>
          <w:rFonts w:ascii="Times New Roman" w:hAnsi="Times New Roman" w:cs="Times New Roman" w:eastAsia="Times New Roman" w:hint="default"/>
          <w:spacing w:val="-3"/>
        </w:rPr>
        <w:t>5080</w:t>
      </w:r>
      <w:r>
        <w:rPr>
          <w:spacing w:val="-3"/>
        </w:rPr>
        <w:t>万股。转增股</w:t>
      </w:r>
      <w:r>
        <w:rPr/>
        <w:t> 本完成后，公司总股本</w:t>
      </w:r>
      <w:r>
        <w:rPr>
          <w:rFonts w:ascii="Times New Roman" w:hAnsi="Times New Roman" w:cs="Times New Roman" w:eastAsia="Times New Roman" w:hint="default"/>
        </w:rPr>
        <w:t>11430</w:t>
      </w:r>
      <w:r>
        <w:rPr/>
        <w:t>万股。</w:t>
      </w:r>
    </w:p>
    <w:p>
      <w:pPr>
        <w:pStyle w:val="BodyText"/>
        <w:spacing w:line="240" w:lineRule="auto" w:before="43"/>
        <w:ind w:left="633" w:right="0"/>
        <w:jc w:val="left"/>
      </w:pPr>
      <w:r>
        <w:rPr>
          <w:rFonts w:ascii="Times New Roman" w:hAnsi="Times New Roman" w:cs="Times New Roman" w:eastAsia="Times New Roman" w:hint="default"/>
        </w:rPr>
        <w:t>2.2012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w:t>
      </w:r>
      <w:r>
        <w:rPr>
          <w:rFonts w:ascii="Times New Roman" w:hAnsi="Times New Roman" w:cs="Times New Roman" w:eastAsia="Times New Roman" w:hint="default"/>
        </w:rPr>
        <w:t>2011</w:t>
      </w:r>
      <w:r>
        <w:rPr/>
        <w:t>年年度股东大会审议通过</w:t>
      </w:r>
      <w:r>
        <w:rPr>
          <w:rFonts w:ascii="Times New Roman" w:hAnsi="Times New Roman" w:cs="Times New Roman" w:eastAsia="Times New Roman" w:hint="default"/>
        </w:rPr>
        <w:t>2011</w:t>
      </w:r>
      <w:r>
        <w:rPr/>
        <w:t>年度权益分配方案，公司以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spacing w:line="240" w:lineRule="auto" w:before="9"/>
        <w:rPr>
          <w:rFonts w:ascii="宋体" w:hAnsi="宋体" w:cs="宋体" w:eastAsia="宋体" w:hint="default"/>
          <w:sz w:val="16"/>
          <w:szCs w:val="16"/>
        </w:rPr>
      </w:pPr>
    </w:p>
    <w:p>
      <w:pPr>
        <w:pStyle w:val="BodyText"/>
        <w:spacing w:line="240" w:lineRule="auto" w:before="0"/>
        <w:ind w:right="0"/>
        <w:jc w:val="both"/>
      </w:pPr>
      <w:r>
        <w:rPr>
          <w:rFonts w:ascii="Times New Roman" w:hAnsi="Times New Roman" w:cs="Times New Roman" w:eastAsia="Times New Roman" w:hint="default"/>
        </w:rPr>
        <w:t>11430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元（含税），共分配现金股利</w:t>
      </w:r>
      <w:r>
        <w:rPr>
          <w:rFonts w:ascii="Times New Roman" w:hAnsi="Times New Roman" w:cs="Times New Roman" w:eastAsia="Times New Roman" w:hint="default"/>
        </w:rPr>
        <w:t>1143</w:t>
      </w:r>
      <w:r>
        <w:rPr/>
        <w:t>万元，剩余未分配利润结转以后年度。</w:t>
      </w:r>
    </w:p>
    <w:p>
      <w:pPr>
        <w:spacing w:after="0" w:line="24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left="0" w:right="248"/>
        <w:jc w:val="right"/>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spacing w:val="-1"/>
        </w:rPr>
        <w:t>公司董事会制定了</w:t>
      </w:r>
      <w:r>
        <w:rPr>
          <w:rFonts w:ascii="Times New Roman" w:hAnsi="Times New Roman" w:cs="Times New Roman" w:eastAsia="Times New Roman" w:hint="default"/>
          <w:spacing w:val="-1"/>
        </w:rPr>
        <w:t>2012</w:t>
      </w:r>
      <w:r>
        <w:rPr>
          <w:spacing w:val="-1"/>
        </w:rPr>
        <w:t>年度利润分配预案：以公司总股本</w:t>
      </w:r>
      <w:r>
        <w:rPr>
          <w:rFonts w:ascii="Times New Roman" w:hAnsi="Times New Roman" w:cs="Times New Roman" w:eastAsia="Times New Roman" w:hint="default"/>
          <w:spacing w:val="-1"/>
        </w:rPr>
        <w:t>114,300,000</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0.5</w:t>
      </w:r>
    </w:p>
    <w:p>
      <w:pPr>
        <w:spacing w:line="240" w:lineRule="auto" w:before="1"/>
        <w:rPr>
          <w:rFonts w:ascii="Times New Roman" w:hAnsi="Times New Roman" w:cs="Times New Roman" w:eastAsia="Times New Roman" w:hint="default"/>
          <w:sz w:val="19"/>
          <w:szCs w:val="19"/>
        </w:rPr>
      </w:pPr>
    </w:p>
    <w:p>
      <w:pPr>
        <w:pStyle w:val="BodyText"/>
        <w:spacing w:line="470" w:lineRule="auto" w:before="0"/>
        <w:ind w:left="573" w:right="3564" w:hanging="421"/>
        <w:jc w:val="left"/>
        <w:rPr>
          <w:rFonts w:ascii="宋体" w:hAnsi="宋体" w:cs="宋体" w:eastAsia="宋体" w:hint="default"/>
        </w:rPr>
      </w:pPr>
      <w:r>
        <w:rPr/>
        <w:t>元人民币（含税）</w:t>
      </w:r>
      <w:r>
        <w:rPr>
          <w:rFonts w:ascii="Times New Roman" w:hAnsi="Times New Roman" w:cs="Times New Roman" w:eastAsia="Times New Roman" w:hint="default"/>
        </w:rPr>
        <w:t>,</w:t>
      </w:r>
      <w:r>
        <w:rPr/>
        <w:t>共分配现金股利</w:t>
      </w:r>
      <w:r>
        <w:rPr>
          <w:rFonts w:ascii="Times New Roman" w:hAnsi="Times New Roman" w:cs="Times New Roman" w:eastAsia="Times New Roman" w:hint="default"/>
        </w:rPr>
        <w:t>571.5</w:t>
      </w:r>
      <w:r>
        <w:rPr/>
        <w:t>万元，剩余未分配利润结转以后年度。 本次利润分配预案尚需提交公司</w:t>
      </w:r>
      <w:r>
        <w:rPr>
          <w:rFonts w:ascii="Times New Roman" w:hAnsi="Times New Roman" w:cs="Times New Roman" w:eastAsia="Times New Roman" w:hint="default"/>
        </w:rPr>
        <w:t>2012</w:t>
      </w:r>
      <w:r>
        <w:rPr/>
        <w:t>年年度股东大会审议。 </w:t>
      </w:r>
      <w:r>
        <w:rPr>
          <w:rFonts w:ascii="宋体" w:hAnsi="宋体" w:cs="宋体" w:eastAsia="宋体" w:hint="default"/>
          <w:b/>
          <w:bCs/>
        </w:rPr>
        <w:t>公司近三年现金分红情况表</w:t>
      </w:r>
      <w:r>
        <w:rPr>
          <w:rFonts w:ascii="宋体" w:hAnsi="宋体" w:cs="宋体" w:eastAsia="宋体" w:hint="default"/>
        </w:rPr>
      </w:r>
    </w:p>
    <w:p>
      <w:pPr>
        <w:pStyle w:val="BodyText"/>
        <w:spacing w:line="240" w:lineRule="auto" w:before="98"/>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40"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36" w:right="0"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47"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238"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6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60,160,444.91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75,741,882.80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15.09%</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57,894,445.26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21.94%</w:t>
            </w:r>
          </w:p>
        </w:tc>
      </w:tr>
    </w:tbl>
    <w:p>
      <w:pPr>
        <w:spacing w:line="240" w:lineRule="auto" w:before="5"/>
        <w:rPr>
          <w:rFonts w:ascii="宋体" w:hAnsi="宋体" w:cs="宋体" w:eastAsia="宋体" w:hint="default"/>
          <w:sz w:val="6"/>
          <w:szCs w:val="6"/>
        </w:rPr>
      </w:pPr>
    </w:p>
    <w:p>
      <w:pPr>
        <w:pStyle w:val="BodyText"/>
        <w:spacing w:line="240" w:lineRule="auto"/>
        <w:ind w:left="573" w:right="141"/>
        <w:jc w:val="left"/>
      </w:pPr>
      <w:r>
        <w:rPr/>
        <w:t>公司报告期内盈利且母公司未分配利润为正但未提出现金红利分配预案</w:t>
      </w:r>
    </w:p>
    <w:p>
      <w:pPr>
        <w:spacing w:line="240" w:lineRule="auto" w:before="9"/>
        <w:rPr>
          <w:rFonts w:ascii="宋体" w:hAnsi="宋体" w:cs="宋体" w:eastAsia="宋体" w:hint="default"/>
          <w:sz w:val="20"/>
          <w:szCs w:val="20"/>
        </w:rPr>
      </w:pPr>
    </w:p>
    <w:p>
      <w:pPr>
        <w:pStyle w:val="BodyText"/>
        <w:spacing w:line="240" w:lineRule="auto" w:before="0"/>
        <w:ind w:left="573"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141"/>
        <w:jc w:val="left"/>
        <w:rPr>
          <w:b w:val="0"/>
          <w:bCs w:val="0"/>
        </w:rPr>
      </w:pPr>
      <w:r>
        <w:rPr/>
        <w:t>七、内幕信息知情人管理制度的建立和执行情况</w:t>
      </w:r>
      <w:r>
        <w:rPr>
          <w:b w:val="0"/>
          <w:bCs w:val="0"/>
        </w:rPr>
      </w:r>
    </w:p>
    <w:p>
      <w:pPr>
        <w:spacing w:line="240" w:lineRule="auto" w:before="0"/>
        <w:rPr>
          <w:rFonts w:ascii="宋体" w:hAnsi="宋体" w:cs="宋体" w:eastAsia="宋体" w:hint="default"/>
          <w:b/>
          <w:bCs/>
          <w:sz w:val="24"/>
          <w:szCs w:val="24"/>
        </w:rPr>
      </w:pPr>
    </w:p>
    <w:p>
      <w:pPr>
        <w:pStyle w:val="Heading5"/>
        <w:spacing w:line="240" w:lineRule="auto" w:before="163"/>
        <w:ind w:right="141"/>
        <w:jc w:val="left"/>
        <w:rPr>
          <w:b w:val="0"/>
          <w:bCs w:val="0"/>
        </w:rPr>
      </w:pPr>
      <w:r>
        <w:rPr>
          <w:rFonts w:ascii="宋体" w:hAnsi="宋体" w:cs="宋体" w:eastAsia="宋体" w:hint="default"/>
        </w:rPr>
        <w:t>1</w:t>
      </w:r>
      <w:r>
        <w:rPr/>
        <w:t>、内幕信息知情人管理制度的建设情况</w:t>
      </w:r>
      <w:r>
        <w:rPr>
          <w:b w:val="0"/>
          <w:bCs w:val="0"/>
        </w:rPr>
      </w:r>
    </w:p>
    <w:p>
      <w:pPr>
        <w:spacing w:line="240" w:lineRule="auto" w:before="7"/>
        <w:rPr>
          <w:rFonts w:ascii="宋体" w:hAnsi="宋体" w:cs="宋体" w:eastAsia="宋体" w:hint="default"/>
          <w:b/>
          <w:bCs/>
          <w:sz w:val="16"/>
          <w:szCs w:val="16"/>
        </w:rPr>
      </w:pPr>
    </w:p>
    <w:p>
      <w:pPr>
        <w:pStyle w:val="BodyText"/>
        <w:spacing w:line="477" w:lineRule="auto" w:before="0"/>
        <w:ind w:right="150" w:firstLine="420"/>
        <w:jc w:val="both"/>
      </w:pPr>
      <w:r>
        <w:rPr/>
        <w:t>为加强内幕信息保密工作，维护公司信息披露的公开、公平、公正原则，公司董事会于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15</w:t>
      </w:r>
      <w:r>
        <w:rPr/>
        <w:t>日召开第一届董 </w:t>
      </w:r>
      <w:r>
        <w:rPr>
          <w:spacing w:val="-2"/>
        </w:rPr>
        <w:t>事会第十二次会议，审议通过：《内幕信息知情人管理制度》、《外部信息使用人管理制度》和《重大信息内部报告和保密</w:t>
      </w:r>
      <w:r>
        <w:rPr>
          <w:spacing w:val="-65"/>
        </w:rPr>
        <w:t> </w:t>
      </w:r>
      <w:r>
        <w:rPr>
          <w:spacing w:val="-65"/>
        </w:rPr>
      </w:r>
      <w:r>
        <w:rPr/>
        <w:t>制度》多项制度，从制度层面加强内幕信息的管理。</w:t>
      </w:r>
    </w:p>
    <w:p>
      <w:pPr>
        <w:pStyle w:val="Heading5"/>
        <w:spacing w:line="240" w:lineRule="auto" w:before="31"/>
        <w:ind w:right="141"/>
        <w:jc w:val="left"/>
        <w:rPr>
          <w:b w:val="0"/>
          <w:bCs w:val="0"/>
        </w:rPr>
      </w:pPr>
      <w:r>
        <w:rPr>
          <w:rFonts w:ascii="宋体" w:hAnsi="宋体" w:cs="宋体" w:eastAsia="宋体" w:hint="default"/>
        </w:rPr>
        <w:t>2</w:t>
      </w:r>
      <w:r>
        <w:rPr/>
        <w:t>、内幕信息知情人管理制度的执行情况</w:t>
      </w:r>
      <w:r>
        <w:rPr>
          <w:b w:val="0"/>
          <w:bCs w:val="0"/>
        </w:rPr>
      </w:r>
    </w:p>
    <w:p>
      <w:pPr>
        <w:spacing w:line="240" w:lineRule="auto" w:before="10"/>
        <w:rPr>
          <w:rFonts w:ascii="宋体" w:hAnsi="宋体" w:cs="宋体" w:eastAsia="宋体" w:hint="default"/>
          <w:b/>
          <w:bCs/>
          <w:sz w:val="14"/>
          <w:szCs w:val="14"/>
        </w:rPr>
      </w:pPr>
    </w:p>
    <w:p>
      <w:pPr>
        <w:pStyle w:val="Heading5"/>
        <w:spacing w:line="240" w:lineRule="auto"/>
        <w:ind w:right="141"/>
        <w:jc w:val="left"/>
        <w:rPr>
          <w:b w:val="0"/>
          <w:bCs w:val="0"/>
        </w:rPr>
      </w:pPr>
      <w:r>
        <w:rPr/>
        <w:t>（</w:t>
      </w:r>
      <w:r>
        <w:rPr>
          <w:rFonts w:ascii="宋体" w:hAnsi="宋体" w:cs="宋体" w:eastAsia="宋体" w:hint="default"/>
        </w:rPr>
        <w:t>1</w:t>
      </w:r>
      <w:r>
        <w:rPr/>
        <w:t>）定期报告披露期间的信息保密工作</w:t>
      </w:r>
      <w:r>
        <w:rPr>
          <w:b w:val="0"/>
          <w:bCs w:val="0"/>
        </w:rPr>
      </w:r>
    </w:p>
    <w:p>
      <w:pPr>
        <w:spacing w:line="240" w:lineRule="auto" w:before="7"/>
        <w:rPr>
          <w:rFonts w:ascii="宋体" w:hAnsi="宋体" w:cs="宋体" w:eastAsia="宋体" w:hint="default"/>
          <w:b/>
          <w:bCs/>
          <w:sz w:val="16"/>
          <w:szCs w:val="16"/>
        </w:rPr>
      </w:pPr>
    </w:p>
    <w:p>
      <w:pPr>
        <w:pStyle w:val="BodyText"/>
        <w:spacing w:line="477" w:lineRule="auto" w:before="0"/>
        <w:ind w:right="150" w:firstLine="420"/>
        <w:jc w:val="both"/>
      </w:pPr>
      <w:r>
        <w:rPr/>
        <w:t>报告期内，公司严格执行内幕信息保密制度，严格规范信息传递流程，在定期报告披露期间，对于未公开信息，公司 </w:t>
      </w:r>
      <w:r>
        <w:rPr>
          <w:spacing w:val="-2"/>
        </w:rPr>
        <w:t>证券事务部都会严格控制知情人范围并组织相关内幕信息知情人填写《内幕信息知情人登记表》，如实且完整地记录上述信</w:t>
      </w:r>
      <w:r>
        <w:rPr>
          <w:spacing w:val="-66"/>
        </w:rPr>
        <w:t> </w:t>
      </w:r>
      <w:r>
        <w:rPr>
          <w:spacing w:val="-66"/>
        </w:rPr>
      </w:r>
      <w:r>
        <w:rPr>
          <w:spacing w:val="-2"/>
        </w:rPr>
        <w:t>息在公开前的所有内幕信息知情人名单，以及知情人知悉内幕信息的时间。经公司证券事务部核实无误后，按照相关法规规</w:t>
      </w:r>
      <w:r>
        <w:rPr>
          <w:spacing w:val="-63"/>
        </w:rPr>
        <w:t> </w:t>
      </w:r>
      <w:r>
        <w:rPr>
          <w:spacing w:val="-63"/>
        </w:rPr>
      </w:r>
      <w:r>
        <w:rPr/>
        <w:t>定再向证监局和深圳证券交易所报备内幕信息知情人登记情况。</w:t>
      </w:r>
    </w:p>
    <w:p>
      <w:pPr>
        <w:pStyle w:val="Heading5"/>
        <w:spacing w:line="240" w:lineRule="auto" w:before="31"/>
        <w:ind w:right="141"/>
        <w:jc w:val="left"/>
        <w:rPr>
          <w:b w:val="0"/>
          <w:bCs w:val="0"/>
        </w:rPr>
      </w:pPr>
      <w:r>
        <w:rPr/>
        <w:t>（</w:t>
      </w:r>
      <w:r>
        <w:rPr>
          <w:rFonts w:ascii="宋体" w:hAnsi="宋体" w:cs="宋体" w:eastAsia="宋体" w:hint="default"/>
        </w:rPr>
        <w:t>2</w:t>
      </w:r>
      <w:r>
        <w:rPr/>
        <w:t>）投资者调研期间的信息保密工作</w:t>
      </w:r>
      <w:r>
        <w:rPr>
          <w:b w:val="0"/>
          <w:bCs w:val="0"/>
        </w:rPr>
      </w:r>
    </w:p>
    <w:p>
      <w:pPr>
        <w:spacing w:line="240" w:lineRule="auto" w:before="7"/>
        <w:rPr>
          <w:rFonts w:ascii="宋体" w:hAnsi="宋体" w:cs="宋体" w:eastAsia="宋体" w:hint="default"/>
          <w:b/>
          <w:bCs/>
          <w:sz w:val="16"/>
          <w:szCs w:val="16"/>
        </w:rPr>
      </w:pPr>
    </w:p>
    <w:p>
      <w:pPr>
        <w:pStyle w:val="BodyText"/>
        <w:spacing w:line="477" w:lineRule="auto" w:before="0"/>
        <w:ind w:right="149" w:firstLine="420"/>
        <w:jc w:val="both"/>
      </w:pPr>
      <w:r>
        <w:rPr/>
        <w:t>在定期报告及重大事项披露期间，公司则避免接待投资者的调研，努力做好定期报告及重大事项披露期间的信息保密 </w:t>
      </w:r>
      <w:r>
        <w:rPr>
          <w:spacing w:val="-2"/>
        </w:rPr>
        <w:t>工作。在日常接待投资者调研时，公司证券事务部负责履行相关的信息保密工作程序。在进行调研前，先对调研人员的个人</w:t>
      </w:r>
      <w:r>
        <w:rPr>
          <w:spacing w:val="-63"/>
        </w:rPr>
        <w:t> </w:t>
      </w:r>
      <w:r>
        <w:rPr>
          <w:spacing w:val="-63"/>
        </w:rPr>
      </w:r>
      <w:r>
        <w:rPr>
          <w:spacing w:val="-2"/>
        </w:rPr>
        <w:t>信息进行备案，同时要求签署投资者调研登记表与保密承诺书，并承诺在对外出具报告前需经公司证券事务部认可。在调研</w:t>
      </w:r>
    </w:p>
    <w:p>
      <w:pPr>
        <w:spacing w:after="0" w:line="477"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0"/>
        <w:jc w:val="left"/>
      </w:pPr>
      <w:r>
        <w:rPr/>
        <w:t>过程中，证券事务部人员认真做好相关会议记录，并按照相关法规规定向深圳证券交易所报备。</w:t>
      </w:r>
    </w:p>
    <w:p>
      <w:pPr>
        <w:spacing w:line="240" w:lineRule="auto" w:before="0"/>
        <w:rPr>
          <w:rFonts w:ascii="宋体" w:hAnsi="宋体" w:cs="宋体" w:eastAsia="宋体" w:hint="default"/>
          <w:sz w:val="16"/>
          <w:szCs w:val="16"/>
        </w:rPr>
      </w:pPr>
    </w:p>
    <w:p>
      <w:pPr>
        <w:pStyle w:val="Heading5"/>
        <w:spacing w:line="240" w:lineRule="auto"/>
        <w:ind w:right="0"/>
        <w:jc w:val="left"/>
        <w:rPr>
          <w:b w:val="0"/>
          <w:bCs w:val="0"/>
        </w:rPr>
      </w:pPr>
      <w:r>
        <w:rPr/>
        <w:t>（</w:t>
      </w:r>
      <w:r>
        <w:rPr>
          <w:rFonts w:ascii="宋体" w:hAnsi="宋体" w:cs="宋体" w:eastAsia="宋体" w:hint="default"/>
        </w:rPr>
        <w:t>3</w:t>
      </w:r>
      <w:r>
        <w:rPr/>
        <w:t>）其他重大事件的信息保密工作</w:t>
      </w:r>
      <w:r>
        <w:rPr>
          <w:b w:val="0"/>
          <w:bCs w:val="0"/>
        </w:rPr>
      </w:r>
    </w:p>
    <w:p>
      <w:pPr>
        <w:spacing w:line="240" w:lineRule="auto" w:before="7"/>
        <w:rPr>
          <w:rFonts w:ascii="宋体" w:hAnsi="宋体" w:cs="宋体" w:eastAsia="宋体" w:hint="default"/>
          <w:b/>
          <w:bCs/>
          <w:sz w:val="16"/>
          <w:szCs w:val="16"/>
        </w:rPr>
      </w:pPr>
    </w:p>
    <w:p>
      <w:pPr>
        <w:pStyle w:val="BodyText"/>
        <w:spacing w:line="240" w:lineRule="auto" w:before="0"/>
        <w:ind w:left="573" w:right="0"/>
        <w:jc w:val="left"/>
      </w:pPr>
      <w:r>
        <w:rPr/>
        <w:t>在其他重大事项未披露前，公司及相关信息披露义务人采取保密措施，签订相关保密协议，以保证信息处于可控范围。</w:t>
      </w:r>
    </w:p>
    <w:p>
      <w:pPr>
        <w:spacing w:line="240" w:lineRule="auto" w:before="0"/>
        <w:rPr>
          <w:rFonts w:ascii="宋体" w:hAnsi="宋体" w:cs="宋体" w:eastAsia="宋体" w:hint="default"/>
          <w:sz w:val="16"/>
          <w:szCs w:val="16"/>
        </w:rPr>
      </w:pPr>
    </w:p>
    <w:p>
      <w:pPr>
        <w:pStyle w:val="Heading5"/>
        <w:spacing w:line="240" w:lineRule="auto"/>
        <w:ind w:right="0"/>
        <w:jc w:val="left"/>
        <w:rPr>
          <w:b w:val="0"/>
          <w:bCs w:val="0"/>
        </w:rPr>
      </w:pPr>
      <w:r>
        <w:rPr>
          <w:rFonts w:ascii="宋体" w:hAnsi="宋体" w:cs="宋体" w:eastAsia="宋体" w:hint="default"/>
        </w:rPr>
        <w:t>3</w:t>
      </w:r>
      <w:r>
        <w:rPr/>
        <w:t>、报告期内自查内幕信息知情人涉嫌内幕交易以及监管部门的查处和整改情况</w:t>
      </w:r>
      <w:r>
        <w:rPr>
          <w:b w:val="0"/>
          <w:bCs w:val="0"/>
        </w:rPr>
      </w:r>
    </w:p>
    <w:p>
      <w:pPr>
        <w:spacing w:line="240" w:lineRule="auto" w:before="7"/>
        <w:rPr>
          <w:rFonts w:ascii="宋体" w:hAnsi="宋体" w:cs="宋体" w:eastAsia="宋体" w:hint="default"/>
          <w:b/>
          <w:bCs/>
          <w:sz w:val="16"/>
          <w:szCs w:val="16"/>
        </w:rPr>
      </w:pPr>
    </w:p>
    <w:p>
      <w:pPr>
        <w:pStyle w:val="BodyText"/>
        <w:spacing w:line="477" w:lineRule="auto" w:before="0"/>
        <w:ind w:right="0" w:firstLine="420"/>
        <w:jc w:val="left"/>
      </w:pPr>
      <w:r>
        <w:rPr/>
        <w:t>报告期内，公司董事、监事及高级管理人员和其他相关知情人严格遵守了内幕信息知情人管理制度，未发现有内幕信 息知情人利用内幕信息买卖本公司股份的情况。报告期内公司也未发生受到监管部门查处和整改的情形。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r>
        <w:rPr/>
        <w:t>八、报告期内接待调研、沟通、采访等活动登记表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ind w:left="0" w:right="196"/>
        <w:jc w:val="right"/>
      </w:pPr>
      <w:r>
        <w:rPr/>
        <w:pict>
          <v:shape style="position:absolute;margin-left:56.400002pt;margin-top:-107.288269pt;width:479.3pt;height:471.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02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70"/>
                          <w:jc w:val="left"/>
                          <w:rPr>
                            <w:rFonts w:ascii="宋体" w:hAnsi="宋体" w:cs="宋体" w:eastAsia="宋体" w:hint="default"/>
                            <w:sz w:val="18"/>
                            <w:szCs w:val="18"/>
                          </w:rPr>
                        </w:pPr>
                        <w:r>
                          <w:rPr>
                            <w:rFonts w:ascii="宋体" w:hAnsi="宋体" w:cs="宋体" w:eastAsia="宋体" w:hint="default"/>
                            <w:sz w:val="18"/>
                            <w:szCs w:val="18"/>
                          </w:rPr>
                          <w:t>公司经营现状、募投项目 建设情况及产品销售情况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公司基本情况、经营情况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募投项目建设情况</w:t>
                        </w:r>
                      </w:p>
                    </w:tc>
                  </w:tr>
                  <w:tr>
                    <w:trPr>
                      <w:trHeight w:val="56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公司基本情况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70"/>
                          <w:jc w:val="left"/>
                          <w:rPr>
                            <w:rFonts w:ascii="宋体" w:hAnsi="宋体" w:cs="宋体" w:eastAsia="宋体" w:hint="default"/>
                            <w:sz w:val="18"/>
                            <w:szCs w:val="18"/>
                          </w:rPr>
                        </w:pPr>
                        <w:r>
                          <w:rPr>
                            <w:rFonts w:ascii="宋体" w:hAnsi="宋体" w:cs="宋体" w:eastAsia="宋体" w:hint="default"/>
                            <w:sz w:val="18"/>
                            <w:szCs w:val="18"/>
                          </w:rPr>
                          <w:t>公司基本情况、募投项目 建设情况</w:t>
                        </w:r>
                      </w:p>
                    </w:tc>
                  </w:tr>
                  <w:tr>
                    <w:trPr>
                      <w:trHeight w:val="55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公司基本情况、经营情况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公司研发中心会议 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董事会秘书、公司 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公司基本情况、经营情况</w:t>
                        </w:r>
                      </w:p>
                    </w:tc>
                  </w:tr>
                  <w:tr>
                    <w:trPr>
                      <w:trHeight w:val="56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公司基本情况、经营情况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71"/>
                          <w:jc w:val="left"/>
                          <w:rPr>
                            <w:rFonts w:ascii="宋体" w:hAnsi="宋体" w:cs="宋体" w:eastAsia="宋体" w:hint="default"/>
                            <w:sz w:val="18"/>
                            <w:szCs w:val="18"/>
                          </w:rPr>
                        </w:pPr>
                        <w:r>
                          <w:rPr>
                            <w:rFonts w:ascii="宋体" w:hAnsi="宋体" w:cs="宋体" w:eastAsia="宋体" w:hint="default"/>
                            <w:sz w:val="18"/>
                            <w:szCs w:val="18"/>
                          </w:rPr>
                          <w:t>公司基本情况、募投项目 建设情况</w:t>
                        </w:r>
                      </w:p>
                    </w:tc>
                  </w:tr>
                  <w:tr>
                    <w:trPr>
                      <w:trHeight w:val="55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公司基本情况、经营情况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公司基本情况、经营情况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募投项目建设情况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ind w:left="0" w:right="196"/>
        <w:jc w:val="right"/>
      </w:pPr>
      <w:r>
        <w:rPr/>
        <w:t>、</w:t>
      </w:r>
    </w:p>
    <w:p>
      <w:pPr>
        <w:spacing w:after="0" w:line="240" w:lineRule="auto"/>
        <w:jc w:val="right"/>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5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公司基本情况、经营情况</w:t>
            </w:r>
          </w:p>
        </w:tc>
      </w:tr>
      <w:tr>
        <w:trPr>
          <w:trHeight w:val="55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公司基本情况、经营情况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1"/>
        <w:spacing w:line="240" w:lineRule="auto"/>
        <w:ind w:right="2420"/>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26"/>
        <w:ind w:right="141"/>
        <w:jc w:val="left"/>
        <w:rPr>
          <w:b w:val="0"/>
          <w:bCs w:val="0"/>
        </w:rPr>
      </w:pPr>
      <w:r>
        <w:rPr/>
        <w:t>一、重大诉讼仲裁事项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141"/>
        <w:jc w:val="left"/>
      </w:pPr>
      <w:r>
        <w:rPr/>
        <w:t>本年度公司无重大诉讼、仲裁事项。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141"/>
        <w:jc w:val="left"/>
        <w:rPr>
          <w:b w:val="0"/>
          <w:bCs w:val="0"/>
        </w:rPr>
      </w:pPr>
      <w:r>
        <w:rPr/>
        <w:t>二、上市公司发生控股股东及其关联方非经营性占用资金情况</w:t>
      </w:r>
      <w:r>
        <w:rPr>
          <w:b w:val="0"/>
          <w:bCs w:val="0"/>
        </w:rPr>
      </w:r>
    </w:p>
    <w:p>
      <w:pPr>
        <w:spacing w:line="240" w:lineRule="auto" w:before="0"/>
        <w:rPr>
          <w:rFonts w:ascii="宋体" w:hAnsi="宋体" w:cs="宋体" w:eastAsia="宋体" w:hint="default"/>
          <w:b/>
          <w:bCs/>
          <w:sz w:val="24"/>
          <w:szCs w:val="24"/>
        </w:rPr>
      </w:pPr>
    </w:p>
    <w:p>
      <w:pPr>
        <w:pStyle w:val="BodyText"/>
        <w:spacing w:line="518" w:lineRule="auto" w:before="186"/>
        <w:ind w:left="573" w:right="6113"/>
        <w:jc w:val="left"/>
      </w:pPr>
      <w:r>
        <w:rPr/>
        <w:t>□ 适用 √</w:t>
      </w:r>
      <w:r>
        <w:rPr>
          <w:spacing w:val="3"/>
        </w:rPr>
        <w:t> </w:t>
      </w:r>
      <w:r>
        <w:rPr/>
        <w:t>不适用</w:t>
      </w:r>
      <w:r>
        <w:rPr/>
        <w:t> 会计师事务所对资金占用的专项审核意见</w:t>
      </w:r>
    </w:p>
    <w:p>
      <w:pPr>
        <w:pStyle w:val="BodyText"/>
        <w:spacing w:line="477" w:lineRule="auto" w:before="64"/>
        <w:ind w:right="174" w:firstLine="420"/>
        <w:jc w:val="left"/>
      </w:pPr>
      <w:r>
        <w:rPr/>
        <w:t>我们对关联方资金占用汇总表所载资料与我们审计新国都技术公司</w:t>
      </w:r>
      <w:r>
        <w:rPr>
          <w:rFonts w:ascii="宋体" w:hAnsi="宋体" w:cs="宋体" w:eastAsia="宋体" w:hint="default"/>
        </w:rPr>
        <w:t>2012</w:t>
      </w:r>
      <w:r>
        <w:rPr/>
        <w:t>年度财务报表时所复核的会计资料和经审计的 财务报表的相关内容进行了核对，在所有重大方面未发现不一致。</w:t>
      </w:r>
    </w:p>
    <w:p>
      <w:pPr>
        <w:spacing w:line="240" w:lineRule="auto" w:before="5"/>
        <w:rPr>
          <w:rFonts w:ascii="宋体" w:hAnsi="宋体" w:cs="宋体" w:eastAsia="宋体" w:hint="default"/>
          <w:sz w:val="23"/>
          <w:szCs w:val="23"/>
        </w:rPr>
      </w:pPr>
    </w:p>
    <w:p>
      <w:pPr>
        <w:pStyle w:val="Heading4"/>
        <w:spacing w:line="240" w:lineRule="auto"/>
        <w:ind w:right="141"/>
        <w:jc w:val="left"/>
        <w:rPr>
          <w:b w:val="0"/>
          <w:bCs w:val="0"/>
        </w:rPr>
      </w:pPr>
      <w:r>
        <w:rPr/>
        <w:t>三、破产重整相关事项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141"/>
        <w:jc w:val="left"/>
      </w:pPr>
      <w:r>
        <w:rPr/>
        <w:t>报告期内，公司不存在破产重整相关事项。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4"/>
        <w:spacing w:line="240" w:lineRule="auto"/>
        <w:ind w:right="141"/>
        <w:jc w:val="left"/>
        <w:rPr>
          <w:b w:val="0"/>
          <w:bCs w:val="0"/>
        </w:rPr>
      </w:pPr>
      <w:r>
        <w:rPr/>
        <w:t>四、资产交易事项</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4"/>
        <w:gridCol w:w="737"/>
        <w:gridCol w:w="734"/>
        <w:gridCol w:w="737"/>
      </w:tblGrid>
      <w:tr>
        <w:trPr>
          <w:trHeight w:val="4731"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475" w:lineRule="auto"/>
              <w:ind w:left="92"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477"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54"/>
              <w:ind w:left="23"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460" w:lineRule="atLeast" w:before="8"/>
              <w:ind w:left="93" w:right="89"/>
              <w:jc w:val="both"/>
              <w:rPr>
                <w:rFonts w:ascii="宋体" w:hAnsi="宋体" w:cs="宋体" w:eastAsia="宋体" w:hint="default"/>
                <w:sz w:val="18"/>
                <w:szCs w:val="18"/>
              </w:rPr>
            </w:pPr>
            <w:r>
              <w:rPr>
                <w:rFonts w:ascii="宋体" w:hAnsi="宋体" w:cs="宋体" w:eastAsia="宋体" w:hint="default"/>
                <w:sz w:val="18"/>
                <w:szCs w:val="18"/>
              </w:rPr>
              <w:t>（适用 于非同</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22"/>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11"/>
                <w:sz w:val="18"/>
                <w:szCs w:val="18"/>
              </w:rPr>
              <w:t>元）（适</w:t>
            </w:r>
            <w:r>
              <w:rPr>
                <w:rFonts w:ascii="宋体" w:hAnsi="宋体" w:cs="宋体" w:eastAsia="宋体" w:hint="default"/>
                <w:sz w:val="18"/>
                <w:szCs w:val="18"/>
              </w:rPr>
              <w:t> 用于同</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一控制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477"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477"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477"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477" w:lineRule="auto"/>
              <w:ind w:left="96" w:right="89"/>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利润总 额的比 例</w:t>
            </w:r>
            <w:r>
              <w:rPr>
                <w:rFonts w:ascii="宋体" w:hAnsi="宋体" w:cs="宋体" w:eastAsia="宋体"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477"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after="0" w:line="477"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145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23" w:right="-20" w:firstLine="69"/>
              <w:jc w:val="both"/>
              <w:rPr>
                <w:rFonts w:ascii="宋体" w:hAnsi="宋体" w:cs="宋体" w:eastAsia="宋体" w:hint="default"/>
                <w:sz w:val="18"/>
                <w:szCs w:val="18"/>
              </w:rPr>
            </w:pPr>
            <w:r>
              <w:rPr>
                <w:rFonts w:ascii="宋体" w:hAnsi="宋体" w:cs="宋体" w:eastAsia="宋体" w:hint="default"/>
                <w:sz w:val="18"/>
                <w:szCs w:val="18"/>
              </w:rPr>
              <w:t>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24" w:right="-17" w:firstLine="69"/>
              <w:jc w:val="left"/>
              <w:rPr>
                <w:rFonts w:ascii="宋体" w:hAnsi="宋体" w:cs="宋体" w:eastAsia="宋体" w:hint="default"/>
                <w:sz w:val="18"/>
                <w:szCs w:val="18"/>
              </w:rPr>
            </w:pPr>
            <w:r>
              <w:rPr>
                <w:rFonts w:ascii="宋体" w:hAnsi="宋体" w:cs="宋体" w:eastAsia="宋体" w:hint="default"/>
                <w:sz w:val="18"/>
                <w:szCs w:val="18"/>
              </w:rPr>
              <w:t>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53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sz w:val="18"/>
              </w:rPr>
              <w:t>Exadigm</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w:t>
            </w:r>
            <w:r>
              <w:rPr>
                <w:rFonts w:ascii="宋体"/>
                <w:spacing w:val="1"/>
                <w:sz w:val="18"/>
              </w:rPr>
              <w:t> </w:t>
            </w:r>
            <w:r>
              <w:rPr>
                <w:rFonts w:ascii="宋体"/>
                <w:sz w:val="18"/>
              </w:rPr>
              <w:t>Inc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sz w:val="18"/>
              </w:rPr>
              <w:t>Exadigm</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r>
              <w:rPr>
                <w:rFonts w:ascii="宋体"/>
                <w:spacing w:val="-43"/>
                <w:sz w:val="18"/>
              </w:rPr>
              <w:t> </w:t>
            </w:r>
            <w:r>
              <w:rPr>
                <w:rFonts w:ascii="宋体"/>
                <w:sz w:val="18"/>
              </w:rPr>
              <w:t>Inc20%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3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67"/>
              <w:jc w:val="both"/>
              <w:rPr>
                <w:rFonts w:ascii="宋体" w:hAnsi="宋体" w:cs="宋体" w:eastAsia="宋体" w:hint="default"/>
                <w:sz w:val="18"/>
                <w:szCs w:val="18"/>
              </w:rPr>
            </w:pPr>
            <w:r>
              <w:rPr>
                <w:rFonts w:ascii="宋体" w:hAnsi="宋体" w:cs="宋体" w:eastAsia="宋体" w:hint="default"/>
                <w:sz w:val="18"/>
                <w:szCs w:val="18"/>
              </w:rPr>
              <w:t>深圳市 瑞柏泰 电子有 限公司 </w:t>
            </w:r>
            <w:r>
              <w:rPr>
                <w:rFonts w:ascii="宋体" w:hAnsi="宋体" w:cs="宋体" w:eastAsia="宋体" w:hint="default"/>
                <w:sz w:val="18"/>
                <w:szCs w:val="18"/>
              </w:rPr>
              <w:t>20%</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51" w:right="0"/>
              <w:jc w:val="left"/>
              <w:rPr>
                <w:rFonts w:ascii="宋体" w:hAnsi="宋体" w:cs="宋体" w:eastAsia="宋体" w:hint="default"/>
                <w:sz w:val="18"/>
                <w:szCs w:val="18"/>
              </w:rPr>
            </w:pPr>
            <w:r>
              <w:rPr>
                <w:rFonts w:ascii="宋体"/>
                <w:sz w:val="18"/>
              </w:rPr>
              <w:t>2,000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240" w:lineRule="auto" w:before="5"/>
        <w:rPr>
          <w:rFonts w:ascii="宋体" w:hAnsi="宋体" w:cs="宋体" w:eastAsia="宋体" w:hint="default"/>
          <w:b/>
          <w:bCs/>
          <w:sz w:val="6"/>
          <w:szCs w:val="6"/>
        </w:rPr>
      </w:pPr>
    </w:p>
    <w:p>
      <w:pPr>
        <w:pStyle w:val="BodyText"/>
        <w:spacing w:line="516" w:lineRule="auto"/>
        <w:ind w:left="573" w:right="173"/>
        <w:jc w:val="left"/>
      </w:pPr>
      <w:r>
        <w:rPr/>
        <w:t>收购资产情况说明 </w:t>
      </w:r>
      <w:r>
        <w:rPr>
          <w:rFonts w:ascii="宋体" w:hAnsi="宋体" w:cs="宋体" w:eastAsia="宋体" w:hint="default"/>
        </w:rPr>
        <w:t>1</w:t>
      </w:r>
      <w:r>
        <w:rPr/>
        <w:t>、公司于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9</w:t>
      </w:r>
      <w:r>
        <w:rPr/>
        <w:t>日经第二届董事会第八次会议通过《审议使用自有资金投资美国</w:t>
      </w:r>
      <w:r>
        <w:rPr>
          <w:rFonts w:ascii="宋体" w:hAnsi="宋体" w:cs="宋体" w:eastAsia="宋体" w:hint="default"/>
        </w:rPr>
        <w:t>Exadigm,Inc</w:t>
      </w:r>
      <w:r>
        <w:rPr/>
        <w:t>的议案》，公司以</w:t>
      </w:r>
    </w:p>
    <w:p>
      <w:pPr>
        <w:pStyle w:val="BodyText"/>
        <w:spacing w:line="477" w:lineRule="auto" w:before="25"/>
        <w:ind w:right="148"/>
        <w:jc w:val="left"/>
      </w:pPr>
      <w:r>
        <w:rPr>
          <w:spacing w:val="-2"/>
        </w:rPr>
        <w:t>自有资金</w:t>
      </w:r>
      <w:r>
        <w:rPr>
          <w:rFonts w:ascii="宋体" w:hAnsi="宋体" w:cs="宋体" w:eastAsia="宋体" w:hint="default"/>
          <w:spacing w:val="-2"/>
        </w:rPr>
        <w:t>300</w:t>
      </w:r>
      <w:r>
        <w:rPr>
          <w:spacing w:val="-2"/>
        </w:rPr>
        <w:t>万美元认购美国</w:t>
      </w:r>
      <w:r>
        <w:rPr>
          <w:rFonts w:ascii="宋体" w:hAnsi="宋体" w:cs="宋体" w:eastAsia="宋体" w:hint="default"/>
          <w:spacing w:val="-2"/>
        </w:rPr>
        <w:t>Exadigm,Inc</w:t>
      </w:r>
      <w:r>
        <w:rPr>
          <w:spacing w:val="-2"/>
        </w:rPr>
        <w:t>（以下简称“Exadigm”或“ExaDigm公司”）发行</w:t>
      </w:r>
      <w:r>
        <w:rPr>
          <w:rFonts w:ascii="宋体" w:hAnsi="宋体" w:cs="宋体" w:eastAsia="宋体" w:hint="default"/>
          <w:spacing w:val="-2"/>
        </w:rPr>
        <w:t>10,108,524</w:t>
      </w:r>
      <w:r>
        <w:rPr>
          <w:spacing w:val="-2"/>
        </w:rPr>
        <w:t>股可转换优先股，认</w:t>
      </w:r>
      <w:r>
        <w:rPr>
          <w:spacing w:val="-39"/>
        </w:rPr>
        <w:t> </w:t>
      </w:r>
      <w:r>
        <w:rPr>
          <w:spacing w:val="-39"/>
        </w:rPr>
      </w:r>
      <w:r>
        <w:rPr>
          <w:spacing w:val="-2"/>
        </w:rPr>
        <w:t>购完成后，公司持有</w:t>
      </w:r>
      <w:r>
        <w:rPr>
          <w:rFonts w:ascii="宋体" w:hAnsi="宋体" w:cs="宋体" w:eastAsia="宋体" w:hint="default"/>
          <w:spacing w:val="-2"/>
        </w:rPr>
        <w:t>Exadigm</w:t>
      </w:r>
      <w:r>
        <w:rPr>
          <w:spacing w:val="-2"/>
        </w:rPr>
        <w:t>发行后总股本的</w:t>
      </w:r>
      <w:r>
        <w:rPr>
          <w:rFonts w:ascii="宋体" w:hAnsi="宋体" w:cs="宋体" w:eastAsia="宋体" w:hint="default"/>
          <w:spacing w:val="-2"/>
        </w:rPr>
        <w:t>20%</w:t>
      </w:r>
      <w:r>
        <w:rPr>
          <w:spacing w:val="-2"/>
        </w:rPr>
        <w:t>股权。公司于</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月，公司以自有现金向</w:t>
      </w:r>
      <w:r>
        <w:rPr>
          <w:rFonts w:ascii="宋体" w:hAnsi="宋体" w:cs="宋体" w:eastAsia="宋体" w:hint="default"/>
          <w:spacing w:val="-2"/>
        </w:rPr>
        <w:t>Exadigm</w:t>
      </w:r>
      <w:r>
        <w:rPr>
          <w:spacing w:val="-2"/>
        </w:rPr>
        <w:t>投入</w:t>
      </w:r>
      <w:r>
        <w:rPr>
          <w:rFonts w:ascii="宋体" w:hAnsi="宋体" w:cs="宋体" w:eastAsia="宋体" w:hint="default"/>
          <w:spacing w:val="-2"/>
        </w:rPr>
        <w:t>50</w:t>
      </w:r>
      <w:r>
        <w:rPr>
          <w:spacing w:val="-2"/>
        </w:rPr>
        <w:t>万美元，由双方</w:t>
      </w:r>
      <w:r>
        <w:rPr>
          <w:spacing w:val="-48"/>
        </w:rPr>
        <w:t> </w:t>
      </w:r>
      <w:r>
        <w:rPr>
          <w:spacing w:val="-48"/>
        </w:rPr>
      </w:r>
      <w:r>
        <w:rPr/>
        <w:t>签署正式投资合同之日，根据人民币兑美元汇率，换算成人民币进行出资，公司获得</w:t>
      </w:r>
      <w:r>
        <w:rPr>
          <w:rFonts w:ascii="宋体" w:hAnsi="宋体" w:cs="宋体" w:eastAsia="宋体" w:hint="default"/>
        </w:rPr>
        <w:t>B-1</w:t>
      </w:r>
      <w:r>
        <w:rPr/>
        <w:t>系列优先股</w:t>
      </w:r>
      <w:r>
        <w:rPr>
          <w:rFonts w:ascii="宋体" w:hAnsi="宋体" w:cs="宋体" w:eastAsia="宋体" w:hint="default"/>
        </w:rPr>
        <w:t>1,684,754</w:t>
      </w:r>
      <w:r>
        <w:rPr/>
        <w:t>股。剩余</w:t>
      </w:r>
      <w:r>
        <w:rPr>
          <w:rFonts w:ascii="宋体" w:hAnsi="宋体" w:cs="宋体" w:eastAsia="宋体" w:hint="default"/>
        </w:rPr>
        <w:t>250 </w:t>
      </w:r>
      <w:r>
        <w:rPr/>
        <w:t>万美元投资对应设立</w:t>
      </w:r>
      <w:r>
        <w:rPr>
          <w:rFonts w:ascii="宋体" w:hAnsi="宋体" w:cs="宋体" w:eastAsia="宋体" w:hint="default"/>
        </w:rPr>
        <w:t>8,423,770</w:t>
      </w:r>
      <w:r>
        <w:rPr/>
        <w:t>股可转换为</w:t>
      </w:r>
      <w:r>
        <w:rPr>
          <w:rFonts w:ascii="宋体" w:hAnsi="宋体" w:cs="宋体" w:eastAsia="宋体" w:hint="default"/>
        </w:rPr>
        <w:t>B-1</w:t>
      </w:r>
      <w:r>
        <w:rPr/>
        <w:t>系列优先股的认股权证，公司计划自</w:t>
      </w:r>
      <w:r>
        <w:rPr>
          <w:rFonts w:ascii="宋体" w:hAnsi="宋体" w:cs="宋体" w:eastAsia="宋体" w:hint="default"/>
        </w:rPr>
        <w:t>2012</w:t>
      </w:r>
      <w:r>
        <w:rPr/>
        <w:t>年</w:t>
      </w:r>
      <w:r>
        <w:rPr>
          <w:rFonts w:ascii="宋体" w:hAnsi="宋体" w:cs="宋体" w:eastAsia="宋体" w:hint="default"/>
        </w:rPr>
        <w:t>7</w:t>
      </w:r>
      <w:r>
        <w:rPr/>
        <w:t>月起至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日期间，公 </w:t>
      </w:r>
      <w:r>
        <w:rPr>
          <w:spacing w:val="-2"/>
        </w:rPr>
        <w:t>司以技术研发资源投入、产品单价让利折价出资</w:t>
      </w:r>
      <w:r>
        <w:rPr>
          <w:rFonts w:ascii="宋体" w:hAnsi="宋体" w:cs="宋体" w:eastAsia="宋体" w:hint="default"/>
          <w:spacing w:val="-2"/>
        </w:rPr>
        <w:t>150</w:t>
      </w:r>
      <w:r>
        <w:rPr>
          <w:spacing w:val="-2"/>
        </w:rPr>
        <w:t>万美元，认购</w:t>
      </w:r>
      <w:r>
        <w:rPr>
          <w:rFonts w:ascii="宋体" w:hAnsi="宋体" w:cs="宋体" w:eastAsia="宋体" w:hint="default"/>
          <w:spacing w:val="-2"/>
        </w:rPr>
        <w:t>500</w:t>
      </w:r>
      <w:r>
        <w:rPr>
          <w:spacing w:val="-2"/>
        </w:rPr>
        <w:t>万股可转换为</w:t>
      </w:r>
      <w:r>
        <w:rPr>
          <w:rFonts w:ascii="宋体" w:hAnsi="宋体" w:cs="宋体" w:eastAsia="宋体" w:hint="default"/>
          <w:spacing w:val="-2"/>
        </w:rPr>
        <w:t>B-1</w:t>
      </w:r>
      <w:r>
        <w:rPr>
          <w:spacing w:val="-2"/>
        </w:rPr>
        <w:t>系列优先股的认股权证；剩余</w:t>
      </w:r>
      <w:r>
        <w:rPr>
          <w:rFonts w:ascii="宋体" w:hAnsi="宋体" w:cs="宋体" w:eastAsia="宋体" w:hint="default"/>
          <w:spacing w:val="-2"/>
        </w:rPr>
        <w:t>100</w:t>
      </w:r>
      <w:r>
        <w:rPr>
          <w:spacing w:val="-2"/>
        </w:rPr>
        <w:t>万美</w:t>
      </w:r>
      <w:r>
        <w:rPr>
          <w:spacing w:val="-61"/>
        </w:rPr>
        <w:t> </w:t>
      </w:r>
      <w:r>
        <w:rPr/>
        <w:t>元的投资信用额度，公司可根据</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日之前</w:t>
      </w:r>
      <w:r>
        <w:rPr>
          <w:rFonts w:ascii="宋体" w:hAnsi="宋体" w:cs="宋体" w:eastAsia="宋体" w:hint="default"/>
        </w:rPr>
        <w:t>Exadigm</w:t>
      </w:r>
      <w:r>
        <w:rPr/>
        <w:t>的业绩表现，决定是否以现金</w:t>
      </w:r>
      <w:r>
        <w:rPr>
          <w:rFonts w:ascii="宋体" w:hAnsi="宋体" w:cs="宋体" w:eastAsia="宋体" w:hint="default"/>
        </w:rPr>
        <w:t>100</w:t>
      </w:r>
      <w:r>
        <w:rPr/>
        <w:t>万美元继续认购剩余的 </w:t>
      </w:r>
      <w:r>
        <w:rPr>
          <w:rFonts w:ascii="宋体" w:hAnsi="宋体" w:cs="宋体" w:eastAsia="宋体" w:hint="default"/>
        </w:rPr>
        <w:t>3,369,508</w:t>
      </w:r>
      <w:r>
        <w:rPr/>
        <w:t>股可转换为</w:t>
      </w:r>
      <w:r>
        <w:rPr>
          <w:rFonts w:ascii="宋体" w:hAnsi="宋体" w:cs="宋体" w:eastAsia="宋体" w:hint="default"/>
        </w:rPr>
        <w:t>B-1</w:t>
      </w:r>
      <w:r>
        <w:rPr/>
        <w:t>系列优先股的认股权证。该部分认股权证的到期日为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15</w:t>
      </w:r>
      <w:r>
        <w:rPr/>
        <w:t>日。</w:t>
      </w:r>
    </w:p>
    <w:p>
      <w:pPr>
        <w:pStyle w:val="BodyText"/>
        <w:spacing w:line="477" w:lineRule="auto" w:before="54"/>
        <w:ind w:right="148" w:firstLine="420"/>
        <w:jc w:val="both"/>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10</w:t>
      </w:r>
      <w:r>
        <w:rPr/>
        <w:t>日，公司召开第二届董事会第十次会议审议通过了《审议收购深圳市瑞柏泰电子有限公司</w:t>
      </w:r>
      <w:r>
        <w:rPr>
          <w:spacing w:val="-47"/>
        </w:rPr>
        <w:t> </w:t>
      </w:r>
      <w:r>
        <w:rPr>
          <w:rFonts w:ascii="宋体" w:hAnsi="宋体" w:cs="宋体" w:eastAsia="宋体" w:hint="default"/>
        </w:rPr>
        <w:t>20%</w:t>
      </w:r>
      <w:r>
        <w:rPr/>
        <w:t>股权的 议案》，同意公司使用超募资金人民币 </w:t>
      </w:r>
      <w:r>
        <w:rPr>
          <w:rFonts w:ascii="宋体" w:hAnsi="宋体" w:cs="宋体" w:eastAsia="宋体" w:hint="default"/>
        </w:rPr>
        <w:t>2000</w:t>
      </w:r>
      <w:r>
        <w:rPr>
          <w:rFonts w:ascii="宋体" w:hAnsi="宋体" w:cs="宋体" w:eastAsia="宋体" w:hint="default"/>
          <w:spacing w:val="-1"/>
        </w:rPr>
        <w:t> </w:t>
      </w:r>
      <w:r>
        <w:rPr/>
        <w:t>万元向蔡敏女士购买其所持瑞柏泰公司</w:t>
      </w:r>
      <w:r>
        <w:rPr>
          <w:rFonts w:ascii="宋体" w:hAnsi="宋体" w:cs="宋体" w:eastAsia="宋体" w:hint="default"/>
        </w:rPr>
        <w:t>20%</w:t>
      </w:r>
      <w:r>
        <w:rPr/>
        <w:t>股权。独立董事和监事会发布了明 确同意的意见。公司已于</w:t>
      </w:r>
      <w:r>
        <w:rPr>
          <w:rFonts w:ascii="宋体" w:hAnsi="宋体" w:cs="宋体" w:eastAsia="宋体" w:hint="default"/>
        </w:rPr>
        <w:t>2013</w:t>
      </w:r>
      <w:r>
        <w:rPr/>
        <w:t>年</w:t>
      </w:r>
      <w:r>
        <w:rPr>
          <w:rFonts w:ascii="宋体" w:hAnsi="宋体" w:cs="宋体" w:eastAsia="宋体" w:hint="default"/>
        </w:rPr>
        <w:t>1</w:t>
      </w:r>
      <w:r>
        <w:rPr/>
        <w:t>月完成该项收购。</w:t>
      </w:r>
    </w:p>
    <w:p>
      <w:pPr>
        <w:spacing w:line="240" w:lineRule="auto" w:before="12"/>
        <w:rPr>
          <w:rFonts w:ascii="宋体" w:hAnsi="宋体" w:cs="宋体" w:eastAsia="宋体" w:hint="default"/>
          <w:sz w:val="25"/>
          <w:szCs w:val="25"/>
        </w:rPr>
      </w:pPr>
    </w:p>
    <w:p>
      <w:pPr>
        <w:pStyle w:val="Heading7"/>
        <w:spacing w:line="240" w:lineRule="auto"/>
        <w:ind w:right="141"/>
        <w:jc w:val="left"/>
        <w:rPr>
          <w:b w:val="0"/>
          <w:bCs w:val="0"/>
        </w:rPr>
      </w:pPr>
      <w:r>
        <w:rPr>
          <w:rFonts w:ascii="宋体" w:hAnsi="宋体" w:cs="宋体" w:eastAsia="宋体" w:hint="default"/>
        </w:rPr>
        <w:t>2</w:t>
      </w:r>
      <w:r>
        <w:rPr/>
        <w:t>、出售资产情况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6"/>
        <w:gridCol w:w="736"/>
        <w:gridCol w:w="735"/>
        <w:gridCol w:w="738"/>
        <w:gridCol w:w="736"/>
        <w:gridCol w:w="737"/>
        <w:gridCol w:w="734"/>
        <w:gridCol w:w="726"/>
      </w:tblGrid>
      <w:tr>
        <w:trPr>
          <w:trHeight w:val="1494"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8"/>
              <w:ind w:left="270" w:right="89"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8"/>
              <w:ind w:left="184" w:right="89"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93" w:right="90"/>
              <w:jc w:val="both"/>
              <w:rPr>
                <w:rFonts w:ascii="宋体" w:hAnsi="宋体" w:cs="宋体" w:eastAsia="宋体" w:hint="default"/>
                <w:sz w:val="18"/>
                <w:szCs w:val="18"/>
              </w:rPr>
            </w:pPr>
            <w:r>
              <w:rPr>
                <w:rFonts w:ascii="宋体" w:hAnsi="宋体" w:cs="宋体" w:eastAsia="宋体" w:hint="default"/>
                <w:sz w:val="18"/>
                <w:szCs w:val="18"/>
              </w:rPr>
              <w:t>出售产 生的损 益（万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3" w:right="89"/>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93" w:right="92"/>
              <w:jc w:val="both"/>
              <w:rPr>
                <w:rFonts w:ascii="宋体" w:hAnsi="宋体" w:cs="宋体" w:eastAsia="宋体" w:hint="default"/>
                <w:sz w:val="18"/>
                <w:szCs w:val="18"/>
              </w:rPr>
            </w:pPr>
            <w:r>
              <w:rPr>
                <w:rFonts w:ascii="宋体" w:hAnsi="宋体" w:cs="宋体" w:eastAsia="宋体" w:hint="default"/>
                <w:sz w:val="18"/>
                <w:szCs w:val="18"/>
              </w:rPr>
              <w:t>所涉及 的资产 产权是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92" w:right="91"/>
              <w:jc w:val="both"/>
              <w:rPr>
                <w:rFonts w:ascii="宋体" w:hAnsi="宋体" w:cs="宋体" w:eastAsia="宋体" w:hint="default"/>
                <w:sz w:val="18"/>
                <w:szCs w:val="18"/>
              </w:rPr>
            </w:pPr>
            <w:r>
              <w:rPr>
                <w:rFonts w:ascii="宋体" w:hAnsi="宋体" w:cs="宋体" w:eastAsia="宋体" w:hint="default"/>
                <w:sz w:val="18"/>
                <w:szCs w:val="18"/>
              </w:rPr>
              <w:t>所涉及 的债权 债务是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93" w:right="92"/>
              <w:jc w:val="both"/>
              <w:rPr>
                <w:rFonts w:ascii="宋体" w:hAnsi="宋体" w:cs="宋体" w:eastAsia="宋体" w:hint="default"/>
                <w:sz w:val="18"/>
                <w:szCs w:val="18"/>
              </w:rPr>
            </w:pPr>
            <w:r>
              <w:rPr>
                <w:rFonts w:ascii="宋体" w:hAnsi="宋体" w:cs="宋体" w:eastAsia="宋体" w:hint="default"/>
                <w:sz w:val="18"/>
                <w:szCs w:val="18"/>
              </w:rPr>
              <w:t>资产出 售为上 市公司</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93" w:right="89"/>
              <w:jc w:val="both"/>
              <w:rPr>
                <w:rFonts w:ascii="宋体" w:hAnsi="宋体" w:cs="宋体" w:eastAsia="宋体" w:hint="default"/>
                <w:sz w:val="18"/>
                <w:szCs w:val="18"/>
              </w:rPr>
            </w:pPr>
            <w:r>
              <w:rPr>
                <w:rFonts w:ascii="宋体" w:hAnsi="宋体" w:cs="宋体" w:eastAsia="宋体" w:hint="default"/>
                <w:sz w:val="18"/>
                <w:szCs w:val="18"/>
              </w:rPr>
              <w:t>与交易 对方的 关联关</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3" w:right="80"/>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after="0" w:line="477"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4"/>
        <w:gridCol w:w="737"/>
        <w:gridCol w:w="735"/>
        <w:gridCol w:w="737"/>
        <w:gridCol w:w="737"/>
        <w:gridCol w:w="737"/>
        <w:gridCol w:w="734"/>
        <w:gridCol w:w="737"/>
      </w:tblGrid>
      <w:tr>
        <w:trPr>
          <w:trHeight w:val="285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93" w:right="91"/>
              <w:jc w:val="both"/>
              <w:rPr>
                <w:rFonts w:ascii="宋体" w:hAnsi="宋体" w:cs="宋体" w:eastAsia="宋体" w:hint="default"/>
                <w:sz w:val="18"/>
                <w:szCs w:val="18"/>
              </w:rPr>
            </w:pPr>
            <w:r>
              <w:rPr>
                <w:rFonts w:ascii="宋体" w:hAnsi="宋体" w:cs="宋体" w:eastAsia="宋体" w:hint="default"/>
                <w:sz w:val="18"/>
                <w:szCs w:val="18"/>
              </w:rPr>
              <w:t>资产为 上市公 司贡献 的净利 润（万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80"/>
              <w:jc w:val="right"/>
              <w:rPr>
                <w:rFonts w:ascii="宋体" w:hAnsi="宋体" w:cs="宋体" w:eastAsia="宋体" w:hint="default"/>
                <w:sz w:val="18"/>
                <w:szCs w:val="18"/>
              </w:rPr>
            </w:pPr>
            <w:r>
              <w:rPr>
                <w:rFonts w:ascii="宋体" w:hAnsi="宋体" w:cs="宋体" w:eastAsia="宋体" w:hint="default"/>
                <w:sz w:val="18"/>
                <w:szCs w:val="18"/>
              </w:rPr>
              <w:t>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93" w:right="91"/>
              <w:jc w:val="left"/>
              <w:rPr>
                <w:rFonts w:ascii="宋体" w:hAnsi="宋体" w:cs="宋体" w:eastAsia="宋体" w:hint="default"/>
                <w:sz w:val="18"/>
                <w:szCs w:val="18"/>
              </w:rPr>
            </w:pPr>
            <w:r>
              <w:rPr>
                <w:rFonts w:ascii="宋体" w:hAnsi="宋体" w:cs="宋体" w:eastAsia="宋体" w:hint="default"/>
                <w:sz w:val="18"/>
                <w:szCs w:val="18"/>
              </w:rPr>
              <w:t>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93" w:right="91"/>
              <w:jc w:val="left"/>
              <w:rPr>
                <w:rFonts w:ascii="宋体" w:hAnsi="宋体" w:cs="宋体" w:eastAsia="宋体" w:hint="default"/>
                <w:sz w:val="18"/>
                <w:szCs w:val="18"/>
              </w:rPr>
            </w:pPr>
            <w:r>
              <w:rPr>
                <w:rFonts w:ascii="宋体" w:hAnsi="宋体" w:cs="宋体" w:eastAsia="宋体" w:hint="default"/>
                <w:sz w:val="18"/>
                <w:szCs w:val="18"/>
              </w:rPr>
              <w:t>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47" w:right="43" w:firstLine="45"/>
              <w:jc w:val="both"/>
              <w:rPr>
                <w:rFonts w:ascii="宋体" w:hAnsi="宋体" w:cs="宋体" w:eastAsia="宋体" w:hint="default"/>
                <w:sz w:val="18"/>
                <w:szCs w:val="18"/>
              </w:rPr>
            </w:pPr>
            <w:r>
              <w:rPr>
                <w:rFonts w:ascii="宋体" w:hAnsi="宋体" w:cs="宋体" w:eastAsia="宋体" w:hint="default"/>
                <w:sz w:val="18"/>
                <w:szCs w:val="18"/>
              </w:rPr>
              <w:t>贡献的 净利润 占利润 总额的 比例</w:t>
            </w:r>
            <w:r>
              <w:rPr>
                <w:rFonts w:ascii="宋体" w:hAnsi="宋体" w:cs="宋体" w:eastAsia="宋体"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23" w:right="-20" w:hanging="41"/>
              <w:jc w:val="center"/>
              <w:rPr>
                <w:rFonts w:ascii="宋体" w:hAnsi="宋体" w:cs="宋体" w:eastAsia="宋体" w:hint="default"/>
                <w:sz w:val="18"/>
                <w:szCs w:val="18"/>
              </w:rPr>
            </w:pP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493"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5"/>
              <w:ind w:left="90" w:right="89"/>
              <w:jc w:val="left"/>
              <w:rPr>
                <w:rFonts w:ascii="宋体" w:hAnsi="宋体" w:cs="宋体" w:eastAsia="宋体" w:hint="default"/>
                <w:sz w:val="18"/>
                <w:szCs w:val="18"/>
              </w:rPr>
            </w:pPr>
            <w:r>
              <w:rPr>
                <w:rFonts w:ascii="宋体" w:hAnsi="宋体" w:cs="宋体" w:eastAsia="宋体" w:hint="default"/>
                <w:sz w:val="18"/>
                <w:szCs w:val="18"/>
              </w:rPr>
              <w:t>广州银 联网络</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20" w:hanging="1"/>
              <w:jc w:val="center"/>
              <w:rPr>
                <w:rFonts w:ascii="宋体" w:hAnsi="宋体" w:cs="宋体" w:eastAsia="宋体" w:hint="default"/>
                <w:sz w:val="18"/>
                <w:szCs w:val="18"/>
              </w:rPr>
            </w:pPr>
            <w:r>
              <w:rPr>
                <w:rFonts w:ascii="宋体" w:hAnsi="宋体" w:cs="宋体" w:eastAsia="宋体" w:hint="default"/>
                <w:sz w:val="18"/>
                <w:szCs w:val="18"/>
              </w:rPr>
              <w:t>肇庆好 易联</w:t>
            </w:r>
            <w:r>
              <w:rPr>
                <w:rFonts w:ascii="宋体" w:hAnsi="宋体" w:cs="宋体" w:eastAsia="宋体" w:hint="default"/>
                <w:spacing w:val="-46"/>
                <w:sz w:val="18"/>
                <w:szCs w:val="18"/>
              </w:rPr>
              <w:t> </w:t>
            </w:r>
            <w:r>
              <w:rPr>
                <w:rFonts w:ascii="宋体" w:hAnsi="宋体" w:cs="宋体" w:eastAsia="宋体" w:hint="default"/>
                <w:sz w:val="18"/>
                <w:szCs w:val="18"/>
              </w:rPr>
              <w:t>49% </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3</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2" w:right="0"/>
              <w:jc w:val="left"/>
              <w:rPr>
                <w:rFonts w:ascii="宋体" w:hAnsi="宋体" w:cs="宋体" w:eastAsia="宋体" w:hint="default"/>
                <w:sz w:val="18"/>
                <w:szCs w:val="18"/>
              </w:rPr>
            </w:pPr>
            <w:r>
              <w:rPr>
                <w:rFonts w:ascii="宋体"/>
                <w:sz w:val="18"/>
              </w:rPr>
              <w:t>1300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1"/>
              <w:jc w:val="right"/>
              <w:rPr>
                <w:rFonts w:ascii="宋体" w:hAnsi="宋体" w:cs="宋体" w:eastAsia="宋体" w:hint="default"/>
                <w:sz w:val="18"/>
                <w:szCs w:val="18"/>
              </w:rPr>
            </w:pPr>
            <w:r>
              <w:rPr>
                <w:rFonts w:ascii="宋体"/>
                <w:sz w:val="18"/>
              </w:rPr>
              <w:t>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2"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6"/>
          <w:szCs w:val="6"/>
        </w:rPr>
      </w:pPr>
    </w:p>
    <w:p>
      <w:pPr>
        <w:pStyle w:val="BodyText"/>
        <w:spacing w:line="240" w:lineRule="auto"/>
        <w:ind w:left="573" w:right="0"/>
        <w:jc w:val="left"/>
      </w:pPr>
      <w:r>
        <w:rPr/>
        <w:t>注：以上出售资产事项尚未完成。</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0"/>
        <w:jc w:val="left"/>
        <w:rPr>
          <w:b w:val="0"/>
          <w:bCs w:val="0"/>
        </w:rPr>
      </w:pPr>
      <w:r>
        <w:rPr>
          <w:rFonts w:ascii="宋体" w:hAnsi="宋体" w:cs="宋体" w:eastAsia="宋体" w:hint="default"/>
        </w:rPr>
        <w:t>3</w:t>
      </w:r>
      <w:r>
        <w:rPr/>
        <w:t>、企业合并情况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0"/>
        <w:jc w:val="left"/>
      </w:pPr>
      <w:r>
        <w:rPr/>
        <w:t>报告期内，公司不存在企业合并情况。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0"/>
        <w:jc w:val="left"/>
        <w:rPr>
          <w:b w:val="0"/>
          <w:bCs w:val="0"/>
        </w:rPr>
      </w:pPr>
      <w:r>
        <w:rPr/>
        <w:t>五、公司股权激励的实施情况及其影响</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0"/>
        <w:jc w:val="left"/>
      </w:pPr>
      <w:r>
        <w:rPr/>
        <w:t>报告期内，公司不存在股权激励事项。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六、重大关联交易</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69"/>
        <w:ind w:right="0"/>
        <w:jc w:val="left"/>
        <w:rPr>
          <w:b w:val="0"/>
          <w:bCs w:val="0"/>
        </w:rPr>
      </w:pPr>
      <w:r>
        <w:rPr>
          <w:rFonts w:ascii="宋体" w:hAnsi="宋体" w:cs="宋体" w:eastAsia="宋体" w:hint="default"/>
        </w:rPr>
        <w:t>1</w:t>
      </w:r>
      <w:r>
        <w:rPr/>
        <w:t>、报告期内，公司未发生重大关联交易事项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7"/>
        <w:spacing w:line="240" w:lineRule="auto"/>
        <w:ind w:right="0"/>
        <w:jc w:val="left"/>
        <w:rPr>
          <w:b w:val="0"/>
          <w:bCs w:val="0"/>
        </w:rPr>
      </w:pPr>
      <w:r>
        <w:rPr>
          <w:rFonts w:ascii="宋体" w:hAnsi="宋体" w:cs="宋体" w:eastAsia="宋体" w:hint="default"/>
        </w:rPr>
        <w:t>2</w:t>
      </w:r>
      <w:r>
        <w:rPr/>
        <w:t>、其他关联交易</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0"/>
        <w:jc w:val="left"/>
      </w:pPr>
      <w:r>
        <w:rPr>
          <w:rFonts w:ascii="宋体" w:hAnsi="宋体" w:cs="宋体" w:eastAsia="宋体" w:hint="default"/>
          <w:spacing w:val="1"/>
        </w:rPr>
        <w:t>20</w:t>
      </w:r>
      <w:r>
        <w:rPr>
          <w:rFonts w:ascii="宋体" w:hAnsi="宋体" w:cs="宋体" w:eastAsia="宋体" w:hint="default"/>
          <w:spacing w:val="-2"/>
        </w:rPr>
        <w:t>0</w:t>
      </w:r>
      <w:r>
        <w:rPr>
          <w:rFonts w:ascii="宋体" w:hAnsi="宋体" w:cs="宋体" w:eastAsia="宋体" w:hint="default"/>
          <w:spacing w:val="1"/>
        </w:rPr>
        <w:t>8</w:t>
      </w:r>
      <w:r>
        <w:rPr/>
        <w:t>年</w:t>
      </w:r>
      <w:r>
        <w:rPr>
          <w:rFonts w:ascii="宋体" w:hAnsi="宋体" w:cs="宋体" w:eastAsia="宋体" w:hint="default"/>
          <w:spacing w:val="-2"/>
        </w:rPr>
        <w:t>1</w:t>
      </w:r>
      <w:r>
        <w:rPr>
          <w:rFonts w:ascii="宋体" w:hAnsi="宋体" w:cs="宋体" w:eastAsia="宋体" w:hint="default"/>
          <w:spacing w:val="1"/>
        </w:rPr>
        <w:t>2</w:t>
      </w:r>
      <w:r>
        <w:rPr/>
        <w:t>月</w:t>
      </w:r>
      <w:r>
        <w:rPr>
          <w:rFonts w:ascii="宋体" w:hAnsi="宋体" w:cs="宋体" w:eastAsia="宋体" w:hint="default"/>
          <w:spacing w:val="-2"/>
        </w:rPr>
        <w:t>3</w:t>
      </w:r>
      <w:r>
        <w:rPr>
          <w:rFonts w:ascii="宋体" w:hAnsi="宋体" w:cs="宋体" w:eastAsia="宋体" w:hint="default"/>
          <w:spacing w:val="1"/>
        </w:rPr>
        <w:t>0</w:t>
      </w:r>
      <w:r>
        <w:rPr/>
        <w:t>日</w:t>
      </w:r>
      <w:r>
        <w:rPr>
          <w:spacing w:val="-72"/>
        </w:rPr>
        <w:t>，</w:t>
      </w:r>
      <w:r>
        <w:rPr/>
        <w:t>公司与泰德</w:t>
      </w:r>
      <w:r>
        <w:rPr>
          <w:spacing w:val="-3"/>
        </w:rPr>
        <w:t>信</w:t>
      </w:r>
      <w:r>
        <w:rPr/>
        <w:t>签订</w:t>
      </w:r>
      <w:r>
        <w:rPr>
          <w:rFonts w:ascii="宋体" w:hAnsi="宋体" w:cs="宋体" w:eastAsia="宋体" w:hint="default"/>
          <w:spacing w:val="1"/>
        </w:rPr>
        <w:t>20</w:t>
      </w:r>
      <w:r>
        <w:rPr>
          <w:rFonts w:ascii="宋体" w:hAnsi="宋体" w:cs="宋体" w:eastAsia="宋体" w:hint="default"/>
          <w:spacing w:val="-2"/>
        </w:rPr>
        <w:t>0</w:t>
      </w:r>
      <w:r>
        <w:rPr>
          <w:rFonts w:ascii="宋体" w:hAnsi="宋体" w:cs="宋体" w:eastAsia="宋体" w:hint="default"/>
          <w:spacing w:val="1"/>
        </w:rPr>
        <w:t>9</w:t>
      </w:r>
      <w:r>
        <w:rPr/>
        <w:t>年房屋租赁合同</w:t>
      </w:r>
      <w:r>
        <w:rPr>
          <w:spacing w:val="-72"/>
        </w:rPr>
        <w:t>，</w:t>
      </w:r>
      <w:r>
        <w:rPr/>
        <w:t>泰</w:t>
      </w:r>
      <w:r>
        <w:rPr>
          <w:spacing w:val="-3"/>
        </w:rPr>
        <w:t>德</w:t>
      </w:r>
      <w:r>
        <w:rPr/>
        <w:t>信将其于深圳市福田区泰然大道东路泰然劲松大厦</w:t>
      </w:r>
      <w:r>
        <w:rPr>
          <w:rFonts w:ascii="宋体" w:hAnsi="宋体" w:cs="宋体" w:eastAsia="宋体" w:hint="default"/>
          <w:spacing w:val="1"/>
        </w:rPr>
        <w:t>17A</w:t>
      </w:r>
      <w:r>
        <w:rPr/>
        <w:t>、</w:t>
      </w:r>
    </w:p>
    <w:p>
      <w:pPr>
        <w:spacing w:line="240" w:lineRule="auto" w:before="11"/>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17B</w:t>
      </w:r>
      <w:r>
        <w:rPr/>
        <w:t>、</w:t>
      </w:r>
      <w:r>
        <w:rPr>
          <w:rFonts w:ascii="宋体" w:hAnsi="宋体" w:cs="宋体" w:eastAsia="宋体" w:hint="default"/>
        </w:rPr>
        <w:t>17C</w:t>
      </w:r>
      <w:r>
        <w:rPr/>
        <w:t>、</w:t>
      </w:r>
      <w:r>
        <w:rPr>
          <w:rFonts w:ascii="宋体" w:hAnsi="宋体" w:cs="宋体" w:eastAsia="宋体" w:hint="default"/>
        </w:rPr>
        <w:t>17D</w:t>
      </w:r>
      <w:r>
        <w:rPr/>
        <w:t>建筑面积</w:t>
      </w:r>
      <w:r>
        <w:rPr>
          <w:rFonts w:ascii="宋体" w:hAnsi="宋体" w:cs="宋体" w:eastAsia="宋体" w:hint="default"/>
        </w:rPr>
        <w:t>886.6</w:t>
      </w:r>
      <w:r>
        <w:rPr/>
        <w:t>平方米的房屋租赁给本公司使用，租赁期自</w:t>
      </w:r>
      <w:r>
        <w:rPr>
          <w:rFonts w:ascii="宋体" w:hAnsi="宋体" w:cs="宋体" w:eastAsia="宋体" w:hint="default"/>
        </w:rPr>
        <w:t>2009</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日止，月租金为</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70,928.00</w:t>
      </w:r>
      <w:r>
        <w:rPr/>
        <w:t>元，单位租金为</w:t>
      </w:r>
      <w:r>
        <w:rPr>
          <w:rFonts w:ascii="宋体" w:hAnsi="宋体" w:cs="宋体" w:eastAsia="宋体" w:hint="default"/>
        </w:rPr>
        <w:t>80</w:t>
      </w:r>
      <w:r>
        <w:rPr/>
        <w:t>元</w:t>
      </w:r>
      <w:r>
        <w:rPr>
          <w:rFonts w:ascii="宋体" w:hAnsi="宋体" w:cs="宋体" w:eastAsia="宋体" w:hint="default"/>
        </w:rPr>
        <w:t>/</w:t>
      </w:r>
      <w:r>
        <w:rPr/>
        <w:t>月</w:t>
      </w:r>
      <w:r>
        <w:rPr>
          <w:rFonts w:ascii="宋体" w:hAnsi="宋体" w:cs="宋体" w:eastAsia="宋体" w:hint="default"/>
        </w:rPr>
        <w:t>/</w:t>
      </w:r>
      <w:r>
        <w:rPr/>
        <w:t>平方米。</w:t>
      </w:r>
    </w:p>
    <w:p>
      <w:pPr>
        <w:spacing w:line="240" w:lineRule="auto" w:before="10"/>
        <w:rPr>
          <w:rFonts w:ascii="宋体" w:hAnsi="宋体" w:cs="宋体" w:eastAsia="宋体" w:hint="default"/>
          <w:sz w:val="17"/>
          <w:szCs w:val="17"/>
        </w:rPr>
      </w:pPr>
    </w:p>
    <w:p>
      <w:pPr>
        <w:pStyle w:val="BodyText"/>
        <w:spacing w:line="477" w:lineRule="auto" w:before="0"/>
        <w:ind w:right="0" w:firstLine="420"/>
        <w:jc w:val="left"/>
      </w:pP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27</w:t>
      </w:r>
      <w:r>
        <w:rPr/>
        <w:t>日，公司与泰德信签订</w:t>
      </w:r>
      <w:r>
        <w:rPr>
          <w:rFonts w:ascii="宋体" w:hAnsi="宋体" w:cs="宋体" w:eastAsia="宋体" w:hint="default"/>
        </w:rPr>
        <w:t>2009</w:t>
      </w:r>
      <w:r>
        <w:rPr/>
        <w:t>年房屋租赁合同的补充合同，由于租金市场价格下降，补充合同规定自</w:t>
      </w:r>
      <w:r>
        <w:rPr>
          <w:rFonts w:ascii="宋体" w:hAnsi="宋体" w:cs="宋体" w:eastAsia="宋体" w:hint="default"/>
        </w:rPr>
        <w:t>2009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日起月租金由原来的</w:t>
      </w:r>
      <w:r>
        <w:rPr>
          <w:rFonts w:ascii="宋体" w:hAnsi="宋体" w:cs="宋体" w:eastAsia="宋体" w:hint="default"/>
          <w:spacing w:val="-2"/>
        </w:rPr>
        <w:t>70,928.00</w:t>
      </w:r>
      <w:r>
        <w:rPr>
          <w:spacing w:val="-2"/>
        </w:rPr>
        <w:t>元变更为</w:t>
      </w:r>
      <w:r>
        <w:rPr>
          <w:rFonts w:ascii="宋体" w:hAnsi="宋体" w:cs="宋体" w:eastAsia="宋体" w:hint="default"/>
          <w:spacing w:val="-2"/>
        </w:rPr>
        <w:t>63,835.00</w:t>
      </w:r>
      <w:r>
        <w:rPr>
          <w:spacing w:val="-2"/>
        </w:rPr>
        <w:t>元，单位租金为</w:t>
      </w:r>
      <w:r>
        <w:rPr>
          <w:rFonts w:ascii="宋体" w:hAnsi="宋体" w:cs="宋体" w:eastAsia="宋体" w:hint="default"/>
          <w:spacing w:val="-2"/>
        </w:rPr>
        <w:t>72</w:t>
      </w:r>
      <w:r>
        <w:rPr>
          <w:spacing w:val="-2"/>
        </w:rPr>
        <w:t>元</w:t>
      </w:r>
      <w:r>
        <w:rPr>
          <w:rFonts w:ascii="宋体" w:hAnsi="宋体" w:cs="宋体" w:eastAsia="宋体" w:hint="default"/>
          <w:spacing w:val="-2"/>
        </w:rPr>
        <w:t>/</w:t>
      </w:r>
      <w:r>
        <w:rPr>
          <w:spacing w:val="-2"/>
        </w:rPr>
        <w:t>月</w:t>
      </w:r>
      <w:r>
        <w:rPr>
          <w:rFonts w:ascii="宋体" w:hAnsi="宋体" w:cs="宋体" w:eastAsia="宋体" w:hint="default"/>
          <w:spacing w:val="-2"/>
        </w:rPr>
        <w:t>/</w:t>
      </w:r>
      <w:r>
        <w:rPr>
          <w:spacing w:val="-2"/>
        </w:rPr>
        <w:t>平方米。</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月，由于同类物业市场</w:t>
      </w:r>
      <w:r>
        <w:rPr>
          <w:spacing w:val="-44"/>
        </w:rPr>
        <w:t> </w:t>
      </w:r>
      <w:r>
        <w:rPr>
          <w:spacing w:val="-44"/>
        </w:rPr>
      </w:r>
      <w:r>
        <w:rPr>
          <w:spacing w:val="-2"/>
        </w:rPr>
        <w:t>价格上升，公司与泰德信双方签订《房屋租赁合同》的补充合同，将房屋单位租金上调至</w:t>
      </w:r>
      <w:r>
        <w:rPr>
          <w:rFonts w:ascii="宋体" w:hAnsi="宋体" w:cs="宋体" w:eastAsia="宋体" w:hint="default"/>
          <w:spacing w:val="-2"/>
        </w:rPr>
        <w:t>95</w:t>
      </w:r>
      <w:r>
        <w:rPr>
          <w:spacing w:val="-2"/>
        </w:rPr>
        <w:t>元</w:t>
      </w:r>
      <w:r>
        <w:rPr>
          <w:rFonts w:ascii="宋体" w:hAnsi="宋体" w:cs="宋体" w:eastAsia="宋体" w:hint="default"/>
          <w:spacing w:val="-2"/>
        </w:rPr>
        <w:t>/</w:t>
      </w:r>
      <w:r>
        <w:rPr>
          <w:spacing w:val="-2"/>
        </w:rPr>
        <w:t>平方米</w:t>
      </w:r>
      <w:r>
        <w:rPr>
          <w:rFonts w:ascii="宋体" w:hAnsi="宋体" w:cs="宋体" w:eastAsia="宋体" w:hint="default"/>
          <w:spacing w:val="-2"/>
        </w:rPr>
        <w:t>/</w:t>
      </w:r>
      <w:r>
        <w:rPr>
          <w:spacing w:val="-2"/>
        </w:rPr>
        <w:t>月，调整后，月总租</w:t>
      </w:r>
      <w:r>
        <w:rPr>
          <w:spacing w:val="-64"/>
        </w:rPr>
        <w:t> </w:t>
      </w:r>
      <w:r>
        <w:rPr>
          <w:spacing w:val="-64"/>
        </w:rPr>
      </w:r>
      <w:r>
        <w:rPr/>
        <w:t>金为</w:t>
      </w:r>
      <w:r>
        <w:rPr>
          <w:rFonts w:ascii="宋体" w:hAnsi="宋体" w:cs="宋体" w:eastAsia="宋体" w:hint="default"/>
        </w:rPr>
        <w:t>84,227.00</w:t>
      </w:r>
      <w:r>
        <w:rPr/>
        <w:t>元，其余条款仍按原合同执行。租金调整时间自</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w:t>
      </w:r>
      <w:r>
        <w:rPr/>
        <w:t>日起计算，至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日止。</w:t>
      </w:r>
    </w:p>
    <w:p>
      <w:pPr>
        <w:spacing w:after="0" w:line="477"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264" w:firstLine="420"/>
        <w:jc w:val="left"/>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w:t>
      </w:r>
      <w:r>
        <w:rPr/>
        <w:t>日，公司继续租赁深圳市福田区泰然大道东路泰然劲松大厦</w:t>
      </w:r>
      <w:r>
        <w:rPr>
          <w:rFonts w:ascii="宋体" w:hAnsi="宋体" w:cs="宋体" w:eastAsia="宋体" w:hint="default"/>
        </w:rPr>
        <w:t>17A</w:t>
      </w:r>
      <w:r>
        <w:rPr/>
        <w:t>、</w:t>
      </w:r>
      <w:r>
        <w:rPr>
          <w:rFonts w:ascii="宋体" w:hAnsi="宋体" w:cs="宋体" w:eastAsia="宋体" w:hint="default"/>
        </w:rPr>
        <w:t>17B</w:t>
      </w:r>
      <w:r>
        <w:rPr/>
        <w:t>、</w:t>
      </w:r>
      <w:r>
        <w:rPr>
          <w:rFonts w:ascii="宋体" w:hAnsi="宋体" w:cs="宋体" w:eastAsia="宋体" w:hint="default"/>
        </w:rPr>
        <w:t>17C</w:t>
      </w:r>
      <w:r>
        <w:rPr/>
        <w:t>、</w:t>
      </w:r>
      <w:r>
        <w:rPr>
          <w:rFonts w:ascii="宋体" w:hAnsi="宋体" w:cs="宋体" w:eastAsia="宋体" w:hint="default"/>
        </w:rPr>
        <w:t>17D</w:t>
      </w:r>
      <w:r>
        <w:rPr/>
        <w:t>物业，单位租金为</w:t>
      </w:r>
      <w:r>
        <w:rPr>
          <w:rFonts w:ascii="宋体" w:hAnsi="宋体" w:cs="宋体" w:eastAsia="宋体" w:hint="default"/>
        </w:rPr>
        <w:t>95</w:t>
      </w:r>
      <w:r>
        <w:rPr/>
        <w:t>元</w:t>
      </w:r>
      <w:r>
        <w:rPr>
          <w:rFonts w:ascii="宋体" w:hAnsi="宋体" w:cs="宋体" w:eastAsia="宋体" w:hint="default"/>
        </w:rPr>
        <w:t>/ </w:t>
      </w:r>
      <w:r>
        <w:rPr/>
        <w:t>平方米</w:t>
      </w:r>
      <w:r>
        <w:rPr>
          <w:rFonts w:ascii="宋体" w:hAnsi="宋体" w:cs="宋体" w:eastAsia="宋体" w:hint="default"/>
        </w:rPr>
        <w:t>/</w:t>
      </w:r>
      <w:r>
        <w:rPr/>
        <w:t>月，租赁期限为三年，自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5"/>
        <w:rPr>
          <w:rFonts w:ascii="宋体" w:hAnsi="宋体" w:cs="宋体" w:eastAsia="宋体" w:hint="default"/>
          <w:sz w:val="23"/>
          <w:szCs w:val="23"/>
        </w:rPr>
      </w:pPr>
    </w:p>
    <w:p>
      <w:pPr>
        <w:pStyle w:val="Heading4"/>
        <w:spacing w:line="240" w:lineRule="auto"/>
        <w:ind w:right="141"/>
        <w:jc w:val="left"/>
        <w:rPr>
          <w:b w:val="0"/>
          <w:bCs w:val="0"/>
        </w:rPr>
      </w:pPr>
      <w:r>
        <w:rPr/>
        <w:t>七、重大合同及其履行情况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、托管、承包、租赁事项情况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141"/>
        <w:jc w:val="left"/>
      </w:pPr>
      <w:r>
        <w:rPr/>
        <w:t>报告期内，公司不存在托管、承包、租赁事项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宋体" w:hAnsi="宋体" w:cs="宋体" w:eastAsia="宋体" w:hint="default"/>
        </w:rPr>
        <w:t>2</w:t>
      </w:r>
      <w:r>
        <w:rPr/>
        <w:t>、担保情况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141"/>
        <w:jc w:val="left"/>
      </w:pPr>
      <w:r>
        <w:rPr/>
        <w:t>报告期内，公司不存在担保情况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宋体" w:hAnsi="宋体" w:cs="宋体" w:eastAsia="宋体" w:hint="default"/>
        </w:rPr>
        <w:t>3</w:t>
      </w:r>
      <w:r>
        <w:rPr/>
        <w:t>、报告期内或报告期继续发生的委托理财情况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7"/>
        <w:spacing w:line="240" w:lineRule="auto"/>
        <w:ind w:right="141"/>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141"/>
        <w:jc w:val="left"/>
      </w:pPr>
      <w:r>
        <w:rPr/>
        <w:t>报告期内，公司不存在委托理财情况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141"/>
        <w:jc w:val="left"/>
      </w:pPr>
      <w:r>
        <w:rPr/>
        <w:t>报告期内，公司不存在衍生品投资的持仓情况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t>（</w:t>
      </w:r>
      <w:r>
        <w:rPr>
          <w:rFonts w:ascii="宋体" w:hAnsi="宋体" w:cs="宋体" w:eastAsia="宋体" w:hint="default"/>
        </w:rPr>
        <w:t>3</w:t>
      </w:r>
      <w:r>
        <w:rPr/>
        <w:t>）委托贷款情况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141"/>
        <w:jc w:val="left"/>
      </w:pPr>
      <w:r>
        <w:rPr/>
        <w:t>报告期内，公司不存在委托贷款情况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4"/>
        <w:spacing w:line="240" w:lineRule="auto"/>
        <w:ind w:right="141"/>
        <w:jc w:val="left"/>
        <w:rPr>
          <w:b w:val="0"/>
          <w:bCs w:val="0"/>
        </w:rPr>
      </w:pPr>
      <w:r>
        <w:rPr/>
        <w:t>八、承诺事项履行情况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、公司或持股</w:t>
      </w:r>
      <w:r>
        <w:rPr>
          <w:spacing w:val="-57"/>
        </w:rPr>
        <w:t> </w:t>
      </w:r>
      <w:r>
        <w:rPr>
          <w:rFonts w:ascii="宋体" w:hAnsi="宋体" w:cs="宋体" w:eastAsia="宋体" w:hint="default"/>
        </w:rPr>
        <w:t>5%</w:t>
      </w:r>
      <w:r>
        <w:rPr/>
        <w:t>以上股东在报告期内或持续到报告期内的承诺事项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19" w:type="dxa"/>
        <w:tblLayout w:type="fixed"/>
        <w:tblCellMar>
          <w:top w:w="0" w:type="dxa"/>
          <w:left w:w="0" w:type="dxa"/>
          <w:bottom w:w="0" w:type="dxa"/>
          <w:right w:w="0" w:type="dxa"/>
        </w:tblCellMar>
        <w:tblLook w:val="01E0"/>
      </w:tblPr>
      <w:tblGrid>
        <w:gridCol w:w="1164"/>
        <w:gridCol w:w="1985"/>
        <w:gridCol w:w="3118"/>
        <w:gridCol w:w="850"/>
        <w:gridCol w:w="853"/>
        <w:gridCol w:w="1728"/>
      </w:tblGrid>
      <w:tr>
        <w:trPr>
          <w:trHeight w:val="557"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1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承诺人</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5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164"/>
        <w:gridCol w:w="1985"/>
        <w:gridCol w:w="3118"/>
        <w:gridCol w:w="850"/>
        <w:gridCol w:w="853"/>
        <w:gridCol w:w="1728"/>
      </w:tblGrid>
      <w:tr>
        <w:trPr>
          <w:trHeight w:val="149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48"/>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48"/>
              <w:jc w:val="left"/>
              <w:rPr>
                <w:rFonts w:ascii="宋体" w:hAnsi="宋体" w:cs="宋体" w:eastAsia="宋体" w:hint="default"/>
                <w:sz w:val="18"/>
                <w:szCs w:val="18"/>
              </w:rPr>
            </w:pPr>
            <w:r>
              <w:rPr>
                <w:rFonts w:ascii="宋体" w:hAnsi="宋体" w:cs="宋体" w:eastAsia="宋体" w:hint="default"/>
                <w:sz w:val="18"/>
                <w:szCs w:val="18"/>
              </w:rPr>
              <w:t>资产置换时所 作承诺</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477" w:lineRule="auto"/>
              <w:ind w:left="24" w:right="48"/>
              <w:jc w:val="left"/>
              <w:rPr>
                <w:rFonts w:ascii="宋体" w:hAnsi="宋体" w:cs="宋体" w:eastAsia="宋体" w:hint="default"/>
                <w:sz w:val="18"/>
                <w:szCs w:val="18"/>
              </w:rPr>
            </w:pPr>
            <w:r>
              <w:rPr>
                <w:rFonts w:ascii="宋体" w:hAnsi="宋体" w:cs="宋体" w:eastAsia="宋体" w:hint="default"/>
                <w:sz w:val="18"/>
                <w:szCs w:val="18"/>
              </w:rPr>
              <w:t>发行时所作承 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刘祥、刘亚、江汉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 不转让或者委托他人管理本人直接或间 接持有的公司公开发行股票前已发行的 股份，也不由新国都回购本人直接或间 接持有的公司公开发行股票前已发行的 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477" w:lineRule="auto"/>
              <w:ind w:left="23" w:right="98"/>
              <w:jc w:val="both"/>
              <w:rPr>
                <w:rFonts w:ascii="宋体" w:hAnsi="宋体" w:cs="宋体" w:eastAsia="宋体" w:hint="default"/>
                <w:sz w:val="18"/>
                <w:szCs w:val="18"/>
              </w:rPr>
            </w:pPr>
            <w:r>
              <w:rPr>
                <w:rFonts w:ascii="宋体" w:hAnsi="宋体" w:cs="宋体" w:eastAsia="宋体" w:hint="default"/>
                <w:sz w:val="18"/>
                <w:szCs w:val="18"/>
              </w:rPr>
              <w:t>公司股票 上市之日 起三十六 个月内</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477" w:lineRule="auto"/>
              <w:ind w:left="23" w:right="72"/>
              <w:jc w:val="both"/>
              <w:rPr>
                <w:rFonts w:ascii="宋体" w:hAnsi="宋体" w:cs="宋体" w:eastAsia="宋体" w:hint="default"/>
                <w:sz w:val="18"/>
                <w:szCs w:val="18"/>
              </w:rPr>
            </w:pPr>
            <w:r>
              <w:rPr>
                <w:rFonts w:ascii="宋体" w:hAnsi="宋体" w:cs="宋体" w:eastAsia="宋体" w:hint="default"/>
                <w:sz w:val="18"/>
                <w:szCs w:val="18"/>
              </w:rPr>
              <w:t>截至本报告期末，上 述所有承诺人严格信 守承诺，未有违反承 诺的情况发生。</w:t>
            </w:r>
          </w:p>
        </w:tc>
      </w:tr>
      <w:tr>
        <w:trPr>
          <w:trHeight w:val="8475"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475" w:lineRule="auto"/>
              <w:ind w:left="23" w:right="20"/>
              <w:jc w:val="both"/>
              <w:rPr>
                <w:rFonts w:ascii="宋体" w:hAnsi="宋体" w:cs="宋体" w:eastAsia="宋体" w:hint="default"/>
                <w:sz w:val="18"/>
                <w:szCs w:val="18"/>
              </w:rPr>
            </w:pPr>
            <w:r>
              <w:rPr>
                <w:rFonts w:ascii="宋体" w:hAnsi="宋体" w:cs="宋体" w:eastAsia="宋体" w:hint="default"/>
                <w:spacing w:val="-5"/>
                <w:sz w:val="18"/>
                <w:szCs w:val="18"/>
              </w:rPr>
              <w:t>刘祥、江汉、汪洋、韦余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红、李林杰、栾承岚、赵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3" w:right="19"/>
              <w:jc w:val="left"/>
              <w:rPr>
                <w:rFonts w:ascii="宋体" w:hAnsi="宋体" w:cs="宋体" w:eastAsia="宋体" w:hint="default"/>
                <w:sz w:val="18"/>
                <w:szCs w:val="18"/>
              </w:rPr>
            </w:pPr>
            <w:r>
              <w:rPr>
                <w:rFonts w:ascii="宋体" w:hAnsi="宋体" w:cs="宋体" w:eastAsia="宋体" w:hint="default"/>
                <w:sz w:val="18"/>
                <w:szCs w:val="18"/>
              </w:rPr>
              <w:t>在其本人及关联方担任董事、监事、高 级管理人员职务期间，每年转让的公司 股份不超过其所持有的股份总数的 </w:t>
            </w:r>
            <w:r>
              <w:rPr>
                <w:rFonts w:ascii="宋体" w:hAnsi="宋体" w:cs="宋体" w:eastAsia="宋体" w:hint="default"/>
                <w:spacing w:val="-5"/>
                <w:sz w:val="18"/>
                <w:szCs w:val="18"/>
              </w:rPr>
              <w:t>25%</w:t>
            </w:r>
            <w:r>
              <w:rPr>
                <w:rFonts w:ascii="宋体" w:hAnsi="宋体" w:cs="宋体" w:eastAsia="宋体" w:hint="default"/>
                <w:spacing w:val="-5"/>
                <w:sz w:val="18"/>
                <w:szCs w:val="18"/>
              </w:rPr>
              <w:t>；离职后半年内不转让其所持有的公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司的股份；在申报离任六个月后的十二 月内通过证券交易所挂牌交易出售公司 股票数量占其所持有公司股票总数的比 例不超过百分之五十。</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 在公司担任董事、监事、高级管理人员 的股东刘祥、江汉、汪洋、韦余红、李 林杰、栾承岚、赵辉补充承诺：“若在 首次公开发行股票上市之日起六个月内</w:t>
            </w:r>
          </w:p>
          <w:p>
            <w:pPr>
              <w:pStyle w:val="TableParagraph"/>
              <w:spacing w:line="477" w:lineRule="auto" w:before="55"/>
              <w:ind w:left="23" w:right="22"/>
              <w:jc w:val="both"/>
              <w:rPr>
                <w:rFonts w:ascii="宋体" w:hAnsi="宋体" w:cs="宋体" w:eastAsia="宋体" w:hint="default"/>
                <w:sz w:val="18"/>
                <w:szCs w:val="18"/>
              </w:rPr>
            </w:pPr>
            <w:r>
              <w:rPr>
                <w:rFonts w:ascii="宋体" w:hAnsi="宋体" w:cs="宋体" w:eastAsia="宋体" w:hint="default"/>
                <w:sz w:val="18"/>
                <w:szCs w:val="18"/>
              </w:rPr>
              <w:t>（含第六个月）申报离职，将自申报离 职之日起十八个月（含第十八个月）内 不转让本人直接持有的本公司股份；本 人若在首次公开发行股票上市之日起第 七个月至第十二个月（含第七个月、第</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十二个月）之间申报离职，将自申报离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477" w:lineRule="auto"/>
              <w:ind w:left="23" w:right="72"/>
              <w:jc w:val="both"/>
              <w:rPr>
                <w:rFonts w:ascii="宋体" w:hAnsi="宋体" w:cs="宋体" w:eastAsia="宋体" w:hint="default"/>
                <w:sz w:val="18"/>
                <w:szCs w:val="18"/>
              </w:rPr>
            </w:pPr>
            <w:r>
              <w:rPr>
                <w:rFonts w:ascii="宋体" w:hAnsi="宋体" w:cs="宋体" w:eastAsia="宋体" w:hint="default"/>
                <w:sz w:val="18"/>
                <w:szCs w:val="18"/>
              </w:rPr>
              <w:t>截至本报告期末，上 述所有承诺人严格信 守承诺，未有违反承 诺的情况发生。</w:t>
            </w:r>
          </w:p>
        </w:tc>
      </w:tr>
    </w:tbl>
    <w:p>
      <w:pPr>
        <w:spacing w:after="0" w:line="477"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164"/>
        <w:gridCol w:w="1985"/>
        <w:gridCol w:w="3118"/>
        <w:gridCol w:w="850"/>
        <w:gridCol w:w="853"/>
        <w:gridCol w:w="1730"/>
      </w:tblGrid>
      <w:tr>
        <w:trPr>
          <w:trHeight w:val="2391" w:hRule="exact"/>
        </w:trPr>
        <w:tc>
          <w:tcPr>
            <w:tcW w:w="1164" w:type="dxa"/>
            <w:vMerge w:val="restart"/>
            <w:tcBorders>
              <w:top w:val="single" w:sz="4" w:space="0" w:color="000000"/>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3" w:right="22"/>
              <w:jc w:val="both"/>
              <w:rPr>
                <w:rFonts w:ascii="宋体" w:hAnsi="宋体" w:cs="宋体" w:eastAsia="宋体" w:hint="default"/>
                <w:sz w:val="18"/>
                <w:szCs w:val="18"/>
              </w:rPr>
            </w:pPr>
            <w:r>
              <w:rPr>
                <w:rFonts w:ascii="宋体" w:hAnsi="宋体" w:cs="宋体" w:eastAsia="宋体" w:hint="default"/>
                <w:sz w:val="18"/>
                <w:szCs w:val="18"/>
              </w:rPr>
              <w:t>职之日起十二个月内（含第十二个月） 不转让本人直接持有的本公司股份。因 上市公司进行权益分派等导致本人直接 持有本公司股份发生变化的，本人仍遵 守前款承诺”。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164"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刘祥、刘亚、江汉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7"/>
              <w:jc w:val="both"/>
              <w:rPr>
                <w:rFonts w:ascii="宋体" w:hAnsi="宋体" w:cs="宋体" w:eastAsia="宋体" w:hint="default"/>
                <w:sz w:val="18"/>
                <w:szCs w:val="18"/>
              </w:rPr>
            </w:pPr>
            <w:r>
              <w:rPr>
                <w:rFonts w:ascii="宋体" w:hAnsi="宋体" w:cs="宋体" w:eastAsia="宋体" w:hint="default"/>
                <w:sz w:val="18"/>
                <w:szCs w:val="18"/>
              </w:rPr>
              <w:t>为避免同业竞争损害公司及其他股东的 </w:t>
            </w:r>
            <w:r>
              <w:rPr>
                <w:rFonts w:ascii="宋体" w:hAnsi="宋体" w:cs="宋体" w:eastAsia="宋体" w:hint="default"/>
                <w:spacing w:val="-3"/>
                <w:sz w:val="18"/>
                <w:szCs w:val="18"/>
              </w:rPr>
              <w:t>利益，公司实际控制人刘祥及持股</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z w:val="18"/>
                <w:szCs w:val="18"/>
              </w:rPr>
              <w:t>以 上的股东刘亚、江汉共同做出了以下承 </w:t>
            </w:r>
            <w:r>
              <w:rPr>
                <w:rFonts w:ascii="宋体" w:hAnsi="宋体" w:cs="宋体" w:eastAsia="宋体" w:hint="default"/>
                <w:spacing w:val="-5"/>
                <w:sz w:val="18"/>
                <w:szCs w:val="18"/>
              </w:rPr>
              <w:t>诺：</w:t>
            </w:r>
            <w:r>
              <w:rPr>
                <w:rFonts w:ascii="宋体" w:hAnsi="宋体" w:cs="宋体" w:eastAsia="宋体" w:hint="default"/>
                <w:spacing w:val="-5"/>
                <w:sz w:val="18"/>
                <w:szCs w:val="18"/>
              </w:rPr>
              <w:t>1</w:t>
            </w:r>
            <w:r>
              <w:rPr>
                <w:rFonts w:ascii="宋体" w:hAnsi="宋体" w:cs="宋体" w:eastAsia="宋体" w:hint="default"/>
                <w:spacing w:val="-5"/>
                <w:sz w:val="18"/>
                <w:szCs w:val="18"/>
              </w:rPr>
              <w:t>、不以自营或以合资、合作等方式</w:t>
            </w:r>
            <w:r>
              <w:rPr>
                <w:rFonts w:ascii="宋体" w:hAnsi="宋体" w:cs="宋体" w:eastAsia="宋体" w:hint="default"/>
                <w:sz w:val="18"/>
                <w:szCs w:val="18"/>
              </w:rPr>
              <w:t> 经营任何与发行人现从事的业务有竞争 的业务，刘祥、刘亚及江汉现有的或将 来成立的全资子公司、控股子公司以及 其他受刘祥、刘亚及江汉控制的企业亦 不会经营与发行人现从事的业务有竞争 </w:t>
            </w:r>
            <w:r>
              <w:rPr>
                <w:rFonts w:ascii="宋体" w:hAnsi="宋体" w:cs="宋体" w:eastAsia="宋体" w:hint="default"/>
                <w:spacing w:val="-5"/>
                <w:sz w:val="18"/>
                <w:szCs w:val="18"/>
              </w:rPr>
              <w:t>的业务。</w:t>
            </w:r>
            <w:r>
              <w:rPr>
                <w:rFonts w:ascii="宋体" w:hAnsi="宋体" w:cs="宋体" w:eastAsia="宋体" w:hint="default"/>
                <w:spacing w:val="-5"/>
                <w:sz w:val="18"/>
                <w:szCs w:val="18"/>
              </w:rPr>
              <w:t>2</w:t>
            </w:r>
            <w:r>
              <w:rPr>
                <w:rFonts w:ascii="宋体" w:hAnsi="宋体" w:cs="宋体" w:eastAsia="宋体" w:hint="default"/>
                <w:spacing w:val="-5"/>
                <w:sz w:val="18"/>
                <w:szCs w:val="18"/>
              </w:rPr>
              <w:t>、如违反上述承诺，刘祥、刘</w:t>
            </w:r>
            <w:r>
              <w:rPr>
                <w:rFonts w:ascii="宋体" w:hAnsi="宋体" w:cs="宋体" w:eastAsia="宋体" w:hint="default"/>
                <w:sz w:val="18"/>
                <w:szCs w:val="18"/>
              </w:rPr>
              <w:t> 亚及江汉同意承担给发行人造成的全部 </w:t>
            </w:r>
            <w:r>
              <w:rPr>
                <w:rFonts w:ascii="宋体" w:hAnsi="宋体" w:cs="宋体" w:eastAsia="宋体" w:hint="default"/>
                <w:spacing w:val="-5"/>
                <w:sz w:val="18"/>
                <w:szCs w:val="18"/>
              </w:rPr>
              <w:t>损失。</w:t>
            </w:r>
            <w:r>
              <w:rPr>
                <w:rFonts w:ascii="宋体" w:hAnsi="宋体" w:cs="宋体" w:eastAsia="宋体" w:hint="default"/>
                <w:spacing w:val="-5"/>
                <w:sz w:val="18"/>
                <w:szCs w:val="18"/>
              </w:rPr>
              <w:t>3</w:t>
            </w:r>
            <w:r>
              <w:rPr>
                <w:rFonts w:ascii="宋体" w:hAnsi="宋体" w:cs="宋体" w:eastAsia="宋体" w:hint="default"/>
                <w:spacing w:val="-5"/>
                <w:sz w:val="18"/>
                <w:szCs w:val="18"/>
              </w:rPr>
              <w:t>、本承诺自出具之日起生效，并</w:t>
            </w:r>
            <w:r>
              <w:rPr>
                <w:rFonts w:ascii="宋体" w:hAnsi="宋体" w:cs="宋体" w:eastAsia="宋体" w:hint="default"/>
                <w:sz w:val="18"/>
                <w:szCs w:val="18"/>
              </w:rPr>
              <w:t> 在刘祥、刘亚及江汉作为发行人股东或 关联方的整个期间持续有效。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477" w:lineRule="auto"/>
              <w:ind w:left="23" w:right="74"/>
              <w:jc w:val="both"/>
              <w:rPr>
                <w:rFonts w:ascii="宋体" w:hAnsi="宋体" w:cs="宋体" w:eastAsia="宋体" w:hint="default"/>
                <w:sz w:val="18"/>
                <w:szCs w:val="18"/>
              </w:rPr>
            </w:pPr>
            <w:r>
              <w:rPr>
                <w:rFonts w:ascii="宋体" w:hAnsi="宋体" w:cs="宋体" w:eastAsia="宋体" w:hint="default"/>
                <w:sz w:val="18"/>
                <w:szCs w:val="18"/>
              </w:rPr>
              <w:t>截至本报告期末，上 述所有承诺人严格信 守承诺，未有违反承 诺的情况发生。</w:t>
            </w:r>
          </w:p>
        </w:tc>
      </w:tr>
      <w:tr>
        <w:trPr>
          <w:trHeight w:val="1963" w:hRule="exact"/>
        </w:trPr>
        <w:tc>
          <w:tcPr>
            <w:tcW w:w="1164"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刘祥、刘亚、江汉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如公司</w:t>
            </w:r>
            <w:r>
              <w:rPr>
                <w:rFonts w:ascii="宋体" w:hAnsi="宋体" w:cs="宋体" w:eastAsia="宋体" w:hint="default"/>
                <w:sz w:val="18"/>
                <w:szCs w:val="18"/>
              </w:rPr>
              <w:t>(</w:t>
            </w:r>
            <w:r>
              <w:rPr>
                <w:rFonts w:ascii="宋体" w:hAnsi="宋体" w:cs="宋体" w:eastAsia="宋体" w:hint="default"/>
                <w:sz w:val="18"/>
                <w:szCs w:val="18"/>
              </w:rPr>
              <w:t>含下属子公司</w:t>
            </w:r>
            <w:r>
              <w:rPr>
                <w:rFonts w:ascii="宋体" w:hAnsi="宋体" w:cs="宋体" w:eastAsia="宋体" w:hint="default"/>
                <w:sz w:val="18"/>
                <w:szCs w:val="18"/>
              </w:rPr>
              <w:t>)</w:t>
            </w:r>
            <w:r>
              <w:rPr>
                <w:rFonts w:ascii="宋体" w:hAnsi="宋体" w:cs="宋体" w:eastAsia="宋体" w:hint="default"/>
                <w:sz w:val="18"/>
                <w:szCs w:val="18"/>
              </w:rPr>
              <w:t>因任何违反税收 征管的法律、法规而遭受税务主管机关 追讨欠税并处罚的情况，本人同意全额 承担相关的责任。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74"/>
              <w:jc w:val="both"/>
              <w:rPr>
                <w:rFonts w:ascii="宋体" w:hAnsi="宋体" w:cs="宋体" w:eastAsia="宋体" w:hint="default"/>
                <w:sz w:val="18"/>
                <w:szCs w:val="18"/>
              </w:rPr>
            </w:pPr>
            <w:r>
              <w:rPr>
                <w:rFonts w:ascii="宋体" w:hAnsi="宋体" w:cs="宋体" w:eastAsia="宋体" w:hint="default"/>
                <w:sz w:val="18"/>
                <w:szCs w:val="18"/>
              </w:rPr>
              <w:t>截至本报告期末，上 述所有承诺人严格信 守承诺，未有违反承 诺的情况发生。</w:t>
            </w:r>
          </w:p>
        </w:tc>
      </w:tr>
      <w:tr>
        <w:trPr>
          <w:trHeight w:val="2429" w:hRule="exact"/>
        </w:trPr>
        <w:tc>
          <w:tcPr>
            <w:tcW w:w="116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刘祥、刘亚、江汉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如今后贵司因上市前执行住房公积金政 策事宜被要求补缴住房公积金、缴纳罚 款或因此而遭受任何损失时，我们将及 时、无条件、全额补偿贵司由此遭受的 一切损失。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4"/>
              <w:ind w:left="23" w:right="74"/>
              <w:jc w:val="both"/>
              <w:rPr>
                <w:rFonts w:ascii="宋体" w:hAnsi="宋体" w:cs="宋体" w:eastAsia="宋体" w:hint="default"/>
                <w:sz w:val="18"/>
                <w:szCs w:val="18"/>
              </w:rPr>
            </w:pPr>
            <w:r>
              <w:rPr>
                <w:rFonts w:ascii="宋体" w:hAnsi="宋体" w:cs="宋体" w:eastAsia="宋体" w:hint="default"/>
                <w:sz w:val="18"/>
                <w:szCs w:val="18"/>
              </w:rPr>
              <w:t>截至本报告期末，上 述所有承诺人严格信 守承诺，未有违反承 诺的情况发生。</w:t>
            </w:r>
          </w:p>
        </w:tc>
      </w:tr>
    </w:tbl>
    <w:p>
      <w:pPr>
        <w:spacing w:after="0" w:line="477"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164"/>
        <w:gridCol w:w="1985"/>
        <w:gridCol w:w="3118"/>
        <w:gridCol w:w="850"/>
        <w:gridCol w:w="853"/>
        <w:gridCol w:w="1728"/>
      </w:tblGrid>
      <w:tr>
        <w:trPr>
          <w:trHeight w:val="3833"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刘祥、刘亚、江汉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2"/>
              <w:jc w:val="left"/>
              <w:rPr>
                <w:rFonts w:ascii="宋体" w:hAnsi="宋体" w:cs="宋体" w:eastAsia="宋体" w:hint="default"/>
                <w:sz w:val="18"/>
                <w:szCs w:val="18"/>
              </w:rPr>
            </w:pPr>
            <w:r>
              <w:rPr>
                <w:rFonts w:ascii="宋体" w:hAnsi="宋体" w:cs="宋体" w:eastAsia="宋体" w:hint="default"/>
                <w:sz w:val="18"/>
                <w:szCs w:val="18"/>
              </w:rPr>
              <w:t>在中国证监会核准发行人本次发行股票 并上市，且发行人公开发行的股票在证 券交易所正式挂牌后，若因公司租赁厂 房的产权瑕疵导致发行人被迫搬迁生产 场地，承诺人将以连带责任方式全额承 担补偿深圳市新国都技术股份有限公司 的搬迁费用和因生产停滞所造成的损 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477" w:lineRule="auto"/>
              <w:ind w:left="23" w:right="72"/>
              <w:jc w:val="both"/>
              <w:rPr>
                <w:rFonts w:ascii="宋体" w:hAnsi="宋体" w:cs="宋体" w:eastAsia="宋体" w:hint="default"/>
                <w:sz w:val="18"/>
                <w:szCs w:val="18"/>
              </w:rPr>
            </w:pPr>
            <w:r>
              <w:rPr>
                <w:rFonts w:ascii="宋体" w:hAnsi="宋体" w:cs="宋体" w:eastAsia="宋体" w:hint="default"/>
                <w:sz w:val="18"/>
                <w:szCs w:val="18"/>
              </w:rPr>
              <w:t>截至本报告期末，上 述所有承诺人严格信 守承诺，未有违反承 诺的情况发生。</w:t>
            </w:r>
          </w:p>
        </w:tc>
      </w:tr>
      <w:tr>
        <w:trPr>
          <w:trHeight w:val="149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1"/>
              <w:ind w:left="24" w:right="48"/>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48"/>
              <w:jc w:val="left"/>
              <w:rPr>
                <w:rFonts w:ascii="宋体" w:hAnsi="宋体" w:cs="宋体" w:eastAsia="宋体" w:hint="default"/>
                <w:sz w:val="18"/>
                <w:szCs w:val="18"/>
              </w:rPr>
            </w:pPr>
            <w:r>
              <w:rPr>
                <w:rFonts w:ascii="宋体" w:hAnsi="宋体" w:cs="宋体" w:eastAsia="宋体" w:hint="default"/>
                <w:sz w:val="18"/>
                <w:szCs w:val="18"/>
              </w:rPr>
              <w:t>承诺是否及时 履行</w:t>
            </w:r>
          </w:p>
        </w:tc>
        <w:tc>
          <w:tcPr>
            <w:tcW w:w="8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6"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24" w:right="48"/>
              <w:jc w:val="both"/>
              <w:rPr>
                <w:rFonts w:ascii="宋体" w:hAnsi="宋体" w:cs="宋体" w:eastAsia="宋体" w:hint="default"/>
                <w:sz w:val="18"/>
                <w:szCs w:val="18"/>
              </w:rPr>
            </w:pPr>
            <w:r>
              <w:rPr>
                <w:rFonts w:ascii="宋体" w:hAnsi="宋体" w:cs="宋体" w:eastAsia="宋体" w:hint="default"/>
                <w:sz w:val="18"/>
                <w:szCs w:val="18"/>
              </w:rPr>
              <w:t>未完成履行的 具体原因及下 一步计划</w:t>
            </w:r>
          </w:p>
        </w:tc>
        <w:tc>
          <w:tcPr>
            <w:tcW w:w="8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1"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48"/>
              <w:jc w:val="both"/>
              <w:rPr>
                <w:rFonts w:ascii="宋体" w:hAnsi="宋体" w:cs="宋体" w:eastAsia="宋体" w:hint="default"/>
                <w:sz w:val="18"/>
                <w:szCs w:val="18"/>
              </w:rPr>
            </w:pPr>
            <w:r>
              <w:rPr>
                <w:rFonts w:ascii="宋体" w:hAnsi="宋体" w:cs="宋体" w:eastAsia="宋体" w:hint="default"/>
                <w:sz w:val="18"/>
                <w:szCs w:val="18"/>
              </w:rPr>
              <w:t>是否就导致的 同业竞争和关 联交易问题作 出承诺</w:t>
            </w:r>
          </w:p>
        </w:tc>
        <w:tc>
          <w:tcPr>
            <w:tcW w:w="8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24" w:right="48"/>
              <w:jc w:val="left"/>
              <w:rPr>
                <w:rFonts w:ascii="宋体" w:hAnsi="宋体" w:cs="宋体" w:eastAsia="宋体" w:hint="default"/>
                <w:sz w:val="18"/>
                <w:szCs w:val="18"/>
              </w:rPr>
            </w:pPr>
            <w:r>
              <w:rPr>
                <w:rFonts w:ascii="宋体" w:hAnsi="宋体" w:cs="宋体" w:eastAsia="宋体" w:hint="default"/>
                <w:sz w:val="18"/>
                <w:szCs w:val="18"/>
              </w:rPr>
              <w:t>承诺的解决期 限</w:t>
            </w:r>
          </w:p>
        </w:tc>
        <w:tc>
          <w:tcPr>
            <w:tcW w:w="8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24" w:right="48"/>
              <w:jc w:val="left"/>
              <w:rPr>
                <w:rFonts w:ascii="宋体" w:hAnsi="宋体" w:cs="宋体" w:eastAsia="宋体" w:hint="default"/>
                <w:sz w:val="18"/>
                <w:szCs w:val="18"/>
              </w:rPr>
            </w:pPr>
            <w:r>
              <w:rPr>
                <w:rFonts w:ascii="宋体" w:hAnsi="宋体" w:cs="宋体" w:eastAsia="宋体" w:hint="default"/>
                <w:sz w:val="18"/>
                <w:szCs w:val="18"/>
              </w:rPr>
              <w:t>承诺的履行情 况</w:t>
            </w:r>
          </w:p>
        </w:tc>
        <w:tc>
          <w:tcPr>
            <w:tcW w:w="8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截至本报告期末，上述所有承诺人严格信守承诺，未有违反承诺的情况发生。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7"/>
        <w:spacing w:line="429" w:lineRule="auto"/>
        <w:ind w:right="141"/>
        <w:jc w:val="left"/>
        <w:rPr>
          <w:b w:val="0"/>
          <w:bCs w:val="0"/>
        </w:rPr>
      </w:pPr>
      <w:r>
        <w:rPr>
          <w:rFonts w:ascii="宋体" w:hAnsi="宋体" w:cs="宋体" w:eastAsia="宋体" w:hint="default"/>
          <w:spacing w:val="-1"/>
          <w:w w:val="95"/>
        </w:rPr>
        <w:t>2</w:t>
      </w:r>
      <w:r>
        <w:rPr>
          <w:spacing w:val="-1"/>
          <w:w w:val="95"/>
        </w:rPr>
        <w:t>、公司资产或项目存在盈利预测，且报告期仍处在盈利预测期间，公司就资产或项目达到原盈利预测及其原因</w:t>
      </w:r>
      <w:r>
        <w:rPr>
          <w:spacing w:val="36"/>
          <w:w w:val="95"/>
        </w:rPr>
        <w:t> </w:t>
      </w:r>
      <w:r>
        <w:rPr>
          <w:spacing w:val="36"/>
          <w:w w:val="95"/>
        </w:rPr>
      </w:r>
      <w:r>
        <w:rPr/>
        <w:t>做出说明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573" w:right="141"/>
        <w:jc w:val="left"/>
      </w:pP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141"/>
        <w:jc w:val="left"/>
        <w:rPr>
          <w:b w:val="0"/>
          <w:bCs w:val="0"/>
        </w:rPr>
      </w:pPr>
      <w:r>
        <w:rPr/>
        <w:t>九、聘任、解聘会计师事务所情况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6"/>
        <w:ind w:left="573" w:right="141"/>
        <w:jc w:val="left"/>
      </w:pPr>
      <w:r>
        <w:rPr/>
        <w:t>现聘任的会计事务所</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75"/>
        <w:gridCol w:w="5765"/>
      </w:tblGrid>
      <w:tr>
        <w:trPr>
          <w:trHeight w:val="557"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560"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sz w:val="18"/>
              </w:rPr>
              <w:t>40</w:t>
            </w:r>
          </w:p>
        </w:tc>
      </w:tr>
      <w:tr>
        <w:trPr>
          <w:trHeight w:val="557"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五年</w:t>
            </w:r>
          </w:p>
        </w:tc>
      </w:tr>
      <w:tr>
        <w:trPr>
          <w:trHeight w:val="559"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刘高科、高德惠</w:t>
            </w:r>
          </w:p>
        </w:tc>
      </w:tr>
    </w:tbl>
    <w:p>
      <w:pPr>
        <w:spacing w:line="240" w:lineRule="auto" w:before="5"/>
        <w:rPr>
          <w:rFonts w:ascii="宋体" w:hAnsi="宋体" w:cs="宋体" w:eastAsia="宋体" w:hint="default"/>
          <w:sz w:val="6"/>
          <w:szCs w:val="6"/>
        </w:rPr>
      </w:pPr>
    </w:p>
    <w:p>
      <w:pPr>
        <w:pStyle w:val="BodyText"/>
        <w:spacing w:line="240" w:lineRule="auto"/>
        <w:ind w:left="573" w:right="141"/>
        <w:jc w:val="left"/>
      </w:pPr>
      <w:r>
        <w:rPr/>
        <w:t>是否改聘会计师事务所</w:t>
      </w:r>
    </w:p>
    <w:p>
      <w:pPr>
        <w:spacing w:line="240" w:lineRule="auto" w:before="9"/>
        <w:rPr>
          <w:rFonts w:ascii="宋体" w:hAnsi="宋体" w:cs="宋体" w:eastAsia="宋体" w:hint="default"/>
          <w:sz w:val="20"/>
          <w:szCs w:val="20"/>
        </w:rPr>
      </w:pPr>
    </w:p>
    <w:p>
      <w:pPr>
        <w:pStyle w:val="BodyText"/>
        <w:spacing w:line="240" w:lineRule="auto" w:before="0"/>
        <w:ind w:left="573" w:right="141"/>
        <w:jc w:val="left"/>
      </w:pPr>
      <w:r>
        <w:rPr/>
        <w:t>□ 是 √</w:t>
      </w:r>
      <w:r>
        <w:rPr>
          <w:spacing w:val="3"/>
        </w:rPr>
        <w:t> </w:t>
      </w:r>
      <w:r>
        <w:rPr/>
        <w:t>否</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355"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8"/>
        <w:rPr>
          <w:rFonts w:ascii="宋体" w:hAnsi="宋体" w:cs="宋体" w:eastAsia="宋体" w:hint="default"/>
          <w:b/>
          <w:bCs/>
          <w:sz w:val="29"/>
          <w:szCs w:val="29"/>
        </w:rPr>
      </w:pPr>
    </w:p>
    <w:p>
      <w:pPr>
        <w:pStyle w:val="BodyText"/>
        <w:spacing w:line="518" w:lineRule="auto" w:before="0"/>
        <w:ind w:left="573" w:right="4133"/>
        <w:jc w:val="left"/>
      </w:pPr>
      <w:r>
        <w:rPr/>
        <w:t>□ 适用 √</w:t>
      </w:r>
      <w:r>
        <w:rPr>
          <w:spacing w:val="3"/>
        </w:rPr>
        <w:t> </w:t>
      </w:r>
      <w:r>
        <w:rPr/>
        <w:t>不适用</w:t>
      </w:r>
      <w:r>
        <w:rPr/>
        <w:t> 上市公司及其子公司是否被列入环保部门公布的污染严重企业名单</w:t>
      </w:r>
    </w:p>
    <w:p>
      <w:pPr>
        <w:pStyle w:val="BodyText"/>
        <w:spacing w:line="518" w:lineRule="auto" w:before="62"/>
        <w:ind w:left="573" w:right="5213"/>
        <w:jc w:val="left"/>
      </w:pPr>
      <w:r>
        <w:rPr/>
        <w:t>□ 是 √</w:t>
      </w:r>
      <w:r>
        <w:rPr>
          <w:spacing w:val="3"/>
        </w:rPr>
        <w:t> </w:t>
      </w:r>
      <w:r>
        <w:rPr/>
        <w:t>否</w:t>
      </w:r>
      <w:r>
        <w:rPr/>
        <w:t> 上市公司及其子公司是否存在其他重大社会安全问题</w:t>
      </w:r>
    </w:p>
    <w:p>
      <w:pPr>
        <w:pStyle w:val="BodyText"/>
        <w:spacing w:line="516" w:lineRule="auto" w:before="64"/>
        <w:ind w:left="573" w:right="7373"/>
        <w:jc w:val="left"/>
      </w:pPr>
      <w:r>
        <w:rPr/>
        <w:t>□ 是 √</w:t>
      </w:r>
      <w:r>
        <w:rPr>
          <w:spacing w:val="3"/>
        </w:rPr>
        <w:t> </w:t>
      </w:r>
      <w:r>
        <w:rPr/>
        <w:t>否</w:t>
      </w:r>
      <w:r>
        <w:rPr/>
        <w:t> 报告期内是否被行政处罚</w:t>
      </w:r>
    </w:p>
    <w:p>
      <w:pPr>
        <w:pStyle w:val="BodyText"/>
        <w:spacing w:line="240" w:lineRule="auto" w:before="67"/>
        <w:ind w:left="573" w:right="141"/>
        <w:jc w:val="left"/>
      </w:pPr>
      <w:r>
        <w:rPr/>
        <w:t>□ 是 √</w:t>
      </w:r>
      <w:r>
        <w:rPr>
          <w:spacing w:val="3"/>
        </w:rPr>
        <w:t> </w:t>
      </w:r>
      <w:r>
        <w:rPr/>
        <w:t>否</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141"/>
        <w:jc w:val="left"/>
        <w:rPr>
          <w:b w:val="0"/>
          <w:bCs w:val="0"/>
        </w:rPr>
      </w:pPr>
      <w:r>
        <w:rPr/>
        <w:t>十一、公司股东及其一致行动人在报告期提出或实施股份增持计划的情况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6"/>
        <w:ind w:left="573" w:right="141"/>
        <w:jc w:val="left"/>
      </w:pPr>
      <w:r>
        <w:rPr/>
        <w:t>公司股东及其一致行动人在报告期内未提出或实施股份增持计划。</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9"/>
          <w:szCs w:val="29"/>
        </w:rPr>
      </w:pPr>
    </w:p>
    <w:p>
      <w:pPr>
        <w:pStyle w:val="Heading4"/>
        <w:spacing w:line="240" w:lineRule="auto" w:before="26"/>
        <w:ind w:right="141"/>
        <w:jc w:val="left"/>
        <w:rPr>
          <w:b w:val="0"/>
          <w:bCs w:val="0"/>
        </w:rPr>
      </w:pPr>
      <w:r>
        <w:rPr/>
        <w:t>十二、</w:t>
      </w:r>
      <w:r>
        <w:rPr>
          <w:rFonts w:ascii="宋体" w:hAnsi="宋体" w:cs="宋体" w:eastAsia="宋体" w:hint="default"/>
        </w:rPr>
        <w:t>2012</w:t>
      </w:r>
      <w:r>
        <w:rPr>
          <w:rFonts w:ascii="宋体" w:hAnsi="宋体" w:cs="宋体" w:eastAsia="宋体" w:hint="default"/>
          <w:spacing w:val="-64"/>
        </w:rPr>
        <w:t> </w:t>
      </w:r>
      <w:r>
        <w:rPr/>
        <w:t>年董事、监事、高级管理人员、持股</w:t>
      </w:r>
      <w:r>
        <w:rPr>
          <w:spacing w:val="-62"/>
        </w:rPr>
        <w:t> </w:t>
      </w:r>
      <w:r>
        <w:rPr>
          <w:rFonts w:ascii="宋体" w:hAnsi="宋体" w:cs="宋体" w:eastAsia="宋体" w:hint="default"/>
        </w:rPr>
        <w:t>5%</w:t>
      </w:r>
      <w:r>
        <w:rPr/>
        <w:t>以上的股东违规买卖公司股票情况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6"/>
        <w:ind w:left="573" w:right="141"/>
        <w:jc w:val="left"/>
      </w:pPr>
      <w:r>
        <w:rPr>
          <w:rFonts w:ascii="宋体" w:hAnsi="宋体" w:cs="宋体" w:eastAsia="宋体" w:hint="default"/>
        </w:rPr>
        <w:t>2012</w:t>
      </w:r>
      <w:r>
        <w:rPr>
          <w:rFonts w:ascii="宋体" w:hAnsi="宋体" w:cs="宋体" w:eastAsia="宋体" w:hint="default"/>
          <w:spacing w:val="-45"/>
        </w:rPr>
        <w:t> </w:t>
      </w:r>
      <w:r>
        <w:rPr/>
        <w:t>年董事、监事、高级管理人员、持股</w:t>
      </w:r>
      <w:r>
        <w:rPr>
          <w:spacing w:val="-46"/>
        </w:rPr>
        <w:t> </w:t>
      </w:r>
      <w:r>
        <w:rPr>
          <w:rFonts w:ascii="宋体" w:hAnsi="宋体" w:cs="宋体" w:eastAsia="宋体" w:hint="default"/>
        </w:rPr>
        <w:t>5%</w:t>
      </w:r>
      <w:r>
        <w:rPr/>
        <w:t>以上的股东未出现违规买卖公司股票的情况。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141"/>
        <w:jc w:val="left"/>
        <w:rPr>
          <w:b w:val="0"/>
          <w:bCs w:val="0"/>
        </w:rPr>
      </w:pPr>
      <w:r>
        <w:rPr/>
        <w:t>十三、违规对外担保情况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6"/>
        <w:ind w:left="573" w:right="141"/>
        <w:jc w:val="left"/>
      </w:pPr>
      <w:r>
        <w:rPr/>
        <w:t>报告期内，公司不存在违规对外担保情况。</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240" w:lineRule="auto"/>
        <w:ind w:left="2964" w:right="141"/>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26"/>
        <w:ind w:right="141"/>
        <w:jc w:val="left"/>
        <w:rPr>
          <w:b w:val="0"/>
          <w:bCs w:val="0"/>
        </w:rPr>
      </w:pPr>
      <w:r>
        <w:rPr/>
        <w:t>一、股份变动情况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559"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38"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8"/>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8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8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238"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0"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66,555,0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58.23%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66,555,0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2" w:right="0"/>
              <w:jc w:val="left"/>
              <w:rPr>
                <w:rFonts w:ascii="宋体" w:hAnsi="宋体" w:cs="宋体" w:eastAsia="宋体" w:hint="default"/>
                <w:sz w:val="18"/>
                <w:szCs w:val="18"/>
              </w:rPr>
            </w:pPr>
            <w:r>
              <w:rPr>
                <w:rFonts w:ascii="宋体"/>
                <w:sz w:val="18"/>
              </w:rPr>
              <w:t>58.23%</w:t>
            </w:r>
          </w:p>
        </w:tc>
      </w:tr>
      <w:tr>
        <w:trPr>
          <w:trHeight w:val="547"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40"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238"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60" w:right="0"/>
              <w:jc w:val="left"/>
              <w:rPr>
                <w:rFonts w:ascii="宋体" w:hAnsi="宋体" w:cs="宋体" w:eastAsia="宋体" w:hint="default"/>
                <w:sz w:val="18"/>
                <w:szCs w:val="18"/>
              </w:rPr>
            </w:pPr>
            <w:r>
              <w:rPr>
                <w:rFonts w:ascii="宋体"/>
                <w:sz w:val="18"/>
              </w:rPr>
              <w:t>11.1%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sz w:val="18"/>
              </w:rPr>
              <w:t>11.1%</w:t>
            </w:r>
          </w:p>
        </w:tc>
      </w:tr>
      <w:tr>
        <w:trPr>
          <w:trHeight w:val="550"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38"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240"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60" w:right="0"/>
              <w:jc w:val="left"/>
              <w:rPr>
                <w:rFonts w:ascii="宋体" w:hAnsi="宋体" w:cs="宋体" w:eastAsia="宋体" w:hint="default"/>
                <w:sz w:val="18"/>
                <w:szCs w:val="18"/>
              </w:rPr>
            </w:pPr>
            <w:r>
              <w:rPr>
                <w:rFonts w:ascii="宋体"/>
                <w:sz w:val="18"/>
              </w:rPr>
              <w:t>11.1%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sz w:val="18"/>
              </w:rPr>
              <w:t>11.1%</w:t>
            </w:r>
          </w:p>
        </w:tc>
      </w:tr>
      <w:tr>
        <w:trPr>
          <w:trHeight w:val="547"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40"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238"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53,865,0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71" w:right="0"/>
              <w:jc w:val="left"/>
              <w:rPr>
                <w:rFonts w:ascii="宋体" w:hAnsi="宋体" w:cs="宋体" w:eastAsia="宋体" w:hint="default"/>
                <w:sz w:val="18"/>
                <w:szCs w:val="18"/>
              </w:rPr>
            </w:pPr>
            <w:r>
              <w:rPr>
                <w:rFonts w:ascii="宋体"/>
                <w:sz w:val="18"/>
              </w:rPr>
              <w:t>47.13%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53,865,0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2" w:right="0"/>
              <w:jc w:val="left"/>
              <w:rPr>
                <w:rFonts w:ascii="宋体" w:hAnsi="宋体" w:cs="宋体" w:eastAsia="宋体" w:hint="default"/>
                <w:sz w:val="18"/>
                <w:szCs w:val="18"/>
              </w:rPr>
            </w:pPr>
            <w:r>
              <w:rPr>
                <w:rFonts w:ascii="宋体"/>
                <w:sz w:val="18"/>
              </w:rPr>
              <w:t>47.13%</w:t>
            </w:r>
          </w:p>
        </w:tc>
      </w:tr>
      <w:tr>
        <w:trPr>
          <w:trHeight w:val="550"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38"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240"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47,745,0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sz w:val="18"/>
              </w:rPr>
              <w:t>41.77%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47,745,0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2" w:right="0"/>
              <w:jc w:val="left"/>
              <w:rPr>
                <w:rFonts w:ascii="宋体" w:hAnsi="宋体" w:cs="宋体" w:eastAsia="宋体" w:hint="default"/>
                <w:sz w:val="18"/>
                <w:szCs w:val="18"/>
              </w:rPr>
            </w:pPr>
            <w:r>
              <w:rPr>
                <w:rFonts w:ascii="宋体"/>
                <w:sz w:val="18"/>
              </w:rPr>
              <w:t>41.77%</w:t>
            </w:r>
          </w:p>
        </w:tc>
      </w:tr>
      <w:tr>
        <w:trPr>
          <w:trHeight w:val="547"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40"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238"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47,745,0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sz w:val="18"/>
              </w:rPr>
              <w:t>41.77%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47,745,0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2" w:right="0"/>
              <w:jc w:val="left"/>
              <w:rPr>
                <w:rFonts w:ascii="宋体" w:hAnsi="宋体" w:cs="宋体" w:eastAsia="宋体" w:hint="default"/>
                <w:sz w:val="18"/>
                <w:szCs w:val="18"/>
              </w:rPr>
            </w:pPr>
            <w:r>
              <w:rPr>
                <w:rFonts w:ascii="宋体"/>
                <w:sz w:val="18"/>
              </w:rPr>
              <w:t>41.77%</w:t>
            </w:r>
          </w:p>
        </w:tc>
      </w:tr>
      <w:tr>
        <w:trPr>
          <w:trHeight w:val="550"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38"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240"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8"/>
              <w:ind w:left="83" w:right="0"/>
              <w:jc w:val="left"/>
              <w:rPr>
                <w:rFonts w:ascii="宋体" w:hAnsi="宋体" w:cs="宋体" w:eastAsia="宋体" w:hint="default"/>
                <w:sz w:val="18"/>
                <w:szCs w:val="18"/>
              </w:rPr>
            </w:pPr>
            <w:r>
              <w:rPr>
                <w:rFonts w:ascii="宋体"/>
                <w:sz w:val="18"/>
              </w:rPr>
              <w:t>114,300,</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532" w:right="0"/>
              <w:jc w:val="left"/>
              <w:rPr>
                <w:rFonts w:ascii="宋体" w:hAnsi="宋体" w:cs="宋体" w:eastAsia="宋体" w:hint="default"/>
                <w:sz w:val="18"/>
                <w:szCs w:val="18"/>
              </w:rPr>
            </w:pPr>
            <w:r>
              <w:rPr>
                <w:rFonts w:ascii="宋体"/>
                <w:sz w:val="18"/>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51" w:right="0"/>
              <w:jc w:val="left"/>
              <w:rPr>
                <w:rFonts w:ascii="宋体" w:hAnsi="宋体" w:cs="宋体" w:eastAsia="宋体" w:hint="default"/>
                <w:sz w:val="18"/>
                <w:szCs w:val="18"/>
              </w:rPr>
            </w:pPr>
            <w:r>
              <w:rPr>
                <w:rFonts w:ascii="宋体"/>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8"/>
              <w:ind w:left="62" w:right="0"/>
              <w:jc w:val="left"/>
              <w:rPr>
                <w:rFonts w:ascii="宋体" w:hAnsi="宋体" w:cs="宋体" w:eastAsia="宋体" w:hint="default"/>
                <w:sz w:val="18"/>
                <w:szCs w:val="18"/>
              </w:rPr>
            </w:pPr>
            <w:r>
              <w:rPr>
                <w:rFonts w:ascii="宋体"/>
                <w:sz w:val="18"/>
              </w:rPr>
              <w:t>114,300,</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511"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22" w:right="0"/>
              <w:jc w:val="left"/>
              <w:rPr>
                <w:rFonts w:ascii="宋体" w:hAnsi="宋体" w:cs="宋体" w:eastAsia="宋体" w:hint="default"/>
                <w:sz w:val="18"/>
                <w:szCs w:val="18"/>
              </w:rPr>
            </w:pPr>
            <w:r>
              <w:rPr>
                <w:rFonts w:ascii="宋体"/>
                <w:sz w:val="18"/>
              </w:rPr>
              <w:t>100%</w:t>
            </w:r>
          </w:p>
        </w:tc>
      </w:tr>
      <w:tr>
        <w:trPr>
          <w:trHeight w:val="548"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240"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5"/>
          <w:szCs w:val="25"/>
        </w:rPr>
      </w:pPr>
    </w:p>
    <w:p>
      <w:pPr>
        <w:pStyle w:val="Heading7"/>
        <w:spacing w:line="240" w:lineRule="auto" w:before="37"/>
        <w:ind w:right="141"/>
        <w:jc w:val="left"/>
        <w:rPr>
          <w:b w:val="0"/>
          <w:bCs w:val="0"/>
        </w:rPr>
      </w:pPr>
      <w:r>
        <w:rPr>
          <w:rFonts w:ascii="宋体" w:hAnsi="宋体" w:cs="宋体" w:eastAsia="宋体" w:hint="default"/>
        </w:rPr>
        <w:t>2</w:t>
      </w:r>
      <w:r>
        <w:rPr/>
        <w:t>、限售股份变动情况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z w:val="18"/>
              </w:rPr>
              <w:t>540,000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540,000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38,070,000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38,070,000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1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2013-10-18</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12,690,000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1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2013-10-18</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540,000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540,000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z w:val="18"/>
              </w:rPr>
              <w:t>810,000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810,000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12,690,000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12,690,000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1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2013-10-18</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z w:val="18"/>
              </w:rPr>
              <w:t>675,000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675,000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540,000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540,000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66,555,000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66,555,000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84"/>
              <w:jc w:val="right"/>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b/>
          <w:bCs/>
          <w:sz w:val="23"/>
          <w:szCs w:val="23"/>
        </w:rPr>
      </w:pPr>
    </w:p>
    <w:p>
      <w:pPr>
        <w:pStyle w:val="Heading4"/>
        <w:spacing w:line="240" w:lineRule="auto" w:before="26"/>
        <w:ind w:right="141"/>
        <w:jc w:val="left"/>
        <w:rPr>
          <w:b w:val="0"/>
          <w:bCs w:val="0"/>
        </w:rPr>
      </w:pP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、报告期内证券发行情况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141"/>
        <w:jc w:val="left"/>
      </w:pPr>
      <w:r>
        <w:rPr/>
        <w:t>报告期内，公司未发生证券发行事项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0"/>
        <w:ind w:left="573" w:right="141"/>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4"/>
        <w:spacing w:line="240" w:lineRule="auto"/>
        <w:ind w:right="141"/>
        <w:jc w:val="left"/>
        <w:rPr>
          <w:b w:val="0"/>
          <w:bCs w:val="0"/>
        </w:rPr>
      </w:pPr>
      <w:r>
        <w:rPr/>
        <w:t>三、股东和实际控制人情况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、公司股东数量及持股情况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60" w:type="dxa"/>
        <w:tblLayout w:type="fixed"/>
        <w:tblCellMar>
          <w:top w:w="0" w:type="dxa"/>
          <w:left w:w="0" w:type="dxa"/>
          <w:bottom w:w="0" w:type="dxa"/>
          <w:right w:w="0" w:type="dxa"/>
        </w:tblCellMar>
        <w:tblLook w:val="01E0"/>
      </w:tblPr>
      <w:tblGrid>
        <w:gridCol w:w="1352"/>
        <w:gridCol w:w="1363"/>
        <w:gridCol w:w="1380"/>
        <w:gridCol w:w="1362"/>
        <w:gridCol w:w="1368"/>
        <w:gridCol w:w="1363"/>
        <w:gridCol w:w="1374"/>
      </w:tblGrid>
      <w:tr>
        <w:trPr>
          <w:trHeight w:val="562" w:hRule="exact"/>
        </w:trPr>
        <w:tc>
          <w:tcPr>
            <w:tcW w:w="2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7,422</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7917</w:t>
            </w:r>
          </w:p>
        </w:tc>
      </w:tr>
      <w:tr>
        <w:trPr>
          <w:trHeight w:val="550" w:hRule="exact"/>
        </w:trPr>
        <w:tc>
          <w:tcPr>
            <w:tcW w:w="956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 w:right="1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名股东持股情况</w:t>
            </w:r>
          </w:p>
        </w:tc>
      </w:tr>
      <w:tr>
        <w:trPr>
          <w:trHeight w:val="288" w:hRule="exact"/>
        </w:trPr>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475"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69" w:hRule="exact"/>
        </w:trPr>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352"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86" w:hRule="exact"/>
        </w:trPr>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33.31%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0" w:right="0"/>
              <w:jc w:val="left"/>
              <w:rPr>
                <w:rFonts w:ascii="宋体" w:hAnsi="宋体" w:cs="宋体" w:eastAsia="宋体" w:hint="default"/>
                <w:sz w:val="18"/>
                <w:szCs w:val="18"/>
              </w:rPr>
            </w:pPr>
            <w:r>
              <w:rPr>
                <w:rFonts w:ascii="宋体"/>
                <w:sz w:val="18"/>
              </w:rPr>
              <w:t>38,070,000</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05"/>
              <w:ind w:left="436" w:right="0"/>
              <w:jc w:val="left"/>
              <w:rPr>
                <w:rFonts w:ascii="宋体" w:hAnsi="宋体" w:cs="宋体" w:eastAsia="宋体" w:hint="default"/>
                <w:sz w:val="18"/>
                <w:szCs w:val="18"/>
              </w:rPr>
            </w:pPr>
            <w:r>
              <w:rPr>
                <w:rFonts w:ascii="宋体"/>
                <w:sz w:val="18"/>
              </w:rPr>
              <w:t>38,070,000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12,690,000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12,690,000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8,000,000</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69"/>
              <w:jc w:val="left"/>
              <w:rPr>
                <w:rFonts w:ascii="宋体" w:hAnsi="宋体" w:cs="宋体" w:eastAsia="宋体" w:hint="default"/>
                <w:sz w:val="18"/>
                <w:szCs w:val="18"/>
              </w:rPr>
            </w:pPr>
            <w:r>
              <w:rPr>
                <w:rFonts w:ascii="宋体" w:hAnsi="宋体" w:cs="宋体" w:eastAsia="宋体" w:hint="default"/>
                <w:sz w:val="18"/>
                <w:szCs w:val="18"/>
              </w:rPr>
              <w:t>全国社保基金四 一八组合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2,317,713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both"/>
              <w:rPr>
                <w:rFonts w:ascii="宋体" w:hAnsi="宋体" w:cs="宋体" w:eastAsia="宋体" w:hint="default"/>
                <w:sz w:val="18"/>
                <w:szCs w:val="18"/>
              </w:rPr>
            </w:pPr>
            <w:r>
              <w:rPr>
                <w:rFonts w:ascii="宋体" w:hAnsi="宋体" w:cs="宋体" w:eastAsia="宋体" w:hint="default"/>
                <w:sz w:val="18"/>
                <w:szCs w:val="18"/>
              </w:rPr>
              <w:t>中信证券－中信</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477" w:lineRule="auto"/>
              <w:ind w:left="24" w:right="69"/>
              <w:jc w:val="both"/>
              <w:rPr>
                <w:rFonts w:ascii="宋体" w:hAnsi="宋体" w:cs="宋体" w:eastAsia="宋体" w:hint="default"/>
                <w:sz w:val="18"/>
                <w:szCs w:val="18"/>
              </w:rPr>
            </w:pPr>
            <w:r>
              <w:rPr>
                <w:rFonts w:ascii="宋体" w:hAnsi="宋体" w:cs="宋体" w:eastAsia="宋体" w:hint="default"/>
                <w:sz w:val="18"/>
                <w:szCs w:val="18"/>
              </w:rPr>
              <w:t>－中信证券股票 精选集合资产管 理计划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1,979,146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810,000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69"/>
              <w:jc w:val="left"/>
              <w:rPr>
                <w:rFonts w:ascii="宋体" w:hAnsi="宋体" w:cs="宋体" w:eastAsia="宋体" w:hint="default"/>
                <w:sz w:val="18"/>
                <w:szCs w:val="18"/>
              </w:rPr>
            </w:pPr>
            <w:r>
              <w:rPr>
                <w:rFonts w:ascii="宋体" w:hAnsi="宋体" w:cs="宋体" w:eastAsia="宋体" w:hint="default"/>
                <w:sz w:val="18"/>
                <w:szCs w:val="18"/>
              </w:rPr>
              <w:t>全国社保基金六 零二组合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z w:val="18"/>
              </w:rPr>
              <w:t>921,254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558"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558"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557"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全国社保基金四一八组合</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2,317,713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2,317,713</w:t>
            </w:r>
          </w:p>
        </w:tc>
      </w:tr>
      <w:tr>
        <w:trPr>
          <w:trHeight w:val="1027"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76"/>
              <w:jc w:val="left"/>
              <w:rPr>
                <w:rFonts w:ascii="宋体" w:hAnsi="宋体" w:cs="宋体" w:eastAsia="宋体" w:hint="default"/>
                <w:sz w:val="18"/>
                <w:szCs w:val="18"/>
              </w:rPr>
            </w:pPr>
            <w:r>
              <w:rPr>
                <w:rFonts w:ascii="宋体" w:hAnsi="宋体" w:cs="宋体" w:eastAsia="宋体" w:hint="default"/>
                <w:sz w:val="18"/>
                <w:szCs w:val="18"/>
              </w:rPr>
              <w:t>中信证券－中信－中信证券股票 精选集合资产管理计划</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1,979,146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1,979,146</w:t>
            </w:r>
          </w:p>
        </w:tc>
      </w:tr>
      <w:tr>
        <w:trPr>
          <w:trHeight w:val="557"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1,080,000</w:t>
            </w:r>
          </w:p>
        </w:tc>
      </w:tr>
      <w:tr>
        <w:trPr>
          <w:trHeight w:val="559"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1,080,000</w:t>
            </w:r>
          </w:p>
        </w:tc>
      </w:tr>
      <w:tr>
        <w:trPr>
          <w:trHeight w:val="557"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1,050,000</w:t>
            </w:r>
          </w:p>
        </w:tc>
      </w:tr>
      <w:tr>
        <w:trPr>
          <w:trHeight w:val="559"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921,254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921,254</w:t>
            </w:r>
          </w:p>
        </w:tc>
      </w:tr>
      <w:tr>
        <w:trPr>
          <w:trHeight w:val="559"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885,000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885,000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32"/>
        <w:gridCol w:w="4104"/>
        <w:gridCol w:w="1369"/>
        <w:gridCol w:w="1368"/>
      </w:tblGrid>
      <w:tr>
        <w:trPr>
          <w:trHeight w:val="557"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870,000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870,000</w:t>
            </w:r>
          </w:p>
        </w:tc>
      </w:tr>
      <w:tr>
        <w:trPr>
          <w:trHeight w:val="1027"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23"/>
              <w:jc w:val="left"/>
              <w:rPr>
                <w:rFonts w:ascii="宋体" w:hAnsi="宋体" w:cs="宋体" w:eastAsia="宋体" w:hint="default"/>
                <w:sz w:val="18"/>
                <w:szCs w:val="18"/>
              </w:rPr>
            </w:pPr>
            <w:r>
              <w:rPr>
                <w:rFonts w:ascii="宋体" w:hAnsi="宋体" w:cs="宋体" w:eastAsia="宋体" w:hint="default"/>
                <w:spacing w:val="-2"/>
                <w:sz w:val="18"/>
                <w:szCs w:val="18"/>
              </w:rPr>
              <w:t>中国通用技术（集团）控股有限责</w:t>
            </w:r>
            <w:r>
              <w:rPr>
                <w:rFonts w:ascii="宋体" w:hAnsi="宋体" w:cs="宋体" w:eastAsia="宋体" w:hint="default"/>
                <w:sz w:val="18"/>
                <w:szCs w:val="18"/>
              </w:rPr>
              <w:t> 任公司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799,872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799,872</w:t>
            </w:r>
          </w:p>
        </w:tc>
      </w:tr>
      <w:tr>
        <w:trPr>
          <w:trHeight w:val="557"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760,470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760,470</w:t>
            </w:r>
          </w:p>
        </w:tc>
      </w:tr>
      <w:tr>
        <w:trPr>
          <w:trHeight w:val="1495"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24"/>
              <w:jc w:val="both"/>
              <w:rPr>
                <w:rFonts w:ascii="宋体" w:hAnsi="宋体" w:cs="宋体" w:eastAsia="宋体" w:hint="default"/>
                <w:sz w:val="18"/>
                <w:szCs w:val="18"/>
              </w:rPr>
            </w:pPr>
            <w:r>
              <w:rPr>
                <w:rFonts w:ascii="宋体" w:hAnsi="宋体" w:cs="宋体" w:eastAsia="宋体" w:hint="default"/>
                <w:spacing w:val="-2"/>
                <w:sz w:val="18"/>
                <w:szCs w:val="18"/>
              </w:rPr>
              <w:t>刘亚先生为刘祥先生弟弟，江汉先生为刘祥先生妹妹之配偶；除此之外，未发现公司股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东之间存在关联关系或属于《上市公司股东持股变动信息披露管理办法》规定的一致行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动人。</w:t>
            </w:r>
          </w:p>
        </w:tc>
      </w:tr>
    </w:tbl>
    <w:p>
      <w:pPr>
        <w:spacing w:line="240" w:lineRule="auto" w:before="1"/>
        <w:rPr>
          <w:rFonts w:ascii="Times New Roman" w:hAnsi="Times New Roman" w:cs="Times New Roman" w:eastAsia="Times New Roman" w:hint="default"/>
          <w:sz w:val="29"/>
          <w:szCs w:val="29"/>
        </w:rPr>
      </w:pPr>
    </w:p>
    <w:p>
      <w:pPr>
        <w:pStyle w:val="Heading7"/>
        <w:spacing w:line="240" w:lineRule="auto" w:before="37"/>
        <w:ind w:right="141"/>
        <w:jc w:val="left"/>
        <w:rPr>
          <w:b w:val="0"/>
          <w:bCs w:val="0"/>
        </w:rPr>
      </w:pPr>
      <w:r>
        <w:rPr>
          <w:rFonts w:ascii="宋体" w:hAnsi="宋体" w:cs="宋体" w:eastAsia="宋体" w:hint="default"/>
        </w:rPr>
        <w:t>2</w:t>
      </w:r>
      <w:r>
        <w:rPr/>
        <w:t>、公司控股股东情况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149" w:firstLine="420"/>
        <w:jc w:val="both"/>
      </w:pPr>
      <w:r>
        <w:rPr/>
        <w:t>报告期内，公司控股股东未发生变化，刘祥先生一直为公司控股股东。刘祥先生，男，</w:t>
      </w:r>
      <w:r>
        <w:rPr>
          <w:rFonts w:ascii="宋体" w:hAnsi="宋体" w:cs="宋体" w:eastAsia="宋体" w:hint="default"/>
        </w:rPr>
        <w:t>46</w:t>
      </w:r>
      <w:r>
        <w:rPr/>
        <w:t>岁，中国国籍，无境外居留 </w:t>
      </w:r>
      <w:r>
        <w:rPr>
          <w:spacing w:val="-2"/>
        </w:rPr>
        <w:t>权，现任本公司董事长兼总经理。持有本公司</w:t>
      </w:r>
      <w:r>
        <w:rPr>
          <w:rFonts w:ascii="宋体" w:hAnsi="宋体" w:cs="宋体" w:eastAsia="宋体" w:hint="default"/>
          <w:spacing w:val="-2"/>
        </w:rPr>
        <w:t>38,070,000</w:t>
      </w:r>
      <w:r>
        <w:rPr>
          <w:spacing w:val="-2"/>
        </w:rPr>
        <w:t>股股票，持股比例为</w:t>
      </w:r>
      <w:r>
        <w:rPr>
          <w:rFonts w:ascii="宋体" w:hAnsi="宋体" w:cs="宋体" w:eastAsia="宋体" w:hint="default"/>
          <w:spacing w:val="-2"/>
        </w:rPr>
        <w:t>33.31%</w:t>
      </w:r>
      <w:r>
        <w:rPr>
          <w:spacing w:val="-2"/>
        </w:rPr>
        <w:t>。</w:t>
      </w:r>
      <w:r>
        <w:rPr>
          <w:rFonts w:ascii="宋体" w:hAnsi="宋体" w:cs="宋体" w:eastAsia="宋体" w:hint="default"/>
          <w:spacing w:val="-2"/>
        </w:rPr>
        <w:t>2001</w:t>
      </w:r>
      <w:r>
        <w:rPr>
          <w:spacing w:val="-2"/>
        </w:rPr>
        <w:t>年创建深圳市新国都技术有限公</w:t>
      </w:r>
      <w:r>
        <w:rPr>
          <w:spacing w:val="-49"/>
        </w:rPr>
        <w:t> </w:t>
      </w:r>
      <w:r>
        <w:rPr/>
        <w:t>司，现兼任山南格立投资有限公司执行董事，深圳市泰德信实业有限公司董事。</w:t>
      </w:r>
    </w:p>
    <w:p>
      <w:pPr>
        <w:spacing w:line="240" w:lineRule="auto" w:before="11"/>
        <w:rPr>
          <w:rFonts w:ascii="宋体" w:hAnsi="宋体" w:cs="宋体" w:eastAsia="宋体" w:hint="default"/>
          <w:sz w:val="25"/>
          <w:szCs w:val="25"/>
        </w:rPr>
      </w:pPr>
    </w:p>
    <w:p>
      <w:pPr>
        <w:pStyle w:val="Heading7"/>
        <w:spacing w:line="240" w:lineRule="auto"/>
        <w:ind w:right="141"/>
        <w:jc w:val="left"/>
        <w:rPr>
          <w:b w:val="0"/>
          <w:bCs w:val="0"/>
        </w:rPr>
      </w:pPr>
      <w:r>
        <w:rPr>
          <w:rFonts w:ascii="宋体" w:hAnsi="宋体" w:cs="宋体" w:eastAsia="宋体" w:hint="default"/>
        </w:rPr>
        <w:t>3</w:t>
      </w:r>
      <w:r>
        <w:rPr/>
        <w:t>、公司实际控制人情况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before="0"/>
        <w:ind w:right="189" w:firstLine="420"/>
        <w:jc w:val="both"/>
      </w:pPr>
      <w:r>
        <w:rPr/>
        <w:t>报告期内公司实际控制人未发生变化，刘祥先生一直为公司实际控制人。刘祥先生的个人基本情况请见上文“公司控 股股东情况”。</w:t>
      </w:r>
    </w:p>
    <w:p>
      <w:pPr>
        <w:pStyle w:val="BodyText"/>
        <w:spacing w:line="240" w:lineRule="auto" w:before="95"/>
        <w:ind w:left="573" w:right="141"/>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150" w:lineRule="exact"/>
        <w:ind w:left="139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42617" cy="20002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542617" cy="200025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0"/>
        <w:rPr>
          <w:rFonts w:ascii="宋体" w:hAnsi="宋体" w:cs="宋体" w:eastAsia="宋体" w:hint="default"/>
          <w:sz w:val="29"/>
          <w:szCs w:val="29"/>
        </w:rPr>
      </w:pPr>
    </w:p>
    <w:p>
      <w:pPr>
        <w:pStyle w:val="BodyText"/>
        <w:spacing w:line="240" w:lineRule="auto"/>
        <w:ind w:left="573" w:right="141"/>
        <w:jc w:val="left"/>
      </w:pPr>
      <w:r>
        <w:rPr/>
        <w:t>实际控制人通过信托或其他资产管理方式控制公司</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before="0"/>
        <w:ind w:left="573" w:right="141"/>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宋体" w:hAnsi="宋体" w:cs="宋体" w:eastAsia="宋体" w:hint="default"/>
        </w:rPr>
        <w:t>4</w:t>
      </w:r>
      <w:r>
        <w:rPr/>
        <w:t>、其他持股在</w:t>
      </w:r>
      <w:r>
        <w:rPr>
          <w:spacing w:val="-54"/>
        </w:rPr>
        <w:t> </w:t>
      </w:r>
      <w:r>
        <w:rPr>
          <w:rFonts w:ascii="宋体" w:hAnsi="宋体" w:cs="宋体" w:eastAsia="宋体" w:hint="default"/>
        </w:rPr>
        <w:t>10%</w:t>
      </w:r>
      <w:r>
        <w:rPr/>
        <w:t>以上的法人股东</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0"/>
        <w:ind w:left="573" w:right="141"/>
        <w:jc w:val="left"/>
      </w:pP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宋体" w:hAnsi="宋体" w:cs="宋体" w:eastAsia="宋体" w:hint="default"/>
        </w:rPr>
        <w:t>5</w:t>
      </w:r>
      <w:r>
        <w:rPr/>
        <w:t>、前</w:t>
      </w:r>
      <w:r>
        <w:rPr>
          <w:spacing w:val="-55"/>
        </w:rPr>
        <w:t> </w:t>
      </w:r>
      <w:r>
        <w:rPr>
          <w:rFonts w:ascii="宋体" w:hAnsi="宋体" w:cs="宋体" w:eastAsia="宋体" w:hint="default"/>
        </w:rPr>
        <w:t>10</w:t>
      </w:r>
      <w:r>
        <w:rPr>
          <w:rFonts w:ascii="宋体" w:hAnsi="宋体" w:cs="宋体" w:eastAsia="宋体" w:hint="default"/>
          <w:spacing w:val="-52"/>
        </w:rPr>
        <w:t> </w:t>
      </w:r>
      <w:r>
        <w:rPr/>
        <w:t>名有限售条件股东持股数量及限售条件</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02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38,070,000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12,690,000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12,690,000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810,000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675,000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540,000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540,000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56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540,000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shape style="position:absolute;margin-left:408.553009pt;margin-top:269.209991pt;width:56.7pt;height:23.4pt;mso-position-horizontal-relative:page;mso-position-vertical-relative:page;z-index:-928432" type="#_x0000_t202" filled="false" stroked="false">
            <v:textbox inset="0,0,0,0">
              <w:txbxContent>
                <w:p>
                  <w:pPr>
                    <w:pStyle w:val="BodyText"/>
                    <w:spacing w:line="240" w:lineRule="auto" w:before="87"/>
                    <w:ind w:left="0" w:right="0"/>
                    <w:jc w:val="left"/>
                  </w:pPr>
                  <w:r>
                    <w:rPr/>
                    <w:t>（股）</w:t>
                  </w:r>
                </w:p>
              </w:txbxContent>
            </v:textbox>
            <w10:wrap type="none"/>
          </v:shape>
        </w:pict>
      </w:r>
      <w:r>
        <w:rPr/>
        <w:pict>
          <v:shape style="position:absolute;margin-left:476.983002pt;margin-top:271.249969pt;width:57.75pt;height:46.8pt;mso-position-horizontal-relative:page;mso-position-vertical-relative:page;z-index:-928408" type="#_x0000_t202" filled="false" stroked="false">
            <v:textbox inset="0,0,0,0">
              <w:txbxContent>
                <w:p>
                  <w:pPr>
                    <w:pStyle w:val="BodyText"/>
                    <w:spacing w:line="240" w:lineRule="auto" w:before="46"/>
                    <w:ind w:left="0" w:right="0"/>
                    <w:jc w:val="left"/>
                  </w:pPr>
                  <w:r>
                    <w:rPr/>
                    <w:t>（股）</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1"/>
        <w:spacing w:line="240" w:lineRule="auto"/>
        <w:ind w:left="1679" w:right="141"/>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12"/>
        <w:rPr>
          <w:rFonts w:ascii="宋体" w:hAnsi="宋体" w:cs="宋体" w:eastAsia="宋体" w:hint="default"/>
          <w:b/>
          <w:bCs/>
          <w:sz w:val="39"/>
          <w:szCs w:val="39"/>
        </w:rPr>
      </w:pPr>
    </w:p>
    <w:p>
      <w:pPr>
        <w:pStyle w:val="Heading4"/>
        <w:spacing w:line="240" w:lineRule="auto"/>
        <w:ind w:right="141"/>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7"/>
        <w:gridCol w:w="615"/>
        <w:gridCol w:w="684"/>
        <w:gridCol w:w="70"/>
        <w:gridCol w:w="614"/>
      </w:tblGrid>
      <w:tr>
        <w:trPr>
          <w:trHeight w:val="289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3"/>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3"/>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3"/>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55"/>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56"/>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56"/>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3"/>
              <w:ind w:left="155"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55"/>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6"/>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475" w:lineRule="auto" w:before="129"/>
              <w:ind w:left="4"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56"/>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6"/>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3"/>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94"/>
              <w:jc w:val="left"/>
              <w:rPr>
                <w:rFonts w:ascii="宋体" w:hAnsi="宋体" w:cs="宋体" w:eastAsia="宋体" w:hint="default"/>
                <w:sz w:val="18"/>
                <w:szCs w:val="18"/>
              </w:rPr>
            </w:pPr>
            <w:r>
              <w:rPr>
                <w:rFonts w:ascii="宋体" w:hAnsi="宋体" w:cs="宋体" w:eastAsia="宋体" w:hint="default"/>
                <w:sz w:val="18"/>
                <w:szCs w:val="18"/>
              </w:rPr>
              <w:t>总经 理</w:t>
            </w:r>
            <w:r>
              <w:rPr>
                <w:rFonts w:ascii="宋体" w:hAnsi="宋体" w:cs="宋体" w:eastAsia="宋体" w:hint="default"/>
                <w:sz w:val="18"/>
                <w:szCs w:val="18"/>
              </w:rPr>
              <w:t>,</w:t>
            </w:r>
            <w:r>
              <w:rPr>
                <w:rFonts w:ascii="宋体" w:hAnsi="宋体" w:cs="宋体" w:eastAsia="宋体" w:hint="default"/>
                <w:sz w:val="18"/>
                <w:szCs w:val="18"/>
              </w:rPr>
              <w:t>董 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8" w:right="0"/>
              <w:jc w:val="center"/>
              <w:rPr>
                <w:rFonts w:ascii="宋体" w:hAnsi="宋体" w:cs="宋体" w:eastAsia="宋体" w:hint="default"/>
                <w:sz w:val="18"/>
                <w:szCs w:val="18"/>
              </w:rPr>
            </w:pPr>
            <w:r>
              <w:rPr>
                <w:rFonts w:ascii="宋体"/>
                <w:sz w:val="18"/>
              </w:rPr>
              <w:t>38,070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69"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9" w:right="0"/>
              <w:jc w:val="center"/>
              <w:rPr>
                <w:rFonts w:ascii="宋体" w:hAnsi="宋体" w:cs="宋体" w:eastAsia="宋体" w:hint="default"/>
                <w:sz w:val="18"/>
                <w:szCs w:val="18"/>
              </w:rPr>
            </w:pPr>
            <w:r>
              <w:rPr>
                <w:rFonts w:ascii="宋体"/>
                <w:sz w:val="18"/>
              </w:rPr>
              <w:t>38,070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69"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49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r>
              <w:rPr>
                <w:rFonts w:ascii="宋体" w:hAnsi="宋体" w:cs="宋体" w:eastAsia="宋体" w:hint="default"/>
                <w:sz w:val="18"/>
                <w:szCs w:val="18"/>
              </w:rPr>
              <w:t>,</w:t>
            </w:r>
            <w:r>
              <w:rPr>
                <w:rFonts w:ascii="宋体" w:hAnsi="宋体" w:cs="宋体" w:eastAsia="宋体" w:hint="default"/>
                <w:sz w:val="18"/>
                <w:szCs w:val="18"/>
              </w:rPr>
              <w:t>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9" w:right="0"/>
              <w:jc w:val="center"/>
              <w:rPr>
                <w:rFonts w:ascii="宋体" w:hAnsi="宋体" w:cs="宋体" w:eastAsia="宋体" w:hint="default"/>
                <w:sz w:val="18"/>
                <w:szCs w:val="18"/>
              </w:rPr>
            </w:pPr>
            <w:r>
              <w:rPr>
                <w:rFonts w:ascii="宋体"/>
                <w:sz w:val="18"/>
              </w:rPr>
              <w:t>12,690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69"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9" w:right="0"/>
              <w:jc w:val="center"/>
              <w:rPr>
                <w:rFonts w:ascii="宋体" w:hAnsi="宋体" w:cs="宋体" w:eastAsia="宋体" w:hint="default"/>
                <w:sz w:val="18"/>
                <w:szCs w:val="18"/>
              </w:rPr>
            </w:pPr>
            <w:r>
              <w:rPr>
                <w:rFonts w:ascii="宋体"/>
                <w:sz w:val="18"/>
              </w:rPr>
              <w:t>12,690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69"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r>
              <w:rPr>
                <w:rFonts w:ascii="宋体" w:hAnsi="宋体" w:cs="宋体" w:eastAsia="宋体" w:hint="default"/>
                <w:sz w:val="18"/>
                <w:szCs w:val="18"/>
              </w:rPr>
              <w:t>,</w:t>
            </w:r>
            <w:r>
              <w:rPr>
                <w:rFonts w:ascii="宋体" w:hAnsi="宋体" w:cs="宋体" w:eastAsia="宋体" w:hint="default"/>
                <w:sz w:val="18"/>
                <w:szCs w:val="18"/>
              </w:rPr>
              <w:t>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720,00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720,00</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105"/>
              <w:jc w:val="left"/>
              <w:rPr>
                <w:rFonts w:ascii="宋体" w:hAnsi="宋体" w:cs="宋体" w:eastAsia="宋体" w:hint="default"/>
                <w:sz w:val="18"/>
                <w:szCs w:val="18"/>
              </w:rPr>
            </w:pPr>
            <w:r>
              <w:rPr>
                <w:rFonts w:ascii="宋体" w:hAnsi="宋体" w:cs="宋体" w:eastAsia="宋体" w:hint="default"/>
                <w:sz w:val="18"/>
                <w:szCs w:val="18"/>
              </w:rPr>
              <w:t>总工程 师</w:t>
            </w:r>
            <w:r>
              <w:rPr>
                <w:rFonts w:ascii="宋体" w:hAnsi="宋体" w:cs="宋体" w:eastAsia="宋体" w:hint="default"/>
                <w:sz w:val="18"/>
                <w:szCs w:val="18"/>
              </w:rPr>
              <w:t>,</w:t>
            </w:r>
            <w:r>
              <w:rPr>
                <w:rFonts w:ascii="宋体" w:hAnsi="宋体" w:cs="宋体" w:eastAsia="宋体" w:hint="default"/>
                <w:sz w:val="18"/>
                <w:szCs w:val="18"/>
              </w:rPr>
              <w:t>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720,00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720,00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8"/>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17</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金毅</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5" w:lineRule="auto" w:before="156"/>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5" w:lineRule="auto" w:before="156"/>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刘永开</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5" w:lineRule="auto" w:before="156"/>
              <w:ind w:left="23" w:right="105"/>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pacing w:val="-1"/>
                <w:sz w:val="18"/>
              </w:rPr>
              <w:t>900,00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pacing w:val="-1"/>
                <w:sz w:val="18"/>
              </w:rPr>
              <w:t>900,00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宋体" w:hAnsi="宋体" w:cs="宋体" w:eastAsia="宋体" w:hint="default"/>
                <w:sz w:val="18"/>
                <w:szCs w:val="18"/>
              </w:rPr>
            </w:pPr>
            <w:r>
              <w:rPr>
                <w:rFonts w:ascii="宋体"/>
                <w:sz w:val="18"/>
              </w:rPr>
              <w:t>1,080,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宋体" w:hAnsi="宋体" w:cs="宋体" w:eastAsia="宋体" w:hint="default"/>
                <w:sz w:val="18"/>
                <w:szCs w:val="18"/>
              </w:rPr>
            </w:pPr>
            <w:r>
              <w:rPr>
                <w:rFonts w:ascii="宋体"/>
                <w:sz w:val="18"/>
              </w:rPr>
              <w:t>1,080,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5" w:lineRule="auto" w:before="156"/>
              <w:ind w:left="23" w:right="105"/>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49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105"/>
              <w:jc w:val="both"/>
              <w:rPr>
                <w:rFonts w:ascii="宋体" w:hAnsi="宋体" w:cs="宋体" w:eastAsia="宋体" w:hint="default"/>
                <w:sz w:val="18"/>
                <w:szCs w:val="18"/>
              </w:rPr>
            </w:pPr>
            <w:r>
              <w:rPr>
                <w:rFonts w:ascii="宋体" w:hAnsi="宋体" w:cs="宋体" w:eastAsia="宋体" w:hint="default"/>
                <w:sz w:val="18"/>
                <w:szCs w:val="18"/>
              </w:rPr>
              <w:t>董秘、 财务负 责人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pacing w:val="-1"/>
                <w:sz w:val="18"/>
              </w:rPr>
              <w:t>720,00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720,00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5" w:right="0"/>
              <w:jc w:val="left"/>
              <w:rPr>
                <w:rFonts w:ascii="宋体" w:hAnsi="宋体" w:cs="宋体" w:eastAsia="宋体" w:hint="default"/>
                <w:sz w:val="18"/>
                <w:szCs w:val="18"/>
              </w:rPr>
            </w:pP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5" w:right="0"/>
              <w:jc w:val="left"/>
              <w:rPr>
                <w:rFonts w:ascii="宋体" w:hAnsi="宋体" w:cs="宋体" w:eastAsia="宋体" w:hint="default"/>
                <w:sz w:val="18"/>
                <w:szCs w:val="18"/>
              </w:rPr>
            </w:pPr>
            <w:r>
              <w:rPr>
                <w:rFonts w:ascii="宋体" w:hAnsi="宋体" w:cs="宋体" w:eastAsia="宋体" w:hint="default"/>
                <w:sz w:val="18"/>
                <w:szCs w:val="18"/>
              </w:rPr>
              <w:t>――</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6" w:right="0"/>
              <w:jc w:val="left"/>
              <w:rPr>
                <w:rFonts w:ascii="宋体" w:hAnsi="宋体" w:cs="宋体" w:eastAsia="宋体" w:hint="default"/>
                <w:sz w:val="18"/>
                <w:szCs w:val="18"/>
              </w:rPr>
            </w:pP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5" w:right="0"/>
              <w:jc w:val="left"/>
              <w:rPr>
                <w:rFonts w:ascii="宋体" w:hAnsi="宋体" w:cs="宋体" w:eastAsia="宋体" w:hint="default"/>
                <w:sz w:val="18"/>
                <w:szCs w:val="18"/>
              </w:rPr>
            </w:pP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8" w:right="0"/>
              <w:jc w:val="left"/>
              <w:rPr>
                <w:rFonts w:ascii="宋体" w:hAnsi="宋体" w:cs="宋体" w:eastAsia="宋体" w:hint="default"/>
                <w:sz w:val="18"/>
                <w:szCs w:val="18"/>
              </w:rPr>
            </w:pP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 w:right="0"/>
              <w:jc w:val="center"/>
              <w:rPr>
                <w:rFonts w:ascii="宋体" w:hAnsi="宋体" w:cs="宋体" w:eastAsia="宋体" w:hint="default"/>
                <w:sz w:val="18"/>
                <w:szCs w:val="18"/>
              </w:rPr>
            </w:pPr>
            <w:r>
              <w:rPr>
                <w:rFonts w:ascii="宋体"/>
                <w:sz w:val="18"/>
              </w:rPr>
              <w:t>54,900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69"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 w:right="0"/>
              <w:jc w:val="center"/>
              <w:rPr>
                <w:rFonts w:ascii="宋体" w:hAnsi="宋体" w:cs="宋体" w:eastAsia="宋体" w:hint="default"/>
                <w:sz w:val="18"/>
                <w:szCs w:val="18"/>
              </w:rPr>
            </w:pPr>
            <w:r>
              <w:rPr>
                <w:rFonts w:ascii="宋体"/>
                <w:sz w:val="18"/>
              </w:rPr>
              <w:t>54,900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69"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81"/>
        <w:ind w:right="0"/>
        <w:jc w:val="left"/>
        <w:rPr>
          <w:b w:val="0"/>
          <w:bCs w:val="0"/>
        </w:rPr>
      </w:pPr>
      <w:r>
        <w:rPr/>
        <w:t>二、任职情况</w:t>
      </w:r>
      <w:r>
        <w:rPr>
          <w:b w:val="0"/>
          <w:bCs w:val="0"/>
        </w:rPr>
      </w:r>
    </w:p>
    <w:p>
      <w:pPr>
        <w:spacing w:line="240" w:lineRule="auto" w:before="0"/>
        <w:rPr>
          <w:rFonts w:ascii="宋体" w:hAnsi="宋体" w:cs="宋体" w:eastAsia="宋体" w:hint="default"/>
          <w:b/>
          <w:bCs/>
          <w:sz w:val="24"/>
          <w:szCs w:val="24"/>
        </w:rPr>
      </w:pPr>
    </w:p>
    <w:p>
      <w:pPr>
        <w:pStyle w:val="BodyText"/>
        <w:spacing w:line="518" w:lineRule="auto" w:before="188"/>
        <w:ind w:left="573" w:right="4535"/>
        <w:jc w:val="left"/>
      </w:pPr>
      <w:r>
        <w:rPr/>
        <w:t>公司现任董事、监事、高级管理人员最近</w:t>
      </w:r>
      <w:r>
        <w:rPr>
          <w:spacing w:val="-46"/>
        </w:rPr>
        <w:t> </w:t>
      </w:r>
      <w:r>
        <w:rPr>
          <w:rFonts w:ascii="宋体" w:hAnsi="宋体" w:cs="宋体" w:eastAsia="宋体" w:hint="default"/>
        </w:rPr>
        <w:t>5</w:t>
      </w:r>
      <w:r>
        <w:rPr>
          <w:rFonts w:ascii="宋体" w:hAnsi="宋体" w:cs="宋体" w:eastAsia="宋体" w:hint="default"/>
          <w:spacing w:val="-46"/>
        </w:rPr>
        <w:t> </w:t>
      </w:r>
      <w:r>
        <w:rPr/>
        <w:t>年的主要工作经历 </w:t>
      </w:r>
      <w:r>
        <w:rPr>
          <w:rFonts w:ascii="宋体" w:hAnsi="宋体" w:cs="宋体" w:eastAsia="宋体" w:hint="default"/>
        </w:rPr>
        <w:t>1</w:t>
      </w:r>
      <w:r>
        <w:rPr/>
        <w:t>、董事会成员简介</w:t>
      </w:r>
    </w:p>
    <w:p>
      <w:pPr>
        <w:pStyle w:val="BodyText"/>
        <w:spacing w:line="477" w:lineRule="auto" w:before="23"/>
        <w:ind w:right="214" w:firstLine="420"/>
        <w:jc w:val="left"/>
      </w:pPr>
      <w:r>
        <w:rPr/>
        <w:t>刘祥，男，</w:t>
      </w:r>
      <w:r>
        <w:rPr>
          <w:rFonts w:ascii="宋体" w:hAnsi="宋体" w:cs="宋体" w:eastAsia="宋体" w:hint="default"/>
        </w:rPr>
        <w:t>46</w:t>
      </w:r>
      <w:r>
        <w:rPr/>
        <w:t>岁，中国国籍，无境外居留权，毕业于东南大学，本科学历，现任本公司董事长兼总经理。</w:t>
      </w:r>
      <w:r>
        <w:rPr>
          <w:rFonts w:ascii="宋体" w:hAnsi="宋体" w:cs="宋体" w:eastAsia="宋体" w:hint="default"/>
        </w:rPr>
        <w:t>2001</w:t>
      </w:r>
      <w:r>
        <w:rPr/>
        <w:t>年创建 深圳市新国都技术有限公司，现兼任山南格立执行董事，深圳市泰德信实业有限公司董事。</w:t>
      </w:r>
    </w:p>
    <w:p>
      <w:pPr>
        <w:pStyle w:val="BodyText"/>
        <w:spacing w:line="477" w:lineRule="auto" w:before="54"/>
        <w:ind w:right="0" w:firstLine="420"/>
        <w:jc w:val="left"/>
      </w:pPr>
      <w:r>
        <w:rPr>
          <w:spacing w:val="-3"/>
        </w:rPr>
        <w:t>江汉，男，</w:t>
      </w:r>
      <w:r>
        <w:rPr>
          <w:rFonts w:ascii="宋体" w:hAnsi="宋体" w:cs="宋体" w:eastAsia="宋体" w:hint="default"/>
          <w:spacing w:val="-3"/>
        </w:rPr>
        <w:t>42</w:t>
      </w:r>
      <w:r>
        <w:rPr>
          <w:spacing w:val="-3"/>
        </w:rPr>
        <w:t>岁，中国国籍，无境外居留权，工商管理硕士（</w:t>
      </w:r>
      <w:r>
        <w:rPr>
          <w:rFonts w:ascii="宋体" w:hAnsi="宋体" w:cs="宋体" w:eastAsia="宋体" w:hint="default"/>
          <w:spacing w:val="-3"/>
        </w:rPr>
        <w:t>MBA</w:t>
      </w:r>
      <w:r>
        <w:rPr>
          <w:spacing w:val="-3"/>
        </w:rPr>
        <w:t>），现任本公司董事兼副总经理，负责主持市场工作。</w:t>
      </w:r>
      <w:r>
        <w:rPr/>
        <w:t> 现深圳市泰德信实业有限公司董事（法定代表人）。</w:t>
      </w:r>
    </w:p>
    <w:p>
      <w:pPr>
        <w:pStyle w:val="BodyText"/>
        <w:spacing w:line="477" w:lineRule="auto" w:before="55"/>
        <w:ind w:left="573" w:right="213"/>
        <w:jc w:val="left"/>
      </w:pPr>
      <w:r>
        <w:rPr/>
        <w:t>汪洋，男，</w:t>
      </w:r>
      <w:r>
        <w:rPr>
          <w:rFonts w:ascii="宋体" w:hAnsi="宋体" w:cs="宋体" w:eastAsia="宋体" w:hint="default"/>
        </w:rPr>
        <w:t>50</w:t>
      </w:r>
      <w:r>
        <w:rPr/>
        <w:t>岁，中国国籍，无境外居留权，本科学历，现任本公司董事兼副总经理，负责主持营销工作。 韦余红，男，</w:t>
      </w:r>
      <w:r>
        <w:rPr>
          <w:rFonts w:ascii="宋体" w:hAnsi="宋体" w:cs="宋体" w:eastAsia="宋体" w:hint="default"/>
        </w:rPr>
        <w:t>44</w:t>
      </w:r>
      <w:r>
        <w:rPr/>
        <w:t>岁，中国国籍，无境外居留权，研究生学历，现任本公司董事兼副总经理，负责主持研发工作。 贾巍，女，</w:t>
      </w:r>
      <w:r>
        <w:rPr>
          <w:rFonts w:ascii="宋体" w:hAnsi="宋体" w:cs="宋体" w:eastAsia="宋体" w:hint="default"/>
        </w:rPr>
        <w:t>40</w:t>
      </w:r>
      <w:r>
        <w:rPr/>
        <w:t>岁，中国国籍，无境外居留权，硕士学历，中国注册会计师协会非执业会员，现任本公司董事兼审计委</w:t>
      </w:r>
    </w:p>
    <w:p>
      <w:pPr>
        <w:pStyle w:val="BodyText"/>
        <w:spacing w:line="477" w:lineRule="auto" w:before="54"/>
        <w:ind w:right="0"/>
        <w:jc w:val="left"/>
      </w:pPr>
      <w:r>
        <w:rPr>
          <w:spacing w:val="-2"/>
        </w:rPr>
        <w:t>员会委员。</w:t>
      </w:r>
      <w:r>
        <w:rPr>
          <w:rFonts w:ascii="宋体" w:hAnsi="宋体" w:cs="宋体" w:eastAsia="宋体" w:hint="default"/>
          <w:spacing w:val="-2"/>
        </w:rPr>
        <w:t>2007</w:t>
      </w:r>
      <w:r>
        <w:rPr>
          <w:spacing w:val="-2"/>
        </w:rPr>
        <w:t>年迄今，就职于深圳市创新投资集团有限公司，现任国际部总经理，兼任深圳市信维通信股份有限公司的董</w:t>
      </w:r>
      <w:r>
        <w:rPr>
          <w:spacing w:val="-62"/>
        </w:rPr>
        <w:t> </w:t>
      </w:r>
      <w:r>
        <w:rPr>
          <w:spacing w:val="-62"/>
        </w:rPr>
      </w:r>
      <w:r>
        <w:rPr/>
        <w:t>事。</w:t>
      </w:r>
    </w:p>
    <w:p>
      <w:pPr>
        <w:pStyle w:val="BodyText"/>
        <w:spacing w:line="477" w:lineRule="auto" w:before="54"/>
        <w:ind w:right="214" w:firstLine="420"/>
        <w:jc w:val="left"/>
      </w:pPr>
      <w:r>
        <w:rPr/>
        <w:t>金毅，男，</w:t>
      </w:r>
      <w:r>
        <w:rPr>
          <w:rFonts w:ascii="宋体" w:hAnsi="宋体" w:cs="宋体" w:eastAsia="宋体" w:hint="default"/>
        </w:rPr>
        <w:t>45</w:t>
      </w:r>
      <w:r>
        <w:rPr/>
        <w:t>岁，中国国籍，无境外居留权，本科学历，现任本公司独立董事兼审计委员会委员，为深圳市同创伟业 创业投资有限公司董事、深圳市榕树投资管理有限公司董事长。</w:t>
      </w:r>
    </w:p>
    <w:p>
      <w:pPr>
        <w:pStyle w:val="BodyText"/>
        <w:spacing w:line="240" w:lineRule="auto" w:before="54"/>
        <w:ind w:left="573" w:right="0"/>
        <w:jc w:val="left"/>
      </w:pPr>
      <w:r>
        <w:rPr/>
        <w:t>许映鹏，男，</w:t>
      </w:r>
      <w:r>
        <w:rPr>
          <w:rFonts w:ascii="宋体" w:hAnsi="宋体" w:cs="宋体" w:eastAsia="宋体" w:hint="default"/>
        </w:rPr>
        <w:t>46</w:t>
      </w:r>
      <w:r>
        <w:rPr/>
        <w:t>岁，中国国籍，无境外居留权，硕士学历，高级工程师，现任本公司独立董事，为凯斯泰尔通信设备</w:t>
      </w:r>
    </w:p>
    <w:p>
      <w:pPr>
        <w:spacing w:line="240" w:lineRule="auto" w:before="10"/>
        <w:rPr>
          <w:rFonts w:ascii="宋体" w:hAnsi="宋体" w:cs="宋体" w:eastAsia="宋体" w:hint="default"/>
          <w:sz w:val="17"/>
          <w:szCs w:val="17"/>
        </w:rPr>
      </w:pPr>
    </w:p>
    <w:p>
      <w:pPr>
        <w:pStyle w:val="BodyText"/>
        <w:spacing w:line="477" w:lineRule="auto" w:before="0"/>
        <w:ind w:left="573" w:right="213" w:hanging="421"/>
        <w:jc w:val="left"/>
      </w:pPr>
      <w:r>
        <w:rPr/>
        <w:t>（深圳）有限公司副总经理。 李建辉，男，</w:t>
      </w:r>
      <w:r>
        <w:rPr>
          <w:rFonts w:ascii="宋体" w:hAnsi="宋体" w:cs="宋体" w:eastAsia="宋体" w:hint="default"/>
        </w:rPr>
        <w:t>44</w:t>
      </w:r>
      <w:r>
        <w:rPr/>
        <w:t>岁，中国国籍，无境外居留权，本科学历，执业律师，现任本公司独立董事，为北京市竞天公诚律师</w:t>
      </w:r>
    </w:p>
    <w:p>
      <w:pPr>
        <w:pStyle w:val="BodyText"/>
        <w:spacing w:line="477" w:lineRule="auto" w:before="54"/>
        <w:ind w:left="573" w:right="213" w:hanging="421"/>
        <w:jc w:val="left"/>
      </w:pPr>
      <w:r>
        <w:rPr/>
        <w:t>事务所合伙人律师。 刘永开，男，</w:t>
      </w:r>
      <w:r>
        <w:rPr>
          <w:rFonts w:ascii="宋体" w:hAnsi="宋体" w:cs="宋体" w:eastAsia="宋体" w:hint="default"/>
        </w:rPr>
        <w:t>1968</w:t>
      </w:r>
      <w:r>
        <w:rPr/>
        <w:t>年生，硕士研究生学历，中国注册会计师、中国注册税务师，</w:t>
      </w:r>
      <w:r>
        <w:rPr>
          <w:rFonts w:ascii="宋体" w:hAnsi="宋体" w:cs="宋体" w:eastAsia="宋体" w:hint="default"/>
        </w:rPr>
        <w:t>2003</w:t>
      </w:r>
      <w:r>
        <w:rPr/>
        <w:t>年取得上市公司独立董事资格证</w:t>
      </w:r>
    </w:p>
    <w:p>
      <w:pPr>
        <w:pStyle w:val="BodyText"/>
        <w:spacing w:line="477" w:lineRule="auto" w:before="54"/>
        <w:ind w:right="0"/>
        <w:jc w:val="left"/>
      </w:pPr>
      <w:r>
        <w:rPr>
          <w:spacing w:val="-2"/>
        </w:rPr>
        <w:t>书，公司第一届董事会独立董事。近五年来，曾任深圳中永华兴会计师事务所主任会计师（所长）；现任深圳市中联岳华税</w:t>
      </w:r>
      <w:r>
        <w:rPr>
          <w:spacing w:val="-67"/>
        </w:rPr>
        <w:t> </w:t>
      </w:r>
      <w:r>
        <w:rPr>
          <w:spacing w:val="-67"/>
        </w:rPr>
      </w:r>
      <w:r>
        <w:rPr/>
        <w:t>务师事务所合伙人、深圳恒平会计师事务所注册会计师、深圳鹏博实业集团有限公司董事。</w:t>
      </w:r>
    </w:p>
    <w:p>
      <w:pPr>
        <w:pStyle w:val="BodyText"/>
        <w:spacing w:line="477" w:lineRule="auto" w:before="54"/>
        <w:ind w:left="573" w:right="213"/>
        <w:jc w:val="left"/>
      </w:pPr>
      <w:r>
        <w:rPr>
          <w:rFonts w:ascii="宋体" w:hAnsi="宋体" w:cs="宋体" w:eastAsia="宋体" w:hint="default"/>
        </w:rPr>
        <w:t>2</w:t>
      </w:r>
      <w:r>
        <w:rPr/>
        <w:t>、监事会成员简介 李林杰，男，</w:t>
      </w:r>
      <w:r>
        <w:rPr>
          <w:rFonts w:ascii="宋体" w:hAnsi="宋体" w:cs="宋体" w:eastAsia="宋体" w:hint="default"/>
        </w:rPr>
        <w:t>55</w:t>
      </w:r>
      <w:r>
        <w:rPr/>
        <w:t>岁，中国国籍，无境外居留权，本科学历，现任本公司监事会主席兼行政中心总监，兼任南京新国都</w:t>
      </w:r>
    </w:p>
    <w:p>
      <w:pPr>
        <w:pStyle w:val="BodyText"/>
        <w:spacing w:line="477" w:lineRule="auto" w:before="55"/>
        <w:ind w:left="573" w:right="1293" w:hanging="421"/>
        <w:jc w:val="left"/>
      </w:pPr>
      <w:r>
        <w:rPr/>
        <w:t>监事、广州新国都监事。 栾承岚，女，</w:t>
      </w:r>
      <w:r>
        <w:rPr>
          <w:rFonts w:ascii="宋体" w:hAnsi="宋体" w:cs="宋体" w:eastAsia="宋体" w:hint="default"/>
        </w:rPr>
        <w:t>37</w:t>
      </w:r>
      <w:r>
        <w:rPr/>
        <w:t>岁，中国国籍，无境外居留权，专科学历，现任本公司监事兼任计划财务中心副经理。 杨星</w:t>
      </w:r>
      <w:r>
        <w:rPr>
          <w:rFonts w:ascii="宋体" w:hAnsi="宋体" w:cs="宋体" w:eastAsia="宋体" w:hint="default"/>
        </w:rPr>
        <w:t>, </w:t>
      </w:r>
      <w:r>
        <w:rPr/>
        <w:t>男，</w:t>
      </w:r>
      <w:r>
        <w:rPr>
          <w:rFonts w:ascii="宋体" w:hAnsi="宋体" w:cs="宋体" w:eastAsia="宋体" w:hint="default"/>
        </w:rPr>
        <w:t>37</w:t>
      </w:r>
      <w:r>
        <w:rPr/>
        <w:t>岁，中国国籍，无境外居留权，本科学历，现任本公司职工监事兼研发中心副总经理。 </w:t>
      </w:r>
      <w:r>
        <w:rPr>
          <w:rFonts w:ascii="宋体" w:hAnsi="宋体" w:cs="宋体" w:eastAsia="宋体" w:hint="default"/>
        </w:rPr>
        <w:t>3</w:t>
      </w:r>
      <w:r>
        <w:rPr/>
        <w:t>、高级管理人员简介</w:t>
      </w:r>
    </w:p>
    <w:p>
      <w:pPr>
        <w:pStyle w:val="BodyText"/>
        <w:spacing w:line="477" w:lineRule="auto" w:before="54"/>
        <w:ind w:left="573" w:right="5613"/>
        <w:jc w:val="left"/>
      </w:pPr>
      <w:r>
        <w:rPr/>
        <w:t>刘祥，总经理，简介及工作经历见董事介绍。 江汉，副总经理，简介及工作经历见董事介绍。</w:t>
      </w:r>
    </w:p>
    <w:p>
      <w:pPr>
        <w:spacing w:after="0" w:line="477"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left="573" w:right="5393"/>
        <w:jc w:val="left"/>
      </w:pPr>
      <w:r>
        <w:rPr/>
        <w:t>汪洋，副总经理，简介及工作经历见董事介绍。 韦余红，副总经理，简介及工作经历见董事介绍。</w:t>
      </w:r>
    </w:p>
    <w:p>
      <w:pPr>
        <w:pStyle w:val="BodyText"/>
        <w:spacing w:line="477" w:lineRule="auto" w:before="54"/>
        <w:ind w:right="174" w:firstLine="420"/>
        <w:jc w:val="left"/>
      </w:pPr>
      <w:r>
        <w:rPr/>
        <w:t>童卫东，男，</w:t>
      </w:r>
      <w:r>
        <w:rPr>
          <w:rFonts w:ascii="宋体" w:hAnsi="宋体" w:cs="宋体" w:eastAsia="宋体" w:hint="default"/>
        </w:rPr>
        <w:t>47</w:t>
      </w:r>
      <w:r>
        <w:rPr/>
        <w:t>岁，硕士学历，工程师，现任公司副总经理，公司全资子公司南京市新国都技术有限公司执行董事兼 总经理，控股子公司苏州市新国都电子技术有限公司总经理。</w:t>
      </w:r>
    </w:p>
    <w:p>
      <w:pPr>
        <w:pStyle w:val="BodyText"/>
        <w:spacing w:line="240" w:lineRule="auto" w:before="95"/>
        <w:ind w:left="573" w:right="0"/>
        <w:jc w:val="left"/>
      </w:pPr>
      <w:r>
        <w:rPr/>
        <w:t>赵辉，男，</w:t>
      </w:r>
      <w:r>
        <w:rPr>
          <w:rFonts w:ascii="宋体" w:hAnsi="宋体" w:cs="宋体" w:eastAsia="宋体" w:hint="default"/>
        </w:rPr>
        <w:t>44</w:t>
      </w:r>
      <w:r>
        <w:rPr>
          <w:rFonts w:ascii="宋体" w:hAnsi="宋体" w:cs="宋体" w:eastAsia="宋体" w:hint="default"/>
          <w:spacing w:val="-56"/>
        </w:rPr>
        <w:t> </w:t>
      </w:r>
      <w:r>
        <w:rPr/>
        <w:t>岁，中国国籍，无境外居留权，本科学历，现任本公司财务总监兼董事会秘书，负责主持财务和证券工</w:t>
      </w:r>
    </w:p>
    <w:p>
      <w:pPr>
        <w:spacing w:line="240" w:lineRule="auto" w:before="10"/>
        <w:rPr>
          <w:rFonts w:ascii="宋体" w:hAnsi="宋体" w:cs="宋体" w:eastAsia="宋体" w:hint="default"/>
          <w:sz w:val="17"/>
          <w:szCs w:val="17"/>
        </w:rPr>
      </w:pPr>
    </w:p>
    <w:p>
      <w:pPr>
        <w:pStyle w:val="BodyText"/>
        <w:spacing w:line="240" w:lineRule="auto" w:before="0"/>
        <w:ind w:right="141"/>
        <w:jc w:val="left"/>
      </w:pPr>
      <w:r>
        <w:rPr/>
        <w:t>作。</w:t>
      </w:r>
    </w:p>
    <w:p>
      <w:pPr>
        <w:spacing w:line="240" w:lineRule="auto" w:before="9"/>
        <w:rPr>
          <w:rFonts w:ascii="宋体" w:hAnsi="宋体" w:cs="宋体" w:eastAsia="宋体" w:hint="default"/>
          <w:sz w:val="20"/>
          <w:szCs w:val="20"/>
        </w:rPr>
      </w:pPr>
    </w:p>
    <w:p>
      <w:pPr>
        <w:pStyle w:val="BodyText"/>
        <w:spacing w:line="240" w:lineRule="auto" w:before="0"/>
        <w:ind w:left="573" w:right="141"/>
        <w:jc w:val="left"/>
      </w:pPr>
      <w:r>
        <w:rPr/>
        <w:t>在股东单位任职情况</w:t>
      </w:r>
    </w:p>
    <w:p>
      <w:pPr>
        <w:spacing w:line="240" w:lineRule="auto" w:before="12"/>
        <w:rPr>
          <w:rFonts w:ascii="宋体" w:hAnsi="宋体" w:cs="宋体" w:eastAsia="宋体" w:hint="default"/>
          <w:sz w:val="20"/>
          <w:szCs w:val="20"/>
        </w:rPr>
      </w:pPr>
    </w:p>
    <w:p>
      <w:pPr>
        <w:pStyle w:val="BodyText"/>
        <w:spacing w:line="518" w:lineRule="auto" w:before="0"/>
        <w:ind w:left="573" w:right="3730"/>
        <w:jc w:val="left"/>
      </w:pPr>
      <w:r>
        <w:rPr>
          <w:rFonts w:ascii="宋体" w:hAnsi="宋体" w:cs="宋体" w:eastAsia="宋体" w:hint="default"/>
        </w:rPr>
        <w:t>2007</w:t>
      </w:r>
      <w:r>
        <w:rPr>
          <w:rFonts w:ascii="宋体" w:hAnsi="宋体" w:cs="宋体" w:eastAsia="宋体" w:hint="default"/>
          <w:spacing w:val="-47"/>
        </w:rPr>
        <w:t> </w:t>
      </w:r>
      <w:r>
        <w:rPr/>
        <w:t>年迄今，贾巍就职于深圳市创新投资集团有限公司，任投资经理。 在其他单位任职情况</w:t>
      </w:r>
    </w:p>
    <w:p>
      <w:pPr>
        <w:pStyle w:val="BodyText"/>
        <w:spacing w:line="240" w:lineRule="auto" w:before="62"/>
        <w:ind w:left="573" w:right="141"/>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141"/>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ind w:left="0" w:right="159"/>
        <w:jc w:val="right"/>
      </w:pPr>
      <w:r>
        <w:rPr/>
        <w:pict>
          <v:shape style="position:absolute;margin-left:56.459999pt;margin-top:-4.688296pt;width:479.2pt;height:177.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5"/>
                  </w:tblGrid>
                  <w:tr>
                    <w:trPr>
                      <w:trHeight w:val="102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9"/>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公司董事、监事、高级管理人员的薪酬需提请公司股东大会予以审议，董事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监事、高级管理人员报酬由公司支付；独立董事津贴需经股东大会审议决策</w:t>
                        </w:r>
                      </w:p>
                    </w:tc>
                  </w:tr>
                  <w:tr>
                    <w:trPr>
                      <w:trHeight w:val="149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3"/>
                          <w:jc w:val="both"/>
                          <w:rPr>
                            <w:rFonts w:ascii="宋体" w:hAnsi="宋体" w:cs="宋体" w:eastAsia="宋体" w:hint="default"/>
                            <w:sz w:val="18"/>
                            <w:szCs w:val="18"/>
                          </w:rPr>
                        </w:pPr>
                        <w:r>
                          <w:rPr>
                            <w:rFonts w:ascii="宋体" w:hAnsi="宋体" w:cs="宋体" w:eastAsia="宋体" w:hint="default"/>
                            <w:spacing w:val="-1"/>
                            <w:sz w:val="18"/>
                            <w:szCs w:val="18"/>
                          </w:rPr>
                          <w:t>公司董事、监事和高级管理人员的报酬按照公司董事会《薪酬与考核委员会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工作细则》的规定，结合其经营绩效、工作能力、岗位职级等为依据考核确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定并发放。</w:t>
                        </w:r>
                      </w:p>
                    </w:tc>
                  </w:tr>
                  <w:tr>
                    <w:trPr>
                      <w:trHeight w:val="102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19"/>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42"/>
                          <w:jc w:val="left"/>
                          <w:rPr>
                            <w:rFonts w:ascii="宋体" w:hAnsi="宋体" w:cs="宋体" w:eastAsia="宋体" w:hint="default"/>
                            <w:sz w:val="18"/>
                            <w:szCs w:val="18"/>
                          </w:rPr>
                        </w:pPr>
                        <w:r>
                          <w:rPr>
                            <w:rFonts w:ascii="宋体" w:hAnsi="宋体" w:cs="宋体" w:eastAsia="宋体" w:hint="default"/>
                            <w:sz w:val="18"/>
                            <w:szCs w:val="18"/>
                          </w:rPr>
                          <w:t>公司董事、监事、高级管理人员 </w:t>
                        </w:r>
                        <w:r>
                          <w:rPr>
                            <w:rFonts w:ascii="宋体" w:hAnsi="宋体" w:cs="宋体" w:eastAsia="宋体" w:hint="default"/>
                            <w:sz w:val="18"/>
                            <w:szCs w:val="18"/>
                          </w:rPr>
                          <w:t>2012 </w:t>
                        </w:r>
                        <w:r>
                          <w:rPr>
                            <w:rFonts w:ascii="宋体" w:hAnsi="宋体" w:cs="宋体" w:eastAsia="宋体" w:hint="default"/>
                            <w:sz w:val="18"/>
                            <w:szCs w:val="18"/>
                          </w:rPr>
                          <w:t>年度在公司领取的报酬总额为</w:t>
                        </w:r>
                        <w:r>
                          <w:rPr>
                            <w:rFonts w:ascii="宋体" w:hAnsi="宋体" w:cs="宋体" w:eastAsia="宋体" w:hint="default"/>
                            <w:spacing w:val="-48"/>
                            <w:sz w:val="18"/>
                            <w:szCs w:val="18"/>
                          </w:rPr>
                          <w:t> </w:t>
                        </w:r>
                        <w:r>
                          <w:rPr>
                            <w:rFonts w:ascii="宋体" w:hAnsi="宋体" w:cs="宋体" w:eastAsia="宋体" w:hint="default"/>
                            <w:sz w:val="18"/>
                            <w:szCs w:val="18"/>
                          </w:rPr>
                          <w:t>331.9 </w:t>
                        </w:r>
                        <w:r>
                          <w:rPr>
                            <w:rFonts w:ascii="宋体" w:hAnsi="宋体" w:cs="宋体" w:eastAsia="宋体" w:hint="default"/>
                            <w:sz w:val="18"/>
                            <w:szCs w:val="18"/>
                          </w:rPr>
                          <w:t>万元。</w:t>
                        </w:r>
                      </w:p>
                    </w:tc>
                  </w:tr>
                </w:tbl>
                <w:p>
                  <w:pPr/>
                </w:p>
              </w:txbxContent>
            </v:textbox>
            <w10:wrap type="none"/>
          </v:shape>
        </w:pict>
      </w:r>
      <w:r>
        <w:rPr/>
        <w:t>、</w:t>
      </w:r>
    </w:p>
    <w:p>
      <w:pPr>
        <w:spacing w:line="240" w:lineRule="auto" w:before="5"/>
        <w:rPr>
          <w:rFonts w:ascii="宋体" w:hAnsi="宋体" w:cs="宋体" w:eastAsia="宋体" w:hint="default"/>
          <w:sz w:val="14"/>
          <w:szCs w:val="14"/>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41"/>
        <w:jc w:val="left"/>
      </w:pPr>
      <w:r>
        <w:rPr/>
        <w:t>公司报告期内董事、监事和高级管理人员报酬情况</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单位：万元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68"/>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z w:val="18"/>
                <w:szCs w:val="18"/>
              </w:rPr>
              <w:t>,</w:t>
            </w:r>
            <w:r>
              <w:rPr>
                <w:rFonts w:ascii="宋体" w:hAnsi="宋体" w:cs="宋体" w:eastAsia="宋体" w:hint="default"/>
                <w:sz w:val="18"/>
                <w:szCs w:val="18"/>
              </w:rPr>
              <w:t>董事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21.20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21.20</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68"/>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w:t>
            </w:r>
            <w:r>
              <w:rPr>
                <w:rFonts w:ascii="宋体" w:hAnsi="宋体" w:cs="宋体" w:eastAsia="宋体" w:hint="default"/>
                <w:sz w:val="18"/>
                <w:szCs w:val="18"/>
              </w:rPr>
              <w:t>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41.90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41.90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68"/>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w:t>
            </w:r>
            <w:r>
              <w:rPr>
                <w:rFonts w:ascii="宋体" w:hAnsi="宋体" w:cs="宋体" w:eastAsia="宋体" w:hint="default"/>
                <w:sz w:val="18"/>
                <w:szCs w:val="18"/>
              </w:rPr>
              <w:t>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51.90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51.90</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68"/>
              <w:jc w:val="left"/>
              <w:rPr>
                <w:rFonts w:ascii="宋体" w:hAnsi="宋体" w:cs="宋体" w:eastAsia="宋体" w:hint="default"/>
                <w:sz w:val="18"/>
                <w:szCs w:val="18"/>
              </w:rPr>
            </w:pPr>
            <w:r>
              <w:rPr>
                <w:rFonts w:ascii="宋体" w:hAnsi="宋体" w:cs="宋体" w:eastAsia="宋体" w:hint="default"/>
                <w:sz w:val="18"/>
                <w:szCs w:val="18"/>
              </w:rPr>
              <w:t>总工程师</w:t>
            </w:r>
            <w:r>
              <w:rPr>
                <w:rFonts w:ascii="宋体" w:hAnsi="宋体" w:cs="宋体" w:eastAsia="宋体" w:hint="default"/>
                <w:sz w:val="18"/>
                <w:szCs w:val="18"/>
              </w:rPr>
              <w:t>,</w:t>
            </w:r>
            <w:r>
              <w:rPr>
                <w:rFonts w:ascii="宋体" w:hAnsi="宋体" w:cs="宋体" w:eastAsia="宋体" w:hint="default"/>
                <w:sz w:val="18"/>
                <w:szCs w:val="18"/>
              </w:rPr>
              <w:t>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51.90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51.90</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34.80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34.80</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6.30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6.30</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金毅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6.30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6.30</w:t>
            </w:r>
          </w:p>
        </w:tc>
      </w:tr>
      <w:tr>
        <w:trPr>
          <w:trHeight w:val="56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8"/>
              <w:jc w:val="right"/>
              <w:rPr>
                <w:rFonts w:ascii="宋体" w:hAnsi="宋体" w:cs="宋体" w:eastAsia="宋体" w:hint="default"/>
                <w:sz w:val="18"/>
                <w:szCs w:val="18"/>
              </w:rPr>
            </w:pPr>
            <w:r>
              <w:rPr>
                <w:rFonts w:ascii="宋体"/>
                <w:sz w:val="18"/>
              </w:rPr>
              <w:t>6.30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宋体" w:hAnsi="宋体" w:cs="宋体" w:eastAsia="宋体" w:hint="default"/>
                <w:sz w:val="18"/>
                <w:szCs w:val="18"/>
              </w:rPr>
            </w:pPr>
            <w:r>
              <w:rPr>
                <w:rFonts w:ascii="宋体"/>
                <w:sz w:val="18"/>
              </w:rPr>
              <w:t>6.30</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6.30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6.30</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刘永开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6.30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6.30</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25.20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25.20</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10.30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10.30</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33.00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33.00</w:t>
            </w:r>
          </w:p>
        </w:tc>
      </w:tr>
      <w:tr>
        <w:trPr>
          <w:trHeight w:val="10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79"/>
              <w:jc w:val="left"/>
              <w:rPr>
                <w:rFonts w:ascii="宋体" w:hAnsi="宋体" w:cs="宋体" w:eastAsia="宋体" w:hint="default"/>
                <w:sz w:val="18"/>
                <w:szCs w:val="18"/>
              </w:rPr>
            </w:pPr>
            <w:r>
              <w:rPr>
                <w:rFonts w:ascii="宋体" w:hAnsi="宋体" w:cs="宋体" w:eastAsia="宋体" w:hint="default"/>
                <w:sz w:val="18"/>
                <w:szCs w:val="18"/>
              </w:rPr>
              <w:t>董秘、财务负 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30.20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30.20</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331.90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331.90</w:t>
            </w:r>
          </w:p>
        </w:tc>
      </w:tr>
    </w:tbl>
    <w:p>
      <w:pPr>
        <w:spacing w:line="240" w:lineRule="auto" w:before="5"/>
        <w:rPr>
          <w:rFonts w:ascii="宋体" w:hAnsi="宋体" w:cs="宋体" w:eastAsia="宋体" w:hint="default"/>
          <w:sz w:val="6"/>
          <w:szCs w:val="6"/>
        </w:rPr>
      </w:pPr>
    </w:p>
    <w:p>
      <w:pPr>
        <w:pStyle w:val="BodyText"/>
        <w:spacing w:line="240" w:lineRule="auto"/>
        <w:ind w:left="573" w:right="141"/>
        <w:jc w:val="left"/>
      </w:pPr>
      <w:r>
        <w:rPr/>
        <w:t>公司董事、监事、高级管理人员报告期内被授予的股权激励情况</w:t>
      </w:r>
    </w:p>
    <w:p>
      <w:pPr>
        <w:spacing w:line="240" w:lineRule="auto" w:before="9"/>
        <w:rPr>
          <w:rFonts w:ascii="宋体" w:hAnsi="宋体" w:cs="宋体" w:eastAsia="宋体" w:hint="default"/>
          <w:sz w:val="20"/>
          <w:szCs w:val="20"/>
        </w:rPr>
      </w:pPr>
    </w:p>
    <w:p>
      <w:pPr>
        <w:pStyle w:val="BodyText"/>
        <w:spacing w:line="240" w:lineRule="auto" w:before="0"/>
        <w:ind w:left="573" w:right="141"/>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4"/>
        <w:spacing w:line="240" w:lineRule="auto"/>
        <w:ind w:right="141"/>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55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新增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经营需要</w:t>
            </w:r>
          </w:p>
        </w:tc>
      </w:tr>
    </w:tbl>
    <w:p>
      <w:pPr>
        <w:spacing w:line="240" w:lineRule="auto" w:before="12"/>
        <w:rPr>
          <w:rFonts w:ascii="宋体" w:hAnsi="宋体" w:cs="宋体" w:eastAsia="宋体" w:hint="default"/>
          <w:b/>
          <w:bCs/>
          <w:sz w:val="23"/>
          <w:szCs w:val="23"/>
        </w:rPr>
      </w:pPr>
    </w:p>
    <w:p>
      <w:pPr>
        <w:pStyle w:val="Heading4"/>
        <w:spacing w:line="240" w:lineRule="auto" w:before="26"/>
        <w:ind w:right="141"/>
        <w:jc w:val="left"/>
        <w:rPr>
          <w:b w:val="0"/>
          <w:bCs w:val="0"/>
        </w:rPr>
      </w:pPr>
      <w:r>
        <w:rPr/>
        <w:t>五、报告期核心技术团队或关键技术人员变动情况（非董事、监事、高级管理人员）</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141"/>
        <w:jc w:val="left"/>
      </w:pPr>
      <w:r>
        <w:rPr/>
        <w:t>报告期内，公司核心技术团队或关键技术人员（非董事、监事、高级管理人员）没有发生变动。</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9"/>
          <w:szCs w:val="29"/>
        </w:rPr>
      </w:pPr>
    </w:p>
    <w:p>
      <w:pPr>
        <w:pStyle w:val="Heading4"/>
        <w:spacing w:line="240" w:lineRule="auto" w:before="26"/>
        <w:ind w:left="232" w:right="0"/>
        <w:jc w:val="left"/>
        <w:rPr>
          <w:b w:val="0"/>
          <w:bCs w:val="0"/>
        </w:rPr>
      </w:pPr>
      <w:r>
        <w:rPr/>
        <w:t>六、公司员工情况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653"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日，公司员工总数</w:t>
      </w:r>
      <w:r>
        <w:rPr>
          <w:rFonts w:ascii="宋体" w:hAnsi="宋体" w:cs="宋体" w:eastAsia="宋体" w:hint="default"/>
        </w:rPr>
        <w:t>1118</w:t>
      </w:r>
      <w:r>
        <w:rPr/>
        <w:t>人。其中各类人员构成情况如下：</w:t>
      </w:r>
    </w:p>
    <w:p>
      <w:pPr>
        <w:spacing w:line="240" w:lineRule="auto" w:before="1"/>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409"/>
        <w:gridCol w:w="1407"/>
        <w:gridCol w:w="1406"/>
        <w:gridCol w:w="1407"/>
        <w:gridCol w:w="1409"/>
        <w:gridCol w:w="1407"/>
        <w:gridCol w:w="1411"/>
      </w:tblGrid>
      <w:tr>
        <w:trPr>
          <w:trHeight w:val="487" w:hRule="exact"/>
        </w:trPr>
        <w:tc>
          <w:tcPr>
            <w:tcW w:w="9856"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员工专业结构</w:t>
            </w:r>
          </w:p>
        </w:tc>
      </w:tr>
      <w:tr>
        <w:trPr>
          <w:trHeight w:val="490"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客服人员</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45"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477</w:t>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317</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sz w:val="18"/>
              </w:rPr>
              <w:t>187</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33</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104</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1118</w:t>
            </w:r>
          </w:p>
        </w:tc>
      </w:tr>
      <w:tr>
        <w:trPr>
          <w:trHeight w:val="487"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42.67%</w:t>
            </w:r>
          </w:p>
        </w:tc>
        <w:tc>
          <w:tcPr>
            <w:tcW w:w="1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28.35%</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16.73%</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2.95%</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9.30%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1642"/>
        <w:gridCol w:w="1642"/>
        <w:gridCol w:w="1642"/>
        <w:gridCol w:w="1642"/>
        <w:gridCol w:w="1642"/>
        <w:gridCol w:w="1646"/>
      </w:tblGrid>
      <w:tr>
        <w:trPr>
          <w:trHeight w:val="481" w:hRule="exact"/>
        </w:trPr>
        <w:tc>
          <w:tcPr>
            <w:tcW w:w="9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学历结构</w:t>
            </w:r>
          </w:p>
        </w:tc>
      </w:tr>
      <w:tr>
        <w:trPr>
          <w:trHeight w:val="538" w:hRule="exact"/>
        </w:trPr>
        <w:tc>
          <w:tcPr>
            <w:tcW w:w="16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学历结构</w:t>
            </w:r>
          </w:p>
        </w:tc>
        <w:tc>
          <w:tcPr>
            <w:tcW w:w="16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16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16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16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164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47" w:hRule="exact"/>
        </w:trPr>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人数（人）</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451</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183</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117</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367</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1118</w:t>
            </w:r>
          </w:p>
        </w:tc>
      </w:tr>
      <w:tr>
        <w:trPr>
          <w:trHeight w:val="487" w:hRule="exact"/>
        </w:trPr>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40.34%</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16.37%</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10.47%</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32.83%</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20" w:type="dxa"/>
        <w:tblLayout w:type="fixed"/>
        <w:tblCellMar>
          <w:top w:w="0" w:type="dxa"/>
          <w:left w:w="0" w:type="dxa"/>
          <w:bottom w:w="0" w:type="dxa"/>
          <w:right w:w="0" w:type="dxa"/>
        </w:tblCellMar>
        <w:tblLook w:val="01E0"/>
      </w:tblPr>
      <w:tblGrid>
        <w:gridCol w:w="1642"/>
        <w:gridCol w:w="1642"/>
        <w:gridCol w:w="1642"/>
        <w:gridCol w:w="1642"/>
        <w:gridCol w:w="1642"/>
        <w:gridCol w:w="1646"/>
      </w:tblGrid>
      <w:tr>
        <w:trPr>
          <w:trHeight w:val="478" w:hRule="exact"/>
        </w:trPr>
        <w:tc>
          <w:tcPr>
            <w:tcW w:w="9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年龄结构</w:t>
            </w:r>
          </w:p>
        </w:tc>
      </w:tr>
      <w:tr>
        <w:trPr>
          <w:trHeight w:val="48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岁以下</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30-40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40-50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岁以上</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19"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人数（人）</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894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1118</w:t>
            </w:r>
          </w:p>
        </w:tc>
      </w:tr>
      <w:tr>
        <w:trPr>
          <w:trHeight w:val="48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79.96%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16.28%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3.13%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0.63%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r>
    </w:tbl>
    <w:p>
      <w:pPr>
        <w:pStyle w:val="BodyText"/>
        <w:spacing w:line="240" w:lineRule="auto" w:before="87"/>
        <w:ind w:left="653" w:right="0"/>
        <w:jc w:val="left"/>
      </w:pPr>
      <w:r>
        <w:rPr/>
        <w:t>公司执行深圳市社会保险制度，没有需要公司承担费用的离退休职工。</w:t>
      </w:r>
    </w:p>
    <w:p>
      <w:pPr>
        <w:spacing w:after="0" w:line="240" w:lineRule="auto"/>
        <w:jc w:val="left"/>
        <w:sectPr>
          <w:pgSz w:w="11910" w:h="16840"/>
          <w:pgMar w:header="745" w:footer="980" w:top="1060" w:bottom="1160" w:left="9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3751" w:right="3787"/>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26"/>
        <w:ind w:right="0"/>
        <w:jc w:val="left"/>
        <w:rPr>
          <w:b w:val="0"/>
          <w:bCs w:val="0"/>
        </w:rPr>
      </w:pP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573" w:right="0"/>
        <w:jc w:val="left"/>
      </w:pPr>
      <w:r>
        <w:rPr>
          <w:spacing w:val="-5"/>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77" w:lineRule="auto" w:before="0"/>
        <w:ind w:right="9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p>
    <w:p>
      <w:pPr>
        <w:pStyle w:val="BodyText"/>
        <w:spacing w:line="477" w:lineRule="auto" w:before="55"/>
        <w:ind w:right="109" w:firstLine="420"/>
        <w:jc w:val="both"/>
      </w:pPr>
      <w:r>
        <w:rPr>
          <w:rFonts w:ascii="宋体" w:hAnsi="宋体" w:cs="宋体" w:eastAsia="宋体" w:hint="default"/>
        </w:rPr>
        <w:t>1</w:t>
      </w:r>
      <w:r>
        <w:rPr/>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pStyle w:val="BodyText"/>
        <w:spacing w:line="477" w:lineRule="auto" w:before="54"/>
        <w:ind w:right="190" w:firstLine="420"/>
        <w:jc w:val="both"/>
      </w:pPr>
      <w:r>
        <w:rPr>
          <w:rFonts w:ascii="宋体" w:hAnsi="宋体" w:cs="宋体" w:eastAsia="宋体" w:hint="default"/>
          <w:spacing w:val="-1"/>
        </w:rPr>
        <w:t>2</w:t>
      </w:r>
      <w:r>
        <w:rPr>
          <w:spacing w:val="-1"/>
        </w:rPr>
        <w:t>、关于公司与控股股东：公司控股股东严格规范自己的行为，没有超越股东大会直接或间接干预公司的决策和经营活</w:t>
      </w:r>
      <w:r>
        <w:rPr/>
        <w:t> </w:t>
      </w:r>
      <w:r>
        <w:rPr>
          <w:spacing w:val="-2"/>
        </w:rPr>
        <w:t>动。公司拥有独立完整的业务和自主经营能力，在业务、人员、资产、机构、财务上独立于控股股东，公司董事会、监事会</w:t>
      </w:r>
      <w:r>
        <w:rPr>
          <w:spacing w:val="-65"/>
        </w:rPr>
        <w:t> </w:t>
      </w:r>
      <w:r>
        <w:rPr>
          <w:spacing w:val="-65"/>
        </w:rPr>
      </w:r>
      <w:r>
        <w:rPr/>
        <w:t>和内部机构独立运作。</w:t>
      </w:r>
    </w:p>
    <w:p>
      <w:pPr>
        <w:pStyle w:val="BodyText"/>
        <w:spacing w:line="240" w:lineRule="auto" w:before="54"/>
        <w:ind w:left="573" w:right="0"/>
        <w:jc w:val="left"/>
      </w:pPr>
      <w:r>
        <w:rPr>
          <w:rFonts w:ascii="宋体" w:hAnsi="宋体" w:cs="宋体" w:eastAsia="宋体" w:hint="default"/>
        </w:rPr>
        <w:t>3</w:t>
      </w:r>
      <w:r>
        <w:rPr/>
        <w:t>、关于董事和董事会：公司董事会设有董事 </w:t>
      </w:r>
      <w:r>
        <w:rPr>
          <w:rFonts w:ascii="宋体" w:hAnsi="宋体" w:cs="宋体" w:eastAsia="宋体" w:hint="default"/>
        </w:rPr>
        <w:t>9 </w:t>
      </w:r>
      <w:r>
        <w:rPr/>
        <w:t>名，其中独立董事 </w:t>
      </w:r>
      <w:r>
        <w:rPr>
          <w:rFonts w:ascii="宋体" w:hAnsi="宋体" w:cs="宋体" w:eastAsia="宋体" w:hint="default"/>
        </w:rPr>
        <w:t>4</w:t>
      </w:r>
      <w:r>
        <w:rPr>
          <w:rFonts w:ascii="宋体" w:hAnsi="宋体" w:cs="宋体" w:eastAsia="宋体" w:hint="default"/>
          <w:spacing w:val="-58"/>
        </w:rPr>
        <w:t> </w:t>
      </w:r>
      <w:r>
        <w:rPr/>
        <w:t>名。董事会的人数及人员构成符合法律、法规和</w:t>
      </w:r>
    </w:p>
    <w:p>
      <w:pPr>
        <w:spacing w:line="240" w:lineRule="auto" w:before="10"/>
        <w:rPr>
          <w:rFonts w:ascii="宋体" w:hAnsi="宋体" w:cs="宋体" w:eastAsia="宋体" w:hint="default"/>
          <w:sz w:val="17"/>
          <w:szCs w:val="17"/>
        </w:rPr>
      </w:pPr>
    </w:p>
    <w:p>
      <w:pPr>
        <w:pStyle w:val="BodyText"/>
        <w:spacing w:line="477" w:lineRule="auto" w:before="0"/>
        <w:ind w:right="94"/>
        <w:jc w:val="left"/>
      </w:pPr>
      <w:r>
        <w:rPr>
          <w:spacing w:val="-2"/>
        </w:rPr>
        <w:t>《公司章程》的要求。各位董事能够依据《董事会议事规则》、《独立董事工作细则》、《深圳证券交易所创业板上市公司</w:t>
      </w:r>
      <w:r>
        <w:rPr>
          <w:spacing w:val="-69"/>
        </w:rPr>
        <w:t> </w:t>
      </w:r>
      <w:r>
        <w:rPr>
          <w:spacing w:val="-69"/>
        </w:rPr>
      </w:r>
      <w:r>
        <w:rPr>
          <w:spacing w:val="-4"/>
        </w:rPr>
        <w:t>规范运作指引》等开展工作，出席董事会和股东大会，尽责地履行职责和义务。公司董事通过自学熟悉并掌握相关法律法规，</w:t>
      </w:r>
      <w:r>
        <w:rPr>
          <w:spacing w:val="-45"/>
        </w:rPr>
        <w:t> </w:t>
      </w:r>
      <w:r>
        <w:rPr>
          <w:spacing w:val="-45"/>
        </w:rPr>
      </w:r>
      <w:r>
        <w:rPr/>
        <w:t>从根本上保证董事立足于维护公司和全体股东的最大利益，忠实、诚信、勤勉地履行职责，全体董事均能做到以认真负责， 勤勉诚信的态度忠实履行职责。</w:t>
      </w:r>
    </w:p>
    <w:p>
      <w:pPr>
        <w:pStyle w:val="BodyText"/>
        <w:spacing w:line="477" w:lineRule="auto" w:before="54"/>
        <w:ind w:right="193" w:firstLine="420"/>
        <w:jc w:val="both"/>
      </w:pPr>
      <w:r>
        <w:rPr>
          <w:rFonts w:ascii="宋体" w:hAnsi="宋体" w:cs="宋体" w:eastAsia="宋体" w:hint="default"/>
        </w:rPr>
        <w:t>4</w:t>
      </w:r>
      <w:r>
        <w:rPr/>
        <w:t>、关于监事和监事会：公司监事会设有监事 </w:t>
      </w:r>
      <w:r>
        <w:rPr>
          <w:rFonts w:ascii="宋体" w:hAnsi="宋体" w:cs="宋体" w:eastAsia="宋体" w:hint="default"/>
        </w:rPr>
        <w:t>3 </w:t>
      </w:r>
      <w:r>
        <w:rPr/>
        <w:t>名，其中职工监事 </w:t>
      </w:r>
      <w:r>
        <w:rPr>
          <w:rFonts w:ascii="宋体" w:hAnsi="宋体" w:cs="宋体" w:eastAsia="宋体" w:hint="default"/>
        </w:rPr>
        <w:t>1</w:t>
      </w:r>
      <w:r>
        <w:rPr>
          <w:rFonts w:ascii="宋体" w:hAnsi="宋体" w:cs="宋体" w:eastAsia="宋体" w:hint="default"/>
          <w:spacing w:val="-57"/>
        </w:rPr>
        <w:t> </w:t>
      </w:r>
      <w:r>
        <w:rPr/>
        <w:t>名，人数和人员构成符合法律、法规和《公司章 </w:t>
      </w:r>
      <w:r>
        <w:rPr>
          <w:spacing w:val="-2"/>
        </w:rPr>
        <w:t>程》的规定与要求；监事会会议的召集、召开程序，完全按照《监事会议事会议规则》的要求履行，并按照拟定的会议议程</w:t>
      </w:r>
      <w:r>
        <w:rPr>
          <w:spacing w:val="-73"/>
        </w:rPr>
        <w:t> </w:t>
      </w:r>
      <w:r>
        <w:rPr>
          <w:spacing w:val="-73"/>
        </w:rPr>
      </w:r>
      <w:r>
        <w:rPr>
          <w:spacing w:val="-2"/>
        </w:rPr>
        <w:t>进行。公司监事能够认真履行自己的职责，本着对公司和全体股东负责的精神，依法、独立对公司财务及公司董事、经理和</w:t>
      </w:r>
      <w:r>
        <w:rPr>
          <w:spacing w:val="-66"/>
        </w:rPr>
        <w:t> </w:t>
      </w:r>
      <w:r>
        <w:rPr>
          <w:spacing w:val="-66"/>
        </w:rPr>
      </w:r>
      <w:r>
        <w:rPr/>
        <w:t>其他高级管理人员履行职责的合法性、合规性进行监督。</w:t>
      </w:r>
    </w:p>
    <w:p>
      <w:pPr>
        <w:pStyle w:val="BodyText"/>
        <w:spacing w:line="477" w:lineRule="auto" w:before="54"/>
        <w:ind w:right="189" w:firstLine="420"/>
        <w:jc w:val="both"/>
      </w:pPr>
      <w:r>
        <w:rPr>
          <w:rFonts w:ascii="宋体" w:hAnsi="宋体" w:cs="宋体" w:eastAsia="宋体" w:hint="default"/>
          <w:spacing w:val="-1"/>
        </w:rPr>
        <w:t>5</w:t>
      </w:r>
      <w:r>
        <w:rPr>
          <w:spacing w:val="-1"/>
        </w:rPr>
        <w:t>、关于绩效评价与激励约束机制：公司董事会下设的薪酬与考核委员会，负责对公司的董事、监事、高管进行绩效考</w:t>
      </w:r>
      <w:r>
        <w:rPr/>
        <w:t> 核，公司现有的考核及激励约束机制符合公司的发展现状并且在不断完善。</w:t>
      </w:r>
    </w:p>
    <w:p>
      <w:pPr>
        <w:pStyle w:val="BodyText"/>
        <w:spacing w:line="477" w:lineRule="auto" w:before="54"/>
        <w:ind w:right="98" w:firstLine="420"/>
        <w:jc w:val="both"/>
      </w:pPr>
      <w:r>
        <w:rPr>
          <w:rFonts w:ascii="宋体" w:hAnsi="宋体" w:cs="宋体" w:eastAsia="宋体" w:hint="default"/>
        </w:rPr>
        <w:t>6</w:t>
      </w:r>
      <w:r>
        <w:rPr/>
        <w:t>、关于信息披露与透明度：公司严格按照有关法律法规以及《信息披露管理制度》、《投资者管理制度》、《重大信 </w:t>
      </w:r>
      <w:r>
        <w:rPr>
          <w:spacing w:val="-2"/>
        </w:rPr>
        <w:t>息内部报告和保密制度》等要求，真实、准确、及时、公平、完整地披露有关信息；并制定公司董事会秘书负责信息披露工</w:t>
      </w:r>
      <w:r>
        <w:rPr>
          <w:spacing w:val="-71"/>
        </w:rPr>
        <w:t> </w:t>
      </w:r>
      <w:r>
        <w:rPr>
          <w:spacing w:val="-71"/>
        </w:rPr>
      </w:r>
      <w:r>
        <w:rPr>
          <w:spacing w:val="-4"/>
        </w:rPr>
        <w:t>作，协调公司与投资者的关系，接待股东来访，回答投资者咨询，向投资者提供公司已披露的资料；并指定《中国证券报》、</w:t>
      </w:r>
    </w:p>
    <w:p>
      <w:pPr>
        <w:pStyle w:val="BodyText"/>
        <w:spacing w:line="477" w:lineRule="auto" w:before="54"/>
        <w:ind w:right="184"/>
        <w:jc w:val="left"/>
      </w:pPr>
      <w:r>
        <w:rPr/>
        <w:t>《证券时报》和巨潮网（</w:t>
      </w:r>
      <w:hyperlink r:id="rId13">
        <w:r>
          <w:rPr>
            <w:rFonts w:ascii="宋体" w:hAnsi="宋体" w:cs="宋体" w:eastAsia="宋体" w:hint="default"/>
          </w:rPr>
          <w:t>www.cninfo.com.cn</w:t>
        </w:r>
      </w:hyperlink>
      <w:r>
        <w:rPr/>
        <w:t>）为公司信息披露的指定报纸和网站，确保公司所有股东能够以平等的机会获 得信息。</w:t>
      </w:r>
    </w:p>
    <w:p>
      <w:pPr>
        <w:spacing w:after="0" w:line="477"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141" w:firstLine="420"/>
        <w:jc w:val="left"/>
      </w:pPr>
      <w:r>
        <w:rPr>
          <w:rFonts w:ascii="宋体" w:hAnsi="宋体" w:cs="宋体" w:eastAsia="宋体" w:hint="default"/>
          <w:spacing w:val="-2"/>
        </w:rPr>
        <w:t>7</w:t>
      </w:r>
      <w:r>
        <w:rPr>
          <w:spacing w:val="-2"/>
        </w:rPr>
        <w:t>、关于相关利益者：公司充分尊重和维护相关利益者的合法权益，实现股东、员工、社会等各方利益的协调平衡，共</w:t>
      </w:r>
      <w:r>
        <w:rPr/>
        <w:t> 同推动公司持续、健康的发展。</w:t>
      </w:r>
    </w:p>
    <w:p>
      <w:pPr>
        <w:pStyle w:val="BodyText"/>
        <w:spacing w:line="240" w:lineRule="auto" w:before="54"/>
        <w:ind w:left="573" w:right="141"/>
        <w:jc w:val="left"/>
      </w:pPr>
      <w:r>
        <w:rPr/>
        <w:t>公司治理与《公司法》和中国证监会相关规定的要求是否存在差异</w:t>
      </w:r>
    </w:p>
    <w:p>
      <w:pPr>
        <w:spacing w:line="240" w:lineRule="auto" w:before="10"/>
        <w:rPr>
          <w:rFonts w:ascii="宋体" w:hAnsi="宋体" w:cs="宋体" w:eastAsia="宋体" w:hint="default"/>
          <w:sz w:val="17"/>
          <w:szCs w:val="17"/>
        </w:rPr>
      </w:pPr>
    </w:p>
    <w:p>
      <w:pPr>
        <w:pStyle w:val="BodyText"/>
        <w:spacing w:line="240" w:lineRule="auto" w:before="0"/>
        <w:ind w:left="573" w:right="141"/>
        <w:jc w:val="left"/>
      </w:pPr>
      <w:r>
        <w:rPr/>
        <w:t>□ 是 √</w:t>
      </w:r>
      <w:r>
        <w:rPr>
          <w:spacing w:val="3"/>
        </w:rPr>
        <w:t> </w:t>
      </w:r>
      <w:r>
        <w:rPr/>
        <w:t>否</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4"/>
        <w:spacing w:line="240" w:lineRule="auto"/>
        <w:ind w:right="141"/>
        <w:jc w:val="left"/>
        <w:rPr>
          <w:b w:val="0"/>
          <w:bCs w:val="0"/>
        </w:rPr>
      </w:pPr>
      <w:r>
        <w:rPr/>
        <w:t>二、报告期内召开的年度股东大会和临时股东大会的有关情况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宋体" w:hAnsi="宋体" w:cs="宋体" w:eastAsia="宋体"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69"/>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66"/>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b/>
          <w:bCs/>
          <w:sz w:val="25"/>
          <w:szCs w:val="25"/>
        </w:rPr>
      </w:pPr>
    </w:p>
    <w:p>
      <w:pPr>
        <w:pStyle w:val="Heading7"/>
        <w:spacing w:line="240" w:lineRule="auto" w:before="37"/>
        <w:ind w:right="141"/>
        <w:jc w:val="left"/>
        <w:rPr>
          <w:b w:val="0"/>
          <w:bCs w:val="0"/>
        </w:rPr>
      </w:pPr>
      <w:r>
        <w:rPr>
          <w:rFonts w:ascii="宋体" w:hAnsi="宋体" w:cs="宋体" w:eastAsia="宋体"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8"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2"/>
        <w:rPr>
          <w:rFonts w:ascii="宋体" w:hAnsi="宋体" w:cs="宋体" w:eastAsia="宋体" w:hint="default"/>
          <w:b/>
          <w:bCs/>
          <w:sz w:val="23"/>
          <w:szCs w:val="23"/>
        </w:rPr>
      </w:pPr>
    </w:p>
    <w:p>
      <w:pPr>
        <w:pStyle w:val="Heading4"/>
        <w:spacing w:line="240" w:lineRule="auto" w:before="26"/>
        <w:ind w:right="141"/>
        <w:jc w:val="left"/>
        <w:rPr>
          <w:b w:val="0"/>
          <w:bCs w:val="0"/>
        </w:rPr>
      </w:pPr>
      <w:r>
        <w:rPr/>
        <w:t>三、报告期董事会召开情况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7"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102"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866"/>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66"/>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66"/>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8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3"/>
        <w:rPr>
          <w:rFonts w:ascii="宋体" w:hAnsi="宋体" w:cs="宋体" w:eastAsia="宋体" w:hint="default"/>
          <w:b/>
          <w:bCs/>
          <w:sz w:val="23"/>
          <w:szCs w:val="23"/>
        </w:rPr>
      </w:pPr>
    </w:p>
    <w:p>
      <w:pPr>
        <w:pStyle w:val="Heading4"/>
        <w:spacing w:line="240" w:lineRule="auto" w:before="26"/>
        <w:ind w:right="0"/>
        <w:jc w:val="left"/>
        <w:rPr>
          <w:b w:val="0"/>
          <w:bCs w:val="0"/>
        </w:rPr>
      </w:pPr>
      <w:r>
        <w:rPr/>
        <w:t>四、年度报告重大差错责任追究制度的建立与执行情况</w:t>
      </w:r>
      <w:r>
        <w:rPr>
          <w:b w:val="0"/>
          <w:bCs w:val="0"/>
        </w:rPr>
      </w:r>
    </w:p>
    <w:p>
      <w:pPr>
        <w:spacing w:line="240" w:lineRule="auto" w:before="0"/>
        <w:rPr>
          <w:rFonts w:ascii="宋体" w:hAnsi="宋体" w:cs="宋体" w:eastAsia="宋体" w:hint="default"/>
          <w:b/>
          <w:bCs/>
          <w:sz w:val="24"/>
          <w:szCs w:val="24"/>
        </w:rPr>
      </w:pPr>
    </w:p>
    <w:p>
      <w:pPr>
        <w:pStyle w:val="BodyText"/>
        <w:spacing w:line="477" w:lineRule="auto" w:before="188"/>
        <w:ind w:right="98" w:firstLine="420"/>
        <w:jc w:val="left"/>
      </w:pPr>
      <w:r>
        <w:rPr/>
        <w:t>公司严格按照《公司法》、《上市公司信息披露管理办法》、《深圳证券交易所创业板股票上市交易规则》等相关法 </w:t>
      </w:r>
      <w:r>
        <w:rPr>
          <w:spacing w:val="-2"/>
        </w:rPr>
        <w:t>律法规的规定，健全公司信息披露管理制度，提高规范运作水平，增强信息披露的真实性、准确性、完整性和及时性。公司</w:t>
      </w:r>
      <w:r>
        <w:rPr>
          <w:spacing w:val="-70"/>
        </w:rPr>
        <w:t> </w:t>
      </w:r>
      <w:r>
        <w:rPr>
          <w:spacing w:val="-70"/>
        </w:rPr>
      </w:r>
      <w:r>
        <w:rPr/>
        <w:t>经</w:t>
      </w:r>
      <w:r>
        <w:rPr>
          <w:spacing w:val="2"/>
        </w:rPr>
        <w:t> </w:t>
      </w:r>
      <w:r>
        <w:rPr>
          <w:rFonts w:ascii="宋体" w:hAnsi="宋体" w:cs="宋体" w:eastAsia="宋体" w:hint="default"/>
        </w:rPr>
        <w:t>2010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15</w:t>
      </w:r>
      <w:r>
        <w:rPr>
          <w:rFonts w:ascii="宋体" w:hAnsi="宋体" w:cs="宋体" w:eastAsia="宋体" w:hint="default"/>
          <w:spacing w:val="-44"/>
        </w:rPr>
        <w:t> </w:t>
      </w:r>
      <w:r>
        <w:rPr>
          <w:spacing w:val="-4"/>
        </w:rPr>
        <w:t>日第一届董事会第十二次会议审议通过了《关于制定〈年报信息披露重大差错责任追究制度〉的议案》，</w:t>
      </w:r>
      <w:r>
        <w:rPr/>
        <w:t> </w:t>
      </w:r>
      <w:r>
        <w:rPr>
          <w:spacing w:val="-2"/>
        </w:rPr>
        <w:t>制定了《年报信息披露重大差错责任追究制度》，该制度的建立，完善公司内部控制，加大了对年报信息披露责任人的问责</w:t>
      </w:r>
      <w:r>
        <w:rPr>
          <w:spacing w:val="-67"/>
        </w:rPr>
        <w:t> </w:t>
      </w:r>
      <w:r>
        <w:rPr>
          <w:spacing w:val="-67"/>
        </w:rPr>
      </w:r>
      <w:r>
        <w:rPr>
          <w:spacing w:val="-2"/>
        </w:rPr>
        <w:t>力度，提高年报信息披露的质量和透明度，增强年报信息披露的真实性、准确性、完整性和及时性。报告期内，公司未发生</w:t>
      </w:r>
      <w:r>
        <w:rPr>
          <w:spacing w:val="-68"/>
        </w:rPr>
        <w:t> </w:t>
      </w:r>
      <w:r>
        <w:rPr>
          <w:spacing w:val="-68"/>
        </w:rPr>
      </w:r>
      <w:r>
        <w:rPr/>
        <w:t>重大会计差错更正、重大遗漏信息补充以及业绩预告修正等情况。</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五、监事会工作情况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6"/>
        <w:ind w:left="573" w:right="0"/>
        <w:jc w:val="left"/>
      </w:pPr>
      <w:r>
        <w:rPr/>
        <w:t>监事会在报告期内的监督活动是否发现公司存在风险</w:t>
      </w:r>
    </w:p>
    <w:p>
      <w:pPr>
        <w:spacing w:line="240" w:lineRule="auto" w:before="12"/>
        <w:rPr>
          <w:rFonts w:ascii="宋体" w:hAnsi="宋体" w:cs="宋体" w:eastAsia="宋体" w:hint="default"/>
          <w:sz w:val="20"/>
          <w:szCs w:val="20"/>
        </w:rPr>
      </w:pPr>
    </w:p>
    <w:p>
      <w:pPr>
        <w:pStyle w:val="BodyText"/>
        <w:spacing w:line="516" w:lineRule="auto" w:before="0"/>
        <w:ind w:left="573" w:right="5973"/>
        <w:jc w:val="left"/>
      </w:pPr>
      <w:r>
        <w:rPr/>
        <w:t>□ 是 √</w:t>
      </w:r>
      <w:r>
        <w:rPr>
          <w:spacing w:val="3"/>
        </w:rPr>
        <w:t> </w:t>
      </w:r>
      <w:r>
        <w:rPr/>
        <w:t>否</w:t>
      </w:r>
      <w:r>
        <w:rPr/>
        <w:t> 公司监事会对报告期内的监督事项无异议。</w:t>
      </w:r>
    </w:p>
    <w:p>
      <w:pPr>
        <w:spacing w:after="0" w:line="516"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2420"/>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26"/>
        <w:ind w:right="141"/>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5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56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[2013]003765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240" w:lineRule="auto" w:before="5"/>
        <w:rPr>
          <w:rFonts w:ascii="宋体" w:hAnsi="宋体" w:cs="宋体" w:eastAsia="宋体" w:hint="default"/>
          <w:b/>
          <w:bCs/>
          <w:sz w:val="6"/>
          <w:szCs w:val="6"/>
        </w:rPr>
      </w:pPr>
    </w:p>
    <w:p>
      <w:pPr>
        <w:pStyle w:val="BodyText"/>
        <w:spacing w:line="240" w:lineRule="auto"/>
        <w:ind w:left="2421" w:right="2421"/>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12"/>
        <w:rPr>
          <w:rFonts w:ascii="宋体" w:hAnsi="宋体" w:cs="宋体" w:eastAsia="宋体" w:hint="default"/>
          <w:b/>
          <w:bCs/>
          <w:sz w:val="13"/>
          <w:szCs w:val="13"/>
        </w:rPr>
      </w:pPr>
    </w:p>
    <w:p>
      <w:pPr>
        <w:pStyle w:val="Heading5"/>
        <w:spacing w:line="240" w:lineRule="auto" w:before="36"/>
        <w:ind w:left="0" w:right="148"/>
        <w:jc w:val="right"/>
        <w:rPr>
          <w:b w:val="0"/>
          <w:bCs w:val="0"/>
        </w:rPr>
      </w:pPr>
      <w:r>
        <w:rPr/>
        <w:t>大华审字</w:t>
      </w:r>
      <w:r>
        <w:rPr>
          <w:rFonts w:ascii="宋体" w:hAnsi="宋体" w:cs="宋体" w:eastAsia="宋体" w:hint="default"/>
        </w:rPr>
        <w:t>[2013]003765</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Heading5"/>
        <w:spacing w:line="240" w:lineRule="auto" w:before="36"/>
        <w:ind w:right="141"/>
        <w:jc w:val="left"/>
        <w:rPr>
          <w:b w:val="0"/>
          <w:bCs w:val="0"/>
        </w:rPr>
      </w:pPr>
      <w:r>
        <w:rPr/>
        <w:t>深圳市新国都技术股份有限公司全体股东：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6"/>
        <w:spacing w:line="386" w:lineRule="auto" w:before="138"/>
        <w:ind w:right="146" w:firstLine="559"/>
        <w:jc w:val="both"/>
      </w:pPr>
      <w:r>
        <w:rPr/>
        <w:t>我们审计了后附的深圳市新国都技术股份有限公司</w:t>
      </w:r>
      <w:r>
        <w:rPr>
          <w:rFonts w:ascii="Times New Roman" w:hAnsi="Times New Roman" w:cs="Times New Roman" w:eastAsia="Times New Roman" w:hint="default"/>
        </w:rPr>
        <w:t>(</w:t>
      </w:r>
      <w:r>
        <w:rPr/>
        <w:t>以下简称新国都技术公司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2012</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w:t>
      </w:r>
      <w:r>
        <w:rPr>
          <w:spacing w:val="-35"/>
        </w:rPr>
        <w:t> </w:t>
      </w:r>
      <w:r>
        <w:rPr>
          <w:spacing w:val="-35"/>
        </w:rPr>
      </w:r>
      <w:r>
        <w:rPr/>
        <w:t>并及母公司股东权益变动表，以及财务报表附注。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712" w:right="141"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编制和公允列报财务报表是新国都技术公司管理层的责任，这种责任包括：（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）按照企业会计准则</w:t>
      </w:r>
    </w:p>
    <w:p>
      <w:pPr>
        <w:pStyle w:val="Heading6"/>
        <w:spacing w:line="386" w:lineRule="auto" w:before="15"/>
        <w:ind w:right="141"/>
        <w:jc w:val="left"/>
      </w:pPr>
      <w:r>
        <w:rPr/>
        <w:t>的规定编制财务报表，并使其实现公允反映；（</w:t>
      </w:r>
      <w:r>
        <w:rPr>
          <w:rFonts w:ascii="Times New Roman" w:hAnsi="Times New Roman" w:cs="Times New Roman" w:eastAsia="Times New Roman" w:hint="default"/>
        </w:rPr>
        <w:t>2</w:t>
      </w:r>
      <w:r>
        <w:rPr/>
        <w:t>）设计、执行和维护必要的内部控制，以使财务报表不</w:t>
      </w:r>
      <w:r>
        <w:rPr>
          <w:spacing w:val="-23"/>
        </w:rPr>
        <w:t> </w:t>
      </w:r>
      <w:r>
        <w:rPr>
          <w:spacing w:val="-23"/>
        </w:rPr>
      </w:r>
      <w:r>
        <w:rPr/>
        <w:t>存在由于舞弊或错误导致的重大错报。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712" w:right="141"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Heading6"/>
        <w:spacing w:line="408" w:lineRule="auto"/>
        <w:ind w:right="141"/>
        <w:jc w:val="left"/>
      </w:pPr>
      <w:r>
        <w:rPr>
          <w:spacing w:val="-2"/>
        </w:rPr>
        <w:t>则的规定执行了审计工作。中国注册会计师审计准则要求我们遵守职业道德守则，计划和执行审计工作以</w:t>
      </w:r>
      <w:r>
        <w:rPr>
          <w:spacing w:val="-43"/>
        </w:rPr>
        <w:t> </w:t>
      </w:r>
      <w:r>
        <w:rPr>
          <w:spacing w:val="-43"/>
        </w:rPr>
      </w:r>
      <w:r>
        <w:rPr/>
        <w:t>对财务报表是否不存在重大错报获取合理保证。</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408" w:lineRule="auto" w:before="175"/>
        <w:ind w:right="146" w:firstLine="559"/>
        <w:jc w:val="both"/>
      </w:pPr>
      <w:r>
        <w:rPr/>
        <w:t>审计工作涉及实施审计程序，以获取有关财务报表金额和披露的审计证据。选择的审计程序取决于</w:t>
      </w:r>
      <w:r>
        <w:rPr>
          <w:w w:val="100"/>
        </w:rPr>
        <w:t> </w:t>
      </w:r>
      <w:r>
        <w:rPr>
          <w:spacing w:val="-2"/>
        </w:rPr>
        <w:t>注册会计师的判断，包括对由于舞弊或错误导致的财务报表重大错报风险的评估。在进行风险评估时，注</w:t>
      </w:r>
      <w:r>
        <w:rPr>
          <w:spacing w:val="-43"/>
        </w:rPr>
        <w:t> </w:t>
      </w:r>
      <w:r>
        <w:rPr>
          <w:spacing w:val="-43"/>
        </w:rPr>
      </w:r>
      <w:r>
        <w:rPr>
          <w:spacing w:val="-2"/>
        </w:rPr>
        <w:t>册会计师考虑与财务报表编制和公允列报相关的内部控制，以设计恰当的审计程序，但目的并非对内部控</w:t>
      </w:r>
      <w:r>
        <w:rPr>
          <w:spacing w:val="-44"/>
        </w:rPr>
        <w:t> </w:t>
      </w:r>
      <w:r>
        <w:rPr>
          <w:spacing w:val="-44"/>
        </w:rPr>
      </w:r>
      <w:r>
        <w:rPr>
          <w:spacing w:val="-2"/>
        </w:rPr>
        <w:t>制的有效性发表意见。审计工作还包括评价管理层选用会计政策的恰当性和作出会计估计的合理性，以及</w:t>
      </w:r>
      <w:r>
        <w:rPr>
          <w:spacing w:val="-43"/>
        </w:rPr>
        <w:t> </w:t>
      </w:r>
      <w:r>
        <w:rPr>
          <w:spacing w:val="-43"/>
        </w:rPr>
      </w:r>
      <w:r>
        <w:rPr/>
        <w:t>评价财务报表的总体列报。</w:t>
      </w:r>
    </w:p>
    <w:p>
      <w:pPr>
        <w:pStyle w:val="Heading6"/>
        <w:spacing w:line="240" w:lineRule="auto"/>
        <w:ind w:left="712" w:right="141"/>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410" w:lineRule="auto" w:before="137"/>
        <w:ind w:left="712" w:right="141" w:firstLine="2"/>
        <w:jc w:val="left"/>
      </w:pPr>
      <w:r>
        <w:rPr>
          <w:rFonts w:ascii="宋体" w:hAnsi="宋体" w:cs="宋体" w:eastAsia="宋体" w:hint="default"/>
          <w:b/>
          <w:bCs/>
        </w:rPr>
        <w:t>（三）审计意见</w:t>
      </w:r>
      <w:r>
        <w:rPr>
          <w:rFonts w:ascii="宋体" w:hAnsi="宋体" w:cs="宋体" w:eastAsia="宋体" w:hint="default"/>
          <w:b/>
          <w:bCs/>
          <w:w w:val="100"/>
        </w:rPr>
        <w:t> </w:t>
      </w:r>
      <w:r>
        <w:rPr/>
        <w:t>我们认为，新国都技术公司财务报表在所有重大方面按照企业会计准则的规定编制，公允反映了新</w:t>
      </w:r>
    </w:p>
    <w:p>
      <w:pPr>
        <w:pStyle w:val="Heading6"/>
        <w:spacing w:line="386" w:lineRule="auto" w:before="44"/>
        <w:ind w:right="141"/>
        <w:jc w:val="left"/>
      </w:pPr>
      <w:r>
        <w:rPr/>
        <w:t>国都技术公司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w:t>
      </w:r>
      <w:r>
        <w:rPr>
          <w:spacing w:val="65"/>
        </w:rPr>
        <w:t> </w:t>
      </w:r>
      <w:r>
        <w:rPr>
          <w:spacing w:val="65"/>
        </w:rPr>
      </w:r>
      <w:r>
        <w:rPr/>
        <w:t>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862" w:type="dxa"/>
        <w:tblLayout w:type="fixed"/>
        <w:tblCellMar>
          <w:top w:w="0" w:type="dxa"/>
          <w:left w:w="0" w:type="dxa"/>
          <w:bottom w:w="0" w:type="dxa"/>
          <w:right w:w="0" w:type="dxa"/>
        </w:tblCellMar>
        <w:tblLook w:val="01E0"/>
      </w:tblPr>
      <w:tblGrid>
        <w:gridCol w:w="3866"/>
        <w:gridCol w:w="3097"/>
      </w:tblGrid>
      <w:tr>
        <w:trPr>
          <w:trHeight w:val="756"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3097"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中国注册会计师：刘高科</w:t>
            </w:r>
          </w:p>
        </w:tc>
      </w:tr>
      <w:tr>
        <w:trPr>
          <w:trHeight w:val="966"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1"/>
              <w:ind w:left="1207" w:right="0"/>
              <w:jc w:val="left"/>
              <w:rPr>
                <w:rFonts w:ascii="宋体" w:hAnsi="宋体" w:cs="宋体" w:eastAsia="宋体" w:hint="default"/>
                <w:sz w:val="21"/>
                <w:szCs w:val="21"/>
              </w:rPr>
            </w:pPr>
            <w:r>
              <w:rPr>
                <w:rFonts w:ascii="宋体" w:hAnsi="宋体" w:cs="宋体" w:eastAsia="宋体" w:hint="default"/>
                <w:spacing w:val="-23"/>
                <w:sz w:val="21"/>
                <w:szCs w:val="21"/>
              </w:rPr>
              <w:t>中国</w:t>
            </w:r>
            <w:r>
              <w:rPr>
                <w:rFonts w:ascii="Times New Roman" w:hAnsi="Times New Roman" w:cs="Times New Roman" w:eastAsia="Times New Roman" w:hint="default"/>
                <w:b/>
                <w:bCs/>
                <w:spacing w:val="-23"/>
                <w:sz w:val="21"/>
                <w:szCs w:val="21"/>
              </w:rPr>
              <w:t>·</w:t>
            </w:r>
            <w:r>
              <w:rPr>
                <w:rFonts w:ascii="宋体" w:hAnsi="宋体" w:cs="宋体" w:eastAsia="宋体" w:hint="default"/>
                <w:spacing w:val="-23"/>
                <w:sz w:val="21"/>
                <w:szCs w:val="21"/>
              </w:rPr>
              <w:t>北京</w:t>
            </w:r>
          </w:p>
        </w:tc>
        <w:tc>
          <w:tcPr>
            <w:tcW w:w="3097" w:type="dxa"/>
            <w:tcBorders>
              <w:top w:val="nil" w:sz="6" w:space="0" w:color="auto"/>
              <w:left w:val="nil" w:sz="6" w:space="0" w:color="auto"/>
              <w:bottom w:val="nil" w:sz="6" w:space="0" w:color="auto"/>
              <w:right w:val="nil" w:sz="6" w:space="0" w:color="auto"/>
            </w:tcBorders>
          </w:tcPr>
          <w:p>
            <w:pPr/>
          </w:p>
        </w:tc>
      </w:tr>
      <w:tr>
        <w:trPr>
          <w:trHeight w:val="804" w:hRule="exact"/>
        </w:trPr>
        <w:tc>
          <w:tcPr>
            <w:tcW w:w="3866" w:type="dxa"/>
            <w:tcBorders>
              <w:top w:val="nil" w:sz="6" w:space="0" w:color="auto"/>
              <w:left w:val="nil" w:sz="6" w:space="0" w:color="auto"/>
              <w:bottom w:val="nil" w:sz="6" w:space="0" w:color="auto"/>
              <w:right w:val="nil" w:sz="6" w:space="0" w:color="auto"/>
            </w:tcBorders>
          </w:tcPr>
          <w:p>
            <w:pP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8"/>
              <w:jc w:val="right"/>
              <w:rPr>
                <w:rFonts w:ascii="宋体" w:hAnsi="宋体" w:cs="宋体" w:eastAsia="宋体" w:hint="default"/>
                <w:sz w:val="21"/>
                <w:szCs w:val="21"/>
              </w:rPr>
            </w:pPr>
            <w:r>
              <w:rPr>
                <w:rFonts w:ascii="宋体" w:hAnsi="宋体" w:cs="宋体" w:eastAsia="宋体" w:hint="default"/>
                <w:spacing w:val="-2"/>
                <w:sz w:val="21"/>
                <w:szCs w:val="21"/>
              </w:rPr>
              <w:t>中国注册会计师：高德惠</w:t>
            </w:r>
          </w:p>
        </w:tc>
      </w:tr>
      <w:tr>
        <w:trPr>
          <w:trHeight w:val="594" w:hRule="exact"/>
        </w:trPr>
        <w:tc>
          <w:tcPr>
            <w:tcW w:w="3866" w:type="dxa"/>
            <w:tcBorders>
              <w:top w:val="nil" w:sz="6" w:space="0" w:color="auto"/>
              <w:left w:val="nil" w:sz="6" w:space="0" w:color="auto"/>
              <w:bottom w:val="nil" w:sz="6" w:space="0" w:color="auto"/>
              <w:right w:val="nil" w:sz="6" w:space="0" w:color="auto"/>
            </w:tcBorders>
          </w:tcPr>
          <w:p>
            <w:pP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62" w:right="0"/>
              <w:jc w:val="left"/>
              <w:rPr>
                <w:rFonts w:ascii="宋体" w:hAnsi="宋体" w:cs="宋体" w:eastAsia="宋体" w:hint="default"/>
                <w:sz w:val="21"/>
                <w:szCs w:val="21"/>
              </w:rPr>
            </w:pPr>
            <w:r>
              <w:rPr>
                <w:rFonts w:ascii="宋体" w:hAnsi="宋体" w:cs="宋体" w:eastAsia="宋体" w:hint="default"/>
                <w:sz w:val="21"/>
                <w:szCs w:val="21"/>
              </w:rPr>
              <w:t>二〇一三年三月二十八日</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before="26"/>
        <w:ind w:right="141"/>
        <w:jc w:val="left"/>
        <w:rPr>
          <w:b w:val="0"/>
          <w:bCs w:val="0"/>
        </w:rPr>
      </w:pPr>
      <w:r>
        <w:rPr/>
        <w:t>二、财务报表</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141"/>
        <w:jc w:val="left"/>
      </w:pPr>
      <w:r>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编制单位：深圳市新国都技术股份有限公司</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701,383,709.54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754,915,045.66</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60,867,821.00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43,390,886.80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196,696,956.51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143,079,478.65</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1,823,562.29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2,266,379.19</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1,811,016.06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1,978,055.64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9,158,420.99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7,073,950.52</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138,234,413.14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105,999,252.56</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23,319,853.56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1,133,295,753.09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1,058,703,049.02</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7,006,212.95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3,254,181.45</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21,624,244.20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11,758,942.97</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17,512,551.40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33,684,575.52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32,587,865.98</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4,174,930.19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2,640,774.10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7,583,995.07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4,390,587.86</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91,586,509.33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54,632,352.36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1,224,882,262.42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1,113,335,401.38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65,310,843.82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41,511,155.04</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53,356,142.23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35,820,149.51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67,448,158.50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63,682,289.74</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15,987,908.63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12,050,991.23</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23,279,145.06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11,465,194.19</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3,290,478.55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5,024,229.19</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228,672,676.79</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169,554,008.90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5,750,000.00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238,122,676.79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175,304,008.90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641,920,393.65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641,920,393.65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12,716,911.13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10,796,086.08</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214,840,028.55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168,030,408.69</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983,777,333.33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935,046,888.42</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2,982,252.30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2,984,504.06</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986,759,585.63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938,031,392.48</w:t>
            </w: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1"/>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1,224,882,262.42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1,113,335,401.38</w:t>
            </w:r>
          </w:p>
        </w:tc>
      </w:tr>
    </w:tbl>
    <w:p>
      <w:pPr>
        <w:spacing w:line="240" w:lineRule="auto" w:before="9"/>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编制单位：深圳市新国都技术股份有限公司</w:t>
      </w:r>
    </w:p>
    <w:p>
      <w:pPr>
        <w:spacing w:line="240" w:lineRule="auto" w:before="12"/>
        <w:rPr>
          <w:rFonts w:ascii="宋体" w:hAnsi="宋体" w:cs="宋体" w:eastAsia="宋体" w:hint="default"/>
          <w:sz w:val="20"/>
          <w:szCs w:val="20"/>
        </w:rPr>
      </w:pPr>
    </w:p>
    <w:p>
      <w:pPr>
        <w:pStyle w:val="BodyText"/>
        <w:spacing w:line="240" w:lineRule="auto" w:before="0"/>
        <w:ind w:left="0" w:right="151"/>
        <w:jc w:val="right"/>
      </w:pPr>
      <w:r>
        <w:rPr/>
        <w:t>单位：元</w:t>
      </w:r>
    </w:p>
    <w:p>
      <w:pPr>
        <w:spacing w:line="240" w:lineRule="auto" w:before="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465,943,899.22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636,014,337.00</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60,867,821.00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43,390,886.80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196,154,629.51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140,900,976.15</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1,697,162.29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2,254,891.19</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1,060,543.46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1,978,055.64</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8,261,057.23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9,610,764.56</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163,965,220.80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120,511,950.85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23,319,853.56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921,270,187.07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954,661,862.19</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396,066,212.95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156,254,181.45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19,777,535.79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9,959,422.30</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1,627,812.01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462,524.51</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4,174,930.19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2,640,774.10</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3,398,649.90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2,029,868.67</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425,045,140.84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171,346,771.03</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1,346,315,327.91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1,126,008,633.22</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65,310,843.82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41,511,155.04</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233,403,861.62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159,548,516.00</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67,448,158.50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63,682,289.74</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11,640,799.48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9,518,393.85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6,834,617.92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942,874.89</w:t>
            </w:r>
          </w:p>
        </w:tc>
      </w:tr>
      <w:tr>
        <w:trPr>
          <w:trHeight w:val="56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104,902,461.90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4,709,069.51</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489,540,743.24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279,912,299.03</w:t>
            </w:r>
          </w:p>
        </w:tc>
      </w:tr>
      <w:tr>
        <w:trPr>
          <w:trHeight w:val="56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496,840,743.24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284,312,299.03</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641,920,393.65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641,920,393.65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12,716,911.13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10,796,086.08</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80,537,279.89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74,679,854.46</w:t>
            </w:r>
          </w:p>
        </w:tc>
      </w:tr>
      <w:tr>
        <w:trPr>
          <w:trHeight w:val="56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849,474,584.67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841,696,334.19</w:t>
            </w:r>
          </w:p>
        </w:tc>
      </w:tr>
      <w:tr>
        <w:trPr>
          <w:trHeight w:val="102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1,346,315,327.91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1,126,008,633.22</w:t>
            </w:r>
          </w:p>
        </w:tc>
      </w:tr>
    </w:tbl>
    <w:p>
      <w:pPr>
        <w:spacing w:line="240" w:lineRule="auto" w:before="9"/>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编制单位：深圳市新国都技术股份有限公司</w:t>
      </w:r>
    </w:p>
    <w:p>
      <w:pPr>
        <w:spacing w:line="240" w:lineRule="auto" w:before="12"/>
        <w:rPr>
          <w:rFonts w:ascii="宋体" w:hAnsi="宋体" w:cs="宋体" w:eastAsia="宋体" w:hint="default"/>
          <w:sz w:val="20"/>
          <w:szCs w:val="20"/>
        </w:rPr>
      </w:pPr>
    </w:p>
    <w:p>
      <w:pPr>
        <w:pStyle w:val="BodyText"/>
        <w:spacing w:line="240" w:lineRule="auto" w:before="0"/>
        <w:ind w:left="0" w:right="151"/>
        <w:jc w:val="right"/>
      </w:pPr>
      <w:r>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495,075,044.67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341,596,897.96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300"/>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495,075,044.67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341,596,897.96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457,438,852.94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283,249,942.26</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294,528,706.61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160,292,089.18</w:t>
            </w: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6,452,021.70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5,479,077.60</w:t>
            </w:r>
          </w:p>
        </w:tc>
      </w:tr>
      <w:tr>
        <w:trPr>
          <w:trHeight w:val="56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75,653,382.18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59,969,577.45</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93,999,504.84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66,023,224.05</w:t>
            </w: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-19,561,957.96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-13,470,870.12</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6,367,195.57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4,956,844.19</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22" w:right="5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23"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38,266,973.23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58,942,921.95</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30,343,854.77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25,129,546.26</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499,587.72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93,831.67</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23,972.02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68,111,240.28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83,978,636.54</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7,953,047.13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8,252,249.68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60,158,193.15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75,726,386.86</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60,160,444.91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75,741,882.80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-15,495.94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0.66</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60,158,193.15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75,726,386.86</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60,160,444.91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75,741,882.80</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-15,495.94</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ind w:right="141"/>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BodyText"/>
        <w:tabs>
          <w:tab w:pos="3667" w:val="left" w:leader="none"/>
          <w:tab w:pos="7899" w:val="left" w:leader="none"/>
        </w:tabs>
        <w:spacing w:line="240" w:lineRule="auto" w:before="0"/>
        <w:ind w:right="141"/>
        <w:jc w:val="left"/>
      </w:pPr>
      <w:r>
        <w:rPr/>
        <w:t>法定代表人：刘祥</w:t>
        <w:tab/>
      </w:r>
      <w:r>
        <w:rPr>
          <w:spacing w:val="-1"/>
        </w:rPr>
        <w:t>主管会计工作负责人：赵辉</w:t>
        <w:tab/>
      </w:r>
      <w:r>
        <w:rPr/>
        <w:t>会计机构负责人：赵辉</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编制单位：深圳市新国都技术股份有限公司</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493,933,319.91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339,231,718.62</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409,214,224.92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223,696,714.28</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3,809,670.43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3,837,143.83</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64,284,696.95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49,184,049.79</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57,939,875.99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44,277,797.73</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-13,508,969.29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-13,082,801.31</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6,226,788.18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4,931,466.08</w:t>
            </w:r>
          </w:p>
        </w:tc>
      </w:tr>
      <w:tr>
        <w:trPr>
          <w:trHeight w:val="102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35,630,781.50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102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630,781.50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1,597,814.23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26,983,314.47</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17,180,182.57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15,035,106.15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533,057.77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93,831.67</w:t>
            </w:r>
          </w:p>
        </w:tc>
      </w:tr>
      <w:tr>
        <w:trPr>
          <w:trHeight w:val="56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57,442.07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18,244,939.03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41,924,588.95</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-963,311.45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4,170,741.72</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19,208,250.48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37,753,847.23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93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93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19,208,250.48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37,753,847.23</w:t>
            </w:r>
          </w:p>
        </w:tc>
      </w:tr>
    </w:tbl>
    <w:p>
      <w:pPr>
        <w:spacing w:line="240" w:lineRule="auto" w:before="3"/>
        <w:rPr>
          <w:rFonts w:ascii="宋体" w:hAnsi="宋体" w:cs="宋体" w:eastAsia="宋体" w:hint="default"/>
          <w:sz w:val="26"/>
          <w:szCs w:val="26"/>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编制单位：深圳市新国都技术股份有限公司</w:t>
      </w:r>
    </w:p>
    <w:p>
      <w:pPr>
        <w:spacing w:line="240" w:lineRule="auto" w:before="9"/>
        <w:rPr>
          <w:rFonts w:ascii="宋体" w:hAnsi="宋体" w:cs="宋体" w:eastAsia="宋体" w:hint="default"/>
          <w:sz w:val="20"/>
          <w:szCs w:val="20"/>
        </w:rPr>
      </w:pPr>
    </w:p>
    <w:p>
      <w:pPr>
        <w:pStyle w:val="BodyText"/>
        <w:spacing w:line="240" w:lineRule="auto" w:before="0"/>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48" w:right="0"/>
              <w:jc w:val="left"/>
              <w:rPr>
                <w:rFonts w:ascii="Times New Roman" w:hAnsi="Times New Roman" w:cs="Times New Roman" w:eastAsia="Times New Roman" w:hint="default"/>
                <w:sz w:val="18"/>
                <w:szCs w:val="18"/>
              </w:rPr>
            </w:pPr>
            <w:r>
              <w:rPr>
                <w:rFonts w:ascii="Times New Roman"/>
                <w:sz w:val="18"/>
              </w:rPr>
              <w:t>510,402,728.69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372,860,834.05</w:t>
            </w: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25,890,004.77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23,051,982.63</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25,220,579.44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9,453,655.55</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561,513,312.90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405,366,472.23</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357,546,435.19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202,948,626.72</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83,275,839.27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45,053,509.37</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63,734,651.28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45,050,264.88</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95,682,221.60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73,524,811.48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600,239,147.34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366,577,212.45</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-38,725,834.44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38,789,259.78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24,040,549.69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23,398,152.60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3,121,250.00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27,161,799.69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23,398,152.60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-21,921,799.69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-21,498,152.60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13,159,022.58</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73,379,942.10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18,168,720.08</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73,379,942.10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34,327,742.66</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13,159,022.58</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12,959,043.66</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59,628,019.36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12,453,349.10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71,058,019.36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38,571,415.34</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2,321,922.74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-4,243,672.68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-58,328,884.62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13,047,434.50</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742,461,696.56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729,414,262.06</w:t>
            </w: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684,132,811.94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742,461,696.56</w:t>
            </w:r>
          </w:p>
        </w:tc>
      </w:tr>
    </w:tbl>
    <w:p>
      <w:pPr>
        <w:spacing w:line="240" w:lineRule="auto" w:before="9"/>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编制单位：深圳市新国都技术股份有限公司</w:t>
      </w:r>
    </w:p>
    <w:p>
      <w:pPr>
        <w:spacing w:line="240" w:lineRule="auto" w:before="12"/>
        <w:rPr>
          <w:rFonts w:ascii="宋体" w:hAnsi="宋体" w:cs="宋体" w:eastAsia="宋体" w:hint="default"/>
          <w:sz w:val="20"/>
          <w:szCs w:val="20"/>
        </w:rPr>
      </w:pPr>
    </w:p>
    <w:p>
      <w:pPr>
        <w:pStyle w:val="BodyText"/>
        <w:spacing w:line="240" w:lineRule="auto" w:before="0"/>
        <w:ind w:left="0" w:right="151"/>
        <w:jc w:val="right"/>
      </w:pPr>
      <w:r>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7"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504,589,057.80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371,699,111.21</w:t>
            </w:r>
          </w:p>
        </w:tc>
      </w:tr>
      <w:tr>
        <w:trPr>
          <w:trHeight w:val="557"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12,889,382.57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13,074,042.52</w:t>
            </w:r>
          </w:p>
        </w:tc>
      </w:tr>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123,381,326.20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6,832,796.91</w:t>
            </w:r>
          </w:p>
        </w:tc>
      </w:tr>
      <w:tr>
        <w:trPr>
          <w:trHeight w:val="557"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640,859,766.57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391,605,950.64</w:t>
            </w:r>
          </w:p>
        </w:tc>
      </w:tr>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428,293,435.19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202,948,626.72</w:t>
            </w:r>
          </w:p>
        </w:tc>
      </w:tr>
      <w:tr>
        <w:trPr>
          <w:trHeight w:val="102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65,464,216.67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35,850,065.31</w:t>
            </w:r>
          </w:p>
        </w:tc>
      </w:tr>
      <w:tr>
        <w:trPr>
          <w:trHeight w:val="5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33,858,508.36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32,134,625.71</w:t>
            </w:r>
          </w:p>
        </w:tc>
      </w:tr>
      <w:tr>
        <w:trPr>
          <w:trHeight w:val="557"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80,248,121.08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77,135,838.29</w:t>
            </w:r>
          </w:p>
        </w:tc>
      </w:tr>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607,864,281.30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348,069,156.03</w:t>
            </w:r>
          </w:p>
        </w:tc>
      </w:tr>
      <w:tr>
        <w:trPr>
          <w:trHeight w:val="557"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32,995,485.27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43,536,794.61</w:t>
            </w:r>
          </w:p>
        </w:tc>
      </w:tr>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5,490,448.49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2,222,884.00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239,181,250.00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127,000,000.00</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244,671,698.49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129,222,884.00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-205,231,698.49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-128,322,884.00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13,159,022.58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68,429,419.53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18,168,720.08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68,429,419.53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31,327,742.66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13,159,022.58</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12,959,043.66</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59,628,019.36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12,453,349.10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71,058,019.36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38,571,415.34</w:t>
            </w: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-2,628,599.83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-7,243,672.68</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-174,867,986.28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-92,029,762.07</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623,560,987.90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715,590,749.97</w:t>
            </w:r>
          </w:p>
        </w:tc>
      </w:tr>
      <w:tr>
        <w:trPr>
          <w:trHeight w:val="55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448,693,001.62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623,560,987.90</w:t>
            </w:r>
          </w:p>
        </w:tc>
      </w:tr>
    </w:tbl>
    <w:p>
      <w:pPr>
        <w:spacing w:line="240" w:lineRule="auto" w:before="10"/>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518" w:lineRule="auto" w:before="0"/>
        <w:ind w:right="6354"/>
        <w:jc w:val="left"/>
      </w:pPr>
      <w:r>
        <w:rPr/>
        <w:t>编制单位：深圳市新国都技术股份有限公司 本期金额</w:t>
      </w:r>
    </w:p>
    <w:p>
      <w:pPr>
        <w:pStyle w:val="BodyText"/>
        <w:spacing w:line="240" w:lineRule="auto" w:before="62"/>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560"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515"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82"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477" w:lineRule="auto"/>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3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3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28"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509"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240"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393.65</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086.08</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168,030,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408.69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2,984,504</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938,031,39</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2.48</w:t>
            </w:r>
          </w:p>
        </w:tc>
      </w:tr>
      <w:tr>
        <w:trPr>
          <w:trHeight w:val="550"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8"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560"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38"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393.65</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086.08</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168,030,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408.69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2,984,504</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938,031,39</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2.48</w:t>
            </w:r>
          </w:p>
        </w:tc>
      </w:tr>
      <w:tr>
        <w:trPr>
          <w:trHeight w:val="550"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8"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1,920,8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25.05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46,809,6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19.86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-2,251.76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48,728,193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60,160,4</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44.91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-2,251.76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60,158,193</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60,160,4</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44.91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-2,251.76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60,158,193</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1,920,8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25.05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-13,350,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825.05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-11,430,00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1,920,8</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25.05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-1,920,8</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3" w:right="0"/>
              <w:jc w:val="center"/>
              <w:rPr>
                <w:rFonts w:ascii="Times New Roman" w:hAnsi="Times New Roman" w:cs="Times New Roman" w:eastAsia="Times New Roman" w:hint="default"/>
                <w:sz w:val="18"/>
                <w:szCs w:val="18"/>
              </w:rPr>
            </w:pPr>
            <w:r>
              <w:rPr>
                <w:rFonts w:ascii="Times New Roman"/>
                <w:sz w:val="18"/>
              </w:rPr>
              <w:t>25.05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48" w:lineRule="auto" w:before="13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-11,430,00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6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48" w:lineRule="auto" w:before="13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393.65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12,716,</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911.13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214,840,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028.55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2,982,252</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986,759,58</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5.63</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ind w:right="141"/>
        <w:jc w:val="left"/>
      </w:pPr>
      <w:r>
        <w:rPr/>
        <w:t>上年金额</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559"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515"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82"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477" w:lineRule="auto"/>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3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3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28"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8"/>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509"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240"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63,500,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692,720,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393.65</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7,020,7</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01.36</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108,763,</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910.61</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872,005,00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5.62</w:t>
            </w:r>
          </w:p>
        </w:tc>
      </w:tr>
      <w:tr>
        <w:trPr>
          <w:trHeight w:val="550"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8"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027"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63,500,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692,720,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393.65</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7,020,7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01.36</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108,763,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910.61</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872,005,00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5.62</w:t>
            </w:r>
          </w:p>
        </w:tc>
      </w:tr>
      <w:tr>
        <w:trPr>
          <w:trHeight w:val="547"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40"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02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50,800,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-50,800,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3,775,3</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84.72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59,266,4</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98.08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2,984,504</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66,026,386</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w:t>
            </w:r>
          </w:p>
        </w:tc>
      </w:tr>
      <w:tr>
        <w:trPr>
          <w:trHeight w:val="55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75,741,8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-15,495.9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75,726,386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51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82.80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.86</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75,741,8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82.80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-15,495.9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75,726,386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3,775,3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84.72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-16,475,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384.72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-12,700,00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3,775,3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84.72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-3,775,3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3" w:right="0"/>
              <w:jc w:val="center"/>
              <w:rPr>
                <w:rFonts w:ascii="Times New Roman" w:hAnsi="Times New Roman" w:cs="Times New Roman" w:eastAsia="Times New Roman" w:hint="default"/>
                <w:sz w:val="18"/>
                <w:szCs w:val="18"/>
              </w:rPr>
            </w:pPr>
            <w:r>
              <w:rPr>
                <w:rFonts w:ascii="Times New Roman"/>
                <w:sz w:val="18"/>
              </w:rPr>
              <w:t>84.72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-12,700,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-12,700,00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50,800,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-50,800,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50,800,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-50,800,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393.65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086.08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168,030,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408.69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2,984,504</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938,031,39</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2.48</w:t>
            </w:r>
          </w:p>
        </w:tc>
      </w:tr>
    </w:tbl>
    <w:p>
      <w:pPr>
        <w:spacing w:line="240" w:lineRule="auto" w:before="10"/>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518" w:lineRule="auto" w:before="0"/>
        <w:ind w:right="6354"/>
        <w:jc w:val="left"/>
      </w:pPr>
      <w:r>
        <w:rPr/>
        <w:t>编制单位：深圳市新国都技术股份有限公司 本期金额</w:t>
      </w:r>
    </w:p>
    <w:p>
      <w:pPr>
        <w:pStyle w:val="BodyText"/>
        <w:spacing w:line="240" w:lineRule="auto" w:before="62"/>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555"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2"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3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3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3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69"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before="128"/>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227"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81"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38"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114,300,00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641,920,39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3.65</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10,796,086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74,679,854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841,696,33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4.19</w:t>
            </w:r>
          </w:p>
        </w:tc>
      </w:tr>
      <w:tr>
        <w:trPr>
          <w:trHeight w:val="547"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240"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557"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62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6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0"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114,300,00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641,920,39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3.65</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10,796,086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74,679,854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841,696,33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4.19</w:t>
            </w:r>
          </w:p>
        </w:tc>
      </w:tr>
      <w:tr>
        <w:trPr>
          <w:trHeight w:val="547"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240"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02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1,920,825.</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5,857,425.</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7,778,250.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575.709961pt;width:84.8pt;height:27.4pt;mso-position-horizontal-relative:page;mso-position-vertical-relative:page;z-index:-928360" type="#_x0000_t202" filled="false" stroked="false">
            <v:textbox inset="0,0,0,0">
              <w:txbxContent>
                <w:p>
                  <w:pPr>
                    <w:pStyle w:val="BodyText"/>
                    <w:spacing w:line="240" w:lineRule="auto" w:before="128"/>
                    <w:ind w:left="0" w:right="0"/>
                    <w:jc w:val="left"/>
                  </w:pPr>
                  <w:r>
                    <w:rPr/>
                    <w:t>（或股本）</w:t>
                  </w:r>
                </w:p>
              </w:txbxContent>
            </v:textbox>
            <w10:wrap type="none"/>
          </v:shape>
        </w:pict>
      </w:r>
      <w:r>
        <w:rPr/>
        <w:pict>
          <v:shape style="position:absolute;margin-left:138.600006pt;margin-top:603.555969pt;width:84.8pt;height:27.4pt;mso-position-horizontal-relative:page;mso-position-vertical-relative:page;z-index:-928336" type="#_x0000_t202" filled="false" stroked="false">
            <v:textbox inset="0,0,0,0">
              <w:txbxContent>
                <w:p>
                  <w:pPr>
                    <w:pStyle w:val="BodyText"/>
                    <w:spacing w:line="240" w:lineRule="auto" w:before="128"/>
                    <w:ind w:left="0" w:right="0"/>
                    <w:jc w:val="left"/>
                  </w:pPr>
                  <w:r>
                    <w:rPr/>
                    <w:t>（或股本）</w:t>
                  </w:r>
                </w:p>
              </w:txbxContent>
            </v:textbox>
            <w10:wrap type="none"/>
          </v:shape>
        </w:pict>
      </w:r>
      <w:r>
        <w:rPr/>
        <w:pict>
          <v:group style="position:absolute;margin-left:180.740005pt;margin-top:575.109985pt;width:42.65pt;height:56.45pt;mso-position-horizontal-relative:page;mso-position-vertical-relative:page;z-index:-928312" coordorigin="3615,11502" coordsize="853,1129">
            <v:group style="position:absolute;left:3627;top:11514;width:2;height:548" coordorigin="3627,11514" coordsize="2,548">
              <v:shape style="position:absolute;left:3627;top:11514;width:2;height:548" coordorigin="3627,11514" coordsize="0,548" path="m3627,11514l3627,12061e" filled="false" stroked="true" strokeweight="1.2pt" strokecolor="#ffffff">
                <v:path arrowok="t"/>
              </v:shape>
            </v:group>
            <v:group style="position:absolute;left:3639;top:11514;width:829;height:548" coordorigin="3639,11514" coordsize="829,548">
              <v:shape style="position:absolute;left:3639;top:11514;width:829;height:548" coordorigin="3639,11514" coordsize="829,548" path="m3639,12061l4467,12061,4467,11514,3639,11514,3639,12061xe" filled="true" fillcolor="#ffffff" stroked="false">
                <v:path arrowok="t"/>
                <v:fill type="solid"/>
              </v:shape>
            </v:group>
            <v:group style="position:absolute;left:3627;top:12071;width:2;height:548" coordorigin="3627,12071" coordsize="2,548">
              <v:shape style="position:absolute;left:3627;top:12071;width:2;height:548" coordorigin="3627,12071" coordsize="0,548" path="m3627,12071l3627,12619e" filled="false" stroked="true" strokeweight="1.2pt" strokecolor="#ffffff">
                <v:path arrowok="t"/>
              </v:shape>
            </v:group>
            <v:group style="position:absolute;left:3639;top:12071;width:829;height:548" coordorigin="3639,12071" coordsize="829,548">
              <v:shape style="position:absolute;left:3639;top:12071;width:829;height:548" coordorigin="3639,12071" coordsize="829,548" path="m3639,12619l4467,12619,4467,12071,3639,12071,3639,1261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303"/>
        <w:gridCol w:w="581"/>
        <w:gridCol w:w="886"/>
        <w:gridCol w:w="886"/>
        <w:gridCol w:w="886"/>
        <w:gridCol w:w="886"/>
        <w:gridCol w:w="886"/>
        <w:gridCol w:w="888"/>
        <w:gridCol w:w="890"/>
      </w:tblGrid>
      <w:tr>
        <w:trPr>
          <w:trHeight w:val="102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48" w:lineRule="auto" w:before="13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1,920,825.</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-13,350,82</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-11,430,00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1,920,825.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-1,920,825.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60"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-11,430,00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-11,430,00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303" w:type="dxa"/>
            <w:tcBorders>
              <w:top w:val="single" w:sz="4" w:space="0" w:color="000000"/>
              <w:left w:val="single" w:sz="4" w:space="0" w:color="000000"/>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303" w:type="dxa"/>
            <w:tcBorders>
              <w:top w:val="single" w:sz="4" w:space="0" w:color="000000"/>
              <w:left w:val="single" w:sz="4" w:space="0" w:color="000000"/>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55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114,300,00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641,920,39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3.65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12,716,911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80,537,279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849,474,58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4.67</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ind w:right="141"/>
        <w:jc w:val="left"/>
      </w:pPr>
      <w:r>
        <w:rPr/>
        <w:t>上年金额</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552"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5"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69"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before="128"/>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225"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78"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40"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692,720,39</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3.65</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7,020,701.</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53,401,391</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816,642,48</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6.96</w:t>
            </w:r>
          </w:p>
        </w:tc>
      </w:tr>
      <w:tr>
        <w:trPr>
          <w:trHeight w:val="550"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23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55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60"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3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692,720,39</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3.65</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7,020,701.</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53,401,391</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816,642,48</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6.96</w:t>
            </w:r>
          </w:p>
        </w:tc>
      </w:tr>
      <w:tr>
        <w:trPr>
          <w:trHeight w:val="550"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23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027"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-50,800,00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3,775,384.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21,278,462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25,053,847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w:t>
            </w:r>
          </w:p>
        </w:tc>
      </w:tr>
      <w:tr>
        <w:trPr>
          <w:trHeight w:val="23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37,753,847</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37,753,847</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w:t>
            </w:r>
          </w:p>
        </w:tc>
      </w:tr>
      <w:tr>
        <w:trPr>
          <w:trHeight w:val="550"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23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560"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3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37,753,847</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37,753,847</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w:t>
            </w:r>
          </w:p>
        </w:tc>
      </w:tr>
      <w:tr>
        <w:trPr>
          <w:trHeight w:val="550"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238"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55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39.554001pt;margin-top:408.235596pt;width:84.8pt;height:29.95pt;mso-position-horizontal-relative:page;mso-position-vertical-relative:page;z-index:-928288" type="#_x0000_t202" filled="false" stroked="false">
            <v:textbox inset="0,0,0,0">
              <w:txbxContent>
                <w:p>
                  <w:pPr>
                    <w:pStyle w:val="BodyText"/>
                    <w:spacing w:line="180" w:lineRule="exact" w:before="0"/>
                    <w:ind w:left="0" w:right="0"/>
                    <w:jc w:val="left"/>
                  </w:pPr>
                  <w:r>
                    <w:rPr/>
                    <w:t>（或股本）</w:t>
                  </w:r>
                </w:p>
              </w:txbxContent>
            </v:textbox>
            <w10:wrap type="none"/>
          </v:shape>
        </w:pict>
      </w:r>
      <w:r>
        <w:rPr/>
        <w:pict>
          <v:shape style="position:absolute;margin-left:139.554001pt;margin-top:438.645996pt;width:84.8pt;height:27.4pt;mso-position-horizontal-relative:page;mso-position-vertical-relative:page;z-index:-928264" type="#_x0000_t202" filled="false" stroked="false">
            <v:textbox inset="0,0,0,0">
              <w:txbxContent>
                <w:p>
                  <w:pPr>
                    <w:pStyle w:val="BodyText"/>
                    <w:spacing w:line="240" w:lineRule="auto" w:before="128"/>
                    <w:ind w:left="0" w:right="0"/>
                    <w:jc w:val="left"/>
                  </w:pPr>
                  <w:r>
                    <w:rPr/>
                    <w:t>（或股本）</w:t>
                  </w:r>
                </w:p>
              </w:txbxContent>
            </v:textbox>
            <w10:wrap type="none"/>
          </v:shape>
        </w:pict>
      </w:r>
      <w:r>
        <w:rPr/>
        <w:pict>
          <v:group style="position:absolute;margin-left:182.899994pt;margin-top:387.289978pt;width:41.45pt;height:78.75pt;mso-position-horizontal-relative:page;mso-position-vertical-relative:page;z-index:-928240" coordorigin="3658,7746" coordsize="829,1575">
            <v:group style="position:absolute;left:3658;top:7746;width:829;height:509" coordorigin="3658,7746" coordsize="829,509">
              <v:shape style="position:absolute;left:3658;top:7746;width:829;height:509" coordorigin="3658,7746" coordsize="829,509" path="m3658,8255l4486,8255,4486,7746,3658,7746,3658,8255xe" filled="true" fillcolor="#ffffff" stroked="false">
                <v:path arrowok="t"/>
                <v:fill type="solid"/>
              </v:shape>
            </v:group>
            <v:group style="position:absolute;left:3658;top:8255;width:829;height:509" coordorigin="3658,8255" coordsize="829,509">
              <v:shape style="position:absolute;left:3658;top:8255;width:829;height:509" coordorigin="3658,8255" coordsize="829,509" path="m3658,8763l4486,8763,4486,8255,3658,8255,3658,8763xe" filled="true" fillcolor="#ffffff" stroked="false">
                <v:path arrowok="t"/>
                <v:fill type="solid"/>
              </v:shape>
            </v:group>
            <v:group style="position:absolute;left:3658;top:8773;width:829;height:548" coordorigin="3658,8773" coordsize="829,548">
              <v:shape style="position:absolute;left:3658;top:8773;width:829;height:548" coordorigin="3658,8773" coordsize="829,548" path="m3658,9321l4486,9321,4486,8773,3658,8773,3658,932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302"/>
        <w:gridCol w:w="581"/>
        <w:gridCol w:w="886"/>
        <w:gridCol w:w="886"/>
        <w:gridCol w:w="884"/>
        <w:gridCol w:w="886"/>
        <w:gridCol w:w="884"/>
        <w:gridCol w:w="883"/>
        <w:gridCol w:w="883"/>
      </w:tblGrid>
      <w:tr>
        <w:trPr>
          <w:trHeight w:val="51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4"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3,775,384.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-16,475,38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4.72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3,775,384.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-3,775,384.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-50,800,00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-50,800,00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302" w:type="dxa"/>
            <w:tcBorders>
              <w:top w:val="single" w:sz="4" w:space="0" w:color="000000"/>
              <w:left w:val="single" w:sz="13" w:space="0" w:color="FFFFFF"/>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114,300,00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641,920,39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3.65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10,796,086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74,679,854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841,696,33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4.19</w:t>
            </w:r>
          </w:p>
        </w:tc>
      </w:tr>
    </w:tbl>
    <w:p>
      <w:pPr>
        <w:spacing w:line="240" w:lineRule="auto" w:before="3"/>
        <w:rPr>
          <w:rFonts w:ascii="宋体" w:hAnsi="宋体" w:cs="宋体" w:eastAsia="宋体" w:hint="default"/>
          <w:sz w:val="26"/>
          <w:szCs w:val="26"/>
        </w:rPr>
      </w:pPr>
    </w:p>
    <w:p>
      <w:pPr>
        <w:pStyle w:val="BodyText"/>
        <w:tabs>
          <w:tab w:pos="3667" w:val="left" w:leader="none"/>
          <w:tab w:pos="7899" w:val="left" w:leader="none"/>
        </w:tabs>
        <w:spacing w:line="240" w:lineRule="auto"/>
        <w:ind w:right="141"/>
        <w:jc w:val="left"/>
      </w:pPr>
      <w:r>
        <w:rPr/>
        <w:t>法定代表人：刘祥</w:t>
        <w:tab/>
      </w:r>
      <w:r>
        <w:rPr>
          <w:spacing w:val="-1"/>
        </w:rPr>
        <w:t>主管会计工作负责人：赵辉</w:t>
        <w:tab/>
      </w:r>
      <w:r>
        <w:rPr/>
        <w:t>会计机构负责人：赵辉</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9"/>
          <w:szCs w:val="29"/>
        </w:rPr>
      </w:pPr>
    </w:p>
    <w:p>
      <w:pPr>
        <w:pStyle w:val="Heading4"/>
        <w:spacing w:line="240" w:lineRule="auto" w:before="26"/>
        <w:ind w:right="0"/>
        <w:jc w:val="both"/>
        <w:rPr>
          <w:b w:val="0"/>
          <w:bCs w:val="0"/>
        </w:rPr>
      </w:pPr>
      <w:r>
        <w:rPr/>
        <w:t>三、公司基本情况</w:t>
      </w:r>
      <w:r>
        <w:rPr>
          <w:b w:val="0"/>
          <w:bCs w:val="0"/>
        </w:rPr>
      </w:r>
    </w:p>
    <w:p>
      <w:pPr>
        <w:spacing w:line="240" w:lineRule="auto" w:before="0"/>
        <w:rPr>
          <w:rFonts w:ascii="宋体" w:hAnsi="宋体" w:cs="宋体" w:eastAsia="宋体" w:hint="default"/>
          <w:b/>
          <w:bCs/>
          <w:sz w:val="24"/>
          <w:szCs w:val="24"/>
        </w:rPr>
      </w:pPr>
    </w:p>
    <w:p>
      <w:pPr>
        <w:pStyle w:val="Heading6"/>
        <w:spacing w:line="408" w:lineRule="auto" w:before="163"/>
        <w:ind w:left="573" w:right="142" w:hanging="421"/>
        <w:jc w:val="left"/>
      </w:pPr>
      <w:r>
        <w:rPr>
          <w:rFonts w:ascii="宋体" w:hAnsi="宋体" w:cs="宋体" w:eastAsia="宋体" w:hint="default"/>
          <w:b/>
          <w:bCs/>
        </w:rPr>
        <w:t>1.</w:t>
      </w:r>
      <w:r>
        <w:rPr>
          <w:rFonts w:ascii="宋体" w:hAnsi="宋体" w:cs="宋体" w:eastAsia="宋体" w:hint="default"/>
          <w:b/>
          <w:bCs/>
          <w:spacing w:val="43"/>
        </w:rPr>
        <w:t> </w:t>
      </w:r>
      <w:r>
        <w:rPr>
          <w:rFonts w:ascii="宋体" w:hAnsi="宋体" w:cs="宋体" w:eastAsia="宋体" w:hint="default"/>
          <w:b/>
          <w:bCs/>
        </w:rPr>
        <w:t>公司历史沿革</w:t>
      </w:r>
      <w:r>
        <w:rPr>
          <w:rFonts w:ascii="宋体" w:hAnsi="宋体" w:cs="宋体" w:eastAsia="宋体" w:hint="default"/>
          <w:b/>
          <w:bCs/>
          <w:w w:val="100"/>
        </w:rPr>
        <w:t> </w:t>
      </w:r>
      <w:r>
        <w:rPr>
          <w:spacing w:val="2"/>
          <w:w w:val="100"/>
        </w:rPr>
        <w:t>深</w:t>
      </w:r>
      <w:r>
        <w:rPr>
          <w:w w:val="100"/>
        </w:rPr>
        <w:t>圳</w:t>
      </w:r>
      <w:r>
        <w:rPr>
          <w:spacing w:val="2"/>
          <w:w w:val="100"/>
        </w:rPr>
        <w:t>市</w:t>
      </w:r>
      <w:r>
        <w:rPr>
          <w:w w:val="100"/>
        </w:rPr>
        <w:t>新国</w:t>
      </w:r>
      <w:r>
        <w:rPr>
          <w:spacing w:val="2"/>
          <w:w w:val="100"/>
        </w:rPr>
        <w:t>都</w:t>
      </w:r>
      <w:r>
        <w:rPr>
          <w:w w:val="100"/>
        </w:rPr>
        <w:t>技</w:t>
      </w:r>
      <w:r>
        <w:rPr>
          <w:spacing w:val="2"/>
          <w:w w:val="100"/>
        </w:rPr>
        <w:t>术</w:t>
      </w:r>
      <w:r>
        <w:rPr>
          <w:w w:val="100"/>
        </w:rPr>
        <w:t>股份有</w:t>
      </w:r>
      <w:r>
        <w:rPr>
          <w:spacing w:val="2"/>
          <w:w w:val="100"/>
        </w:rPr>
        <w:t>限</w:t>
      </w:r>
      <w:r>
        <w:rPr>
          <w:w w:val="100"/>
        </w:rPr>
        <w:t>公</w:t>
      </w:r>
      <w:r>
        <w:rPr>
          <w:spacing w:val="4"/>
          <w:w w:val="100"/>
        </w:rPr>
        <w:t>司</w:t>
      </w:r>
      <w:r>
        <w:rPr>
          <w:rFonts w:ascii="Times New Roman" w:hAnsi="Times New Roman" w:cs="Times New Roman" w:eastAsia="Times New Roman" w:hint="default"/>
          <w:spacing w:val="1"/>
          <w:w w:val="100"/>
        </w:rPr>
        <w:t>(</w:t>
      </w:r>
      <w:r>
        <w:rPr>
          <w:w w:val="100"/>
        </w:rPr>
        <w:t>以下</w:t>
      </w:r>
      <w:r>
        <w:rPr>
          <w:spacing w:val="2"/>
          <w:w w:val="100"/>
        </w:rPr>
        <w:t>简</w:t>
      </w:r>
      <w:r>
        <w:rPr>
          <w:w w:val="100"/>
        </w:rPr>
        <w:t>称</w:t>
      </w:r>
      <w:r>
        <w:rPr>
          <w:rFonts w:ascii="Times New Roman" w:hAnsi="Times New Roman" w:cs="Times New Roman" w:eastAsia="Times New Roman" w:hint="default"/>
          <w:spacing w:val="2"/>
          <w:w w:val="44"/>
        </w:rPr>
        <w:t>―</w:t>
      </w:r>
      <w:r>
        <w:rPr>
          <w:w w:val="100"/>
        </w:rPr>
        <w:t>本</w:t>
      </w:r>
      <w:r>
        <w:rPr>
          <w:spacing w:val="2"/>
          <w:w w:val="100"/>
        </w:rPr>
        <w:t>公</w:t>
      </w:r>
      <w:r>
        <w:rPr>
          <w:w w:val="100"/>
        </w:rPr>
        <w:t>司</w:t>
      </w:r>
      <w:r>
        <w:rPr>
          <w:rFonts w:ascii="Times New Roman" w:hAnsi="Times New Roman" w:cs="Times New Roman" w:eastAsia="Times New Roman" w:hint="default"/>
          <w:spacing w:val="-1"/>
          <w:w w:val="159"/>
        </w:rPr>
        <w:t>‖</w:t>
      </w:r>
      <w:r>
        <w:rPr>
          <w:spacing w:val="2"/>
          <w:w w:val="100"/>
        </w:rPr>
        <w:t>或</w:t>
      </w:r>
      <w:r>
        <w:rPr>
          <w:rFonts w:ascii="Times New Roman" w:hAnsi="Times New Roman" w:cs="Times New Roman" w:eastAsia="Times New Roman" w:hint="default"/>
          <w:spacing w:val="2"/>
          <w:w w:val="44"/>
        </w:rPr>
        <w:t>―</w:t>
      </w:r>
      <w:r>
        <w:rPr>
          <w:w w:val="100"/>
        </w:rPr>
        <w:t>公</w:t>
      </w:r>
      <w:r>
        <w:rPr>
          <w:spacing w:val="2"/>
          <w:w w:val="100"/>
        </w:rPr>
        <w:t>司</w:t>
      </w:r>
      <w:r>
        <w:rPr>
          <w:rFonts w:ascii="Times New Roman" w:hAnsi="Times New Roman" w:cs="Times New Roman" w:eastAsia="Times New Roman" w:hint="default"/>
          <w:spacing w:val="-1"/>
          <w:w w:val="127"/>
        </w:rPr>
        <w:t>‖)</w:t>
      </w:r>
      <w:r>
        <w:rPr>
          <w:spacing w:val="2"/>
          <w:w w:val="100"/>
        </w:rPr>
        <w:t>前</w:t>
      </w:r>
      <w:r>
        <w:rPr>
          <w:w w:val="100"/>
        </w:rPr>
        <w:t>身为</w:t>
      </w:r>
      <w:r>
        <w:rPr>
          <w:spacing w:val="2"/>
          <w:w w:val="100"/>
        </w:rPr>
        <w:t>深</w:t>
      </w:r>
      <w:r>
        <w:rPr>
          <w:w w:val="100"/>
        </w:rPr>
        <w:t>圳市新</w:t>
      </w:r>
      <w:r>
        <w:rPr>
          <w:spacing w:val="2"/>
          <w:w w:val="100"/>
        </w:rPr>
        <w:t>国</w:t>
      </w:r>
      <w:r>
        <w:rPr>
          <w:w w:val="100"/>
        </w:rPr>
        <w:t>都</w:t>
      </w:r>
      <w:r>
        <w:rPr>
          <w:spacing w:val="2"/>
          <w:w w:val="100"/>
        </w:rPr>
        <w:t>技</w:t>
      </w:r>
      <w:r>
        <w:rPr>
          <w:w w:val="100"/>
        </w:rPr>
        <w:t>术有</w:t>
      </w:r>
      <w:r>
        <w:rPr>
          <w:spacing w:val="2"/>
          <w:w w:val="100"/>
        </w:rPr>
        <w:t>限</w:t>
      </w:r>
      <w:r>
        <w:rPr>
          <w:w w:val="100"/>
        </w:rPr>
        <w:t>公司</w:t>
      </w:r>
      <w:r>
        <w:rPr>
          <w:spacing w:val="2"/>
          <w:w w:val="100"/>
        </w:rPr>
        <w:t>（</w:t>
      </w:r>
      <w:r>
        <w:rPr>
          <w:w w:val="100"/>
        </w:rPr>
        <w:t>以</w:t>
      </w:r>
    </w:p>
    <w:p>
      <w:pPr>
        <w:pStyle w:val="Heading6"/>
        <w:spacing w:line="386" w:lineRule="auto" w:before="14"/>
        <w:ind w:right="146"/>
        <w:jc w:val="both"/>
      </w:pPr>
      <w:r>
        <w:rPr>
          <w:w w:val="100"/>
        </w:rPr>
        <w:t>下简</w:t>
      </w:r>
      <w:r>
        <w:rPr>
          <w:spacing w:val="-2"/>
          <w:w w:val="100"/>
        </w:rPr>
        <w:t>称</w:t>
      </w:r>
      <w:r>
        <w:rPr>
          <w:rFonts w:ascii="Times New Roman" w:hAnsi="Times New Roman" w:cs="Times New Roman" w:eastAsia="Times New Roman" w:hint="default"/>
          <w:spacing w:val="-1"/>
          <w:w w:val="44"/>
        </w:rPr>
        <w:t>―</w:t>
      </w:r>
      <w:r>
        <w:rPr>
          <w:spacing w:val="-3"/>
          <w:w w:val="100"/>
        </w:rPr>
        <w:t>新</w:t>
      </w:r>
      <w:r>
        <w:rPr>
          <w:w w:val="100"/>
        </w:rPr>
        <w:t>国</w:t>
      </w:r>
      <w:r>
        <w:rPr>
          <w:spacing w:val="-3"/>
          <w:w w:val="100"/>
        </w:rPr>
        <w:t>都</w:t>
      </w:r>
      <w:r>
        <w:rPr>
          <w:w w:val="100"/>
        </w:rPr>
        <w:t>技</w:t>
      </w:r>
      <w:r>
        <w:rPr>
          <w:spacing w:val="-1"/>
          <w:w w:val="100"/>
        </w:rPr>
        <w:t>术</w:t>
      </w:r>
      <w:r>
        <w:rPr>
          <w:rFonts w:ascii="Times New Roman" w:hAnsi="Times New Roman" w:cs="Times New Roman" w:eastAsia="Times New Roman" w:hint="default"/>
          <w:spacing w:val="-3"/>
          <w:w w:val="159"/>
        </w:rPr>
        <w:t>‖</w:t>
      </w:r>
      <w:r>
        <w:rPr>
          <w:spacing w:val="-27"/>
          <w:w w:val="100"/>
        </w:rPr>
        <w:t>），</w:t>
      </w:r>
      <w:r>
        <w:rPr>
          <w:spacing w:val="-3"/>
          <w:w w:val="100"/>
        </w:rPr>
        <w:t>于</w:t>
      </w:r>
      <w:r>
        <w:rPr>
          <w:rFonts w:ascii="Times New Roman" w:hAnsi="Times New Roman" w:cs="Times New Roman" w:eastAsia="Times New Roman" w:hint="default"/>
          <w:w w:val="100"/>
        </w:rPr>
        <w:t>2001</w:t>
      </w:r>
      <w:r>
        <w:rPr>
          <w:spacing w:val="-3"/>
          <w:w w:val="100"/>
        </w:rPr>
        <w:t>年</w:t>
      </w:r>
      <w:r>
        <w:rPr>
          <w:rFonts w:ascii="Times New Roman" w:hAnsi="Times New Roman" w:cs="Times New Roman" w:eastAsia="Times New Roman" w:hint="default"/>
          <w:w w:val="100"/>
        </w:rPr>
        <w:t>7</w:t>
      </w:r>
      <w:r>
        <w:rPr>
          <w:w w:val="100"/>
        </w:rPr>
        <w:t>月</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spacing w:val="-3"/>
          <w:w w:val="100"/>
        </w:rPr>
        <w:t>日</w:t>
      </w:r>
      <w:r>
        <w:rPr>
          <w:w w:val="100"/>
        </w:rPr>
        <w:t>经</w:t>
      </w:r>
      <w:r>
        <w:rPr>
          <w:spacing w:val="-3"/>
          <w:w w:val="100"/>
        </w:rPr>
        <w:t>深</w:t>
      </w:r>
      <w:r>
        <w:rPr>
          <w:w w:val="100"/>
        </w:rPr>
        <w:t>圳</w:t>
      </w:r>
      <w:r>
        <w:rPr>
          <w:spacing w:val="-3"/>
          <w:w w:val="100"/>
        </w:rPr>
        <w:t>市工</w:t>
      </w:r>
      <w:r>
        <w:rPr>
          <w:w w:val="100"/>
        </w:rPr>
        <w:t>商行</w:t>
      </w:r>
      <w:r>
        <w:rPr>
          <w:spacing w:val="-3"/>
          <w:w w:val="100"/>
        </w:rPr>
        <w:t>政</w:t>
      </w:r>
      <w:r>
        <w:rPr>
          <w:w w:val="100"/>
        </w:rPr>
        <w:t>管</w:t>
      </w:r>
      <w:r>
        <w:rPr>
          <w:spacing w:val="-3"/>
          <w:w w:val="100"/>
        </w:rPr>
        <w:t>理</w:t>
      </w:r>
      <w:r>
        <w:rPr>
          <w:w w:val="100"/>
        </w:rPr>
        <w:t>局</w:t>
      </w:r>
      <w:r>
        <w:rPr>
          <w:spacing w:val="-3"/>
          <w:w w:val="100"/>
        </w:rPr>
        <w:t>批</w:t>
      </w:r>
      <w:r>
        <w:rPr>
          <w:w w:val="100"/>
        </w:rPr>
        <w:t>准</w:t>
      </w:r>
      <w:r>
        <w:rPr>
          <w:spacing w:val="-3"/>
          <w:w w:val="100"/>
        </w:rPr>
        <w:t>成</w:t>
      </w:r>
      <w:r>
        <w:rPr>
          <w:w w:val="100"/>
        </w:rPr>
        <w:t>立</w:t>
      </w:r>
      <w:r>
        <w:rPr>
          <w:spacing w:val="-29"/>
          <w:w w:val="100"/>
        </w:rPr>
        <w:t>，</w:t>
      </w:r>
      <w:r>
        <w:rPr>
          <w:w w:val="100"/>
        </w:rPr>
        <w:t>由刘</w:t>
      </w:r>
      <w:r>
        <w:rPr>
          <w:spacing w:val="-3"/>
          <w:w w:val="100"/>
        </w:rPr>
        <w:t>祥</w:t>
      </w:r>
      <w:r>
        <w:rPr>
          <w:spacing w:val="-27"/>
          <w:w w:val="100"/>
        </w:rPr>
        <w:t>、</w:t>
      </w:r>
      <w:r>
        <w:rPr>
          <w:spacing w:val="-3"/>
          <w:w w:val="100"/>
        </w:rPr>
        <w:t>刘</w:t>
      </w:r>
      <w:r>
        <w:rPr>
          <w:w w:val="100"/>
        </w:rPr>
        <w:t>亚</w:t>
      </w:r>
      <w:r>
        <w:rPr>
          <w:spacing w:val="-3"/>
          <w:w w:val="100"/>
        </w:rPr>
        <w:t>和</w:t>
      </w:r>
      <w:r>
        <w:rPr>
          <w:w w:val="100"/>
        </w:rPr>
        <w:t>深</w:t>
      </w:r>
      <w:r>
        <w:rPr>
          <w:spacing w:val="-3"/>
          <w:w w:val="100"/>
        </w:rPr>
        <w:t>圳</w:t>
      </w:r>
      <w:r>
        <w:rPr>
          <w:w w:val="100"/>
        </w:rPr>
        <w:t>市</w:t>
      </w:r>
      <w:r>
        <w:rPr>
          <w:spacing w:val="-3"/>
          <w:w w:val="100"/>
        </w:rPr>
        <w:t>奥</w:t>
      </w:r>
      <w:r>
        <w:rPr>
          <w:w w:val="100"/>
        </w:rPr>
        <w:t>格</w:t>
      </w:r>
      <w:r>
        <w:rPr>
          <w:w w:val="100"/>
        </w:rPr>
        <w:t> </w:t>
      </w:r>
      <w:r>
        <w:rPr>
          <w:spacing w:val="-2"/>
        </w:rPr>
        <w:t>立电子科技有限公司共同出资组建，注册资本为人民币</w:t>
      </w:r>
      <w:r>
        <w:rPr>
          <w:rFonts w:ascii="Times New Roman" w:hAnsi="Times New Roman" w:cs="Times New Roman" w:eastAsia="Times New Roman" w:hint="default"/>
          <w:spacing w:val="-2"/>
        </w:rPr>
        <w:t>300</w:t>
      </w:r>
      <w:r>
        <w:rPr>
          <w:spacing w:val="-2"/>
        </w:rPr>
        <w:t>万元，其中刘祥出资人民币</w:t>
      </w:r>
      <w:r>
        <w:rPr>
          <w:rFonts w:ascii="Times New Roman" w:hAnsi="Times New Roman" w:cs="Times New Roman" w:eastAsia="Times New Roman" w:hint="default"/>
          <w:spacing w:val="-2"/>
        </w:rPr>
        <w:t>120</w:t>
      </w:r>
      <w:r>
        <w:rPr>
          <w:spacing w:val="-2"/>
        </w:rPr>
        <w:t>万元，出资比例</w:t>
      </w:r>
      <w:r>
        <w:rPr>
          <w:spacing w:val="-40"/>
        </w:rPr>
        <w:t> </w:t>
      </w:r>
      <w:r>
        <w:rPr>
          <w:spacing w:val="-40"/>
        </w:rPr>
      </w:r>
      <w:r>
        <w:rPr>
          <w:rFonts w:ascii="Times New Roman" w:hAnsi="Times New Roman" w:cs="Times New Roman" w:eastAsia="Times New Roman" w:hint="default"/>
        </w:rPr>
        <w:t>40%</w:t>
      </w:r>
      <w:r>
        <w:rPr/>
        <w:t>；刘亚出资人民币</w:t>
      </w:r>
      <w:r>
        <w:rPr>
          <w:rFonts w:ascii="Times New Roman" w:hAnsi="Times New Roman" w:cs="Times New Roman" w:eastAsia="Times New Roman" w:hint="default"/>
        </w:rPr>
        <w:t>90</w:t>
      </w:r>
      <w:r>
        <w:rPr/>
        <w:t>万元，出资比例</w:t>
      </w:r>
      <w:r>
        <w:rPr>
          <w:rFonts w:ascii="Times New Roman" w:hAnsi="Times New Roman" w:cs="Times New Roman" w:eastAsia="Times New Roman" w:hint="default"/>
        </w:rPr>
        <w:t>30%</w:t>
      </w:r>
      <w:r>
        <w:rPr/>
        <w:t>；深圳市奥格立电子科技有限公司出资人民币</w:t>
      </w:r>
      <w:r>
        <w:rPr>
          <w:rFonts w:ascii="Times New Roman" w:hAnsi="Times New Roman" w:cs="Times New Roman" w:eastAsia="Times New Roman" w:hint="default"/>
        </w:rPr>
        <w:t>90</w:t>
      </w:r>
      <w:r>
        <w:rPr/>
        <w:t>万元，出资</w:t>
      </w:r>
      <w:r>
        <w:rPr>
          <w:spacing w:val="-52"/>
        </w:rPr>
        <w:t> </w:t>
      </w:r>
      <w:r>
        <w:rPr>
          <w:spacing w:val="-2"/>
        </w:rPr>
        <w:t>比例</w:t>
      </w:r>
      <w:r>
        <w:rPr>
          <w:rFonts w:ascii="Times New Roman" w:hAnsi="Times New Roman" w:cs="Times New Roman" w:eastAsia="Times New Roman" w:hint="default"/>
          <w:spacing w:val="-2"/>
        </w:rPr>
        <w:t>30%</w:t>
      </w:r>
      <w:r>
        <w:rPr>
          <w:spacing w:val="-2"/>
        </w:rPr>
        <w:t>。本次出资业经深圳市远东会计师事务所深远东验字</w:t>
      </w:r>
      <w:r>
        <w:rPr>
          <w:rFonts w:ascii="Times New Roman" w:hAnsi="Times New Roman" w:cs="Times New Roman" w:eastAsia="Times New Roman" w:hint="default"/>
          <w:spacing w:val="-2"/>
        </w:rPr>
        <w:t>[2001]</w:t>
      </w:r>
      <w:r>
        <w:rPr>
          <w:spacing w:val="-2"/>
        </w:rPr>
        <w:t>第</w:t>
      </w:r>
      <w:r>
        <w:rPr>
          <w:rFonts w:ascii="Times New Roman" w:hAnsi="Times New Roman" w:cs="Times New Roman" w:eastAsia="Times New Roman" w:hint="default"/>
          <w:spacing w:val="-2"/>
        </w:rPr>
        <w:t>347</w:t>
      </w:r>
      <w:r>
        <w:rPr>
          <w:spacing w:val="-2"/>
        </w:rPr>
        <w:t>号验资报告验证，并领取注册号</w:t>
      </w:r>
      <w:r>
        <w:rPr>
          <w:spacing w:val="-35"/>
        </w:rPr>
        <w:t> </w:t>
      </w:r>
      <w:r>
        <w:rPr>
          <w:spacing w:val="-35"/>
        </w:rPr>
      </w:r>
      <w:r>
        <w:rPr/>
        <w:t>为</w:t>
      </w:r>
      <w:r>
        <w:rPr>
          <w:rFonts w:ascii="Times New Roman" w:hAnsi="Times New Roman" w:cs="Times New Roman" w:eastAsia="Times New Roman" w:hint="default"/>
        </w:rPr>
        <w:t>4403012070860</w:t>
      </w:r>
      <w:r>
        <w:rPr/>
        <w:t>的企业法人营业执照。</w:t>
      </w:r>
    </w:p>
    <w:p>
      <w:pPr>
        <w:pStyle w:val="Heading6"/>
        <w:spacing w:line="386" w:lineRule="auto" w:before="36"/>
        <w:ind w:right="148" w:firstLine="42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日经股东会决议，刘亚将其持有的新国都技术</w:t>
      </w:r>
      <w:r>
        <w:rPr>
          <w:rFonts w:ascii="Times New Roman" w:hAnsi="Times New Roman" w:cs="Times New Roman" w:eastAsia="Times New Roman" w:hint="default"/>
          <w:spacing w:val="-1"/>
        </w:rPr>
        <w:t>30%</w:t>
      </w:r>
      <w:r>
        <w:rPr>
          <w:spacing w:val="-1"/>
        </w:rPr>
        <w:t>的股权转让给刘祥，转让完成后股权</w:t>
      </w:r>
      <w:r>
        <w:rPr>
          <w:w w:val="100"/>
        </w:rPr>
        <w:t> </w:t>
      </w:r>
      <w:r>
        <w:rPr/>
        <w:t>结构为：刘祥占注册资本的</w:t>
      </w:r>
      <w:r>
        <w:rPr>
          <w:rFonts w:ascii="Times New Roman" w:hAnsi="Times New Roman" w:cs="Times New Roman" w:eastAsia="Times New Roman" w:hint="default"/>
        </w:rPr>
        <w:t>70%</w:t>
      </w:r>
      <w:r>
        <w:rPr/>
        <w:t>；深圳市奥格立电子科技有限公司占注册资本的</w:t>
      </w:r>
      <w:r>
        <w:rPr>
          <w:rFonts w:ascii="Times New Roman" w:hAnsi="Times New Roman" w:cs="Times New Roman" w:eastAsia="Times New Roman" w:hint="default"/>
        </w:rPr>
        <w:t>30%</w:t>
      </w:r>
      <w:r>
        <w:rPr/>
        <w:t>。并于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31"/>
        </w:rPr>
        <w:t> </w:t>
      </w:r>
      <w:r>
        <w:rPr/>
        <w:t>日办理了工商变更手续。</w:t>
      </w:r>
    </w:p>
    <w:p>
      <w:pPr>
        <w:pStyle w:val="Heading6"/>
        <w:spacing w:line="408" w:lineRule="auto" w:before="65"/>
        <w:ind w:right="148" w:firstLine="420"/>
        <w:jc w:val="both"/>
      </w:pPr>
      <w:r>
        <w:rPr>
          <w:rFonts w:ascii="宋体" w:hAnsi="宋体" w:cs="宋体" w:eastAsia="宋体" w:hint="default"/>
          <w:spacing w:val="-2"/>
        </w:rPr>
        <w:t>2004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日经股东会决议，增加注册资本人民币</w:t>
      </w:r>
      <w:r>
        <w:rPr>
          <w:rFonts w:ascii="宋体" w:hAnsi="宋体" w:cs="宋体" w:eastAsia="宋体" w:hint="default"/>
          <w:spacing w:val="-2"/>
        </w:rPr>
        <w:t>1,200</w:t>
      </w:r>
      <w:r>
        <w:rPr>
          <w:spacing w:val="-2"/>
        </w:rPr>
        <w:t>万元，全部由股东深圳市奥格立电子科技有</w:t>
      </w:r>
      <w:r>
        <w:rPr>
          <w:w w:val="100"/>
        </w:rPr>
        <w:t> </w:t>
      </w:r>
      <w:r>
        <w:rPr/>
        <w:t>限公司投入，增资后新国都技术注册资本为人民币</w:t>
      </w:r>
      <w:r>
        <w:rPr>
          <w:rFonts w:ascii="宋体" w:hAnsi="宋体" w:cs="宋体" w:eastAsia="宋体" w:hint="default"/>
        </w:rPr>
        <w:t>1,500</w:t>
      </w:r>
      <w:r>
        <w:rPr/>
        <w:t>万元，其中：深圳市奥格立电子科技有限公司占</w:t>
      </w:r>
      <w:r>
        <w:rPr>
          <w:spacing w:val="-25"/>
        </w:rPr>
        <w:t> </w:t>
      </w:r>
      <w:r>
        <w:rPr>
          <w:spacing w:val="-25"/>
        </w:rPr>
      </w:r>
      <w:r>
        <w:rPr/>
        <w:t>注册资本的</w:t>
      </w:r>
      <w:r>
        <w:rPr>
          <w:rFonts w:ascii="宋体" w:hAnsi="宋体" w:cs="宋体" w:eastAsia="宋体" w:hint="default"/>
        </w:rPr>
        <w:t>86%</w:t>
      </w:r>
      <w:r>
        <w:rPr/>
        <w:t>；刘祥占注册资本的</w:t>
      </w:r>
      <w:r>
        <w:rPr>
          <w:rFonts w:ascii="宋体" w:hAnsi="宋体" w:cs="宋体" w:eastAsia="宋体" w:hint="default"/>
        </w:rPr>
        <w:t>14%</w:t>
      </w:r>
      <w:r>
        <w:rPr/>
        <w:t>。并于</w:t>
      </w:r>
      <w:r>
        <w:rPr>
          <w:rFonts w:ascii="宋体" w:hAnsi="宋体" w:cs="宋体" w:eastAsia="宋体" w:hint="default"/>
        </w:rPr>
        <w:t>2004</w:t>
      </w:r>
      <w:r>
        <w:rPr/>
        <w:t>年</w:t>
      </w:r>
      <w:r>
        <w:rPr>
          <w:rFonts w:ascii="宋体" w:hAnsi="宋体" w:cs="宋体" w:eastAsia="宋体" w:hint="default"/>
        </w:rPr>
        <w:t>5</w:t>
      </w:r>
      <w:r>
        <w:rPr/>
        <w:t>月</w:t>
      </w:r>
      <w:r>
        <w:rPr>
          <w:rFonts w:ascii="宋体" w:hAnsi="宋体" w:cs="宋体" w:eastAsia="宋体" w:hint="default"/>
        </w:rPr>
        <w:t>31</w:t>
      </w:r>
      <w:r>
        <w:rPr/>
        <w:t>日办理了工商变更手续。本次增资业经深圳市</w:t>
      </w:r>
      <w:r>
        <w:rPr>
          <w:spacing w:val="-27"/>
        </w:rPr>
        <w:t> </w:t>
      </w:r>
      <w:r>
        <w:rPr>
          <w:spacing w:val="-27"/>
        </w:rPr>
      </w:r>
      <w:r>
        <w:rPr/>
        <w:t>长城会计师事务所有限公司深长验字</w:t>
      </w:r>
      <w:r>
        <w:rPr>
          <w:rFonts w:ascii="宋体" w:hAnsi="宋体" w:cs="宋体" w:eastAsia="宋体" w:hint="default"/>
        </w:rPr>
        <w:t>(2004)</w:t>
      </w:r>
      <w:r>
        <w:rPr/>
        <w:t>第</w:t>
      </w:r>
      <w:r>
        <w:rPr>
          <w:rFonts w:ascii="宋体" w:hAnsi="宋体" w:cs="宋体" w:eastAsia="宋体" w:hint="default"/>
        </w:rPr>
        <w:t>159</w:t>
      </w:r>
      <w:r>
        <w:rPr/>
        <w:t>号验资报告验证。</w:t>
      </w:r>
    </w:p>
    <w:p>
      <w:pPr>
        <w:pStyle w:val="Heading6"/>
        <w:spacing w:line="386" w:lineRule="auto"/>
        <w:ind w:right="148" w:firstLine="420"/>
        <w:jc w:val="both"/>
      </w:pP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日经股东会决议，增加注册资本人民币</w:t>
      </w:r>
      <w:r>
        <w:rPr>
          <w:rFonts w:ascii="Times New Roman" w:hAnsi="Times New Roman" w:cs="Times New Roman" w:eastAsia="Times New Roman" w:hint="default"/>
          <w:spacing w:val="-3"/>
        </w:rPr>
        <w:t>2,500</w:t>
      </w:r>
      <w:r>
        <w:rPr>
          <w:spacing w:val="-3"/>
        </w:rPr>
        <w:t>万元，全部由未分配利润转增，增资后新国</w:t>
      </w:r>
      <w:r>
        <w:rPr>
          <w:w w:val="100"/>
        </w:rPr>
        <w:t> </w:t>
      </w:r>
      <w:r>
        <w:rPr>
          <w:spacing w:val="-3"/>
        </w:rPr>
        <w:t>都技术注册资本为人民币</w:t>
      </w:r>
      <w:r>
        <w:rPr>
          <w:rFonts w:ascii="Times New Roman" w:hAnsi="Times New Roman" w:cs="Times New Roman" w:eastAsia="Times New Roman" w:hint="default"/>
          <w:spacing w:val="-3"/>
        </w:rPr>
        <w:t>4,000</w:t>
      </w:r>
      <w:r>
        <w:rPr>
          <w:spacing w:val="-3"/>
        </w:rPr>
        <w:t>万元，其中：深圳市奥格立电子科技有限公司占注册资本的</w:t>
      </w:r>
      <w:r>
        <w:rPr>
          <w:rFonts w:ascii="Times New Roman" w:hAnsi="Times New Roman" w:cs="Times New Roman" w:eastAsia="Times New Roman" w:hint="default"/>
          <w:spacing w:val="-3"/>
        </w:rPr>
        <w:t>86%</w:t>
      </w:r>
      <w:r>
        <w:rPr>
          <w:spacing w:val="-3"/>
        </w:rPr>
        <w:t>；刘祥占注</w:t>
      </w:r>
      <w:r>
        <w:rPr>
          <w:spacing w:val="-11"/>
        </w:rPr>
        <w:t> </w:t>
      </w:r>
      <w:r>
        <w:rPr>
          <w:spacing w:val="-11"/>
        </w:rPr>
      </w:r>
      <w:r>
        <w:rPr>
          <w:spacing w:val="-1"/>
        </w:rPr>
        <w:t>册资本的</w:t>
      </w:r>
      <w:r>
        <w:rPr>
          <w:rFonts w:ascii="Times New Roman" w:hAnsi="Times New Roman" w:cs="Times New Roman" w:eastAsia="Times New Roman" w:hint="default"/>
          <w:spacing w:val="-1"/>
        </w:rPr>
        <w:t>14%</w:t>
      </w:r>
      <w:r>
        <w:rPr>
          <w:spacing w:val="-1"/>
        </w:rPr>
        <w:t>。并于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日办理了工商变更手续，本次增资业经深圳大华天诚会计师事务所深华</w:t>
      </w:r>
      <w:r>
        <w:rPr>
          <w:spacing w:val="-47"/>
        </w:rPr>
        <w:t> </w:t>
      </w:r>
      <w:r>
        <w:rPr>
          <w:spacing w:val="-47"/>
        </w:rPr>
      </w:r>
      <w:r>
        <w:rPr/>
        <w:t>验字</w:t>
      </w:r>
      <w:r>
        <w:rPr>
          <w:rFonts w:ascii="Times New Roman" w:hAnsi="Times New Roman" w:cs="Times New Roman" w:eastAsia="Times New Roman" w:hint="default"/>
        </w:rPr>
        <w:t>[2007]152</w:t>
      </w:r>
      <w:r>
        <w:rPr/>
        <w:t>号验资报告验证。</w:t>
      </w:r>
    </w:p>
    <w:p>
      <w:pPr>
        <w:pStyle w:val="Heading6"/>
        <w:spacing w:line="386" w:lineRule="auto" w:before="35"/>
        <w:ind w:right="146"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日股东会通过了同意深圳市奥格立电子科技有限公司将其持有新国都技术的</w:t>
      </w:r>
      <w:r>
        <w:rPr>
          <w:rFonts w:ascii="Times New Roman" w:hAnsi="Times New Roman" w:cs="Times New Roman" w:eastAsia="Times New Roman" w:hint="default"/>
        </w:rPr>
        <w:t>86%</w:t>
      </w:r>
      <w:r>
        <w:rPr/>
        <w:t>的股权</w:t>
      </w:r>
      <w:r>
        <w:rPr>
          <w:w w:val="100"/>
        </w:rPr>
        <w:t> </w:t>
      </w:r>
      <w:r>
        <w:rPr/>
        <w:t>以人民币</w:t>
      </w:r>
      <w:r>
        <w:rPr>
          <w:rFonts w:ascii="Times New Roman" w:hAnsi="Times New Roman" w:cs="Times New Roman" w:eastAsia="Times New Roman" w:hint="default"/>
        </w:rPr>
        <w:t>4,449.64</w:t>
      </w:r>
      <w:r>
        <w:rPr/>
        <w:t>万元的价格转让给刘祥、刘亚、江汉、李俊、徐兴春、栾承岚、李林杰、陈希芬、徐金</w:t>
      </w:r>
      <w:r>
        <w:rPr>
          <w:spacing w:val="-26"/>
        </w:rPr>
        <w:t> </w:t>
      </w:r>
      <w:r>
        <w:rPr>
          <w:spacing w:val="-26"/>
        </w:rPr>
      </w:r>
      <w:r>
        <w:rPr>
          <w:spacing w:val="-2"/>
        </w:rPr>
        <w:t>芳、韦余红、赵辉、汪洋、聂淼</w:t>
      </w:r>
      <w:r>
        <w:rPr>
          <w:rFonts w:ascii="Times New Roman" w:hAnsi="Times New Roman" w:cs="Times New Roman" w:eastAsia="Times New Roman" w:hint="default"/>
          <w:spacing w:val="-2"/>
        </w:rPr>
        <w:t>13</w:t>
      </w:r>
      <w:r>
        <w:rPr>
          <w:spacing w:val="-2"/>
        </w:rPr>
        <w:t>位自然人的决议，转让后深圳市奥格立电子科技有限公司不再持有新国</w:t>
      </w:r>
      <w:r>
        <w:rPr>
          <w:spacing w:val="-41"/>
        </w:rPr>
        <w:t> </w:t>
      </w:r>
      <w:r>
        <w:rPr>
          <w:spacing w:val="-41"/>
        </w:rPr>
      </w:r>
      <w:r>
        <w:rPr/>
        <w:t>都技术的股份。并于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日办理了工商变更手续。本次股权转让完成后，新国都技术股权结构如</w:t>
      </w:r>
      <w:r>
        <w:rPr>
          <w:spacing w:val="-28"/>
        </w:rPr>
        <w:t> </w:t>
      </w:r>
      <w:r>
        <w:rPr>
          <w:spacing w:val="-28"/>
        </w:rPr>
      </w:r>
      <w:r>
        <w:rPr/>
        <w:t>下表：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2859"/>
        <w:gridCol w:w="2708"/>
        <w:gridCol w:w="2729"/>
      </w:tblGrid>
      <w:tr>
        <w:trPr>
          <w:trHeight w:val="511" w:hRule="exact"/>
        </w:trPr>
        <w:tc>
          <w:tcPr>
            <w:tcW w:w="2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7" w:right="0"/>
              <w:jc w:val="center"/>
              <w:rPr>
                <w:rFonts w:ascii="宋体" w:hAnsi="宋体" w:cs="宋体" w:eastAsia="宋体" w:hint="default"/>
                <w:sz w:val="16"/>
                <w:szCs w:val="16"/>
              </w:rPr>
            </w:pPr>
            <w:r>
              <w:rPr>
                <w:rFonts w:ascii="宋体" w:hAnsi="宋体" w:cs="宋体" w:eastAsia="宋体" w:hint="default"/>
                <w:sz w:val="16"/>
                <w:szCs w:val="16"/>
              </w:rPr>
              <w:t>股东名称</w:t>
            </w:r>
          </w:p>
        </w:tc>
        <w:tc>
          <w:tcPr>
            <w:tcW w:w="2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81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所持股份</w:t>
            </w:r>
            <w:r>
              <w:rPr>
                <w:rFonts w:ascii="Times New Roman" w:hAnsi="Times New Roman" w:cs="Times New Roman" w:eastAsia="Times New Roman" w:hint="default"/>
                <w:sz w:val="16"/>
                <w:szCs w:val="16"/>
              </w:rPr>
              <w:t>(</w:t>
            </w:r>
            <w:r>
              <w:rPr>
                <w:rFonts w:ascii="宋体" w:hAnsi="宋体" w:cs="宋体" w:eastAsia="宋体" w:hint="default"/>
                <w:sz w:val="16"/>
                <w:szCs w:val="16"/>
              </w:rPr>
              <w:t>万股</w:t>
            </w:r>
            <w:r>
              <w:rPr>
                <w:rFonts w:ascii="Times New Roman" w:hAnsi="Times New Roman" w:cs="Times New Roman" w:eastAsia="Times New Roman" w:hint="default"/>
                <w:sz w:val="16"/>
                <w:szCs w:val="16"/>
              </w:rPr>
              <w:t>)</w:t>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5"/>
              <w:ind w:right="3"/>
              <w:jc w:val="center"/>
              <w:rPr>
                <w:rFonts w:ascii="宋体" w:hAnsi="宋体" w:cs="宋体" w:eastAsia="宋体" w:hint="default"/>
                <w:sz w:val="16"/>
                <w:szCs w:val="16"/>
              </w:rPr>
            </w:pPr>
            <w:r>
              <w:rPr>
                <w:rFonts w:ascii="宋体" w:hAnsi="宋体" w:cs="宋体" w:eastAsia="宋体" w:hint="default"/>
                <w:sz w:val="16"/>
                <w:szCs w:val="16"/>
              </w:rPr>
              <w:t>持股比例</w:t>
            </w:r>
          </w:p>
        </w:tc>
      </w:tr>
      <w:tr>
        <w:trPr>
          <w:trHeight w:val="506"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刘祥</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2,115</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52.875%</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刘亚</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pacing w:val="-1"/>
                <w:sz w:val="16"/>
              </w:rPr>
              <w:t>705</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17.625%</w:t>
            </w:r>
          </w:p>
        </w:tc>
      </w:tr>
    </w:tbl>
    <w:p>
      <w:pPr>
        <w:spacing w:after="0" w:line="240" w:lineRule="auto"/>
        <w:jc w:val="right"/>
        <w:rPr>
          <w:rFonts w:ascii="Times New Roman" w:hAnsi="Times New Roman" w:cs="Times New Roman" w:eastAsia="Times New Roman" w:hint="default"/>
          <w:sz w:val="16"/>
          <w:szCs w:val="16"/>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859"/>
        <w:gridCol w:w="2708"/>
        <w:gridCol w:w="2729"/>
      </w:tblGrid>
      <w:tr>
        <w:trPr>
          <w:trHeight w:val="512" w:hRule="exact"/>
        </w:trPr>
        <w:tc>
          <w:tcPr>
            <w:tcW w:w="2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4" w:right="0"/>
              <w:jc w:val="left"/>
              <w:rPr>
                <w:rFonts w:ascii="宋体" w:hAnsi="宋体" w:cs="宋体" w:eastAsia="宋体" w:hint="default"/>
                <w:sz w:val="16"/>
                <w:szCs w:val="16"/>
              </w:rPr>
            </w:pPr>
            <w:r>
              <w:rPr>
                <w:rFonts w:ascii="宋体" w:hAnsi="宋体" w:cs="宋体" w:eastAsia="宋体" w:hint="default"/>
                <w:sz w:val="16"/>
                <w:szCs w:val="16"/>
              </w:rPr>
              <w:t>江汉</w:t>
            </w:r>
          </w:p>
        </w:tc>
        <w:tc>
          <w:tcPr>
            <w:tcW w:w="2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705</w:t>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spacing w:val="-1"/>
                <w:sz w:val="16"/>
              </w:rPr>
              <w:t>17.625%</w:t>
            </w:r>
          </w:p>
        </w:tc>
      </w:tr>
      <w:tr>
        <w:trPr>
          <w:trHeight w:val="506"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赵辉</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40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4"/>
              <w:jc w:val="right"/>
              <w:rPr>
                <w:rFonts w:ascii="Times New Roman" w:hAnsi="Times New Roman" w:cs="Times New Roman" w:eastAsia="Times New Roman" w:hint="default"/>
                <w:sz w:val="16"/>
                <w:szCs w:val="16"/>
              </w:rPr>
            </w:pPr>
            <w:r>
              <w:rPr>
                <w:rFonts w:ascii="Times New Roman"/>
                <w:sz w:val="16"/>
              </w:rPr>
              <w:t>1%</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韦余红</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z w:val="16"/>
              </w:rPr>
              <w:t>40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4"/>
              <w:jc w:val="right"/>
              <w:rPr>
                <w:rFonts w:ascii="Times New Roman" w:hAnsi="Times New Roman" w:cs="Times New Roman" w:eastAsia="Times New Roman" w:hint="default"/>
                <w:sz w:val="16"/>
                <w:szCs w:val="16"/>
              </w:rPr>
            </w:pPr>
            <w:r>
              <w:rPr>
                <w:rFonts w:ascii="Times New Roman"/>
                <w:sz w:val="16"/>
              </w:rPr>
              <w:t>1%</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徐兴春</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60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1.5%</w:t>
            </w:r>
          </w:p>
        </w:tc>
      </w:tr>
      <w:tr>
        <w:trPr>
          <w:trHeight w:val="506"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汪洋</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40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4"/>
              <w:jc w:val="right"/>
              <w:rPr>
                <w:rFonts w:ascii="Times New Roman" w:hAnsi="Times New Roman" w:cs="Times New Roman" w:eastAsia="Times New Roman" w:hint="default"/>
                <w:sz w:val="16"/>
                <w:szCs w:val="16"/>
              </w:rPr>
            </w:pPr>
            <w:r>
              <w:rPr>
                <w:rFonts w:ascii="Times New Roman"/>
                <w:sz w:val="16"/>
              </w:rPr>
              <w:t>1%</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徐金芳</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z w:val="16"/>
              </w:rPr>
              <w:t>40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4"/>
              <w:jc w:val="right"/>
              <w:rPr>
                <w:rFonts w:ascii="Times New Roman" w:hAnsi="Times New Roman" w:cs="Times New Roman" w:eastAsia="Times New Roman" w:hint="default"/>
                <w:sz w:val="16"/>
                <w:szCs w:val="16"/>
              </w:rPr>
            </w:pPr>
            <w:r>
              <w:rPr>
                <w:rFonts w:ascii="Times New Roman"/>
                <w:sz w:val="16"/>
              </w:rPr>
              <w:t>1%</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李俊</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60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1.5%</w:t>
            </w:r>
          </w:p>
        </w:tc>
      </w:tr>
      <w:tr>
        <w:trPr>
          <w:trHeight w:val="507"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陈希芬</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50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1.25%</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聂淼</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z w:val="16"/>
              </w:rPr>
              <w:t>35</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6"/>
              <w:jc w:val="right"/>
              <w:rPr>
                <w:rFonts w:ascii="Times New Roman" w:hAnsi="Times New Roman" w:cs="Times New Roman" w:eastAsia="Times New Roman" w:hint="default"/>
                <w:sz w:val="16"/>
                <w:szCs w:val="16"/>
              </w:rPr>
            </w:pPr>
            <w:r>
              <w:rPr>
                <w:rFonts w:ascii="Times New Roman"/>
                <w:spacing w:val="-1"/>
                <w:sz w:val="16"/>
              </w:rPr>
              <w:t>0.875%</w:t>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栾承岚</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60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1.5%</w:t>
            </w:r>
          </w:p>
        </w:tc>
      </w:tr>
      <w:tr>
        <w:trPr>
          <w:trHeight w:val="506"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李林杰</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z w:val="16"/>
              </w:rPr>
              <w:t>50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6"/>
              <w:jc w:val="right"/>
              <w:rPr>
                <w:rFonts w:ascii="Times New Roman" w:hAnsi="Times New Roman" w:cs="Times New Roman" w:eastAsia="Times New Roman" w:hint="default"/>
                <w:sz w:val="16"/>
                <w:szCs w:val="16"/>
              </w:rPr>
            </w:pPr>
            <w:r>
              <w:rPr>
                <w:rFonts w:ascii="Times New Roman"/>
                <w:spacing w:val="-1"/>
                <w:sz w:val="16"/>
              </w:rPr>
              <w:t>1.25%</w:t>
            </w:r>
            <w:r>
              <w:rPr>
                <w:rFonts w:ascii="Times New Roman"/>
                <w:sz w:val="16"/>
              </w:rPr>
            </w:r>
          </w:p>
        </w:tc>
      </w:tr>
      <w:tr>
        <w:trPr>
          <w:trHeight w:val="509" w:hRule="exact"/>
        </w:trPr>
        <w:tc>
          <w:tcPr>
            <w:tcW w:w="2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pacing w:val="-1"/>
                <w:sz w:val="16"/>
              </w:rPr>
              <w:t>4,000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100%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6"/>
        <w:spacing w:line="386" w:lineRule="auto" w:before="36"/>
        <w:ind w:right="148" w:firstLine="420"/>
        <w:jc w:val="both"/>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2008</w:t>
      </w:r>
      <w:r>
        <w:rPr/>
        <w:t>年第</w:t>
      </w:r>
      <w:r>
        <w:rPr>
          <w:rFonts w:ascii="Times New Roman" w:hAnsi="Times New Roman" w:cs="Times New Roman" w:eastAsia="Times New Roman" w:hint="default"/>
        </w:rPr>
        <w:t>3</w:t>
      </w:r>
      <w:r>
        <w:rPr/>
        <w:t>次临时股东会会议及其决议、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日签订的发起人协议规</w:t>
      </w:r>
      <w:r>
        <w:rPr>
          <w:w w:val="100"/>
        </w:rPr>
        <w:t> </w:t>
      </w:r>
      <w:r>
        <w:rPr/>
        <w:t>定，新国都技术由有限责任公司整体变更为股份有限公司，以截止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日经审计的净资产人民币</w:t>
      </w:r>
      <w:r>
        <w:rPr>
          <w:spacing w:val="-24"/>
        </w:rPr>
        <w:t> </w:t>
      </w:r>
      <w:r>
        <w:rPr>
          <w:spacing w:val="-24"/>
        </w:rPr>
      </w:r>
      <w:r>
        <w:rPr>
          <w:rFonts w:ascii="Times New Roman" w:hAnsi="Times New Roman" w:cs="Times New Roman" w:eastAsia="Times New Roman" w:hint="default"/>
          <w:spacing w:val="-1"/>
        </w:rPr>
        <w:t>59,860,459.32</w:t>
      </w:r>
      <w:r>
        <w:rPr>
          <w:spacing w:val="-1"/>
        </w:rPr>
        <w:t>元中的</w:t>
      </w:r>
      <w:r>
        <w:rPr>
          <w:rFonts w:ascii="Times New Roman" w:hAnsi="Times New Roman" w:cs="Times New Roman" w:eastAsia="Times New Roman" w:hint="default"/>
          <w:spacing w:val="-1"/>
        </w:rPr>
        <w:t>4,000</w:t>
      </w:r>
      <w:r>
        <w:rPr>
          <w:spacing w:val="-1"/>
        </w:rPr>
        <w:t>万元按</w:t>
      </w:r>
      <w:r>
        <w:rPr>
          <w:rFonts w:ascii="Times New Roman" w:hAnsi="Times New Roman" w:cs="Times New Roman" w:eastAsia="Times New Roman" w:hint="default"/>
          <w:spacing w:val="-1"/>
        </w:rPr>
        <w:t>1:1</w:t>
      </w:r>
      <w:r>
        <w:rPr>
          <w:spacing w:val="-1"/>
        </w:rPr>
        <w:t>的比例折合为股本总额</w:t>
      </w:r>
      <w:r>
        <w:rPr>
          <w:rFonts w:ascii="Times New Roman" w:hAnsi="Times New Roman" w:cs="Times New Roman" w:eastAsia="Times New Roman" w:hint="default"/>
          <w:spacing w:val="-1"/>
        </w:rPr>
        <w:t>4,000</w:t>
      </w:r>
      <w:r>
        <w:rPr>
          <w:spacing w:val="-1"/>
        </w:rPr>
        <w:t>万股。变更后的注册资本为人民币</w:t>
      </w:r>
      <w:r>
        <w:rPr>
          <w:rFonts w:ascii="Times New Roman" w:hAnsi="Times New Roman" w:cs="Times New Roman" w:eastAsia="Times New Roman" w:hint="default"/>
          <w:spacing w:val="-1"/>
        </w:rPr>
        <w:t>4,000</w:t>
      </w:r>
      <w:r>
        <w:rPr>
          <w:spacing w:val="-1"/>
        </w:rPr>
        <w:t>万</w:t>
      </w:r>
      <w:r>
        <w:rPr>
          <w:spacing w:val="-25"/>
        </w:rPr>
        <w:t> </w:t>
      </w:r>
      <w:r>
        <w:rPr>
          <w:spacing w:val="-3"/>
        </w:rPr>
        <w:t>元。本次变更业经深圳大华天诚会计师事务所深华验字</w:t>
      </w:r>
      <w:r>
        <w:rPr>
          <w:rFonts w:ascii="Times New Roman" w:hAnsi="Times New Roman" w:cs="Times New Roman" w:eastAsia="Times New Roman" w:hint="default"/>
          <w:spacing w:val="-3"/>
        </w:rPr>
        <w:t>[2008]35</w:t>
      </w:r>
      <w:r>
        <w:rPr>
          <w:spacing w:val="-3"/>
        </w:rPr>
        <w:t>号验资报告验证。</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日，新国都</w:t>
      </w:r>
      <w:r>
        <w:rPr>
          <w:spacing w:val="-12"/>
        </w:rPr>
        <w:t> </w:t>
      </w:r>
      <w:r>
        <w:rPr>
          <w:spacing w:val="-12"/>
        </w:rPr>
      </w:r>
      <w:r>
        <w:rPr/>
        <w:t>技术取得深圳市工商行政管理局核发的</w:t>
      </w:r>
      <w:r>
        <w:rPr>
          <w:rFonts w:ascii="Times New Roman" w:hAnsi="Times New Roman" w:cs="Times New Roman" w:eastAsia="Times New Roman" w:hint="default"/>
        </w:rPr>
        <w:t>440301103074776</w:t>
      </w:r>
      <w:r>
        <w:rPr/>
        <w:t>号《企业法人营业执照》。</w:t>
      </w:r>
    </w:p>
    <w:p>
      <w:pPr>
        <w:pStyle w:val="Heading6"/>
        <w:spacing w:line="386" w:lineRule="auto" w:before="35"/>
        <w:ind w:right="154"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月，本公司与深圳国际高新技术产权交易所签订了股权登记托管服务合同，办理了非上市股</w:t>
      </w:r>
      <w:r>
        <w:rPr>
          <w:w w:val="100"/>
        </w:rPr>
        <w:t> </w:t>
      </w:r>
      <w:r>
        <w:rPr/>
        <w:t>份有限公司股权托管。</w:t>
      </w:r>
    </w:p>
    <w:p>
      <w:pPr>
        <w:pStyle w:val="Heading6"/>
        <w:spacing w:line="386" w:lineRule="auto" w:before="65"/>
        <w:ind w:right="148" w:firstLine="420"/>
        <w:jc w:val="both"/>
      </w:pPr>
      <w:r>
        <w:rPr/>
        <w:t>根据本公司</w:t>
      </w:r>
      <w:r>
        <w:rPr>
          <w:rFonts w:ascii="Times New Roman" w:hAnsi="Times New Roman" w:cs="Times New Roman" w:eastAsia="Times New Roman" w:hint="default"/>
        </w:rPr>
        <w:t>2008</w:t>
      </w:r>
      <w:r>
        <w:rPr/>
        <w:t>年第一次临时股东会决议和修改后章程的规定，本公司申请增加注册资本人民币</w:t>
      </w:r>
      <w:r>
        <w:rPr>
          <w:rFonts w:ascii="Times New Roman" w:hAnsi="Times New Roman" w:cs="Times New Roman" w:eastAsia="Times New Roman" w:hint="default"/>
        </w:rPr>
        <w:t>750</w:t>
      </w:r>
      <w:r>
        <w:rPr>
          <w:rFonts w:ascii="Times New Roman" w:hAnsi="Times New Roman" w:cs="Times New Roman" w:eastAsia="Times New Roman" w:hint="default"/>
          <w:w w:val="100"/>
        </w:rPr>
        <w:t> </w:t>
      </w:r>
      <w:r>
        <w:rPr>
          <w:spacing w:val="-3"/>
        </w:rPr>
        <w:t>万元，变更后的注册资本为人民币</w:t>
      </w:r>
      <w:r>
        <w:rPr>
          <w:rFonts w:ascii="Times New Roman" w:hAnsi="Times New Roman" w:cs="Times New Roman" w:eastAsia="Times New Roman" w:hint="default"/>
          <w:spacing w:val="-3"/>
        </w:rPr>
        <w:t>4,750</w:t>
      </w:r>
      <w:r>
        <w:rPr>
          <w:spacing w:val="-3"/>
        </w:rPr>
        <w:t>万元。新增注册资本由深圳市创新投资集团有限公司、北京首创建</w:t>
      </w:r>
      <w:r>
        <w:rPr>
          <w:spacing w:val="-46"/>
        </w:rPr>
        <w:t> </w:t>
      </w:r>
      <w:r>
        <w:rPr>
          <w:spacing w:val="-46"/>
        </w:rPr>
      </w:r>
      <w:r>
        <w:rPr>
          <w:spacing w:val="-4"/>
        </w:rPr>
        <w:t>设有限公司、深圳市长润创业投资企业</w:t>
      </w:r>
      <w:r>
        <w:rPr>
          <w:rFonts w:ascii="Times New Roman" w:hAnsi="Times New Roman" w:cs="Times New Roman" w:eastAsia="Times New Roman" w:hint="default"/>
          <w:spacing w:val="-4"/>
        </w:rPr>
        <w:t>(</w:t>
      </w:r>
      <w:r>
        <w:rPr>
          <w:spacing w:val="-4"/>
        </w:rPr>
        <w:t>有限合伙</w:t>
      </w:r>
      <w:r>
        <w:rPr>
          <w:rFonts w:ascii="Times New Roman" w:hAnsi="Times New Roman" w:cs="Times New Roman" w:eastAsia="Times New Roman" w:hint="default"/>
          <w:spacing w:val="-4"/>
        </w:rPr>
        <w:t>)</w:t>
      </w:r>
      <w:r>
        <w:rPr>
          <w:spacing w:val="-4"/>
        </w:rPr>
        <w:t>、上海林耐实业投资中心</w:t>
      </w:r>
      <w:r>
        <w:rPr>
          <w:rFonts w:ascii="Times New Roman" w:hAnsi="Times New Roman" w:cs="Times New Roman" w:eastAsia="Times New Roman" w:hint="default"/>
          <w:spacing w:val="-4"/>
        </w:rPr>
        <w:t>(</w:t>
      </w:r>
      <w:r>
        <w:rPr>
          <w:spacing w:val="-4"/>
        </w:rPr>
        <w:t>有限合伙</w:t>
      </w:r>
      <w:r>
        <w:rPr>
          <w:rFonts w:ascii="Times New Roman" w:hAnsi="Times New Roman" w:cs="Times New Roman" w:eastAsia="Times New Roman" w:hint="default"/>
          <w:spacing w:val="-4"/>
        </w:rPr>
        <w:t>)</w:t>
      </w:r>
      <w:r>
        <w:rPr>
          <w:spacing w:val="-4"/>
        </w:rPr>
        <w:t>、深圳市福田创新资</w:t>
      </w:r>
      <w:r>
        <w:rPr>
          <w:spacing w:val="-14"/>
        </w:rPr>
        <w:t> </w:t>
      </w:r>
      <w:r>
        <w:rPr>
          <w:spacing w:val="-14"/>
        </w:rPr>
      </w:r>
      <w:r>
        <w:rPr/>
        <w:t>本创业投资有限公司、蔡衍军、陈新华、里维宁、王凌海、许芹、李妍</w:t>
      </w:r>
      <w:r>
        <w:rPr>
          <w:rFonts w:ascii="Times New Roman" w:hAnsi="Times New Roman" w:cs="Times New Roman" w:eastAsia="Times New Roman" w:hint="default"/>
        </w:rPr>
        <w:t>11</w:t>
      </w:r>
      <w:r>
        <w:rPr/>
        <w:t>位新股东以人民币</w:t>
      </w:r>
      <w:r>
        <w:rPr>
          <w:rFonts w:ascii="Times New Roman" w:hAnsi="Times New Roman" w:cs="Times New Roman" w:eastAsia="Times New Roman" w:hint="default"/>
        </w:rPr>
        <w:t>5,002.50</w:t>
      </w:r>
      <w:r>
        <w:rPr/>
        <w:t>万元</w:t>
      </w:r>
      <w:r>
        <w:rPr>
          <w:spacing w:val="-24"/>
        </w:rPr>
        <w:t> </w:t>
      </w:r>
      <w:r>
        <w:rPr>
          <w:spacing w:val="-2"/>
        </w:rPr>
        <w:t>全部认购，其中人民币</w:t>
      </w:r>
      <w:r>
        <w:rPr>
          <w:rFonts w:ascii="Times New Roman" w:hAnsi="Times New Roman" w:cs="Times New Roman" w:eastAsia="Times New Roman" w:hint="default"/>
          <w:spacing w:val="-2"/>
        </w:rPr>
        <w:t>750</w:t>
      </w:r>
      <w:r>
        <w:rPr>
          <w:spacing w:val="-2"/>
        </w:rPr>
        <w:t>万元作为新增注册资本，剩余人民币</w:t>
      </w:r>
      <w:r>
        <w:rPr>
          <w:rFonts w:ascii="Times New Roman" w:hAnsi="Times New Roman" w:cs="Times New Roman" w:eastAsia="Times New Roman" w:hint="default"/>
          <w:spacing w:val="-2"/>
        </w:rPr>
        <w:t>4,252.50</w:t>
      </w:r>
      <w:r>
        <w:rPr>
          <w:spacing w:val="-2"/>
        </w:rPr>
        <w:t>万元作为本公司资本公积，增资后</w:t>
      </w:r>
      <w:r>
        <w:rPr>
          <w:spacing w:val="-33"/>
        </w:rPr>
        <w:t> </w:t>
      </w:r>
      <w:r>
        <w:rPr>
          <w:spacing w:val="-33"/>
        </w:rPr>
      </w:r>
      <w:r>
        <w:rPr>
          <w:spacing w:val="-2"/>
        </w:rPr>
        <w:t>本公司注册资本为人民币</w:t>
      </w:r>
      <w:r>
        <w:rPr>
          <w:rFonts w:ascii="Times New Roman" w:hAnsi="Times New Roman" w:cs="Times New Roman" w:eastAsia="Times New Roman" w:hint="default"/>
          <w:spacing w:val="-2"/>
        </w:rPr>
        <w:t>4,750</w:t>
      </w:r>
      <w:r>
        <w:rPr>
          <w:spacing w:val="-2"/>
        </w:rPr>
        <w:t>万元。该增资业经广东大华德律会计师事务所深华验字</w:t>
      </w:r>
      <w:r>
        <w:rPr>
          <w:rFonts w:ascii="Times New Roman" w:hAnsi="Times New Roman" w:cs="Times New Roman" w:eastAsia="Times New Roman" w:hint="default"/>
          <w:spacing w:val="-2"/>
        </w:rPr>
        <w:t>[2008]74</w:t>
      </w:r>
      <w:r>
        <w:rPr>
          <w:spacing w:val="-2"/>
        </w:rPr>
        <w:t>号验资报告</w:t>
      </w:r>
      <w:r>
        <w:rPr>
          <w:spacing w:val="-14"/>
        </w:rPr>
        <w:t> </w:t>
      </w:r>
      <w:r>
        <w:rPr>
          <w:spacing w:val="-14"/>
        </w:rPr>
      </w:r>
      <w:r>
        <w:rPr/>
        <w:t>验证。并于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日办理完毕工商变更手续。</w:t>
      </w:r>
    </w:p>
    <w:p>
      <w:pPr>
        <w:pStyle w:val="Heading6"/>
        <w:spacing w:line="240" w:lineRule="auto" w:before="35"/>
        <w:ind w:left="573" w:right="141"/>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日，上海林耐实业投资中心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将其持有的本公司</w:t>
      </w:r>
      <w:r>
        <w:rPr>
          <w:rFonts w:ascii="Times New Roman" w:hAnsi="Times New Roman" w:cs="Times New Roman" w:eastAsia="Times New Roman" w:hint="default"/>
        </w:rPr>
        <w:t>1.684%</w:t>
      </w:r>
      <w:r>
        <w:rPr/>
        <w:t>的股权全部转让给自然人</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240" w:lineRule="auto" w:before="175"/>
        <w:ind w:right="0"/>
        <w:jc w:val="both"/>
      </w:pPr>
      <w:r>
        <w:rPr/>
        <w:t>张燕民，并于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6"/>
        <w:spacing w:line="386" w:lineRule="auto" w:before="177"/>
        <w:ind w:right="149" w:firstLine="420"/>
        <w:jc w:val="both"/>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日，深圳市长润创业投资企业</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将其持有的本公司</w:t>
      </w:r>
      <w:r>
        <w:rPr>
          <w:rFonts w:ascii="Times New Roman" w:hAnsi="Times New Roman" w:cs="Times New Roman" w:eastAsia="Times New Roman" w:hint="default"/>
          <w:spacing w:val="-3"/>
        </w:rPr>
        <w:t>2.105%</w:t>
      </w:r>
      <w:r>
        <w:rPr>
          <w:spacing w:val="-3"/>
        </w:rPr>
        <w:t>的股权全部转让给自然</w:t>
      </w:r>
      <w:r>
        <w:rPr>
          <w:w w:val="100"/>
        </w:rPr>
        <w:t> </w:t>
      </w:r>
      <w:r>
        <w:rPr/>
        <w:t>人王巍，并于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6"/>
        <w:spacing w:line="240" w:lineRule="auto" w:before="35"/>
        <w:ind w:left="573" w:right="0"/>
        <w:jc w:val="left"/>
      </w:pPr>
      <w:r>
        <w:rPr>
          <w:rFonts w:ascii="Times New Roman" w:hAnsi="Times New Roman" w:cs="Times New Roman" w:eastAsia="Times New Roman" w:hint="default"/>
          <w:w w:val="100"/>
        </w:rPr>
        <w:t>200</w:t>
      </w:r>
      <w:r>
        <w:rPr>
          <w:rFonts w:ascii="Times New Roman" w:hAnsi="Times New Roman" w:cs="Times New Roman" w:eastAsia="Times New Roman" w:hint="default"/>
          <w:spacing w:val="2"/>
          <w:w w:val="100"/>
        </w:rPr>
        <w:t>9</w:t>
      </w:r>
      <w:r>
        <w:rPr>
          <w:spacing w:val="2"/>
          <w:w w:val="100"/>
        </w:rPr>
        <w:t>年</w:t>
      </w:r>
      <w:r>
        <w:rPr>
          <w:rFonts w:ascii="Times New Roman" w:hAnsi="Times New Roman" w:cs="Times New Roman" w:eastAsia="Times New Roman" w:hint="default"/>
          <w:spacing w:val="4"/>
          <w:w w:val="100"/>
        </w:rPr>
        <w:t>7</w:t>
      </w:r>
      <w:r>
        <w:rPr>
          <w:spacing w:val="2"/>
          <w:w w:val="100"/>
        </w:rPr>
        <w:t>月</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5</w:t>
      </w:r>
      <w:r>
        <w:rPr>
          <w:spacing w:val="2"/>
          <w:w w:val="100"/>
        </w:rPr>
        <w:t>日</w:t>
      </w:r>
      <w:r>
        <w:rPr>
          <w:spacing w:val="4"/>
          <w:w w:val="100"/>
        </w:rPr>
        <w:t>，</w:t>
      </w:r>
      <w:r>
        <w:rPr>
          <w:spacing w:val="2"/>
          <w:w w:val="100"/>
        </w:rPr>
        <w:t>北京首创</w:t>
      </w:r>
      <w:r>
        <w:rPr>
          <w:spacing w:val="4"/>
          <w:w w:val="100"/>
        </w:rPr>
        <w:t>建</w:t>
      </w:r>
      <w:r>
        <w:rPr>
          <w:spacing w:val="2"/>
          <w:w w:val="100"/>
        </w:rPr>
        <w:t>设有限</w:t>
      </w:r>
      <w:r>
        <w:rPr>
          <w:spacing w:val="4"/>
          <w:w w:val="100"/>
        </w:rPr>
        <w:t>公</w:t>
      </w:r>
      <w:r>
        <w:rPr>
          <w:spacing w:val="5"/>
          <w:w w:val="100"/>
        </w:rPr>
        <w:t>司</w:t>
      </w:r>
      <w:r>
        <w:rPr>
          <w:rFonts w:ascii="Times New Roman" w:hAnsi="Times New Roman" w:cs="Times New Roman" w:eastAsia="Times New Roman" w:hint="default"/>
          <w:spacing w:val="4"/>
          <w:w w:val="100"/>
        </w:rPr>
        <w:t>(</w:t>
      </w:r>
      <w:r>
        <w:rPr>
          <w:spacing w:val="2"/>
          <w:w w:val="100"/>
        </w:rPr>
        <w:t>以下简称</w:t>
      </w:r>
      <w:r>
        <w:rPr>
          <w:rFonts w:ascii="Times New Roman" w:hAnsi="Times New Roman" w:cs="Times New Roman" w:eastAsia="Times New Roman" w:hint="default"/>
          <w:spacing w:val="5"/>
          <w:w w:val="44"/>
        </w:rPr>
        <w:t>―</w:t>
      </w:r>
      <w:r>
        <w:rPr>
          <w:spacing w:val="2"/>
          <w:w w:val="100"/>
        </w:rPr>
        <w:t>首创建</w:t>
      </w:r>
      <w:r>
        <w:rPr>
          <w:spacing w:val="4"/>
          <w:w w:val="100"/>
        </w:rPr>
        <w:t>设</w:t>
      </w:r>
      <w:r>
        <w:rPr>
          <w:rFonts w:ascii="Times New Roman" w:hAnsi="Times New Roman" w:cs="Times New Roman" w:eastAsia="Times New Roman" w:hint="default"/>
          <w:spacing w:val="-1"/>
          <w:w w:val="127"/>
        </w:rPr>
        <w:t>‖</w:t>
      </w:r>
      <w:r>
        <w:rPr>
          <w:rFonts w:ascii="Times New Roman" w:hAnsi="Times New Roman" w:cs="Times New Roman" w:eastAsia="Times New Roman" w:hint="default"/>
          <w:spacing w:val="1"/>
          <w:w w:val="127"/>
        </w:rPr>
        <w:t>)</w:t>
      </w:r>
      <w:r>
        <w:rPr>
          <w:spacing w:val="4"/>
          <w:w w:val="100"/>
        </w:rPr>
        <w:t>董</w:t>
      </w:r>
      <w:r>
        <w:rPr>
          <w:spacing w:val="2"/>
          <w:w w:val="100"/>
        </w:rPr>
        <w:t>事会通过了关</w:t>
      </w:r>
      <w:r>
        <w:rPr>
          <w:spacing w:val="4"/>
          <w:w w:val="100"/>
        </w:rPr>
        <w:t>于</w:t>
      </w:r>
      <w:r>
        <w:rPr>
          <w:spacing w:val="2"/>
          <w:w w:val="100"/>
        </w:rPr>
        <w:t>转让其</w:t>
      </w:r>
      <w:r>
        <w:rPr>
          <w:spacing w:val="4"/>
          <w:w w:val="100"/>
        </w:rPr>
        <w:t>持</w:t>
      </w:r>
      <w:r>
        <w:rPr>
          <w:spacing w:val="2"/>
          <w:w w:val="100"/>
        </w:rPr>
        <w:t>有本公</w:t>
      </w:r>
      <w:r>
        <w:rPr>
          <w:w w:val="100"/>
        </w:rPr>
        <w:t>司</w:t>
      </w:r>
    </w:p>
    <w:p>
      <w:pPr>
        <w:pStyle w:val="Heading6"/>
        <w:spacing w:line="393" w:lineRule="auto" w:before="177"/>
        <w:ind w:right="146"/>
        <w:jc w:val="both"/>
      </w:pPr>
      <w:r>
        <w:rPr>
          <w:rFonts w:ascii="Times New Roman" w:hAnsi="Times New Roman" w:cs="Times New Roman" w:eastAsia="Times New Roman" w:hint="default"/>
        </w:rPr>
        <w:t>120</w:t>
      </w:r>
      <w:r>
        <w:rPr/>
        <w:t>万股股份的决议，同意以不低于评估价格转让上述股权，并按照国有产权转让相关规定履行审批程序</w:t>
      </w:r>
      <w:r>
        <w:rPr>
          <w:spacing w:val="-27"/>
        </w:rPr>
        <w:t> </w:t>
      </w:r>
      <w:r>
        <w:rPr>
          <w:spacing w:val="-27"/>
        </w:rPr>
      </w:r>
      <w:r>
        <w:rPr>
          <w:w w:val="100"/>
        </w:rPr>
        <w:t>和转</w:t>
      </w:r>
      <w:r>
        <w:rPr>
          <w:spacing w:val="-3"/>
          <w:w w:val="100"/>
        </w:rPr>
        <w:t>让</w:t>
      </w:r>
      <w:r>
        <w:rPr>
          <w:w w:val="100"/>
        </w:rPr>
        <w:t>流</w:t>
      </w:r>
      <w:r>
        <w:rPr>
          <w:spacing w:val="-3"/>
          <w:w w:val="100"/>
        </w:rPr>
        <w:t>程</w:t>
      </w:r>
      <w:r>
        <w:rPr>
          <w:spacing w:val="-13"/>
          <w:w w:val="100"/>
        </w:rPr>
        <w:t>，</w:t>
      </w:r>
      <w:r>
        <w:rPr>
          <w:spacing w:val="-3"/>
          <w:w w:val="100"/>
        </w:rPr>
        <w:t>呈</w:t>
      </w:r>
      <w:r>
        <w:rPr>
          <w:w w:val="100"/>
        </w:rPr>
        <w:t>报</w:t>
      </w:r>
      <w:r>
        <w:rPr>
          <w:spacing w:val="-3"/>
          <w:w w:val="100"/>
        </w:rPr>
        <w:t>北</w:t>
      </w:r>
      <w:r>
        <w:rPr>
          <w:w w:val="100"/>
        </w:rPr>
        <w:t>京</w:t>
      </w:r>
      <w:r>
        <w:rPr>
          <w:spacing w:val="-3"/>
          <w:w w:val="100"/>
        </w:rPr>
        <w:t>首</w:t>
      </w:r>
      <w:r>
        <w:rPr>
          <w:w w:val="100"/>
        </w:rPr>
        <w:t>都创</w:t>
      </w:r>
      <w:r>
        <w:rPr>
          <w:spacing w:val="-3"/>
          <w:w w:val="100"/>
        </w:rPr>
        <w:t>业</w:t>
      </w:r>
      <w:r>
        <w:rPr>
          <w:w w:val="100"/>
        </w:rPr>
        <w:t>集</w:t>
      </w:r>
      <w:r>
        <w:rPr>
          <w:spacing w:val="-3"/>
          <w:w w:val="100"/>
        </w:rPr>
        <w:t>团</w:t>
      </w:r>
      <w:r>
        <w:rPr>
          <w:w w:val="100"/>
        </w:rPr>
        <w:t>有</w:t>
      </w:r>
      <w:r>
        <w:rPr>
          <w:spacing w:val="-3"/>
          <w:w w:val="100"/>
        </w:rPr>
        <w:t>限</w:t>
      </w:r>
      <w:r>
        <w:rPr>
          <w:w w:val="100"/>
        </w:rPr>
        <w:t>公司</w:t>
      </w:r>
      <w:r>
        <w:rPr>
          <w:rFonts w:ascii="Times New Roman" w:hAnsi="Times New Roman" w:cs="Times New Roman" w:eastAsia="Times New Roman" w:hint="default"/>
          <w:spacing w:val="-4"/>
          <w:w w:val="100"/>
        </w:rPr>
        <w:t>(</w:t>
      </w:r>
      <w:r>
        <w:rPr>
          <w:w w:val="100"/>
        </w:rPr>
        <w:t>以</w:t>
      </w:r>
      <w:r>
        <w:rPr>
          <w:spacing w:val="-3"/>
          <w:w w:val="100"/>
        </w:rPr>
        <w:t>下</w:t>
      </w:r>
      <w:r>
        <w:rPr>
          <w:w w:val="100"/>
        </w:rPr>
        <w:t>简称</w:t>
      </w:r>
      <w:r>
        <w:rPr>
          <w:rFonts w:ascii="Times New Roman" w:hAnsi="Times New Roman" w:cs="Times New Roman" w:eastAsia="Times New Roman" w:hint="default"/>
          <w:spacing w:val="-3"/>
          <w:w w:val="44"/>
        </w:rPr>
        <w:t>―</w:t>
      </w:r>
      <w:r>
        <w:rPr>
          <w:w w:val="100"/>
        </w:rPr>
        <w:t>首</w:t>
      </w:r>
      <w:r>
        <w:rPr>
          <w:spacing w:val="-3"/>
          <w:w w:val="100"/>
        </w:rPr>
        <w:t>创</w:t>
      </w:r>
      <w:r>
        <w:rPr>
          <w:w w:val="100"/>
        </w:rPr>
        <w:t>集团</w:t>
      </w:r>
      <w:r>
        <w:rPr>
          <w:rFonts w:ascii="Times New Roman" w:hAnsi="Times New Roman" w:cs="Times New Roman" w:eastAsia="Times New Roman" w:hint="default"/>
          <w:spacing w:val="-1"/>
          <w:w w:val="127"/>
        </w:rPr>
        <w:t>‖</w:t>
      </w:r>
      <w:r>
        <w:rPr>
          <w:rFonts w:ascii="Times New Roman" w:hAnsi="Times New Roman" w:cs="Times New Roman" w:eastAsia="Times New Roman" w:hint="default"/>
          <w:spacing w:val="-4"/>
          <w:w w:val="127"/>
        </w:rPr>
        <w:t>)</w:t>
      </w:r>
      <w:r>
        <w:rPr>
          <w:w w:val="100"/>
        </w:rPr>
        <w:t>审批</w:t>
      </w:r>
      <w:r>
        <w:rPr>
          <w:spacing w:val="-15"/>
          <w:w w:val="100"/>
        </w:rPr>
        <w:t>。</w:t>
      </w:r>
      <w:r>
        <w:rPr>
          <w:spacing w:val="-3"/>
          <w:w w:val="100"/>
        </w:rPr>
        <w:t>根</w:t>
      </w:r>
      <w:r>
        <w:rPr>
          <w:spacing w:val="-1"/>
          <w:w w:val="100"/>
        </w:rPr>
        <w:t>据</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3"/>
          <w:w w:val="100"/>
        </w:rPr>
        <w:t>9</w:t>
      </w:r>
      <w:r>
        <w:rPr>
          <w:w w:val="100"/>
        </w:rPr>
        <w:t>年</w:t>
      </w:r>
      <w:r>
        <w:rPr>
          <w:rFonts w:ascii="Times New Roman" w:hAnsi="Times New Roman" w:cs="Times New Roman" w:eastAsia="Times New Roman" w:hint="default"/>
          <w:spacing w:val="-3"/>
          <w:w w:val="100"/>
        </w:rPr>
        <w:t>8</w:t>
      </w:r>
      <w:r>
        <w:rPr>
          <w:w w:val="100"/>
        </w:rPr>
        <w:t>月</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spacing w:val="-13"/>
          <w:w w:val="100"/>
        </w:rPr>
        <w:t>日</w:t>
      </w:r>
      <w:r>
        <w:rPr>
          <w:w w:val="100"/>
        </w:rPr>
        <w:t>《</w:t>
      </w:r>
      <w:r>
        <w:rPr>
          <w:spacing w:val="-3"/>
          <w:w w:val="100"/>
        </w:rPr>
        <w:t>首</w:t>
      </w:r>
      <w:r>
        <w:rPr>
          <w:w w:val="100"/>
        </w:rPr>
        <w:t>创</w:t>
      </w:r>
      <w:r>
        <w:rPr>
          <w:spacing w:val="-3"/>
          <w:w w:val="100"/>
        </w:rPr>
        <w:t>集</w:t>
      </w:r>
      <w:r>
        <w:rPr>
          <w:w w:val="100"/>
        </w:rPr>
        <w:t>团</w:t>
      </w:r>
      <w:r>
        <w:rPr>
          <w:w w:val="100"/>
        </w:rPr>
        <w:t> </w:t>
      </w:r>
      <w:r>
        <w:rPr/>
        <w:t>总经理办公会会议纪要》</w:t>
      </w:r>
      <w:r>
        <w:rPr>
          <w:rFonts w:ascii="Times New Roman" w:hAnsi="Times New Roman" w:cs="Times New Roman" w:eastAsia="Times New Roman" w:hint="default"/>
        </w:rPr>
        <w:t>(2009</w:t>
      </w:r>
      <w:r>
        <w:rPr/>
        <w:t>年第</w:t>
      </w:r>
      <w:r>
        <w:rPr>
          <w:rFonts w:ascii="Times New Roman" w:hAnsi="Times New Roman" w:cs="Times New Roman" w:eastAsia="Times New Roman" w:hint="default"/>
        </w:rPr>
        <w:t>12</w:t>
      </w:r>
      <w:r>
        <w:rPr/>
        <w:t>次会议</w:t>
      </w:r>
      <w:r>
        <w:rPr>
          <w:rFonts w:ascii="Times New Roman" w:hAnsi="Times New Roman" w:cs="Times New Roman" w:eastAsia="Times New Roman" w:hint="default"/>
        </w:rPr>
        <w:t>)</w:t>
      </w:r>
      <w:r>
        <w:rPr/>
        <w:t>，首创集团同意首创建设转让其持有的本公司股权，转让价</w:t>
      </w:r>
      <w:r>
        <w:rPr>
          <w:spacing w:val="-56"/>
        </w:rPr>
        <w:t> </w:t>
      </w:r>
      <w:r>
        <w:rPr>
          <w:spacing w:val="-56"/>
        </w:rPr>
      </w:r>
      <w:r>
        <w:rPr/>
        <w:t>格不低于初始投资额。北京市人民政府国有资产监督管理委员会</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日做出了《北京市人民政府</w:t>
      </w:r>
      <w:r>
        <w:rPr>
          <w:spacing w:val="-24"/>
        </w:rPr>
        <w:t> </w:t>
      </w:r>
      <w:r>
        <w:rPr>
          <w:spacing w:val="-24"/>
        </w:rPr>
      </w:r>
      <w:r>
        <w:rPr>
          <w:spacing w:val="-2"/>
        </w:rPr>
        <w:t>国有资产监督管理委员会关于深圳市新国都技术股份有限公司股权转让评估项目予以核准的批复》批准了</w:t>
      </w:r>
      <w:r>
        <w:rPr>
          <w:spacing w:val="-43"/>
        </w:rPr>
        <w:t> </w:t>
      </w:r>
      <w:r>
        <w:rPr>
          <w:spacing w:val="-43"/>
        </w:rPr>
      </w:r>
      <w:r>
        <w:rPr>
          <w:spacing w:val="-2"/>
        </w:rPr>
        <w:t>首创建设股份转让项目的资产评估报告，同意深圳市天健国众联资产评估土地房产评估有限公司出具的深</w:t>
      </w:r>
      <w:r>
        <w:rPr>
          <w:spacing w:val="-43"/>
        </w:rPr>
        <w:t> </w:t>
      </w:r>
      <w:r>
        <w:rPr>
          <w:spacing w:val="-43"/>
        </w:rPr>
      </w:r>
      <w:r>
        <w:rPr/>
        <w:t>天健国众联评报字【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T-10801</w:t>
      </w:r>
      <w:r>
        <w:rPr/>
        <w:t>号《北京首创建设有限公司拟转让持有的深圳市新国都技术股份有</w:t>
      </w:r>
      <w:r>
        <w:rPr>
          <w:spacing w:val="-19"/>
        </w:rPr>
        <w:t> </w:t>
      </w:r>
      <w:r>
        <w:rPr>
          <w:spacing w:val="-19"/>
        </w:rPr>
      </w:r>
      <w:r>
        <w:rPr/>
        <w:t>限公司</w:t>
      </w:r>
      <w:r>
        <w:rPr>
          <w:rFonts w:ascii="Times New Roman" w:hAnsi="Times New Roman" w:cs="Times New Roman" w:eastAsia="Times New Roman" w:hint="default"/>
        </w:rPr>
        <w:t>2.5263%</w:t>
      </w:r>
      <w:r>
        <w:rPr/>
        <w:t>国有股权权益价值股权转让项目资产评估报告书》对本公司股权转让项目有效。</w:t>
      </w:r>
    </w:p>
    <w:p>
      <w:pPr>
        <w:pStyle w:val="Heading6"/>
        <w:spacing w:line="391" w:lineRule="auto" w:before="28"/>
        <w:ind w:right="129" w:firstLine="420"/>
        <w:jc w:val="both"/>
      </w:pPr>
      <w:r>
        <w:rPr/>
        <w:t>根据上述批复，首创建设将其持有的本公司全部股权在北京产权交易所挂牌转让。</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r>
        <w:rPr>
          <w:w w:val="100"/>
        </w:rPr>
        <w:t> </w:t>
      </w:r>
      <w:r>
        <w:rPr>
          <w:spacing w:val="-2"/>
        </w:rPr>
        <w:t>首创建设与湖南瑞驰丰和创业投资管理有限公司、钟可颐、谢建龙、黄健生、欧阳伟强等五方签署产权交</w:t>
      </w:r>
      <w:r>
        <w:rPr>
          <w:spacing w:val="-47"/>
        </w:rPr>
        <w:t> </w:t>
      </w:r>
      <w:r>
        <w:rPr>
          <w:spacing w:val="-47"/>
        </w:rPr>
      </w:r>
      <w:r>
        <w:rPr>
          <w:spacing w:val="-1"/>
        </w:rPr>
        <w:t>易合同，将其所持有的</w:t>
      </w:r>
      <w:r>
        <w:rPr>
          <w:rFonts w:ascii="Times New Roman" w:hAnsi="Times New Roman" w:cs="Times New Roman" w:eastAsia="Times New Roman" w:hint="default"/>
          <w:spacing w:val="-1"/>
        </w:rPr>
        <w:t>120</w:t>
      </w:r>
      <w:r>
        <w:rPr>
          <w:spacing w:val="-1"/>
        </w:rPr>
        <w:t>万股本公司股份，作价</w:t>
      </w:r>
      <w:r>
        <w:rPr>
          <w:rFonts w:ascii="Times New Roman" w:hAnsi="Times New Roman" w:cs="Times New Roman" w:eastAsia="Times New Roman" w:hint="default"/>
          <w:spacing w:val="-1"/>
        </w:rPr>
        <w:t>900</w:t>
      </w:r>
      <w:r>
        <w:rPr>
          <w:spacing w:val="-1"/>
        </w:rPr>
        <w:t>万元转让给上述五方，转让价格高于评估价值</w:t>
      </w:r>
      <w:r>
        <w:rPr>
          <w:rFonts w:ascii="Times New Roman" w:hAnsi="Times New Roman" w:cs="Times New Roman" w:eastAsia="Times New Roman" w:hint="default"/>
          <w:spacing w:val="-1"/>
        </w:rPr>
        <w:t>484.02</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万元。其中，湖南瑞驰丰和创业投资管理有限公司受让</w:t>
      </w:r>
      <w:r>
        <w:rPr>
          <w:rFonts w:ascii="Times New Roman" w:hAnsi="Times New Roman" w:cs="Times New Roman" w:eastAsia="Times New Roman" w:hint="default"/>
          <w:spacing w:val="-2"/>
        </w:rPr>
        <w:t>20</w:t>
      </w:r>
      <w:r>
        <w:rPr>
          <w:spacing w:val="-2"/>
        </w:rPr>
        <w:t>万股，钟可颐受让</w:t>
      </w:r>
      <w:r>
        <w:rPr>
          <w:rFonts w:ascii="Times New Roman" w:hAnsi="Times New Roman" w:cs="Times New Roman" w:eastAsia="Times New Roman" w:hint="default"/>
          <w:spacing w:val="-2"/>
        </w:rPr>
        <w:t>10</w:t>
      </w:r>
      <w:r>
        <w:rPr>
          <w:spacing w:val="-2"/>
        </w:rPr>
        <w:t>万股，谢建龙受让</w:t>
      </w:r>
      <w:r>
        <w:rPr>
          <w:rFonts w:ascii="Times New Roman" w:hAnsi="Times New Roman" w:cs="Times New Roman" w:eastAsia="Times New Roman" w:hint="default"/>
          <w:spacing w:val="-2"/>
        </w:rPr>
        <w:t>50</w:t>
      </w:r>
      <w:r>
        <w:rPr>
          <w:spacing w:val="-2"/>
        </w:rPr>
        <w:t>万股，</w:t>
      </w:r>
      <w:r>
        <w:rPr>
          <w:spacing w:val="-20"/>
        </w:rPr>
        <w:t> </w:t>
      </w:r>
      <w:r>
        <w:rPr/>
        <w:t>黄健生、欧阳伟强各受让</w:t>
      </w:r>
      <w:r>
        <w:rPr>
          <w:rFonts w:ascii="Times New Roman" w:hAnsi="Times New Roman" w:cs="Times New Roman" w:eastAsia="Times New Roman" w:hint="default"/>
        </w:rPr>
        <w:t>20</w:t>
      </w:r>
      <w:r>
        <w:rPr/>
        <w:t>万股。上述股权变更及过户于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日完成。</w:t>
      </w:r>
    </w:p>
    <w:p>
      <w:pPr>
        <w:pStyle w:val="Heading6"/>
        <w:spacing w:line="386" w:lineRule="auto" w:before="30"/>
        <w:ind w:right="153"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日，深圳国际高新技术产权交易所作为非上市股份公司股权登记托管机构，就本公司股</w:t>
      </w:r>
      <w:r>
        <w:rPr>
          <w:w w:val="100"/>
        </w:rPr>
        <w:t> </w:t>
      </w:r>
      <w:r>
        <w:rPr/>
        <w:t>份转让后的股东情况向本公司出具了《非上市股份有限公司股东名册》。至此，本公司股本结构如下：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3570"/>
        <w:gridCol w:w="2379"/>
        <w:gridCol w:w="2348"/>
      </w:tblGrid>
      <w:tr>
        <w:trPr>
          <w:trHeight w:val="511" w:hRule="exact"/>
        </w:trPr>
        <w:tc>
          <w:tcPr>
            <w:tcW w:w="3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7" w:right="0"/>
              <w:jc w:val="center"/>
              <w:rPr>
                <w:rFonts w:ascii="宋体" w:hAnsi="宋体" w:cs="宋体" w:eastAsia="宋体" w:hint="default"/>
                <w:sz w:val="16"/>
                <w:szCs w:val="16"/>
              </w:rPr>
            </w:pPr>
            <w:r>
              <w:rPr>
                <w:rFonts w:ascii="宋体" w:hAnsi="宋体" w:cs="宋体" w:eastAsia="宋体" w:hint="default"/>
                <w:sz w:val="16"/>
                <w:szCs w:val="16"/>
              </w:rPr>
              <w:t>股东名称</w:t>
            </w:r>
          </w:p>
        </w:tc>
        <w:tc>
          <w:tcPr>
            <w:tcW w:w="23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72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持股数</w:t>
            </w:r>
            <w:r>
              <w:rPr>
                <w:rFonts w:ascii="Times New Roman" w:hAnsi="Times New Roman" w:cs="Times New Roman" w:eastAsia="Times New Roman" w:hint="default"/>
                <w:sz w:val="16"/>
                <w:szCs w:val="16"/>
              </w:rPr>
              <w:t>(</w:t>
            </w:r>
            <w:r>
              <w:rPr>
                <w:rFonts w:ascii="宋体" w:hAnsi="宋体" w:cs="宋体" w:eastAsia="宋体" w:hint="default"/>
                <w:sz w:val="16"/>
                <w:szCs w:val="16"/>
              </w:rPr>
              <w:t>万股</w:t>
            </w:r>
            <w:r>
              <w:rPr>
                <w:rFonts w:ascii="Times New Roman" w:hAnsi="Times New Roman" w:cs="Times New Roman" w:eastAsia="Times New Roman" w:hint="default"/>
                <w:sz w:val="16"/>
                <w:szCs w:val="16"/>
              </w:rPr>
              <w:t>)</w:t>
            </w:r>
          </w:p>
        </w:tc>
        <w:tc>
          <w:tcPr>
            <w:tcW w:w="23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5"/>
              <w:ind w:right="0"/>
              <w:jc w:val="center"/>
              <w:rPr>
                <w:rFonts w:ascii="宋体" w:hAnsi="宋体" w:cs="宋体" w:eastAsia="宋体" w:hint="default"/>
                <w:sz w:val="16"/>
                <w:szCs w:val="16"/>
              </w:rPr>
            </w:pPr>
            <w:r>
              <w:rPr>
                <w:rFonts w:ascii="宋体" w:hAnsi="宋体" w:cs="宋体" w:eastAsia="宋体" w:hint="default"/>
                <w:sz w:val="16"/>
                <w:szCs w:val="16"/>
              </w:rPr>
              <w:t>股权比例</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刘祥</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2,115</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6"/>
              <w:jc w:val="right"/>
              <w:rPr>
                <w:rFonts w:ascii="Times New Roman" w:hAnsi="Times New Roman" w:cs="Times New Roman" w:eastAsia="Times New Roman" w:hint="default"/>
                <w:sz w:val="16"/>
                <w:szCs w:val="16"/>
              </w:rPr>
            </w:pPr>
            <w:r>
              <w:rPr>
                <w:rFonts w:ascii="Times New Roman"/>
                <w:spacing w:val="-1"/>
                <w:sz w:val="16"/>
              </w:rPr>
              <w:t>44.5263%</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刘亚</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pacing w:val="-1"/>
                <w:sz w:val="16"/>
              </w:rPr>
              <w:t>705</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6"/>
              <w:jc w:val="right"/>
              <w:rPr>
                <w:rFonts w:ascii="Times New Roman" w:hAnsi="Times New Roman" w:cs="Times New Roman" w:eastAsia="Times New Roman" w:hint="default"/>
                <w:sz w:val="16"/>
                <w:szCs w:val="16"/>
              </w:rPr>
            </w:pPr>
            <w:r>
              <w:rPr>
                <w:rFonts w:ascii="Times New Roman"/>
                <w:spacing w:val="-1"/>
                <w:sz w:val="16"/>
              </w:rPr>
              <w:t>14.8421%</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江汉</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705</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6"/>
              <w:jc w:val="right"/>
              <w:rPr>
                <w:rFonts w:ascii="Times New Roman" w:hAnsi="Times New Roman" w:cs="Times New Roman" w:eastAsia="Times New Roman" w:hint="default"/>
                <w:sz w:val="16"/>
                <w:szCs w:val="16"/>
              </w:rPr>
            </w:pPr>
            <w:r>
              <w:rPr>
                <w:rFonts w:ascii="Times New Roman"/>
                <w:spacing w:val="-1"/>
                <w:sz w:val="16"/>
              </w:rPr>
              <w:t>14.8421%</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深圳市创新投资集团有限公司</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160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3.3684%</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王巍</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pacing w:val="-1"/>
                <w:sz w:val="16"/>
              </w:rPr>
              <w:t>100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2.1053%</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张燕民</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80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1.6842%</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李俊</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60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1.2632%</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栾承岚</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60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1.2632%</w:t>
            </w:r>
          </w:p>
        </w:tc>
      </w:tr>
    </w:tbl>
    <w:p>
      <w:pPr>
        <w:spacing w:after="0" w:line="240" w:lineRule="auto"/>
        <w:jc w:val="right"/>
        <w:rPr>
          <w:rFonts w:ascii="Times New Roman" w:hAnsi="Times New Roman" w:cs="Times New Roman" w:eastAsia="Times New Roman" w:hint="default"/>
          <w:sz w:val="16"/>
          <w:szCs w:val="16"/>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570"/>
        <w:gridCol w:w="2379"/>
        <w:gridCol w:w="2348"/>
      </w:tblGrid>
      <w:tr>
        <w:trPr>
          <w:trHeight w:val="512" w:hRule="exact"/>
        </w:trPr>
        <w:tc>
          <w:tcPr>
            <w:tcW w:w="3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4" w:right="0"/>
              <w:jc w:val="left"/>
              <w:rPr>
                <w:rFonts w:ascii="宋体" w:hAnsi="宋体" w:cs="宋体" w:eastAsia="宋体" w:hint="default"/>
                <w:sz w:val="16"/>
                <w:szCs w:val="16"/>
              </w:rPr>
            </w:pPr>
            <w:r>
              <w:rPr>
                <w:rFonts w:ascii="宋体" w:hAnsi="宋体" w:cs="宋体" w:eastAsia="宋体" w:hint="default"/>
                <w:sz w:val="16"/>
                <w:szCs w:val="16"/>
              </w:rPr>
              <w:t>徐兴春</w:t>
            </w:r>
          </w:p>
        </w:tc>
        <w:tc>
          <w:tcPr>
            <w:tcW w:w="23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3"/>
              <w:jc w:val="right"/>
              <w:rPr>
                <w:rFonts w:ascii="Times New Roman" w:hAnsi="Times New Roman" w:cs="Times New Roman" w:eastAsia="Times New Roman" w:hint="default"/>
                <w:sz w:val="16"/>
                <w:szCs w:val="16"/>
              </w:rPr>
            </w:pPr>
            <w:r>
              <w:rPr>
                <w:rFonts w:ascii="Times New Roman"/>
                <w:sz w:val="16"/>
              </w:rPr>
              <w:t>60</w:t>
            </w:r>
          </w:p>
        </w:tc>
        <w:tc>
          <w:tcPr>
            <w:tcW w:w="23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spacing w:val="-1"/>
                <w:sz w:val="16"/>
              </w:rPr>
              <w:t>1.2632%</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蔡衍军</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王凌海</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谢建龙</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陈新华</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李林杰</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里维宁</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7"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陈希芬</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1.0526%</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深圳市福田创新资本创业投资有限公司</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40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0.8421%</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赵辉</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40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0.8421%</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韦余红</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40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0.8421%</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汪洋</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40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0.8421%</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徐金芳</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40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0.8421%</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聂淼</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35</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0.7368%</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许芹</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30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0.6316%</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李妍</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20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0.4211%</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湖南瑞驰丰和创业投资管理有限公司</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20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0.4211%</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欧阳伟强</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3"/>
              <w:jc w:val="right"/>
              <w:rPr>
                <w:rFonts w:ascii="Times New Roman" w:hAnsi="Times New Roman" w:cs="Times New Roman" w:eastAsia="Times New Roman" w:hint="default"/>
                <w:sz w:val="16"/>
                <w:szCs w:val="16"/>
              </w:rPr>
            </w:pPr>
            <w:r>
              <w:rPr>
                <w:rFonts w:ascii="Times New Roman"/>
                <w:sz w:val="16"/>
              </w:rPr>
              <w:t>20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0.4211%</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黄健生</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20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0.4211%</w:t>
            </w:r>
          </w:p>
        </w:tc>
      </w:tr>
      <w:tr>
        <w:trPr>
          <w:trHeight w:val="506"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钟可颐</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3"/>
              <w:jc w:val="right"/>
              <w:rPr>
                <w:rFonts w:ascii="Times New Roman" w:hAnsi="Times New Roman" w:cs="Times New Roman" w:eastAsia="Times New Roman" w:hint="default"/>
                <w:sz w:val="16"/>
                <w:szCs w:val="16"/>
              </w:rPr>
            </w:pPr>
            <w:r>
              <w:rPr>
                <w:rFonts w:ascii="Times New Roman"/>
                <w:sz w:val="16"/>
              </w:rPr>
              <w:t>10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0.2105%</w:t>
            </w:r>
          </w:p>
        </w:tc>
      </w:tr>
      <w:tr>
        <w:trPr>
          <w:trHeight w:val="509" w:hRule="exact"/>
        </w:trPr>
        <w:tc>
          <w:tcPr>
            <w:tcW w:w="3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3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pacing w:val="-1"/>
                <w:sz w:val="16"/>
              </w:rPr>
              <w:t>4,750</w:t>
            </w:r>
          </w:p>
        </w:tc>
        <w:tc>
          <w:tcPr>
            <w:tcW w:w="23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1"/>
                <w:sz w:val="16"/>
              </w:rPr>
              <w:t>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6"/>
        <w:spacing w:line="386" w:lineRule="auto" w:before="36"/>
        <w:ind w:right="148" w:firstLine="420"/>
        <w:jc w:val="both"/>
      </w:pPr>
      <w:r>
        <w:rPr/>
        <w:t>经中国证券监督管理委员会证监发行字</w:t>
      </w:r>
      <w:r>
        <w:rPr>
          <w:rFonts w:ascii="Times New Roman" w:hAnsi="Times New Roman" w:cs="Times New Roman" w:eastAsia="Times New Roman" w:hint="default"/>
        </w:rPr>
        <w:t>[2010]1292</w:t>
      </w:r>
      <w:r>
        <w:rPr/>
        <w:t>号文核准，并经深圳证券交易所同意，本公司由主</w:t>
      </w:r>
      <w:r>
        <w:rPr>
          <w:w w:val="100"/>
        </w:rPr>
        <w:t> </w:t>
      </w:r>
      <w:r>
        <w:rPr>
          <w:spacing w:val="-2"/>
          <w:w w:val="100"/>
        </w:rPr>
        <w:t>承销商中信证券股份有限公司于</w:t>
      </w:r>
      <w:r>
        <w:rPr>
          <w:rFonts w:ascii="Times New Roman" w:hAnsi="Times New Roman" w:cs="Times New Roman" w:eastAsia="Times New Roman" w:hint="default"/>
          <w:spacing w:val="-2"/>
          <w:w w:val="100"/>
        </w:rPr>
        <w:t>2010</w:t>
      </w:r>
      <w:r>
        <w:rPr>
          <w:spacing w:val="-2"/>
          <w:w w:val="100"/>
        </w:rPr>
        <w:t>年</w:t>
      </w:r>
      <w:r>
        <w:rPr>
          <w:rFonts w:ascii="Times New Roman" w:hAnsi="Times New Roman" w:cs="Times New Roman" w:eastAsia="Times New Roman" w:hint="default"/>
          <w:spacing w:val="-2"/>
          <w:w w:val="100"/>
        </w:rPr>
        <w:t>10</w:t>
      </w:r>
      <w:r>
        <w:rPr>
          <w:spacing w:val="-2"/>
          <w:w w:val="100"/>
        </w:rPr>
        <w:t>月</w:t>
      </w:r>
      <w:r>
        <w:rPr>
          <w:rFonts w:ascii="Times New Roman" w:hAnsi="Times New Roman" w:cs="Times New Roman" w:eastAsia="Times New Roman" w:hint="default"/>
          <w:spacing w:val="-2"/>
          <w:w w:val="100"/>
        </w:rPr>
        <w:t>8</w:t>
      </w:r>
      <w:r>
        <w:rPr>
          <w:spacing w:val="-2"/>
          <w:w w:val="100"/>
        </w:rPr>
        <w:t>日向社会公众公开发行普通股</w:t>
      </w:r>
      <w:r>
        <w:rPr>
          <w:rFonts w:ascii="Times New Roman" w:hAnsi="Times New Roman" w:cs="Times New Roman" w:eastAsia="Times New Roman" w:hint="default"/>
          <w:spacing w:val="-2"/>
          <w:w w:val="100"/>
        </w:rPr>
        <w:t>(A</w:t>
      </w:r>
      <w:r>
        <w:rPr>
          <w:rFonts w:ascii="Times New Roman" w:hAnsi="Times New Roman" w:cs="Times New Roman" w:eastAsia="Times New Roman" w:hint="default"/>
          <w:w w:val="100"/>
        </w:rPr>
        <w:t> </w:t>
      </w:r>
      <w:r>
        <w:rPr>
          <w:spacing w:val="-7"/>
          <w:w w:val="100"/>
        </w:rPr>
        <w:t>股</w:t>
      </w:r>
      <w:r>
        <w:rPr>
          <w:rFonts w:ascii="Times New Roman" w:hAnsi="Times New Roman" w:cs="Times New Roman" w:eastAsia="Times New Roman" w:hint="default"/>
          <w:spacing w:val="-7"/>
          <w:w w:val="100"/>
        </w:rPr>
        <w:t>)</w:t>
      </w:r>
      <w:r>
        <w:rPr>
          <w:spacing w:val="-7"/>
          <w:w w:val="100"/>
        </w:rPr>
        <w:t>股票</w:t>
      </w:r>
      <w:r>
        <w:rPr>
          <w:rFonts w:ascii="Times New Roman" w:hAnsi="Times New Roman" w:cs="Times New Roman" w:eastAsia="Times New Roman" w:hint="default"/>
          <w:spacing w:val="-7"/>
          <w:w w:val="100"/>
        </w:rPr>
        <w:t>1600</w:t>
      </w:r>
      <w:r>
        <w:rPr>
          <w:spacing w:val="-7"/>
          <w:w w:val="100"/>
        </w:rPr>
        <w:t>万股，每股面值</w:t>
      </w:r>
      <w:r>
        <w:rPr>
          <w:spacing w:val="-96"/>
          <w:w w:val="100"/>
        </w:rPr>
        <w:t> </w:t>
      </w:r>
      <w:r>
        <w:rPr>
          <w:spacing w:val="-96"/>
          <w:w w:val="100"/>
        </w:rPr>
      </w:r>
      <w:r>
        <w:rPr>
          <w:rFonts w:ascii="Times New Roman" w:hAnsi="Times New Roman" w:cs="Times New Roman" w:eastAsia="Times New Roman" w:hint="default"/>
        </w:rPr>
        <w:t>1.00</w:t>
      </w:r>
      <w:r>
        <w:rPr/>
        <w:t>元，每股发行价人民币</w:t>
      </w:r>
      <w:r>
        <w:rPr>
          <w:rFonts w:ascii="Times New Roman" w:hAnsi="Times New Roman" w:cs="Times New Roman" w:eastAsia="Times New Roman" w:hint="default"/>
        </w:rPr>
        <w:t>43.33</w:t>
      </w:r>
      <w:r>
        <w:rPr/>
        <w:t>元。截至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日止，共募集资金</w:t>
      </w:r>
      <w:r>
        <w:rPr>
          <w:rFonts w:ascii="Times New Roman" w:hAnsi="Times New Roman" w:cs="Times New Roman" w:eastAsia="Times New Roman" w:hint="default"/>
        </w:rPr>
        <w:t>69,328.00</w:t>
      </w:r>
      <w:r>
        <w:rPr/>
        <w:t>万元，扣除发行费用</w:t>
      </w:r>
    </w:p>
    <w:p>
      <w:pPr>
        <w:pStyle w:val="Heading6"/>
        <w:spacing w:line="386" w:lineRule="auto" w:before="35"/>
        <w:ind w:right="147"/>
        <w:jc w:val="left"/>
      </w:pPr>
      <w:r>
        <w:rPr>
          <w:rFonts w:ascii="Times New Roman" w:hAnsi="Times New Roman" w:cs="Times New Roman" w:eastAsia="Times New Roman" w:hint="default"/>
          <w:w w:val="99"/>
        </w:rPr>
        <w:t>46,945,065.67</w:t>
      </w:r>
      <w:r>
        <w:rPr>
          <w:w w:val="99"/>
        </w:rPr>
        <w:t>元，募集资金净额</w:t>
      </w:r>
      <w:r>
        <w:rPr>
          <w:rFonts w:ascii="Times New Roman" w:hAnsi="Times New Roman" w:cs="Times New Roman" w:eastAsia="Times New Roman" w:hint="default"/>
          <w:w w:val="99"/>
        </w:rPr>
        <w:t>646,334,934.33</w:t>
      </w:r>
      <w:r>
        <w:rPr>
          <w:w w:val="99"/>
        </w:rPr>
        <w:t>元，本次募集资金业经立信大华会计师事务所有限公司</w:t>
      </w:r>
      <w:r>
        <w:rPr>
          <w:rFonts w:ascii="Times New Roman" w:hAnsi="Times New Roman" w:cs="Times New Roman" w:eastAsia="Times New Roman" w:hint="default"/>
          <w:w w:val="99"/>
        </w:rPr>
        <w:t>―</w:t>
      </w:r>
      <w:r>
        <w:rPr>
          <w:w w:val="99"/>
        </w:rPr>
        <w:t>立</w:t>
      </w:r>
      <w:r>
        <w:rPr>
          <w:spacing w:val="-99"/>
          <w:w w:val="99"/>
        </w:rPr>
        <w:t> </w:t>
      </w:r>
      <w:r>
        <w:rPr/>
        <w:t>信大华验字</w:t>
      </w:r>
      <w:r>
        <w:rPr>
          <w:rFonts w:ascii="Times New Roman" w:hAnsi="Times New Roman" w:cs="Times New Roman" w:eastAsia="Times New Roman" w:hint="default"/>
        </w:rPr>
        <w:t>[2010]124</w:t>
      </w:r>
      <w:r>
        <w:rPr/>
        <w:t>号</w:t>
      </w:r>
      <w:r>
        <w:rPr>
          <w:rFonts w:ascii="Times New Roman" w:hAnsi="Times New Roman" w:cs="Times New Roman" w:eastAsia="Times New Roman" w:hint="default"/>
        </w:rPr>
        <w:t>‖</w:t>
      </w:r>
      <w:r>
        <w:rPr/>
        <w:t>验资报告验证。</w:t>
      </w:r>
    </w:p>
    <w:p>
      <w:pPr>
        <w:pStyle w:val="Heading6"/>
        <w:spacing w:line="240" w:lineRule="auto" w:before="35"/>
        <w:ind w:left="573" w:right="141"/>
        <w:jc w:val="left"/>
        <w:rPr>
          <w:rFonts w:ascii="Times New Roman" w:hAnsi="Times New Roman" w:cs="Times New Roman" w:eastAsia="Times New Roman" w:hint="default"/>
        </w:rPr>
      </w:pPr>
      <w:r>
        <w:rPr/>
        <w:t>经本公司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日股东大会审议通过，以公司原有的</w:t>
      </w:r>
      <w:r>
        <w:rPr>
          <w:rFonts w:ascii="Times New Roman" w:hAnsi="Times New Roman" w:cs="Times New Roman" w:eastAsia="Times New Roman" w:hint="default"/>
        </w:rPr>
        <w:t>6,350</w:t>
      </w:r>
      <w:r>
        <w:rPr/>
        <w:t>万股为基础，向全体股东每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Heading6"/>
        <w:spacing w:line="386" w:lineRule="auto" w:before="0"/>
        <w:ind w:right="0"/>
        <w:jc w:val="left"/>
      </w:pP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5,080</w:t>
      </w:r>
      <w:r>
        <w:rPr/>
        <w:t>万元。分红后公司总股</w:t>
      </w:r>
      <w:r>
        <w:rPr>
          <w:spacing w:val="-7"/>
        </w:rPr>
        <w:t> </w:t>
      </w:r>
      <w:r>
        <w:rPr>
          <w:spacing w:val="-7"/>
        </w:rPr>
      </w:r>
      <w:r>
        <w:rPr/>
        <w:t>本增至</w:t>
      </w:r>
      <w:r>
        <w:rPr>
          <w:rFonts w:ascii="Times New Roman" w:hAnsi="Times New Roman" w:cs="Times New Roman" w:eastAsia="Times New Roman" w:hint="default"/>
        </w:rPr>
        <w:t>11,430</w:t>
      </w:r>
      <w:r>
        <w:rPr/>
        <w:t>万股。</w:t>
      </w:r>
    </w:p>
    <w:p>
      <w:pPr>
        <w:pStyle w:val="Heading5"/>
        <w:spacing w:line="240" w:lineRule="auto" w:before="155"/>
        <w:ind w:right="0"/>
        <w:jc w:val="left"/>
        <w:rPr>
          <w:b w:val="0"/>
          <w:bCs w:val="0"/>
        </w:rPr>
      </w:pPr>
      <w:r>
        <w:rPr>
          <w:rFonts w:ascii="宋体" w:hAnsi="宋体" w:cs="宋体" w:eastAsia="宋体" w:hint="default"/>
        </w:rPr>
        <w:t>1.</w:t>
      </w:r>
      <w:r>
        <w:rPr>
          <w:rFonts w:ascii="宋体" w:hAnsi="宋体" w:cs="宋体" w:eastAsia="宋体" w:hint="default"/>
          <w:spacing w:val="44"/>
        </w:rPr>
        <w:t> </w:t>
      </w:r>
      <w:r>
        <w:rPr/>
        <w:t>行业性质</w:t>
      </w:r>
      <w:r>
        <w:rPr>
          <w:b w:val="0"/>
          <w:bCs w:val="0"/>
        </w:rPr>
      </w:r>
    </w:p>
    <w:p>
      <w:pPr>
        <w:spacing w:line="240" w:lineRule="auto" w:before="10"/>
        <w:rPr>
          <w:rFonts w:ascii="宋体" w:hAnsi="宋体" w:cs="宋体" w:eastAsia="宋体" w:hint="default"/>
          <w:b/>
          <w:bCs/>
          <w:sz w:val="14"/>
          <w:szCs w:val="14"/>
        </w:rPr>
      </w:pPr>
    </w:p>
    <w:p>
      <w:pPr>
        <w:pStyle w:val="Heading6"/>
        <w:spacing w:line="240" w:lineRule="auto" w:before="0"/>
        <w:ind w:left="933" w:right="0"/>
        <w:jc w:val="left"/>
      </w:pPr>
      <w:r>
        <w:rPr/>
        <w:t>本公司属电子设备制造行业。</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4"/>
        </w:rPr>
        <w:t> </w:t>
      </w:r>
      <w:r>
        <w:rPr/>
        <w:t>经营范围</w:t>
      </w:r>
      <w:r>
        <w:rPr>
          <w:b w:val="0"/>
          <w:bCs w:val="0"/>
        </w:rPr>
      </w:r>
    </w:p>
    <w:p>
      <w:pPr>
        <w:spacing w:line="240" w:lineRule="auto" w:before="10"/>
        <w:rPr>
          <w:rFonts w:ascii="宋体" w:hAnsi="宋体" w:cs="宋体" w:eastAsia="宋体" w:hint="default"/>
          <w:b/>
          <w:bCs/>
          <w:sz w:val="14"/>
          <w:szCs w:val="14"/>
        </w:rPr>
      </w:pPr>
    </w:p>
    <w:p>
      <w:pPr>
        <w:pStyle w:val="Heading6"/>
        <w:spacing w:line="398" w:lineRule="auto" w:before="0"/>
        <w:ind w:left="513" w:right="103" w:firstLine="420"/>
        <w:jc w:val="both"/>
      </w:pPr>
      <w:r>
        <w:rPr/>
        <w:t>一般经营项目：从事货物及技术进出口业务；银行卡电子支付终端产品（</w:t>
      </w:r>
      <w:r>
        <w:rPr>
          <w:rFonts w:ascii="Times New Roman" w:hAnsi="Times New Roman" w:cs="Times New Roman" w:eastAsia="Times New Roman" w:hint="default"/>
        </w:rPr>
        <w:t>POS</w:t>
      </w:r>
      <w:r>
        <w:rPr/>
        <w:t>机）、电子支付密</w:t>
      </w:r>
      <w:r>
        <w:rPr>
          <w:w w:val="100"/>
        </w:rPr>
        <w:t> </w:t>
      </w:r>
      <w:r>
        <w:rPr/>
        <w:t>码系统产品、计算机产品及电子产品的技术开发、生产（生产项目由分支机构经营）、销售、租赁及</w:t>
      </w:r>
      <w:r>
        <w:rPr>
          <w:spacing w:val="-65"/>
        </w:rPr>
        <w:t> </w:t>
      </w:r>
      <w:r>
        <w:rPr>
          <w:spacing w:val="-65"/>
        </w:rPr>
      </w:r>
      <w:r>
        <w:rPr>
          <w:spacing w:val="-3"/>
        </w:rPr>
        <w:t>服务（不含专营、专控、专卖商品及限制项目）；移动支付业务的技术开发运营及服务（不含生产）。</w:t>
      </w:r>
    </w:p>
    <w:p>
      <w:pPr>
        <w:pStyle w:val="Heading5"/>
        <w:spacing w:line="240" w:lineRule="auto" w:before="175"/>
        <w:ind w:right="0"/>
        <w:jc w:val="left"/>
        <w:rPr>
          <w:b w:val="0"/>
          <w:bCs w:val="0"/>
        </w:rPr>
      </w:pPr>
      <w:r>
        <w:rPr>
          <w:rFonts w:ascii="宋体" w:hAnsi="宋体" w:cs="宋体" w:eastAsia="宋体" w:hint="default"/>
        </w:rPr>
        <w:t>1.</w:t>
      </w:r>
      <w:r>
        <w:rPr>
          <w:rFonts w:ascii="宋体" w:hAnsi="宋体" w:cs="宋体" w:eastAsia="宋体" w:hint="default"/>
          <w:spacing w:val="45"/>
        </w:rPr>
        <w:t> </w:t>
      </w:r>
      <w:r>
        <w:rPr/>
        <w:t>主要产品、劳务</w:t>
      </w:r>
      <w:r>
        <w:rPr>
          <w:b w:val="0"/>
          <w:bCs w:val="0"/>
        </w:rPr>
      </w:r>
    </w:p>
    <w:p>
      <w:pPr>
        <w:spacing w:line="240" w:lineRule="auto" w:before="10"/>
        <w:rPr>
          <w:rFonts w:ascii="宋体" w:hAnsi="宋体" w:cs="宋体" w:eastAsia="宋体" w:hint="default"/>
          <w:b/>
          <w:bCs/>
          <w:sz w:val="14"/>
          <w:szCs w:val="14"/>
        </w:rPr>
      </w:pPr>
    </w:p>
    <w:p>
      <w:pPr>
        <w:pStyle w:val="Heading6"/>
        <w:spacing w:line="484" w:lineRule="auto" w:before="0"/>
        <w:ind w:right="780" w:firstLine="780"/>
        <w:jc w:val="left"/>
        <w:rPr>
          <w:rFonts w:ascii="宋体" w:hAnsi="宋体" w:cs="宋体" w:eastAsia="宋体" w:hint="default"/>
        </w:rPr>
      </w:pPr>
      <w:r>
        <w:rPr>
          <w:spacing w:val="-2"/>
        </w:rPr>
        <w:t>银行卡电子支付终端</w:t>
      </w:r>
      <w:r>
        <w:rPr>
          <w:rFonts w:ascii="Times New Roman" w:hAnsi="Times New Roman" w:cs="Times New Roman" w:eastAsia="Times New Roman" w:hint="default"/>
          <w:spacing w:val="-2"/>
        </w:rPr>
        <w:t>(POS)</w:t>
      </w:r>
      <w:r>
        <w:rPr>
          <w:spacing w:val="-2"/>
        </w:rPr>
        <w:t>机的生产和销售，提供银行卡电子支付终端</w:t>
      </w:r>
      <w:r>
        <w:rPr>
          <w:rFonts w:ascii="Times New Roman" w:hAnsi="Times New Roman" w:cs="Times New Roman" w:eastAsia="Times New Roman" w:hint="default"/>
          <w:spacing w:val="-2"/>
        </w:rPr>
        <w:t>(POS)</w:t>
      </w:r>
      <w:r>
        <w:rPr>
          <w:spacing w:val="-2"/>
        </w:rPr>
        <w:t>机租赁劳务。</w:t>
      </w:r>
      <w:r>
        <w:rPr>
          <w:w w:val="100"/>
        </w:rPr>
        <w:t> </w:t>
      </w:r>
      <w:r>
        <w:rPr>
          <w:rFonts w:ascii="宋体" w:hAnsi="宋体" w:cs="宋体" w:eastAsia="宋体" w:hint="default"/>
          <w:b/>
          <w:bCs/>
        </w:rPr>
        <w:t>1.</w:t>
      </w:r>
      <w:r>
        <w:rPr>
          <w:rFonts w:ascii="宋体" w:hAnsi="宋体" w:cs="宋体" w:eastAsia="宋体" w:hint="default"/>
          <w:b/>
          <w:bCs/>
          <w:spacing w:val="44"/>
        </w:rPr>
        <w:t> </w:t>
      </w:r>
      <w:r>
        <w:rPr>
          <w:rFonts w:ascii="宋体" w:hAnsi="宋体" w:cs="宋体" w:eastAsia="宋体" w:hint="default"/>
          <w:b/>
          <w:bCs/>
        </w:rPr>
        <w:t>公司基本架构</w:t>
      </w:r>
      <w:r>
        <w:rPr>
          <w:rFonts w:ascii="宋体" w:hAnsi="宋体" w:cs="宋体" w:eastAsia="宋体" w:hint="default"/>
        </w:rPr>
      </w:r>
    </w:p>
    <w:p>
      <w:pPr>
        <w:pStyle w:val="Heading6"/>
        <w:spacing w:line="270" w:lineRule="exact" w:before="0"/>
        <w:ind w:right="0" w:firstLine="420"/>
        <w:jc w:val="both"/>
      </w:pPr>
      <w:r>
        <w:rPr>
          <w:spacing w:val="-4"/>
        </w:rPr>
        <w:t>本公司最高权力机构是股东大会</w:t>
      </w:r>
      <w:r>
        <w:rPr>
          <w:rFonts w:ascii="Times New Roman" w:hAnsi="Times New Roman" w:cs="Times New Roman" w:eastAsia="Times New Roman" w:hint="default"/>
          <w:spacing w:val="-4"/>
        </w:rPr>
        <w:t>,</w:t>
      </w:r>
      <w:r>
        <w:rPr>
          <w:spacing w:val="-4"/>
        </w:rPr>
        <w:t>实行董事会领导下的总经理负责制。根据业务发展需要，设立行业客</w:t>
      </w:r>
    </w:p>
    <w:p>
      <w:pPr>
        <w:pStyle w:val="Heading6"/>
        <w:spacing w:line="408" w:lineRule="auto" w:before="177"/>
        <w:ind w:right="0"/>
        <w:jc w:val="left"/>
      </w:pPr>
      <w:r>
        <w:rPr>
          <w:spacing w:val="-2"/>
        </w:rPr>
        <w:t>户部、产品管理部、计划财务中心、制造中心、客服中心、营销中心、市场部、证券部、人力资源部、审</w:t>
      </w:r>
      <w:r>
        <w:rPr>
          <w:spacing w:val="-43"/>
        </w:rPr>
        <w:t> </w:t>
      </w:r>
      <w:r>
        <w:rPr>
          <w:spacing w:val="-43"/>
        </w:rPr>
      </w:r>
      <w:r>
        <w:rPr/>
        <w:t>计部、研发中心等职能部门。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四、公司主要会计政策、会计估计和前期差错</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right="208" w:firstLine="420"/>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w:t>
      </w:r>
      <w:r>
        <w:rPr>
          <w:w w:val="100"/>
        </w:rPr>
        <w:t> </w:t>
      </w:r>
      <w:r>
        <w:rPr>
          <w:spacing w:val="-2"/>
        </w:rPr>
        <w:t>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w:t>
      </w:r>
      <w:r>
        <w:rPr>
          <w:spacing w:val="-43"/>
        </w:rPr>
        <w:t> </w:t>
      </w:r>
      <w:r>
        <w:rPr>
          <w:spacing w:val="-43"/>
        </w:rPr>
      </w:r>
      <w:r>
        <w:rPr>
          <w:w w:val="100"/>
        </w:rPr>
        <w:t>他相</w:t>
      </w:r>
      <w:r>
        <w:rPr>
          <w:spacing w:val="2"/>
          <w:w w:val="100"/>
        </w:rPr>
        <w:t>关</w:t>
      </w:r>
      <w:r>
        <w:rPr>
          <w:w w:val="100"/>
        </w:rPr>
        <w:t>规</w:t>
      </w:r>
      <w:r>
        <w:rPr>
          <w:spacing w:val="3"/>
          <w:w w:val="100"/>
        </w:rPr>
        <w:t>定</w:t>
      </w:r>
      <w:r>
        <w:rPr>
          <w:rFonts w:ascii="Times New Roman" w:hAnsi="Times New Roman" w:cs="Times New Roman" w:eastAsia="Times New Roman" w:hint="default"/>
          <w:spacing w:val="-1"/>
          <w:w w:val="100"/>
        </w:rPr>
        <w:t>(</w:t>
      </w:r>
      <w:r>
        <w:rPr>
          <w:w w:val="100"/>
        </w:rPr>
        <w:t>以下合</w:t>
      </w:r>
      <w:r>
        <w:rPr>
          <w:spacing w:val="2"/>
          <w:w w:val="100"/>
        </w:rPr>
        <w:t>称</w:t>
      </w:r>
      <w:r>
        <w:rPr>
          <w:rFonts w:ascii="Times New Roman" w:hAnsi="Times New Roman" w:cs="Times New Roman" w:eastAsia="Times New Roman" w:hint="default"/>
          <w:spacing w:val="-1"/>
          <w:w w:val="44"/>
        </w:rPr>
        <w:t>―</w:t>
      </w:r>
      <w:r>
        <w:rPr>
          <w:w w:val="100"/>
        </w:rPr>
        <w:t>企业会</w:t>
      </w:r>
      <w:r>
        <w:rPr>
          <w:spacing w:val="2"/>
          <w:w w:val="100"/>
        </w:rPr>
        <w:t>计</w:t>
      </w:r>
      <w:r>
        <w:rPr>
          <w:w w:val="100"/>
        </w:rPr>
        <w:t>准</w:t>
      </w:r>
      <w:r>
        <w:rPr>
          <w:spacing w:val="3"/>
          <w:w w:val="100"/>
        </w:rPr>
        <w:t>则</w:t>
      </w:r>
      <w:r>
        <w:rPr>
          <w:rFonts w:ascii="Times New Roman" w:hAnsi="Times New Roman" w:cs="Times New Roman" w:eastAsia="Times New Roman" w:hint="default"/>
          <w:spacing w:val="-3"/>
          <w:w w:val="127"/>
        </w:rPr>
        <w:t>‖</w:t>
      </w:r>
      <w:r>
        <w:rPr>
          <w:rFonts w:ascii="Times New Roman" w:hAnsi="Times New Roman" w:cs="Times New Roman" w:eastAsia="Times New Roman" w:hint="default"/>
          <w:spacing w:val="1"/>
          <w:w w:val="127"/>
        </w:rPr>
        <w:t>)</w:t>
      </w:r>
      <w:r>
        <w:rPr>
          <w:w w:val="100"/>
        </w:rPr>
        <w:t>、中国证券监督</w:t>
      </w:r>
      <w:r>
        <w:rPr>
          <w:spacing w:val="2"/>
          <w:w w:val="100"/>
        </w:rPr>
        <w:t>管</w:t>
      </w:r>
      <w:r>
        <w:rPr>
          <w:w w:val="100"/>
        </w:rPr>
        <w:t>理委员会《</w:t>
      </w:r>
      <w:r>
        <w:rPr>
          <w:spacing w:val="2"/>
          <w:w w:val="100"/>
        </w:rPr>
        <w:t>公</w:t>
      </w:r>
      <w:r>
        <w:rPr>
          <w:w w:val="100"/>
        </w:rPr>
        <w:t>开发行证</w:t>
      </w:r>
      <w:r>
        <w:rPr>
          <w:spacing w:val="2"/>
          <w:w w:val="100"/>
        </w:rPr>
        <w:t>券</w:t>
      </w:r>
      <w:r>
        <w:rPr>
          <w:w w:val="100"/>
        </w:rPr>
        <w:t>的公司信息</w:t>
      </w:r>
      <w:r>
        <w:rPr>
          <w:spacing w:val="2"/>
          <w:w w:val="100"/>
        </w:rPr>
        <w:t>披</w:t>
      </w:r>
      <w:r>
        <w:rPr>
          <w:w w:val="100"/>
        </w:rPr>
        <w:t>露编</w:t>
      </w:r>
      <w:r>
        <w:rPr>
          <w:spacing w:val="2"/>
          <w:w w:val="100"/>
        </w:rPr>
        <w:t>报</w:t>
      </w:r>
      <w:r>
        <w:rPr>
          <w:w w:val="100"/>
        </w:rPr>
        <w:t>规</w:t>
      </w:r>
      <w:r>
        <w:rPr>
          <w:w w:val="100"/>
        </w:rPr>
        <w:t> </w:t>
      </w:r>
      <w:r>
        <w:rPr/>
        <w:t>则第</w:t>
      </w:r>
      <w:r>
        <w:rPr>
          <w:rFonts w:ascii="Times New Roman" w:hAnsi="Times New Roman" w:cs="Times New Roman" w:eastAsia="Times New Roman" w:hint="default"/>
        </w:rPr>
        <w:t>15</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进行确认和计量，在此基础上编制财务报表。</w:t>
      </w:r>
    </w:p>
    <w:p>
      <w:pPr>
        <w:spacing w:line="240" w:lineRule="auto" w:before="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206" w:firstLine="420"/>
        <w:jc w:val="both"/>
      </w:pPr>
      <w:r>
        <w:rPr>
          <w:spacing w:val="-2"/>
        </w:rPr>
        <w:t>公司所编制的财务报表符合企业会计准则的要求，真实、完整地反映了报告期公司的财务状况、经营</w:t>
      </w:r>
      <w:r>
        <w:rPr>
          <w:w w:val="100"/>
        </w:rPr>
        <w:t> </w:t>
      </w:r>
      <w:r>
        <w:rPr/>
        <w:t>成果、现金流量等有关信息。</w:t>
      </w:r>
    </w:p>
    <w:p>
      <w:pPr>
        <w:spacing w:after="0" w:line="408" w:lineRule="auto"/>
        <w:jc w:val="both"/>
        <w:sectPr>
          <w:footerReference w:type="default" r:id="rId16"/>
          <w:pgSz w:w="11910" w:h="16840"/>
          <w:pgMar w:footer="980" w:header="745"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240" w:lineRule="auto" w:before="0"/>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pStyle w:val="Heading7"/>
        <w:spacing w:line="240" w:lineRule="auto" w:before="196"/>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240" w:lineRule="auto" w:before="0"/>
        <w:ind w:left="573" w:right="0"/>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206" w:firstLine="420"/>
        <w:jc w:val="both"/>
      </w:pPr>
      <w:r>
        <w:rPr>
          <w:spacing w:val="-2"/>
        </w:rPr>
        <w:t>对于同一控制下的企业合并，合并方在企业合并中取得的资产和负债，按照合并日在被合并方的账面</w:t>
      </w:r>
      <w:r>
        <w:rPr>
          <w:w w:val="100"/>
        </w:rPr>
        <w:t> </w:t>
      </w:r>
      <w:r>
        <w:rPr>
          <w:spacing w:val="-2"/>
        </w:rPr>
        <w:t>价值计量。合并方取得的净资产账面价值与支付的合并对价账面价值（或发行股份面值总额）的差额，调</w:t>
      </w:r>
      <w:r>
        <w:rPr>
          <w:spacing w:val="-47"/>
        </w:rPr>
        <w:t> </w:t>
      </w:r>
      <w:r>
        <w:rPr>
          <w:spacing w:val="-47"/>
        </w:rPr>
      </w:r>
      <w:r>
        <w:rPr/>
        <w:t>整资本公积；资本公积不足冲减的，调整留存收益。</w:t>
      </w:r>
    </w:p>
    <w:p>
      <w:pPr>
        <w:pStyle w:val="Heading6"/>
        <w:spacing w:line="408" w:lineRule="auto"/>
        <w:ind w:right="206" w:firstLine="420"/>
        <w:jc w:val="both"/>
      </w:pPr>
      <w:r>
        <w:rPr>
          <w:spacing w:val="-2"/>
        </w:rPr>
        <w:t>被合并各方采用的会计政策与本公司不一致的，本公司在合并日按照本公司会计政策进行调整，在此</w:t>
      </w:r>
      <w:r>
        <w:rPr>
          <w:w w:val="100"/>
        </w:rPr>
        <w:t> </w:t>
      </w:r>
      <w:r>
        <w:rPr/>
        <w:t>基础上按照企业会计准则规定确认。</w:t>
      </w:r>
    </w:p>
    <w:p>
      <w:pPr>
        <w:spacing w:line="240" w:lineRule="auto" w:before="0"/>
        <w:rPr>
          <w:rFonts w:ascii="宋体" w:hAnsi="宋体" w:cs="宋体" w:eastAsia="宋体" w:hint="default"/>
          <w:sz w:val="27"/>
          <w:szCs w:val="27"/>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220" w:firstLine="420"/>
        <w:jc w:val="both"/>
      </w:pPr>
      <w:r>
        <w:rPr>
          <w:spacing w:val="2"/>
        </w:rPr>
        <w:t>对于非同一控制下的企业合并，合并成本为购买方在购买日为取得对被购买方的控制权而付出的资</w:t>
      </w:r>
      <w:r>
        <w:rPr>
          <w:w w:val="100"/>
        </w:rPr>
        <w:t> </w:t>
      </w:r>
      <w:r>
        <w:rPr/>
        <w:t>产、发生或承担的负债以及发行的权益性证券的公允价值。</w:t>
      </w:r>
    </w:p>
    <w:p>
      <w:pPr>
        <w:pStyle w:val="Heading6"/>
        <w:spacing w:line="408" w:lineRule="auto"/>
        <w:ind w:right="206" w:firstLine="420"/>
        <w:jc w:val="both"/>
      </w:pPr>
      <w:r>
        <w:rPr>
          <w:spacing w:val="-2"/>
        </w:rPr>
        <w:t>通过多次交换交易分步实现的非同一控制下企业合并，区分个别财务报表和合并财务报表进行相关会</w:t>
      </w:r>
      <w:r>
        <w:rPr>
          <w:w w:val="100"/>
        </w:rPr>
        <w:t> </w:t>
      </w:r>
      <w:r>
        <w:rPr/>
        <w:t>计处理：</w:t>
      </w:r>
    </w:p>
    <w:p>
      <w:pPr>
        <w:pStyle w:val="Heading6"/>
        <w:spacing w:line="400" w:lineRule="auto"/>
        <w:ind w:right="0" w:firstLine="420"/>
        <w:jc w:val="left"/>
      </w:pPr>
      <w:r>
        <w:rPr/>
        <w:t>（</w:t>
      </w:r>
      <w:r>
        <w:rPr>
          <w:rFonts w:ascii="Times New Roman" w:hAnsi="Times New Roman" w:cs="Times New Roman" w:eastAsia="Times New Roman" w:hint="default"/>
        </w:rPr>
        <w:t>1</w:t>
      </w:r>
      <w:r>
        <w:rPr/>
        <w:t>）在个别财务报表中，以购买日之前所持被购买方的股权投资的账面价值与购买日新增投资成本</w:t>
      </w:r>
      <w:r>
        <w:rPr>
          <w:w w:val="100"/>
        </w:rPr>
        <w:t> </w:t>
      </w:r>
      <w:r>
        <w:rPr>
          <w:spacing w:val="-2"/>
        </w:rPr>
        <w:t>之和，作为该项投资的初始投资成本；购买日之前持有的被购买方的股权涉及其他综合收益的，在处置该</w:t>
      </w:r>
      <w:r>
        <w:rPr>
          <w:spacing w:val="-43"/>
        </w:rPr>
        <w:t> </w:t>
      </w:r>
      <w:r>
        <w:rPr>
          <w:spacing w:val="-43"/>
        </w:rPr>
      </w:r>
      <w:r>
        <w:rPr>
          <w:spacing w:val="-5"/>
        </w:rPr>
        <w:t>项投资时将与其相关的其他综合收益（例如，可供出售金融资产公允价值变动计入资本公积的部分，下同） </w:t>
      </w:r>
      <w:r>
        <w:rPr>
          <w:spacing w:val="-5"/>
        </w:rPr>
      </w:r>
      <w:r>
        <w:rPr/>
        <w:t>转入当期投资收益。</w:t>
      </w:r>
    </w:p>
    <w:p>
      <w:pPr>
        <w:pStyle w:val="Heading6"/>
        <w:spacing w:line="398" w:lineRule="auto" w:before="52"/>
        <w:ind w:right="206" w:firstLine="420"/>
        <w:jc w:val="both"/>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w:t>
      </w:r>
      <w:r>
        <w:rPr>
          <w:w w:val="100"/>
        </w:rPr>
        <w:t> </w:t>
      </w:r>
      <w:r>
        <w:rPr>
          <w:spacing w:val="-2"/>
        </w:rPr>
        <w:t>进行重新计量，公允价值与其账面价值的差额计入当期投资收益；购买日之前持有的被购买方的股权涉及</w:t>
      </w:r>
      <w:r>
        <w:rPr>
          <w:spacing w:val="-42"/>
        </w:rPr>
        <w:t> </w:t>
      </w:r>
      <w:r>
        <w:rPr>
          <w:spacing w:val="-42"/>
        </w:rPr>
      </w:r>
      <w:r>
        <w:rPr/>
        <w:t>其他综合收益的，与其相关的其他综合收益转为购买日所属当期投资收益。</w:t>
      </w:r>
    </w:p>
    <w:p>
      <w:pPr>
        <w:pStyle w:val="Heading6"/>
        <w:spacing w:line="240" w:lineRule="auto" w:before="54"/>
        <w:ind w:left="573" w:right="0"/>
        <w:jc w:val="left"/>
      </w:pPr>
      <w:r>
        <w:rPr/>
        <w:t>购买方为进行企业合并发生的审计、法律服务、评估咨询等中介费用以及其他相关管理费用，于发生</w:t>
      </w:r>
    </w:p>
    <w:p>
      <w:pPr>
        <w:spacing w:after="0" w:line="240" w:lineRule="auto"/>
        <w:jc w:val="left"/>
        <w:sectPr>
          <w:footerReference w:type="default" r:id="rId17"/>
          <w:pgSz w:w="11910" w:h="16840"/>
          <w:pgMar w:footer="980" w:header="745" w:top="1060" w:bottom="1160" w:left="980" w:right="920"/>
          <w:pgNumType w:start="101"/>
        </w:sectPr>
      </w:pPr>
    </w:p>
    <w:p>
      <w:pPr>
        <w:spacing w:line="240" w:lineRule="auto" w:before="0"/>
        <w:rPr>
          <w:rFonts w:ascii="宋体" w:hAnsi="宋体" w:cs="宋体" w:eastAsia="宋体" w:hint="default"/>
          <w:sz w:val="20"/>
          <w:szCs w:val="20"/>
        </w:rPr>
      </w:pPr>
    </w:p>
    <w:p>
      <w:pPr>
        <w:pStyle w:val="Heading6"/>
        <w:spacing w:line="408" w:lineRule="auto" w:before="175"/>
        <w:ind w:right="0"/>
        <w:jc w:val="left"/>
      </w:pPr>
      <w:r>
        <w:rPr>
          <w:spacing w:val="-2"/>
        </w:rPr>
        <w:t>时计入当期损益；购买方作为合并对价发行的权益性证券或债务性证券的交易费用，计入权益性证券或债</w:t>
      </w:r>
      <w:r>
        <w:rPr>
          <w:spacing w:val="-44"/>
        </w:rPr>
        <w:t> </w:t>
      </w:r>
      <w:r>
        <w:rPr>
          <w:spacing w:val="-44"/>
        </w:rPr>
      </w:r>
      <w:r>
        <w:rPr/>
        <w:t>务性证券的初始确认金额。</w:t>
      </w:r>
    </w:p>
    <w:p>
      <w:pPr>
        <w:pStyle w:val="Heading6"/>
        <w:spacing w:line="408" w:lineRule="auto"/>
        <w:ind w:right="206" w:firstLine="420"/>
        <w:jc w:val="both"/>
      </w:pPr>
      <w:r>
        <w:rPr>
          <w:spacing w:val="-2"/>
        </w:rPr>
        <w:t>购买方对合并成本大于合并中取得的被购买方可辨认净资产公允价值份额的差额，确认为商誉。购买</w:t>
      </w:r>
      <w:r>
        <w:rPr>
          <w:w w:val="100"/>
        </w:rPr>
        <w:t> </w:t>
      </w:r>
      <w:r>
        <w:rPr>
          <w:spacing w:val="-2"/>
        </w:rPr>
        <w:t>方对合并成本小于合并中取得的被购买方可辨认净资产公允价值份额的，经复核后合并成本仍小于合并中</w:t>
      </w:r>
      <w:r>
        <w:rPr>
          <w:spacing w:val="-43"/>
        </w:rPr>
        <w:t> </w:t>
      </w:r>
      <w:r>
        <w:rPr>
          <w:spacing w:val="-43"/>
        </w:rPr>
      </w:r>
      <w:r>
        <w:rPr/>
        <w:t>取得的被购买方可辨认净资产公允价值份额的差额，计入当期损益。</w:t>
      </w:r>
    </w:p>
    <w:p>
      <w:pPr>
        <w:spacing w:line="240" w:lineRule="auto" w:before="13"/>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6"/>
        <w:spacing w:line="408" w:lineRule="auto" w:before="0"/>
        <w:ind w:left="573" w:right="0"/>
        <w:jc w:val="left"/>
      </w:pPr>
      <w:r>
        <w:rPr/>
        <w:t>本公司合并财务报表的合并范围以控制为基础确定，所有子公司均纳入合并财务报表。</w:t>
      </w:r>
      <w:r>
        <w:rPr>
          <w:w w:val="100"/>
        </w:rPr>
        <w:t> </w:t>
      </w:r>
      <w:r>
        <w:rPr>
          <w:spacing w:val="-2"/>
        </w:rPr>
        <w:t>所有纳入合并财务报表合并范围的子公司所采用的会计政策、会计期间与本公司一致，如子公司采用</w:t>
      </w:r>
    </w:p>
    <w:p>
      <w:pPr>
        <w:pStyle w:val="Heading6"/>
        <w:spacing w:line="408" w:lineRule="auto"/>
        <w:ind w:right="0"/>
        <w:jc w:val="left"/>
      </w:pP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Heading6"/>
        <w:spacing w:line="408" w:lineRule="auto"/>
        <w:ind w:right="206" w:firstLine="420"/>
        <w:jc w:val="both"/>
      </w:pPr>
      <w:r>
        <w:rPr>
          <w:spacing w:val="-2"/>
        </w:rPr>
        <w:t>合并财务报表以本公司及子公司的财务报表为基础，根据其他有关资料，按照权益法调整对子公司的</w:t>
      </w:r>
      <w:r>
        <w:rPr>
          <w:w w:val="100"/>
        </w:rPr>
        <w:t> </w:t>
      </w:r>
      <w:r>
        <w:rPr/>
        <w:t>长期股权投资后，由本公司编制。</w:t>
      </w:r>
    </w:p>
    <w:p>
      <w:pPr>
        <w:pStyle w:val="Heading6"/>
        <w:spacing w:line="408" w:lineRule="auto"/>
        <w:ind w:right="206" w:firstLine="420"/>
        <w:jc w:val="both"/>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Heading6"/>
        <w:spacing w:line="408" w:lineRule="auto"/>
        <w:ind w:right="206" w:firstLine="420"/>
        <w:jc w:val="both"/>
      </w:pPr>
      <w:r>
        <w:rPr>
          <w:spacing w:val="-2"/>
        </w:rPr>
        <w:t>子公司少数股东分担的当期亏损超过了少数股东在该子公司期初所有者权益中所享有的份额的，其余</w:t>
      </w:r>
      <w:r>
        <w:rPr>
          <w:w w:val="100"/>
        </w:rPr>
        <w:t> </w:t>
      </w:r>
      <w:r>
        <w:rPr/>
        <w:t>额仍应当冲减少数股东权益。</w:t>
      </w:r>
    </w:p>
    <w:p>
      <w:pPr>
        <w:pStyle w:val="Heading6"/>
        <w:spacing w:line="408" w:lineRule="auto"/>
        <w:ind w:right="206" w:firstLine="420"/>
        <w:jc w:val="both"/>
      </w:pPr>
      <w:r>
        <w:rPr>
          <w:spacing w:val="-2"/>
        </w:rPr>
        <w:t>在报告期内，若因同一控制下企业合并增加子公司的，则调整合并资产负债表的期初数；将子公司合</w:t>
      </w:r>
      <w:r>
        <w:rPr>
          <w:w w:val="100"/>
        </w:rPr>
        <w:t> </w:t>
      </w:r>
      <w:r>
        <w:rPr>
          <w:spacing w:val="-2"/>
        </w:rPr>
        <w:t>并当期期初至报告期末的收入、费用、利润纳入合并利润表；将子公司合并当期期初至报告期末的现金流</w:t>
      </w:r>
      <w:r>
        <w:rPr>
          <w:spacing w:val="-44"/>
        </w:rPr>
        <w:t> </w:t>
      </w:r>
      <w:r>
        <w:rPr>
          <w:spacing w:val="-44"/>
        </w:rPr>
      </w:r>
      <w:r>
        <w:rPr/>
        <w:t>量纳入合并现金流量表。</w:t>
      </w:r>
    </w:p>
    <w:p>
      <w:pPr>
        <w:pStyle w:val="Heading6"/>
        <w:spacing w:line="408" w:lineRule="auto"/>
        <w:ind w:right="206" w:firstLine="420"/>
        <w:jc w:val="both"/>
      </w:pPr>
      <w:r>
        <w:rPr>
          <w:spacing w:val="-2"/>
        </w:rPr>
        <w:t>在报告期内，若因非同一控制下企业合并增加子公司的，则不调整合并资产负债表期初数；将子公司</w:t>
      </w:r>
      <w:r>
        <w:rPr>
          <w:w w:val="100"/>
        </w:rPr>
        <w:t> </w:t>
      </w:r>
      <w:r>
        <w:rPr>
          <w:spacing w:val="-2"/>
        </w:rPr>
        <w:t>自购买日至报告期末的收入、费用、利润纳入合并利润表；该子公司自购买日至报告期末的现金流量纳入</w:t>
      </w:r>
      <w:r>
        <w:rPr>
          <w:spacing w:val="-43"/>
        </w:rPr>
        <w:t> </w:t>
      </w:r>
      <w:r>
        <w:rPr>
          <w:spacing w:val="-43"/>
        </w:rPr>
      </w:r>
      <w:r>
        <w:rPr/>
        <w:t>合并现金流量表。</w:t>
      </w:r>
    </w:p>
    <w:p>
      <w:pPr>
        <w:pStyle w:val="Heading6"/>
        <w:spacing w:line="408" w:lineRule="auto"/>
        <w:ind w:right="206" w:firstLine="420"/>
        <w:jc w:val="both"/>
      </w:pPr>
      <w:r>
        <w:rPr>
          <w:spacing w:val="-2"/>
        </w:rPr>
        <w:t>在报告期内，本公司处置子公司，则该子公司期初至处置日的收入、费用、利润纳入合并利润表；该</w:t>
      </w:r>
      <w:r>
        <w:rPr>
          <w:w w:val="100"/>
        </w:rPr>
        <w:t> </w:t>
      </w:r>
      <w:r>
        <w:rPr/>
        <w:t>子公司期初至处置日的现金流量纳入合并现金流量表。</w:t>
      </w:r>
    </w:p>
    <w:p>
      <w:pPr>
        <w:pStyle w:val="Heading6"/>
        <w:spacing w:line="408" w:lineRule="auto"/>
        <w:ind w:right="0" w:firstLine="420"/>
        <w:jc w:val="left"/>
      </w:pPr>
      <w:r>
        <w:rPr/>
        <w:t>企业因处置部分股权投资或其他原因丧失了对原有子公司控制权的，在合并财务报表中，对于剩余股</w:t>
      </w:r>
      <w:r>
        <w:rPr>
          <w:w w:val="100"/>
        </w:rPr>
        <w:t> </w:t>
      </w:r>
      <w:r>
        <w:rPr>
          <w:spacing w:val="-5"/>
        </w:rPr>
        <w:t>权，应当按照其在丧失控制权日的公允价值进行重新计量。处置股权取得的对价与剩余股权公允价值之和，</w:t>
      </w:r>
      <w:r>
        <w:rPr>
          <w:spacing w:val="-4"/>
        </w:rPr>
        <w:t> </w:t>
      </w:r>
      <w:r>
        <w:rPr>
          <w:spacing w:val="-4"/>
        </w:rPr>
      </w:r>
      <w:r>
        <w:rPr>
          <w:spacing w:val="-2"/>
        </w:rPr>
        <w:t>减去按原持股比例计算应享有原有子公司自购买日开始持续计算的净资产的份额之间的差额，计入丧失控</w:t>
      </w:r>
    </w:p>
    <w:p>
      <w:pPr>
        <w:spacing w:after="0" w:line="408"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Heading6"/>
        <w:spacing w:line="408" w:lineRule="auto" w:before="175"/>
        <w:ind w:right="141"/>
        <w:jc w:val="left"/>
      </w:pPr>
      <w:r>
        <w:rPr>
          <w:spacing w:val="-2"/>
        </w:rPr>
        <w:t>制权当期的投资收益。与原有子公司股权投资相关的其他综合收益，应当在丧失控制权时转为当期投资收</w:t>
      </w:r>
      <w:r>
        <w:rPr>
          <w:spacing w:val="-44"/>
        </w:rPr>
        <w:t> </w:t>
      </w:r>
      <w:r>
        <w:rPr>
          <w:spacing w:val="-44"/>
        </w:rPr>
      </w:r>
      <w:r>
        <w:rPr/>
        <w:t>益。</w:t>
      </w:r>
    </w:p>
    <w:p>
      <w:pPr>
        <w:spacing w:line="240" w:lineRule="auto" w:before="13"/>
        <w:rPr>
          <w:rFonts w:ascii="宋体" w:hAnsi="宋体" w:cs="宋体" w:eastAsia="宋体" w:hint="default"/>
          <w:sz w:val="26"/>
          <w:szCs w:val="26"/>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6" w:firstLine="420"/>
        <w:jc w:val="both"/>
      </w:pPr>
      <w:r>
        <w:rPr>
          <w:spacing w:val="-2"/>
        </w:rPr>
        <w:t>在编制现金流量表时，将本公司库存现金以及可以随时用于支付的存款确认为现金。将同时具备期限</w:t>
      </w:r>
      <w:r>
        <w:rPr>
          <w:w w:val="100"/>
        </w:rPr>
        <w:t> </w:t>
      </w:r>
      <w:r>
        <w:rPr>
          <w:spacing w:val="-2"/>
        </w:rPr>
        <w:t>短（一般从购买日起，三个月内到期）、流动性强、易于转换为已知现金、价值变动风险很小四个条件的</w:t>
      </w:r>
      <w:r>
        <w:rPr>
          <w:spacing w:val="-42"/>
        </w:rPr>
        <w:t> </w:t>
      </w:r>
      <w:r>
        <w:rPr>
          <w:spacing w:val="-42"/>
        </w:rPr>
      </w:r>
      <w:r>
        <w:rPr/>
        <w:t>投资，确定为现金等价物。</w:t>
      </w:r>
    </w:p>
    <w:p>
      <w:pPr>
        <w:spacing w:line="240" w:lineRule="auto" w:before="13"/>
        <w:rPr>
          <w:rFonts w:ascii="宋体" w:hAnsi="宋体" w:cs="宋体" w:eastAsia="宋体" w:hint="default"/>
          <w:sz w:val="26"/>
          <w:szCs w:val="26"/>
        </w:rPr>
      </w:pPr>
    </w:p>
    <w:p>
      <w:pPr>
        <w:pStyle w:val="Heading7"/>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left="573" w:right="141"/>
        <w:jc w:val="left"/>
      </w:pPr>
      <w:r>
        <w:rPr/>
        <w:t>外币业务采用交易发生日的即期汇率作为折算汇率折合成人民币记账。</w:t>
      </w:r>
      <w:r>
        <w:rPr>
          <w:w w:val="100"/>
        </w:rPr>
        <w:t> </w:t>
      </w:r>
      <w:r>
        <w:rPr>
          <w:spacing w:val="-2"/>
        </w:rPr>
        <w:t>外币货币性项目余额按资产负债表日即期汇率折算，由此产生的汇兑差额，除属于与购建符合资本化</w:t>
      </w:r>
    </w:p>
    <w:p>
      <w:pPr>
        <w:pStyle w:val="Heading6"/>
        <w:spacing w:line="408" w:lineRule="auto"/>
        <w:ind w:right="146"/>
        <w:jc w:val="both"/>
      </w:pPr>
      <w:r>
        <w:rPr>
          <w:spacing w:val="-2"/>
        </w:rPr>
        <w:t>条件的资产相关的外币专门借款产生的汇兑差额按照借款费用资本化的原则处理外，均计入当期损益。以</w:t>
      </w:r>
      <w:r>
        <w:rPr>
          <w:spacing w:val="-44"/>
        </w:rPr>
        <w:t> </w:t>
      </w:r>
      <w:r>
        <w:rPr>
          <w:spacing w:val="-44"/>
        </w:rPr>
      </w:r>
      <w:r>
        <w:rPr>
          <w:spacing w:val="-2"/>
        </w:rPr>
        <w:t>历史成本计量的外币非货币性项目，仍采用交易发生日的即期汇率折算，不改变其记账本位币金额。以公</w:t>
      </w:r>
      <w:r>
        <w:rPr>
          <w:spacing w:val="-44"/>
        </w:rPr>
        <w:t> </w:t>
      </w:r>
      <w:r>
        <w:rPr>
          <w:spacing w:val="-44"/>
        </w:rPr>
      </w:r>
      <w:r>
        <w:rPr>
          <w:spacing w:val="-2"/>
        </w:rPr>
        <w:t>允价值计量的外币非货币性项目，采用公允价值确定日的即期汇率折算，由此产生的汇兑差额计入当期损</w:t>
      </w:r>
      <w:r>
        <w:rPr>
          <w:spacing w:val="-44"/>
        </w:rPr>
        <w:t> </w:t>
      </w:r>
      <w:r>
        <w:rPr>
          <w:spacing w:val="-44"/>
        </w:rPr>
      </w:r>
      <w:r>
        <w:rPr/>
        <w:t>益或资本公积。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right="146" w:firstLine="420"/>
        <w:jc w:val="both"/>
      </w:pPr>
      <w:r>
        <w:rPr>
          <w:spacing w:val="1"/>
          <w:w w:val="99"/>
        </w:rPr>
        <w:t>资产负债表中的资产和负债项目，采用资产负债表日的即期汇率折算；所有者权益项目除</w:t>
      </w:r>
      <w:r>
        <w:rPr>
          <w:rFonts w:ascii="Times New Roman" w:hAnsi="Times New Roman" w:cs="Times New Roman" w:eastAsia="Times New Roman" w:hint="default"/>
          <w:spacing w:val="1"/>
          <w:w w:val="99"/>
        </w:rPr>
        <w:t>―</w:t>
      </w:r>
      <w:r>
        <w:rPr>
          <w:spacing w:val="1"/>
          <w:w w:val="99"/>
        </w:rPr>
        <w:t>未分配利</w:t>
      </w:r>
      <w:r>
        <w:rPr>
          <w:w w:val="100"/>
        </w:rPr>
        <w:t> </w:t>
      </w: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16"/>
        </w:rPr>
        <w:t> </w:t>
      </w:r>
      <w:r>
        <w:rPr>
          <w:spacing w:val="16"/>
        </w:rPr>
      </w:r>
      <w:r>
        <w:rPr/>
        <w:t>汇率折算。按照上述折算产生的外币财务报表折算差额，在资产负债表所有者权益项目下单独列示。</w:t>
      </w:r>
    </w:p>
    <w:p>
      <w:pPr>
        <w:pStyle w:val="Heading6"/>
        <w:spacing w:line="408" w:lineRule="auto" w:before="65"/>
        <w:ind w:right="146" w:firstLine="420"/>
        <w:jc w:val="both"/>
      </w:pPr>
      <w:r>
        <w:rPr>
          <w:spacing w:val="-2"/>
        </w:rPr>
        <w:t>处置境外经营时，将资产负债表中所有者权益项目下列示的、与该境外经营相关的外币财务报表折算</w:t>
      </w:r>
      <w:r>
        <w:rPr>
          <w:w w:val="100"/>
        </w:rPr>
        <w:t> </w:t>
      </w:r>
      <w:r>
        <w:rPr>
          <w:spacing w:val="-2"/>
        </w:rPr>
        <w:t>差额，自所有者权益项目转入处置当期损益；部分处置境外经营的，按处置的比例计算处置部分的外币财</w:t>
      </w:r>
      <w:r>
        <w:rPr>
          <w:spacing w:val="-44"/>
        </w:rPr>
        <w:t> </w:t>
      </w:r>
      <w:r>
        <w:rPr>
          <w:spacing w:val="-44"/>
        </w:rPr>
      </w:r>
      <w:r>
        <w:rPr/>
        <w:t>务报表折算差额，转入处置当期损益。</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240" w:lineRule="auto" w:before="0"/>
        <w:ind w:left="573" w:right="141"/>
        <w:jc w:val="left"/>
      </w:pPr>
      <w:r>
        <w:rPr/>
        <w:t>金融工具包括金融资产、金融负债和权益工具。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6" w:firstLine="420"/>
        <w:jc w:val="both"/>
      </w:pPr>
      <w:r>
        <w:rPr>
          <w:spacing w:val="-2"/>
        </w:rPr>
        <w:t>管理层按照取得持有金融资产和承担金融负债的目的，将其划分为：以公允价值计量且其变动计入当</w:t>
      </w:r>
      <w:r>
        <w:rPr>
          <w:w w:val="100"/>
        </w:rPr>
        <w:t> </w:t>
      </w:r>
      <w:r>
        <w:rPr>
          <w:spacing w:val="-2"/>
        </w:rPr>
        <w:t>期损益的金融资产或金融负债，包括交易性金融资产或金融负债（和直接指定为以公允价值计量且其变动</w:t>
      </w:r>
      <w:r>
        <w:rPr>
          <w:spacing w:val="-43"/>
        </w:rPr>
        <w:t> </w:t>
      </w:r>
      <w:r>
        <w:rPr>
          <w:spacing w:val="-43"/>
        </w:rPr>
      </w:r>
      <w:r>
        <w:rPr>
          <w:spacing w:val="-2"/>
        </w:rPr>
        <w:t>计入当期损益的金融资产或金融负债）；持有至到期投资；应收款项；可供出售金融资产；其他金融负债</w:t>
      </w:r>
      <w:r>
        <w:rPr>
          <w:spacing w:val="-43"/>
        </w:rPr>
        <w:t> </w:t>
      </w:r>
      <w:r>
        <w:rPr>
          <w:spacing w:val="-43"/>
        </w:rPr>
      </w:r>
      <w:r>
        <w:rPr/>
        <w:t>等。</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left="933" w:right="141" w:hanging="781"/>
        <w:jc w:val="left"/>
      </w:pPr>
      <w:r>
        <w:rPr>
          <w:rFonts w:ascii="宋体" w:hAnsi="宋体" w:cs="宋体" w:eastAsia="宋体" w:hint="default"/>
        </w:rPr>
        <w:t>1.</w:t>
      </w:r>
      <w:r>
        <w:rPr>
          <w:rFonts w:ascii="宋体" w:hAnsi="宋体" w:cs="宋体" w:eastAsia="宋体" w:hint="default"/>
          <w:spacing w:val="43"/>
        </w:rPr>
        <w:t> </w:t>
      </w:r>
      <w:r>
        <w:rPr/>
        <w:t>以公允价值计量且其变动计入当期损益的金融资产（金融负债）</w:t>
      </w:r>
      <w:r>
        <w:rPr>
          <w:w w:val="100"/>
        </w:rPr>
        <w:t> </w:t>
      </w:r>
      <w:r>
        <w:rPr>
          <w:spacing w:val="-1"/>
        </w:rPr>
        <w:t>取得时以公允价值（扣除已宣告但尚未发放的现金股利或已到付息期但尚未领取的债券利息）作</w:t>
      </w:r>
    </w:p>
    <w:p>
      <w:pPr>
        <w:pStyle w:val="Heading6"/>
        <w:spacing w:line="408" w:lineRule="auto"/>
        <w:ind w:left="933" w:right="141" w:hanging="420"/>
        <w:jc w:val="left"/>
      </w:pPr>
      <w:r>
        <w:rPr/>
        <w:t>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Heading6"/>
        <w:spacing w:line="240" w:lineRule="auto"/>
        <w:ind w:right="141"/>
        <w:jc w:val="left"/>
      </w:pPr>
      <w:r>
        <w:rPr>
          <w:rFonts w:ascii="宋体" w:hAnsi="宋体" w:cs="宋体" w:eastAsia="宋体" w:hint="default"/>
        </w:rPr>
        <w:t>1.</w:t>
      </w:r>
      <w:r>
        <w:rPr>
          <w:rFonts w:ascii="宋体" w:hAnsi="宋体" w:cs="宋体" w:eastAsia="宋体" w:hint="default"/>
          <w:spacing w:val="47"/>
        </w:rPr>
        <w:t> </w:t>
      </w:r>
      <w:r>
        <w:rPr/>
        <w:t>持有至到期投资</w:t>
      </w:r>
    </w:p>
    <w:p>
      <w:pPr>
        <w:spacing w:line="240" w:lineRule="auto" w:before="10"/>
        <w:rPr>
          <w:rFonts w:ascii="宋体" w:hAnsi="宋体" w:cs="宋体" w:eastAsia="宋体" w:hint="default"/>
          <w:sz w:val="14"/>
          <w:szCs w:val="14"/>
        </w:rPr>
      </w:pPr>
    </w:p>
    <w:p>
      <w:pPr>
        <w:pStyle w:val="Heading6"/>
        <w:spacing w:line="408" w:lineRule="auto" w:before="0"/>
        <w:ind w:left="513" w:right="147" w:firstLine="420"/>
        <w:jc w:val="both"/>
      </w:pPr>
      <w:r>
        <w:rPr>
          <w:spacing w:val="-1"/>
        </w:rPr>
        <w:t>取得时按公允价值（扣除已到付息期但尚未领取的债券利息）和相关交易费用之和作为初始确认</w:t>
      </w:r>
      <w:r>
        <w:rPr>
          <w:w w:val="100"/>
        </w:rPr>
        <w:t> </w:t>
      </w:r>
      <w:r>
        <w:rPr/>
        <w:t>金额。</w:t>
      </w:r>
    </w:p>
    <w:p>
      <w:pPr>
        <w:pStyle w:val="Heading6"/>
        <w:spacing w:line="408" w:lineRule="auto"/>
        <w:ind w:left="513" w:right="147" w:firstLine="420"/>
        <w:jc w:val="both"/>
      </w:pPr>
      <w:r>
        <w:rPr>
          <w:spacing w:val="-1"/>
        </w:rPr>
        <w:t>持有期间按照摊余成本和实际利率计算确认利息收入，计入投资收益。实际利率在取得时确定，</w:t>
      </w:r>
      <w:r>
        <w:rPr>
          <w:w w:val="100"/>
        </w:rPr>
        <w:t> </w:t>
      </w:r>
      <w:r>
        <w:rPr/>
        <w:t>在该预期存续期间或适用的更短期间内保持不变。</w:t>
      </w:r>
    </w:p>
    <w:p>
      <w:pPr>
        <w:pStyle w:val="Heading6"/>
        <w:spacing w:line="408" w:lineRule="auto"/>
        <w:ind w:right="2584" w:firstLine="780"/>
        <w:jc w:val="left"/>
      </w:pPr>
      <w:r>
        <w:rPr>
          <w:spacing w:val="-2"/>
        </w:rPr>
        <w:t>处置时，将所取得价款与该投资账面价值之间的差额计入投资收益。</w:t>
      </w:r>
      <w:r>
        <w:rPr>
          <w:w w:val="100"/>
        </w:rPr>
        <w:t> </w:t>
      </w:r>
      <w:r>
        <w:rPr>
          <w:rFonts w:ascii="宋体" w:hAnsi="宋体" w:cs="宋体" w:eastAsia="宋体" w:hint="default"/>
        </w:rPr>
        <w:t>1.</w:t>
      </w:r>
      <w:r>
        <w:rPr>
          <w:rFonts w:ascii="宋体" w:hAnsi="宋体" w:cs="宋体" w:eastAsia="宋体" w:hint="default"/>
          <w:spacing w:val="47"/>
        </w:rPr>
        <w:t> </w:t>
      </w:r>
      <w:r>
        <w:rPr/>
        <w:t>应收款项</w:t>
      </w:r>
    </w:p>
    <w:p>
      <w:pPr>
        <w:pStyle w:val="Heading6"/>
        <w:spacing w:line="408" w:lineRule="auto"/>
        <w:ind w:left="513" w:right="147" w:firstLine="420"/>
        <w:jc w:val="both"/>
      </w:pPr>
      <w:r>
        <w:rPr>
          <w:spacing w:val="-1"/>
        </w:rPr>
        <w:t>公司对外销售商品或提供劳务形成的应收债权，以及公司持有的其他企业的不包括在活跃市场上</w:t>
      </w:r>
      <w:r>
        <w:rPr>
          <w:w w:val="100"/>
        </w:rPr>
        <w:t> </w:t>
      </w:r>
      <w:r>
        <w:rPr>
          <w:spacing w:val="-1"/>
        </w:rPr>
        <w:t>有报价的债务工具的债权，包括应收账款、其他应收款等，以向购货方应收的合同或协议价款作为初</w:t>
      </w:r>
      <w:r>
        <w:rPr>
          <w:spacing w:val="-21"/>
        </w:rPr>
        <w:t> </w:t>
      </w:r>
      <w:r>
        <w:rPr>
          <w:spacing w:val="-21"/>
        </w:rPr>
      </w:r>
      <w:r>
        <w:rPr/>
        <w:t>始确认金额；具有融资性质的，按其现值进行初始确认。</w:t>
      </w:r>
    </w:p>
    <w:p>
      <w:pPr>
        <w:pStyle w:val="Heading6"/>
        <w:spacing w:line="408" w:lineRule="auto"/>
        <w:ind w:right="1544" w:firstLine="780"/>
        <w:jc w:val="left"/>
      </w:pPr>
      <w:r>
        <w:rPr>
          <w:spacing w:val="-2"/>
        </w:rPr>
        <w:t>收回或处置时，将取得的价款与该应收款项账面价值之间的差额计入当期损益。</w:t>
      </w:r>
      <w:r>
        <w:rPr>
          <w:w w:val="100"/>
        </w:rPr>
        <w:t> </w:t>
      </w:r>
      <w:r>
        <w:rPr>
          <w:rFonts w:ascii="宋体" w:hAnsi="宋体" w:cs="宋体" w:eastAsia="宋体" w:hint="default"/>
        </w:rPr>
        <w:t>1.</w:t>
      </w:r>
      <w:r>
        <w:rPr>
          <w:rFonts w:ascii="宋体" w:hAnsi="宋体" w:cs="宋体" w:eastAsia="宋体" w:hint="default"/>
          <w:spacing w:val="45"/>
        </w:rPr>
        <w:t> </w:t>
      </w:r>
      <w:r>
        <w:rPr/>
        <w:t>可供出售金融资产</w:t>
      </w:r>
    </w:p>
    <w:p>
      <w:pPr>
        <w:pStyle w:val="Heading6"/>
        <w:spacing w:line="240" w:lineRule="auto"/>
        <w:ind w:left="933" w:right="141"/>
        <w:jc w:val="left"/>
      </w:pPr>
      <w:r>
        <w:rPr/>
        <w:t>取得时按公允价值（扣除已宣告但尚未发放的现金股利或已到付息期但尚未领取的债券利息）和</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408" w:lineRule="auto" w:before="175"/>
        <w:ind w:left="933" w:right="141" w:hanging="420"/>
        <w:jc w:val="left"/>
      </w:pPr>
      <w:r>
        <w:rPr/>
        <w:t>相关交易费用之和作为初始确认金额。</w:t>
      </w:r>
      <w:r>
        <w:rPr>
          <w:w w:val="100"/>
        </w:rPr>
        <w:t> </w:t>
      </w:r>
      <w:r>
        <w:rPr>
          <w:spacing w:val="-1"/>
        </w:rPr>
        <w:t>持有期间将取得的利息或现金股利确认为投资收益。期末以公允价值计量且将公允价值变动计入</w:t>
      </w:r>
    </w:p>
    <w:p>
      <w:pPr>
        <w:pStyle w:val="Heading6"/>
        <w:spacing w:line="408" w:lineRule="auto"/>
        <w:ind w:left="933" w:right="141" w:hanging="420"/>
        <w:jc w:val="left"/>
      </w:pPr>
      <w:r>
        <w:rPr/>
        <w:t>资本公积（其他资本公积）。</w:t>
      </w:r>
      <w:r>
        <w:rPr>
          <w:w w:val="100"/>
        </w:rPr>
        <w:t> </w:t>
      </w:r>
      <w:r>
        <w:rPr>
          <w:spacing w:val="-1"/>
        </w:rPr>
        <w:t>处置时，将取得的价款与该金融资产账面价值之间的差额，计入投资损益；同时，将原直接计入</w:t>
      </w:r>
    </w:p>
    <w:p>
      <w:pPr>
        <w:pStyle w:val="Heading6"/>
        <w:spacing w:line="408" w:lineRule="auto"/>
        <w:ind w:right="2172" w:firstLine="360"/>
        <w:jc w:val="left"/>
      </w:pPr>
      <w:r>
        <w:rPr>
          <w:spacing w:val="-2"/>
        </w:rPr>
        <w:t>所有者权益的公允价值变动累计额对应处置部分的金额转出，计入投资损益。</w:t>
      </w:r>
      <w:r>
        <w:rPr>
          <w:w w:val="100"/>
        </w:rPr>
        <w:t> </w:t>
      </w:r>
      <w:r>
        <w:rPr>
          <w:rFonts w:ascii="宋体" w:hAnsi="宋体" w:cs="宋体" w:eastAsia="宋体" w:hint="default"/>
        </w:rPr>
        <w:t>1.</w:t>
      </w:r>
      <w:r>
        <w:rPr>
          <w:rFonts w:ascii="宋体" w:hAnsi="宋体" w:cs="宋体" w:eastAsia="宋体" w:hint="default"/>
          <w:spacing w:val="46"/>
        </w:rPr>
        <w:t> </w:t>
      </w:r>
      <w:r>
        <w:rPr/>
        <w:t>其他金融负债</w:t>
      </w:r>
    </w:p>
    <w:p>
      <w:pPr>
        <w:pStyle w:val="Heading6"/>
        <w:spacing w:line="240" w:lineRule="auto"/>
        <w:ind w:left="573" w:right="141"/>
        <w:jc w:val="left"/>
      </w:pPr>
      <w:r>
        <w:rPr/>
        <w:t>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6"/>
        <w:spacing w:line="408" w:lineRule="auto" w:before="0"/>
        <w:ind w:right="146" w:firstLine="420"/>
        <w:jc w:val="both"/>
      </w:pPr>
      <w:r>
        <w:rPr>
          <w:spacing w:val="-2"/>
        </w:rPr>
        <w:t>公司发生金融资产转移时，如已将金融资产所有权上几乎所有的风险和报酬转移给转入方，则终止确</w:t>
      </w:r>
      <w:r>
        <w:rPr>
          <w:w w:val="100"/>
        </w:rPr>
        <w:t> </w:t>
      </w:r>
      <w:r>
        <w:rPr/>
        <w:t>认该金融资产；如保留了金融资产所有权上几乎所有的风险和报酬的，则不终止确认该金融资产。</w:t>
      </w:r>
    </w:p>
    <w:p>
      <w:pPr>
        <w:pStyle w:val="Heading6"/>
        <w:spacing w:line="408" w:lineRule="auto"/>
        <w:ind w:right="146" w:firstLine="420"/>
        <w:jc w:val="both"/>
      </w:pPr>
      <w:r>
        <w:rPr>
          <w:spacing w:val="-2"/>
        </w:rPr>
        <w:t>在判断金融资产转移是否满足上述金融资产终止确认条件时，采用实质重于形式的原则。公司将金融</w:t>
      </w:r>
      <w:r>
        <w:rPr>
          <w:w w:val="100"/>
        </w:rPr>
        <w:t> </w:t>
      </w: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Heading6"/>
        <w:spacing w:line="240" w:lineRule="auto"/>
        <w:ind w:left="573" w:right="141"/>
        <w:jc w:val="left"/>
      </w:pPr>
      <w:r>
        <w:rPr/>
        <w:t>（</w:t>
      </w:r>
      <w:r>
        <w:rPr>
          <w:rFonts w:ascii="Times New Roman" w:hAnsi="Times New Roman" w:cs="Times New Roman" w:eastAsia="Times New Roman" w:hint="default"/>
        </w:rPr>
        <w:t>1</w:t>
      </w:r>
      <w:r>
        <w:rPr/>
        <w:t>）所转移金融资产的账面价值；</w:t>
      </w:r>
    </w:p>
    <w:p>
      <w:pPr>
        <w:pStyle w:val="Heading6"/>
        <w:spacing w:line="386" w:lineRule="auto" w:before="177"/>
        <w:ind w:right="155"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w w:val="100"/>
        </w:rPr>
        <w:t> </w:t>
      </w:r>
      <w:r>
        <w:rPr/>
        <w:t>为可供出售金融资产的情形）之和。</w:t>
      </w:r>
    </w:p>
    <w:p>
      <w:pPr>
        <w:pStyle w:val="Heading6"/>
        <w:spacing w:line="408" w:lineRule="auto" w:before="65"/>
        <w:ind w:right="146" w:firstLine="420"/>
        <w:jc w:val="both"/>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Heading6"/>
        <w:spacing w:line="240" w:lineRule="auto"/>
        <w:ind w:left="573" w:right="141"/>
        <w:jc w:val="left"/>
      </w:pPr>
      <w:r>
        <w:rPr/>
        <w:t>（</w:t>
      </w:r>
      <w:r>
        <w:rPr>
          <w:rFonts w:ascii="Times New Roman" w:hAnsi="Times New Roman" w:cs="Times New Roman" w:eastAsia="Times New Roman" w:hint="default"/>
        </w:rPr>
        <w:t>1</w:t>
      </w:r>
      <w:r>
        <w:rPr/>
        <w:t>）终止确认部分的账面价值；</w:t>
      </w:r>
    </w:p>
    <w:p>
      <w:pPr>
        <w:pStyle w:val="Heading6"/>
        <w:spacing w:line="386" w:lineRule="auto" w:before="177"/>
        <w:ind w:right="156"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Heading6"/>
        <w:spacing w:line="240" w:lineRule="auto" w:before="65"/>
        <w:ind w:left="573" w:right="141"/>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6" w:firstLine="420"/>
        <w:jc w:val="both"/>
      </w:pPr>
      <w:r>
        <w:rPr>
          <w:spacing w:val="-2"/>
        </w:rPr>
        <w:t>金融负债的现时义务全部或部分已经解除的，则终止确认该金融负债或其一部分；本公司若与债权人</w:t>
      </w:r>
      <w:r>
        <w:rPr>
          <w:w w:val="100"/>
        </w:rPr>
        <w:t> </w:t>
      </w: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Heading6"/>
        <w:spacing w:line="240" w:lineRule="auto"/>
        <w:ind w:left="573" w:right="0"/>
        <w:jc w:val="left"/>
      </w:pPr>
      <w:r>
        <w:rPr/>
        <w:t>对现存金融负债全部或部分合同条款作出实质性修改的，则终止确认现存金融负债或其一部分，同时</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408" w:lineRule="auto" w:before="175"/>
        <w:ind w:left="573" w:right="141" w:hanging="421"/>
        <w:jc w:val="left"/>
      </w:pPr>
      <w:r>
        <w:rPr/>
        <w:t>将修改条款后的金融负债确认为一项新金融负债。</w:t>
      </w:r>
      <w:r>
        <w:rPr>
          <w:w w:val="100"/>
        </w:rPr>
        <w:t> </w:t>
      </w:r>
      <w:r>
        <w:rPr>
          <w:spacing w:val="-2"/>
        </w:rPr>
        <w:t>金融负债全部或部分终止确认时，终止确认的金融负债账面价值与支付对价（包括转出的非现金资产</w:t>
      </w:r>
    </w:p>
    <w:p>
      <w:pPr>
        <w:pStyle w:val="Heading6"/>
        <w:spacing w:line="408" w:lineRule="auto"/>
        <w:ind w:left="573" w:right="141" w:hanging="421"/>
        <w:jc w:val="left"/>
      </w:pPr>
      <w:r>
        <w:rPr/>
        <w:t>或承担的新金融负债）之间的差额，计入当期损益。</w:t>
      </w:r>
      <w:r>
        <w:rPr>
          <w:w w:val="100"/>
        </w:rPr>
        <w:t> </w:t>
      </w:r>
      <w:r>
        <w:rPr>
          <w:spacing w:val="-2"/>
        </w:rPr>
        <w:t>本公司若回购部分金融负债的，在回购日按照继续确认部分与终止确认部分的相对公允价值，将该金</w:t>
      </w:r>
    </w:p>
    <w:p>
      <w:pPr>
        <w:pStyle w:val="Heading6"/>
        <w:spacing w:line="408" w:lineRule="auto"/>
        <w:ind w:right="141"/>
        <w:jc w:val="left"/>
      </w:pP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6"/>
        <w:spacing w:line="408" w:lineRule="auto" w:before="0"/>
        <w:ind w:right="146" w:firstLine="420"/>
        <w:jc w:val="both"/>
      </w:pPr>
      <w:r>
        <w:rPr>
          <w:spacing w:val="-2"/>
        </w:rPr>
        <w:t>本公司采用公允价值计量的金融资产和金融负债存在活跃市场的金融资产或金融负债，以活跃市场的</w:t>
      </w:r>
      <w:r>
        <w:rPr>
          <w:w w:val="100"/>
        </w:rPr>
        <w:t> </w:t>
      </w:r>
      <w:r>
        <w:rPr>
          <w:spacing w:val="-2"/>
        </w:rPr>
        <w:t>报价确定其公允价值；不存在活跃市场的金融资产或金融负债，采用估值技术（包括参考熟悉情况并自愿</w:t>
      </w:r>
      <w:r>
        <w:rPr>
          <w:spacing w:val="-44"/>
        </w:rPr>
        <w:t> </w:t>
      </w:r>
      <w:r>
        <w:rPr>
          <w:spacing w:val="-44"/>
        </w:rPr>
      </w:r>
      <w:r>
        <w:rPr>
          <w:spacing w:val="-2"/>
        </w:rPr>
        <w:t>交易的各方最近进行的市场交易中使用的价格、参照实质上相同的其他金融工具的当前公允价值、现金流</w:t>
      </w:r>
      <w:r>
        <w:rPr>
          <w:spacing w:val="-44"/>
        </w:rPr>
        <w:t> </w:t>
      </w:r>
      <w:r>
        <w:rPr>
          <w:spacing w:val="-44"/>
        </w:rPr>
      </w:r>
      <w:r>
        <w:rPr>
          <w:spacing w:val="-2"/>
        </w:rPr>
        <w:t>量折现法和期权定价模型等）确定其公允价值；初始取得或源生的金融资产或承担的金融负债，以市场交</w:t>
      </w:r>
      <w:r>
        <w:rPr>
          <w:spacing w:val="-42"/>
        </w:rPr>
        <w:t> </w:t>
      </w:r>
      <w:r>
        <w:rPr>
          <w:spacing w:val="-42"/>
        </w:rPr>
      </w:r>
      <w:r>
        <w:rPr/>
        <w:t>易价格作为确定其公允价值的基础。</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60" w:firstLine="420"/>
        <w:jc w:val="both"/>
      </w:pPr>
      <w:r>
        <w:rPr>
          <w:spacing w:val="2"/>
        </w:rPr>
        <w:t>资产负债表日对以公允价值计量且其变动计入当期损益的金融资产以外的金融资产的账面价值进行</w:t>
      </w:r>
      <w:r>
        <w:rPr>
          <w:w w:val="100"/>
        </w:rPr>
        <w:t> </w:t>
      </w:r>
      <w:r>
        <w:rPr/>
        <w:t>检查，如有客观证据表明该金融资产发生减值的，计提减值准备。</w:t>
      </w:r>
    </w:p>
    <w:p>
      <w:pPr>
        <w:pStyle w:val="Heading6"/>
        <w:spacing w:line="386" w:lineRule="auto"/>
        <w:ind w:left="573" w:right="141"/>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期末如果可供出售金融资产的公允价值发生较大幅度下降，或在综合考虑各种相关因素后，预期这种</w:t>
      </w:r>
    </w:p>
    <w:p>
      <w:pPr>
        <w:pStyle w:val="Heading6"/>
        <w:spacing w:line="408" w:lineRule="auto" w:before="65"/>
        <w:ind w:right="141"/>
        <w:jc w:val="left"/>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Heading6"/>
        <w:spacing w:line="386" w:lineRule="auto"/>
        <w:ind w:left="573" w:right="141"/>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对于持有至到期投资，有客观证据表明其发生了减值的，根据其账面价值与预计未来现金流量现值之</w:t>
      </w:r>
    </w:p>
    <w:p>
      <w:pPr>
        <w:pStyle w:val="Heading6"/>
        <w:spacing w:line="408" w:lineRule="auto" w:before="65"/>
        <w:ind w:right="141"/>
        <w:jc w:val="left"/>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558"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w:t>
            </w:r>
          </w:p>
        </w:tc>
      </w:tr>
      <w:tr>
        <w:trPr>
          <w:trHeight w:val="149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9"/>
              <w:ind w:left="23"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生减值的应收款项，将其归入相应组合计提坏账准备。</w:t>
            </w:r>
          </w:p>
        </w:tc>
      </w:tr>
    </w:tbl>
    <w:p>
      <w:pPr>
        <w:spacing w:line="240" w:lineRule="auto" w:before="6"/>
        <w:rPr>
          <w:rFonts w:ascii="宋体" w:hAnsi="宋体" w:cs="宋体" w:eastAsia="宋体" w:hint="default"/>
          <w:b/>
          <w:bCs/>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102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spacing w:line="240" w:lineRule="auto" w:before="5"/>
        <w:rPr>
          <w:rFonts w:ascii="宋体" w:hAnsi="宋体" w:cs="宋体" w:eastAsia="宋体" w:hint="default"/>
          <w:b/>
          <w:bCs/>
          <w:sz w:val="6"/>
          <w:szCs w:val="6"/>
        </w:rPr>
      </w:pPr>
    </w:p>
    <w:p>
      <w:pPr>
        <w:pStyle w:val="BodyText"/>
        <w:spacing w:line="240" w:lineRule="auto"/>
        <w:ind w:right="141"/>
        <w:jc w:val="left"/>
      </w:pPr>
      <w:r>
        <w:rPr/>
        <w:t>组合中，采用账龄分析法计提坏账准备的</w:t>
      </w:r>
    </w:p>
    <w:p>
      <w:pPr>
        <w:spacing w:line="240" w:lineRule="auto" w:before="9"/>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557"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55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557"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r>
      <w:tr>
        <w:trPr>
          <w:trHeight w:val="55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r>
      <w:tr>
        <w:trPr>
          <w:trHeight w:val="557"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组合中，采用余额百分比法计提坏账准备的</w:t>
      </w:r>
    </w:p>
    <w:p>
      <w:pPr>
        <w:spacing w:line="240" w:lineRule="auto" w:before="12"/>
        <w:rPr>
          <w:rFonts w:ascii="宋体" w:hAnsi="宋体" w:cs="宋体" w:eastAsia="宋体" w:hint="default"/>
          <w:sz w:val="20"/>
          <w:szCs w:val="20"/>
        </w:rPr>
      </w:pPr>
    </w:p>
    <w:p>
      <w:pPr>
        <w:pStyle w:val="BodyText"/>
        <w:spacing w:line="487" w:lineRule="auto" w:before="0"/>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88"/>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102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60"/>
              <w:jc w:val="left"/>
              <w:rPr>
                <w:rFonts w:ascii="宋体" w:hAnsi="宋体" w:cs="宋体" w:eastAsia="宋体" w:hint="default"/>
                <w:sz w:val="18"/>
                <w:szCs w:val="18"/>
              </w:rPr>
            </w:pPr>
            <w:r>
              <w:rPr>
                <w:rFonts w:ascii="宋体" w:hAnsi="宋体" w:cs="宋体" w:eastAsia="宋体" w:hint="default"/>
                <w:sz w:val="18"/>
                <w:szCs w:val="18"/>
              </w:rPr>
              <w:t>有客观证据表明可能发生了减值，如债务人出现撤销、破产或死亡，以其破产 财产或遗产清偿后，仍不能收回、现金流量严重不足等情况的。</w:t>
            </w:r>
          </w:p>
        </w:tc>
      </w:tr>
      <w:tr>
        <w:trPr>
          <w:trHeight w:val="102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60"/>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 单独进行减值测试，确认减值损失。</w:t>
            </w:r>
          </w:p>
        </w:tc>
      </w:tr>
    </w:tbl>
    <w:p>
      <w:pPr>
        <w:spacing w:line="240" w:lineRule="auto" w:before="6"/>
        <w:rPr>
          <w:rFonts w:ascii="宋体" w:hAnsi="宋体" w:cs="宋体" w:eastAsia="宋体" w:hint="default"/>
          <w:b/>
          <w:bCs/>
          <w:sz w:val="25"/>
          <w:szCs w:val="25"/>
        </w:rPr>
      </w:pPr>
    </w:p>
    <w:p>
      <w:pPr>
        <w:pStyle w:val="Heading7"/>
        <w:spacing w:line="240" w:lineRule="auto" w:before="37"/>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477" w:lineRule="auto" w:before="0"/>
        <w:ind w:right="153"/>
        <w:jc w:val="both"/>
      </w:pPr>
      <w:r>
        <w:rPr>
          <w:spacing w:val="-2"/>
        </w:rPr>
        <w:t>存货是指本公司在日常活动中持有以备出售的产成品或商品、处在生产过程中的在产品、在生产过程或提供劳务过程中耗用</w:t>
      </w:r>
      <w:r>
        <w:rPr>
          <w:spacing w:val="-64"/>
        </w:rPr>
        <w:t> </w:t>
      </w:r>
      <w:r>
        <w:rPr>
          <w:spacing w:val="-64"/>
        </w:rPr>
      </w:r>
      <w:r>
        <w:rPr>
          <w:spacing w:val="-2"/>
        </w:rPr>
        <w:t>的材料和物料等。主要包括原材料、周转材料、委托加工材料、包装物、低值易耗品、在产品、自制半成品、产成品（库存</w:t>
      </w:r>
      <w:r>
        <w:rPr>
          <w:spacing w:val="-68"/>
        </w:rPr>
        <w:t> </w:t>
      </w:r>
      <w:r>
        <w:rPr>
          <w:spacing w:val="-68"/>
        </w:rPr>
      </w:r>
      <w:r>
        <w:rPr/>
        <w:t>商品）等。</w:t>
      </w:r>
    </w:p>
    <w:p>
      <w:pPr>
        <w:spacing w:line="240" w:lineRule="auto" w:before="0"/>
        <w:rPr>
          <w:rFonts w:ascii="宋体" w:hAnsi="宋体" w:cs="宋体" w:eastAsia="宋体" w:hint="default"/>
          <w:sz w:val="26"/>
          <w:szCs w:val="26"/>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0"/>
        <w:jc w:val="both"/>
      </w:pPr>
      <w:r>
        <w:rPr/>
        <w:t>计价方法：加权平均法</w:t>
      </w:r>
    </w:p>
    <w:p>
      <w:pPr>
        <w:spacing w:line="240" w:lineRule="auto" w:before="2"/>
        <w:rPr>
          <w:rFonts w:ascii="宋体" w:hAnsi="宋体" w:cs="宋体" w:eastAsia="宋体" w:hint="default"/>
          <w:sz w:val="19"/>
          <w:szCs w:val="19"/>
        </w:rPr>
      </w:pPr>
    </w:p>
    <w:p>
      <w:pPr>
        <w:pStyle w:val="Heading6"/>
        <w:spacing w:line="408" w:lineRule="auto" w:before="0"/>
        <w:ind w:right="150"/>
        <w:jc w:val="both"/>
      </w:pPr>
      <w:r>
        <w:rPr>
          <w:spacing w:val="-2"/>
        </w:rPr>
        <w:t>存货在取得时，按成本进行初始计量，包括采购成本、加工成本和其他成本。存货发出时按加权平均法计</w:t>
      </w:r>
      <w:r>
        <w:rPr>
          <w:spacing w:val="-49"/>
        </w:rPr>
        <w:t> </w:t>
      </w:r>
      <w:r>
        <w:rPr>
          <w:spacing w:val="-49"/>
        </w:rPr>
      </w:r>
      <w:r>
        <w:rPr/>
        <w:t>价。</w:t>
      </w:r>
    </w:p>
    <w:p>
      <w:pPr>
        <w:spacing w:line="240" w:lineRule="auto" w:before="13"/>
        <w:rPr>
          <w:rFonts w:ascii="宋体" w:hAnsi="宋体" w:cs="宋体" w:eastAsia="宋体" w:hint="default"/>
          <w:sz w:val="26"/>
          <w:szCs w:val="26"/>
        </w:rPr>
      </w:pPr>
    </w:p>
    <w:p>
      <w:pPr>
        <w:pStyle w:val="Heading7"/>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6" w:firstLine="420"/>
        <w:jc w:val="both"/>
      </w:pPr>
      <w:r>
        <w:rPr>
          <w:spacing w:val="-2"/>
        </w:rPr>
        <w:t>期末对存货进行全面清查后，按存货的成本与可变现净值孰低提取或调整存货跌价准备。产成品、库</w:t>
      </w:r>
      <w:r>
        <w:rPr>
          <w:w w:val="100"/>
        </w:rPr>
        <w:t> </w:t>
      </w:r>
      <w:r>
        <w:rPr>
          <w:spacing w:val="-2"/>
        </w:rPr>
        <w:t>存商品和用于出售的材料等直接用于出售的商品存货，在正常生产经营过程中，以该存货的估计售价减去</w:t>
      </w:r>
      <w:r>
        <w:rPr>
          <w:spacing w:val="-44"/>
        </w:rPr>
        <w:t> </w:t>
      </w:r>
      <w:r>
        <w:rPr>
          <w:spacing w:val="-44"/>
        </w:rPr>
      </w:r>
      <w:r>
        <w:rPr>
          <w:spacing w:val="-2"/>
        </w:rPr>
        <w:t>估计的销售费用和相关税费后的金额，确定其可变现净值；需要经过加工的材料存货，在正常生产经营过</w:t>
      </w:r>
      <w:r>
        <w:rPr>
          <w:spacing w:val="-43"/>
        </w:rPr>
        <w:t> </w:t>
      </w:r>
      <w:r>
        <w:rPr>
          <w:spacing w:val="-43"/>
        </w:rPr>
      </w:r>
      <w:r>
        <w:rPr>
          <w:spacing w:val="-2"/>
        </w:rPr>
        <w:t>程中，以所生产的产成品的估计售价减去至完工时估计将要发生的成本、估计的销售费用和相关税费后的</w:t>
      </w:r>
      <w:r>
        <w:rPr>
          <w:spacing w:val="-43"/>
        </w:rPr>
        <w:t> </w:t>
      </w:r>
      <w:r>
        <w:rPr>
          <w:spacing w:val="-43"/>
        </w:rPr>
      </w:r>
      <w:r>
        <w:rPr>
          <w:spacing w:val="-2"/>
        </w:rPr>
        <w:t>金额，确定其可变现净值；为执行销售合同或者劳务合同而持有的存货，其可变现净值以合同价格为基础</w:t>
      </w:r>
      <w:r>
        <w:rPr>
          <w:spacing w:val="-45"/>
        </w:rPr>
        <w:t> </w:t>
      </w:r>
      <w:r>
        <w:rPr>
          <w:spacing w:val="-45"/>
        </w:rPr>
      </w:r>
      <w:r>
        <w:rPr>
          <w:spacing w:val="-2"/>
        </w:rPr>
        <w:t>计算，若持有存货的数量多于销售合同订购数量的，超出部分的存货的可变现净值以一般销售价格为基础</w:t>
      </w:r>
      <w:r>
        <w:rPr>
          <w:spacing w:val="-43"/>
        </w:rPr>
        <w:t> </w:t>
      </w:r>
      <w:r>
        <w:rPr>
          <w:spacing w:val="-43"/>
        </w:rPr>
      </w:r>
      <w:r>
        <w:rPr/>
        <w:t>计算。</w:t>
      </w:r>
    </w:p>
    <w:p>
      <w:pPr>
        <w:pStyle w:val="Heading6"/>
        <w:spacing w:line="408" w:lineRule="auto"/>
        <w:ind w:right="14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408" w:lineRule="auto" w:before="175"/>
        <w:ind w:right="141"/>
        <w:jc w:val="left"/>
      </w:pPr>
      <w:r>
        <w:rPr/>
        <w:t>项目分开计量的存货，则合并计提存货跌价准备。</w:t>
      </w:r>
      <w:r>
        <w:rPr>
          <w:w w:val="100"/>
        </w:rPr>
        <w:t> </w:t>
      </w:r>
      <w:r>
        <w:rPr>
          <w:spacing w:val="-2"/>
        </w:rPr>
        <w:t>以前减记存货价值的影响因素已经消失的，减记的金额予以恢复，并在原已计提的存货跌价准备金额内转</w:t>
      </w:r>
      <w:r>
        <w:rPr>
          <w:spacing w:val="-43"/>
        </w:rPr>
        <w:t> </w:t>
      </w:r>
      <w:r>
        <w:rPr>
          <w:spacing w:val="-43"/>
        </w:rPr>
      </w:r>
      <w:r>
        <w:rPr/>
        <w:t>回，转回的金额计入当期损益。</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盘存制度：永续盘存制</w:t>
      </w:r>
    </w:p>
    <w:p>
      <w:pPr>
        <w:spacing w:line="240" w:lineRule="auto" w:before="2"/>
        <w:rPr>
          <w:rFonts w:ascii="宋体" w:hAnsi="宋体" w:cs="宋体" w:eastAsia="宋体" w:hint="default"/>
          <w:sz w:val="19"/>
          <w:szCs w:val="19"/>
        </w:rPr>
      </w:pPr>
    </w:p>
    <w:p>
      <w:pPr>
        <w:pStyle w:val="Heading6"/>
        <w:spacing w:line="240" w:lineRule="auto" w:before="0"/>
        <w:ind w:right="141"/>
        <w:jc w:val="left"/>
      </w:pPr>
      <w:r>
        <w:rPr/>
        <w:t>采用永续盘存制。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516" w:lineRule="auto" w:before="0"/>
        <w:ind w:right="7974"/>
        <w:jc w:val="left"/>
      </w:pPr>
      <w:r>
        <w:rPr/>
        <w:t>低值易耗品 摊销方法：一次摊销法</w:t>
      </w:r>
    </w:p>
    <w:p>
      <w:pPr>
        <w:pStyle w:val="Heading6"/>
        <w:spacing w:line="240" w:lineRule="auto" w:before="43"/>
        <w:ind w:right="141"/>
        <w:jc w:val="left"/>
      </w:pPr>
      <w:r>
        <w:rPr/>
        <w:t>低值易耗品采用一次转销法。</w:t>
      </w:r>
    </w:p>
    <w:p>
      <w:pPr>
        <w:spacing w:line="240" w:lineRule="auto" w:before="8"/>
        <w:rPr>
          <w:rFonts w:ascii="宋体" w:hAnsi="宋体" w:cs="宋体" w:eastAsia="宋体" w:hint="default"/>
          <w:sz w:val="19"/>
          <w:szCs w:val="19"/>
        </w:rPr>
      </w:pPr>
    </w:p>
    <w:p>
      <w:pPr>
        <w:spacing w:line="506" w:lineRule="auto" w:before="0"/>
        <w:ind w:left="152" w:right="7474" w:firstLine="0"/>
        <w:jc w:val="left"/>
        <w:rPr>
          <w:rFonts w:ascii="宋体" w:hAnsi="宋体" w:cs="宋体" w:eastAsia="宋体" w:hint="default"/>
          <w:sz w:val="21"/>
          <w:szCs w:val="21"/>
        </w:rPr>
      </w:pPr>
      <w:r>
        <w:rPr>
          <w:rFonts w:ascii="宋体" w:hAnsi="宋体" w:cs="宋体" w:eastAsia="宋体" w:hint="default"/>
          <w:sz w:val="18"/>
          <w:szCs w:val="18"/>
        </w:rPr>
        <w:t>包装物 摊销方法：一次摊销法 </w:t>
      </w:r>
      <w:r>
        <w:rPr>
          <w:rFonts w:ascii="宋体" w:hAnsi="宋体" w:cs="宋体" w:eastAsia="宋体" w:hint="default"/>
          <w:spacing w:val="-2"/>
          <w:sz w:val="21"/>
          <w:szCs w:val="21"/>
        </w:rPr>
        <w:t>包装物采用一次转销法。</w:t>
      </w:r>
    </w:p>
    <w:p>
      <w:pPr>
        <w:spacing w:line="240" w:lineRule="auto" w:before="6"/>
        <w:rPr>
          <w:rFonts w:ascii="宋体" w:hAnsi="宋体" w:cs="宋体" w:eastAsia="宋体" w:hint="default"/>
          <w:sz w:val="20"/>
          <w:szCs w:val="20"/>
        </w:rPr>
      </w:pPr>
    </w:p>
    <w:p>
      <w:pPr>
        <w:pStyle w:val="Heading7"/>
        <w:spacing w:line="240" w:lineRule="auto"/>
        <w:ind w:right="14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475" w:lineRule="auto" w:before="0"/>
        <w:ind w:right="149"/>
        <w:jc w:val="both"/>
      </w:pPr>
      <w:r>
        <w:rPr/>
        <w:t>（</w:t>
      </w:r>
      <w:r>
        <w:rPr>
          <w:rFonts w:ascii="Times New Roman" w:hAnsi="Times New Roman" w:cs="Times New Roman" w:eastAsia="Times New Roman" w:hint="default"/>
        </w:rPr>
        <w:t>1</w:t>
      </w:r>
      <w:r>
        <w:rPr/>
        <w:t>）企业合并形成的长期股权投资同一控制下的企业合并：公司以支付现金、转让非现金资产或承担债务方式以及以发行 </w:t>
      </w:r>
      <w:r>
        <w:rPr>
          <w:spacing w:val="-2"/>
        </w:rPr>
        <w:t>权益性证券作为合并对价的，在合并日按照取得被合并方所有者权益账面价值的份额作为长期股权投资的初始投资成本。长</w:t>
      </w:r>
      <w:r>
        <w:rPr>
          <w:spacing w:val="-64"/>
        </w:rPr>
        <w:t> </w:t>
      </w:r>
      <w:r>
        <w:rPr>
          <w:spacing w:val="-64"/>
        </w:rPr>
      </w:r>
      <w:r>
        <w:rPr>
          <w:spacing w:val="-2"/>
        </w:rPr>
        <w:t>期股权投资初始投资成本与支付合并对价之间的差额，调整资本公积；资本公积不足冲减的，调整留存收益。合并发生的各</w:t>
      </w:r>
      <w:r>
        <w:rPr>
          <w:spacing w:val="-63"/>
        </w:rPr>
        <w:t> </w:t>
      </w:r>
      <w:r>
        <w:rPr>
          <w:spacing w:val="-63"/>
        </w:rPr>
      </w:r>
      <w:r>
        <w:rPr>
          <w:spacing w:val="-2"/>
        </w:rPr>
        <w:t>项直接相关费用，包括为进行合并而支付的审计费用、评估费用、法律服务费用等，于发生时计入当期损益。被合并方存在</w:t>
      </w:r>
      <w:r>
        <w:rPr>
          <w:spacing w:val="-67"/>
        </w:rPr>
        <w:t> </w:t>
      </w:r>
      <w:r>
        <w:rPr>
          <w:spacing w:val="-67"/>
        </w:rPr>
      </w:r>
      <w:r>
        <w:rPr>
          <w:spacing w:val="-2"/>
        </w:rPr>
        <w:t>合并财务报表，则以合并日被合并方合并财务报表所有者权益为基础确定长期股权投资的初始投资成本。非同一控制下的企</w:t>
      </w:r>
      <w:r>
        <w:rPr>
          <w:spacing w:val="-64"/>
        </w:rPr>
        <w:t> </w:t>
      </w:r>
      <w:r>
        <w:rPr>
          <w:spacing w:val="-64"/>
        </w:rPr>
      </w:r>
      <w:r>
        <w:rPr>
          <w:spacing w:val="-2"/>
        </w:rPr>
        <w:t>业合并：合并成本为购买日购买方为取得对被购买方的控制权而付出的资产、发生或承担的负债以及发行的权益性证券的公</w:t>
      </w:r>
      <w:r>
        <w:rPr>
          <w:spacing w:val="-64"/>
        </w:rPr>
        <w:t> </w:t>
      </w:r>
      <w:r>
        <w:rPr>
          <w:spacing w:val="-64"/>
        </w:rPr>
      </w:r>
      <w:r>
        <w:rPr>
          <w:spacing w:val="-2"/>
        </w:rPr>
        <w:t>允价值，本公司为进行企业合并而发生的各项直接相关费用，包括为进行企业合并而支付的审计、法律服务、评估咨询等中</w:t>
      </w:r>
      <w:r>
        <w:rPr>
          <w:spacing w:val="-64"/>
        </w:rPr>
        <w:t> </w:t>
      </w:r>
      <w:r>
        <w:rPr>
          <w:spacing w:val="-64"/>
        </w:rPr>
      </w:r>
      <w:r>
        <w:rPr>
          <w:spacing w:val="-2"/>
        </w:rPr>
        <w:t>介费用以及其他相关管理费用于发生时计入当期损益，作为合并对价发行的权益性证券或债务性证券的交易费用，计入权益</w:t>
      </w:r>
      <w:r>
        <w:rPr>
          <w:spacing w:val="-63"/>
        </w:rPr>
        <w:t> </w:t>
      </w:r>
      <w:r>
        <w:rPr>
          <w:spacing w:val="-63"/>
        </w:rPr>
      </w:r>
      <w:r>
        <w:rPr>
          <w:spacing w:val="-2"/>
        </w:rPr>
        <w:t>性证券或债务性证券的初始确认金额。企业通过多次交易分步实现非同一控制下企业合并的，应当区分个别财务报表和合并</w:t>
      </w:r>
      <w:r>
        <w:rPr>
          <w:spacing w:val="-64"/>
        </w:rPr>
        <w:t> </w:t>
      </w:r>
      <w:r>
        <w:rPr>
          <w:spacing w:val="-64"/>
        </w:rPr>
      </w:r>
      <w:r>
        <w:rPr>
          <w:w w:val="95"/>
        </w:rPr>
        <w:t>财务报表进行相关会计处理</w:t>
      </w:r>
      <w:r>
        <w:rPr>
          <w:rFonts w:ascii="Times New Roman" w:hAnsi="Times New Roman" w:cs="Times New Roman" w:eastAsia="Times New Roman" w:hint="default"/>
          <w:w w:val="95"/>
        </w:rPr>
        <w:t>:</w:t>
      </w:r>
      <w:r>
        <w:rPr>
          <w:rFonts w:ascii="Times New Roman" w:hAnsi="Times New Roman" w:cs="Times New Roman" w:eastAsia="Times New Roman" w:hint="default"/>
          <w:w w:val="95"/>
        </w:rPr>
        <w:t>          </w:t>
      </w:r>
      <w:r>
        <w:rPr>
          <w:rFonts w:ascii="Times New Roman" w:hAnsi="Times New Roman" w:cs="Times New Roman" w:eastAsia="Times New Roman" w:hint="default"/>
          <w:spacing w:val="9"/>
          <w:w w:val="95"/>
        </w:rPr>
        <w:t> </w:t>
      </w:r>
      <w:r>
        <w:rPr>
          <w:w w:val="95"/>
        </w:rPr>
        <w:t>在个别财务报表中，应当以购买日之前所持被购买方的股权投资的账面价值与购买日新增投</w:t>
      </w:r>
    </w:p>
    <w:p>
      <w:pPr>
        <w:spacing w:after="0" w:line="475"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2" w:lineRule="auto" w:before="0"/>
        <w:ind w:right="148"/>
        <w:jc w:val="both"/>
      </w:pPr>
      <w:r>
        <w:rPr>
          <w:spacing w:val="-2"/>
        </w:rPr>
        <w:t>资成本之和，作为该项投资的初始投资成本，购买日之前持有的被购买方的股权涉及其他综合收益的，应当在处置该项投资</w:t>
      </w:r>
      <w:r>
        <w:rPr>
          <w:spacing w:val="-63"/>
        </w:rPr>
        <w:t> </w:t>
      </w:r>
      <w:r>
        <w:rPr>
          <w:spacing w:val="-63"/>
        </w:rPr>
      </w:r>
      <w:r>
        <w:rPr>
          <w:w w:val="95"/>
        </w:rPr>
        <w:t>时将与其相关的其他综合收益</w:t>
      </w:r>
      <w:r>
        <w:rPr>
          <w:rFonts w:ascii="Times New Roman" w:hAnsi="Times New Roman" w:cs="Times New Roman" w:eastAsia="Times New Roman" w:hint="default"/>
          <w:w w:val="95"/>
        </w:rPr>
        <w:t>(</w:t>
      </w:r>
      <w:r>
        <w:rPr>
          <w:w w:val="95"/>
        </w:rPr>
        <w:t>例如，可供出售金融资产公允价值变动计入资本公积的部分，下同</w:t>
      </w:r>
      <w:r>
        <w:rPr>
          <w:rFonts w:ascii="Times New Roman" w:hAnsi="Times New Roman" w:cs="Times New Roman" w:eastAsia="Times New Roman" w:hint="default"/>
          <w:w w:val="95"/>
        </w:rPr>
        <w:t>)</w:t>
      </w:r>
      <w:r>
        <w:rPr>
          <w:w w:val="95"/>
        </w:rPr>
        <w:t>转入当期投资收益。</w:t>
      </w:r>
      <w:r>
        <w:rPr>
          <w:rFonts w:ascii="Times New Roman" w:hAnsi="Times New Roman" w:cs="Times New Roman" w:eastAsia="Times New Roman" w:hint="default"/>
          <w:w w:val="95"/>
        </w:rPr>
        <w:t> </w:t>
      </w:r>
      <w:r>
        <w:rPr>
          <w:w w:val="95"/>
        </w:rPr>
        <w:t>在</w:t>
      </w:r>
      <w:r>
        <w:rPr>
          <w:spacing w:val="33"/>
          <w:w w:val="95"/>
        </w:rPr>
        <w:t> </w:t>
      </w:r>
      <w:r>
        <w:rPr>
          <w:spacing w:val="-2"/>
        </w:rPr>
        <w:t>合并财务报表中，对于购买日之前持有的被购买方的股权，应当按照该股权在购买日的公允价值进行重新计量，公允价值与</w:t>
      </w:r>
      <w:r>
        <w:rPr>
          <w:spacing w:val="-63"/>
        </w:rPr>
        <w:t> </w:t>
      </w:r>
      <w:r>
        <w:rPr>
          <w:spacing w:val="-63"/>
        </w:rPr>
      </w:r>
      <w:r>
        <w:rPr>
          <w:spacing w:val="-2"/>
        </w:rPr>
        <w:t>其账面价值的差额计入当期投资收益。购买日之前持有的被购买方的股权涉及其他综合收益的，与其相关的其他综合收益应</w:t>
      </w:r>
      <w:r>
        <w:rPr>
          <w:spacing w:val="-64"/>
        </w:rPr>
        <w:t> </w:t>
      </w:r>
      <w:r>
        <w:rPr>
          <w:spacing w:val="-64"/>
        </w:rPr>
      </w:r>
      <w:r>
        <w:rPr>
          <w:spacing w:val="-2"/>
        </w:rPr>
        <w:t>当转为购买日所属当期投资收益。在合并合同中对可能影响合并成本的未来事项作出约定的，购买日如果估计未来事项很可</w:t>
      </w:r>
      <w:r>
        <w:rPr>
          <w:spacing w:val="-64"/>
        </w:rPr>
        <w:t> </w:t>
      </w:r>
      <w:r>
        <w:rPr>
          <w:spacing w:val="-64"/>
        </w:rPr>
      </w:r>
      <w:r>
        <w:rPr/>
        <w:t>能发生并且对合并成本的影响金额能够可靠计量的，也计入合并成本。（</w:t>
      </w:r>
      <w:r>
        <w:rPr>
          <w:rFonts w:ascii="Times New Roman" w:hAnsi="Times New Roman" w:cs="Times New Roman" w:eastAsia="Times New Roman" w:hint="default"/>
        </w:rPr>
        <w:t>2</w:t>
      </w:r>
      <w:r>
        <w:rPr/>
        <w:t>）其他方式取得的长期股权投资以支付现金方式 </w:t>
      </w:r>
      <w:r>
        <w:rPr>
          <w:spacing w:val="-2"/>
        </w:rPr>
        <w:t>取得的长期股权投资，按照实际支付的购买价款作为初始投资成本。以发行权益性证券取得的长期股权投资，按照发行权益</w:t>
      </w:r>
      <w:r>
        <w:rPr>
          <w:spacing w:val="-61"/>
        </w:rPr>
        <w:t> </w:t>
      </w:r>
      <w:r>
        <w:rPr>
          <w:spacing w:val="-61"/>
        </w:rPr>
      </w:r>
      <w:r>
        <w:rPr>
          <w:spacing w:val="-2"/>
        </w:rPr>
        <w:t>性证券的公允价值作为初始投资成本。投资者投入的长期股权投资，按照投资合同或协议约定的价值（扣除已宣告但尚未发</w:t>
      </w:r>
      <w:r>
        <w:rPr>
          <w:spacing w:val="-63"/>
        </w:rPr>
        <w:t> </w:t>
      </w:r>
      <w:r>
        <w:rPr>
          <w:spacing w:val="-63"/>
        </w:rPr>
      </w:r>
      <w:r>
        <w:rPr/>
        <w:t>放的现金股利或利润）作为初始投资成本，但合同或协议约定价值不公允的除外。</w:t>
      </w:r>
      <w:r>
        <w:rPr>
          <w:spacing w:val="2"/>
        </w:rPr>
        <w:t> </w:t>
      </w:r>
      <w:r>
        <w:rPr/>
        <w:t>在非货币性资产交换具备商业实质和换</w:t>
      </w:r>
      <w:r>
        <w:rPr/>
        <w:t> </w:t>
      </w:r>
      <w:r>
        <w:rPr>
          <w:spacing w:val="-2"/>
        </w:rPr>
        <w:t>入资产或换出资产的公允价值能够可靠计量的前提下，非货币性资产交换换入的长期股权投资以换出资产的公允价值为基础</w:t>
      </w:r>
      <w:r>
        <w:rPr>
          <w:spacing w:val="-64"/>
        </w:rPr>
        <w:t> </w:t>
      </w:r>
      <w:r>
        <w:rPr>
          <w:spacing w:val="-64"/>
        </w:rPr>
      </w:r>
      <w:r>
        <w:rPr>
          <w:spacing w:val="-2"/>
        </w:rPr>
        <w:t>确定其初始投资成本，除非有确凿证据表明换入资产的公允价值更加可靠；不满足上述前提的非货币性资产交换，以换出资</w:t>
      </w:r>
      <w:r>
        <w:rPr>
          <w:spacing w:val="-63"/>
        </w:rPr>
        <w:t> </w:t>
      </w:r>
      <w:r>
        <w:rPr>
          <w:spacing w:val="-63"/>
        </w:rPr>
      </w:r>
      <w:r>
        <w:rPr>
          <w:spacing w:val="-2"/>
        </w:rPr>
        <w:t>产的账面价值和应支付的相关税费作为换入长期股权投资的初始投资成本。通过债务重组取得的长期股权投资，其初始投资</w:t>
      </w:r>
      <w:r>
        <w:rPr>
          <w:spacing w:val="-63"/>
        </w:rPr>
        <w:t> </w:t>
      </w:r>
      <w:r>
        <w:rPr>
          <w:spacing w:val="-63"/>
        </w:rPr>
      </w:r>
      <w:r>
        <w:rPr/>
        <w:t>成本按照公允价值为基础确定。</w:t>
      </w:r>
    </w:p>
    <w:p>
      <w:pPr>
        <w:spacing w:line="240" w:lineRule="auto" w:before="4"/>
        <w:rPr>
          <w:rFonts w:ascii="宋体" w:hAnsi="宋体" w:cs="宋体" w:eastAsia="宋体" w:hint="default"/>
          <w:sz w:val="26"/>
          <w:szCs w:val="26"/>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72" w:lineRule="auto" w:before="0"/>
        <w:ind w:right="149"/>
        <w:jc w:val="both"/>
      </w:pPr>
      <w:r>
        <w:rPr/>
        <w:t>（</w:t>
      </w:r>
      <w:r>
        <w:rPr>
          <w:rFonts w:ascii="Times New Roman" w:hAnsi="Times New Roman" w:cs="Times New Roman" w:eastAsia="Times New Roman" w:hint="default"/>
        </w:rPr>
        <w:t>1</w:t>
      </w:r>
      <w:r>
        <w:rPr/>
        <w:t>）后续计量公司对子公司的长期股权投资，采用成本法核算，编制合并财务报表时按照权益法进行调整。对被投资单位 </w:t>
      </w:r>
      <w:r>
        <w:rPr>
          <w:spacing w:val="-2"/>
        </w:rPr>
        <w:t>不具有共同控制或重大影响，并且在活跃市场中没有报价、公允价值不能可靠计量的长期股权投资，采用成本法核算。对被</w:t>
      </w:r>
      <w:r>
        <w:rPr>
          <w:spacing w:val="-64"/>
        </w:rPr>
        <w:t> </w:t>
      </w:r>
      <w:r>
        <w:rPr>
          <w:spacing w:val="-64"/>
        </w:rPr>
      </w:r>
      <w:r>
        <w:rPr>
          <w:spacing w:val="-2"/>
        </w:rPr>
        <w:t>投资单位具有共同控制或重大影响的长期股权投资，采用权益法核算。初始投资成本大于投资时应享有被投资单位可辨认净</w:t>
      </w:r>
      <w:r>
        <w:rPr>
          <w:spacing w:val="-64"/>
        </w:rPr>
        <w:t> </w:t>
      </w:r>
      <w:r>
        <w:rPr>
          <w:spacing w:val="-64"/>
        </w:rPr>
      </w:r>
      <w:r>
        <w:rPr>
          <w:spacing w:val="-2"/>
        </w:rPr>
        <w:t>资产公允价值份额的差额，不调整长期股权投资的初始投资成本；初始投资成本小于投资时应享有被投资单位可辨认净资产</w:t>
      </w:r>
      <w:r>
        <w:rPr>
          <w:spacing w:val="-62"/>
        </w:rPr>
        <w:t> </w:t>
      </w:r>
      <w:r>
        <w:rPr>
          <w:spacing w:val="-62"/>
        </w:rPr>
      </w:r>
      <w:r>
        <w:rPr>
          <w:spacing w:val="-2"/>
        </w:rPr>
        <w:t>公允价值份额的差额，计入当期损益。被投资单位除净损益以外所有者权益其他变动的处理：对于被投资单位除净损益以外</w:t>
      </w:r>
      <w:r>
        <w:rPr>
          <w:spacing w:val="-63"/>
        </w:rPr>
        <w:t> </w:t>
      </w:r>
      <w:r>
        <w:rPr>
          <w:spacing w:val="-63"/>
        </w:rPr>
      </w:r>
      <w:r>
        <w:rPr>
          <w:spacing w:val="-2"/>
        </w:rPr>
        <w:t>所有者权益的其他变动，在持股比例不变的情况下，公司按照持股比例计算应享有或承担的部分，调整长期股权投资的账面</w:t>
      </w:r>
      <w:r>
        <w:rPr>
          <w:spacing w:val="-63"/>
        </w:rPr>
        <w:t> </w:t>
      </w:r>
      <w:r>
        <w:rPr>
          <w:spacing w:val="-63"/>
        </w:rPr>
      </w:r>
      <w:r>
        <w:rPr>
          <w:spacing w:val="-2"/>
        </w:rPr>
        <w:t>价值，同时增加或减少资本公积（其他资本公积）。在持有投资期间，被投资单位能够提供合并财务报表的，应当以合并财</w:t>
      </w:r>
      <w:r>
        <w:rPr>
          <w:spacing w:val="-70"/>
        </w:rPr>
        <w:t> </w:t>
      </w:r>
      <w:r>
        <w:rPr>
          <w:spacing w:val="-70"/>
        </w:rPr>
      </w:r>
      <w:r>
        <w:rPr/>
        <w:t>务报表，净利润和其他投资变动为基础进行核算。（</w:t>
      </w:r>
      <w:r>
        <w:rPr>
          <w:rFonts w:ascii="Times New Roman" w:hAnsi="Times New Roman" w:cs="Times New Roman" w:eastAsia="Times New Roman" w:hint="default"/>
        </w:rPr>
        <w:t>2</w:t>
      </w:r>
      <w:r>
        <w:rPr/>
        <w:t>）损益确认成本法下，除取得投资时实际支付的价款或对价中包含的 </w:t>
      </w:r>
      <w:r>
        <w:rPr>
          <w:spacing w:val="-2"/>
        </w:rPr>
        <w:t>已宣告但尚未发放的现金股利或利润外，公司按照享有被投资单位宣告发放的现金股利或利润确认投资收益。权益法下，投</w:t>
      </w:r>
      <w:r>
        <w:rPr>
          <w:spacing w:val="-62"/>
        </w:rPr>
        <w:t> </w:t>
      </w:r>
      <w:r>
        <w:rPr>
          <w:spacing w:val="-62"/>
        </w:rPr>
      </w:r>
      <w:r>
        <w:rPr>
          <w:spacing w:val="-2"/>
        </w:rPr>
        <w:t>资企业在确认应享有被投资单位的净利润或净亏损时，以取得投资时被投资单位各项可辨认资产等的公允价值为基础，对被</w:t>
      </w:r>
      <w:r>
        <w:rPr>
          <w:spacing w:val="-64"/>
        </w:rPr>
        <w:t> </w:t>
      </w:r>
      <w:r>
        <w:rPr>
          <w:spacing w:val="-64"/>
        </w:rPr>
      </w:r>
      <w:r>
        <w:rPr>
          <w:spacing w:val="-2"/>
        </w:rPr>
        <w:t>投资单位的净利润进行调整后确认，投资企业与联营企业及合营企业之间发生的内部交易损益按照持股比例计算归属于投资</w:t>
      </w:r>
      <w:r>
        <w:rPr>
          <w:spacing w:val="-64"/>
        </w:rPr>
        <w:t> </w:t>
      </w:r>
      <w:r>
        <w:rPr>
          <w:spacing w:val="-64"/>
        </w:rPr>
      </w:r>
      <w:r>
        <w:rPr>
          <w:spacing w:val="-2"/>
        </w:rPr>
        <w:t>企业的部分，应当予以抵销，在此基础上确认投资损益；在公司确认应分担被投资单位发生的亏损时，按照以下顺序进行处</w:t>
      </w:r>
      <w:r>
        <w:rPr>
          <w:spacing w:val="-64"/>
        </w:rPr>
        <w:t> </w:t>
      </w:r>
      <w:r>
        <w:rPr>
          <w:spacing w:val="-64"/>
        </w:rPr>
      </w:r>
      <w:r>
        <w:rPr>
          <w:spacing w:val="-2"/>
        </w:rPr>
        <w:t>理：首先，冲减长期股权投资的账面价值。其次，长期股权投资的账面价值不足以冲减的，以其他实质上构成对被投资单位</w:t>
      </w:r>
      <w:r>
        <w:rPr>
          <w:spacing w:val="-67"/>
        </w:rPr>
        <w:t> </w:t>
      </w:r>
      <w:r>
        <w:rPr>
          <w:spacing w:val="-67"/>
        </w:rPr>
      </w:r>
      <w:r>
        <w:rPr>
          <w:spacing w:val="-2"/>
        </w:rPr>
        <w:t>净投资的长期权益账面价值为限继续确认投资损失，冲减长期应收项目等的账面价值。最后，经过上述处理，按照投资合同</w:t>
      </w:r>
    </w:p>
    <w:p>
      <w:pPr>
        <w:spacing w:after="0" w:line="472"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before="0"/>
        <w:ind w:right="0"/>
        <w:jc w:val="left"/>
      </w:pPr>
      <w:r>
        <w:rPr>
          <w:spacing w:val="-4"/>
        </w:rPr>
        <w:t>或协议约定企业仍承担额外义务的，按预计承担的义务确认预计负债，计入当期投资损失。被投资单位以后期间实现盈利的，</w:t>
      </w:r>
      <w:r>
        <w:rPr>
          <w:spacing w:val="-44"/>
        </w:rPr>
        <w:t> </w:t>
      </w:r>
      <w:r>
        <w:rPr>
          <w:spacing w:val="-44"/>
        </w:rPr>
      </w:r>
      <w:r>
        <w:rPr>
          <w:spacing w:val="-2"/>
        </w:rPr>
        <w:t>公司在扣除未确认的亏损分担额后，按与上述相反的顺序处理，减记已确认预计负债的账面余额、恢复其他实质上构成对被</w:t>
      </w:r>
      <w:r>
        <w:rPr>
          <w:spacing w:val="-63"/>
        </w:rPr>
        <w:t> </w:t>
      </w:r>
      <w:r>
        <w:rPr>
          <w:spacing w:val="-63"/>
        </w:rPr>
      </w:r>
      <w:r>
        <w:rPr/>
        <w:t>投资单位净投资的长期权益及长期股权投资的账面价值，同时确认投资收益。</w:t>
      </w:r>
    </w:p>
    <w:p>
      <w:pPr>
        <w:spacing w:line="240" w:lineRule="auto" w:before="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77" w:lineRule="auto" w:before="0"/>
        <w:ind w:right="190"/>
        <w:jc w:val="both"/>
      </w:pPr>
      <w:r>
        <w:rPr>
          <w:spacing w:val="-2"/>
        </w:rPr>
        <w:t>按照合同约定对某项经济活动所共有的控制，仅在与该项经济活动相关的重要财务和经营决策需要分享控制权的投资方一致</w:t>
      </w:r>
      <w:r>
        <w:rPr>
          <w:spacing w:val="-62"/>
        </w:rPr>
        <w:t> </w:t>
      </w:r>
      <w:r>
        <w:rPr>
          <w:spacing w:val="-62"/>
        </w:rPr>
      </w:r>
      <w:r>
        <w:rPr>
          <w:spacing w:val="-2"/>
        </w:rPr>
        <w:t>同意时存在，则视为与其他方对被投资单位实施共同控制；对一个企业的财务和经营决策有参与决策的权力，但并不能够控</w:t>
      </w:r>
      <w:r>
        <w:rPr>
          <w:spacing w:val="-63"/>
        </w:rPr>
        <w:t> </w:t>
      </w:r>
      <w:r>
        <w:rPr>
          <w:spacing w:val="-63"/>
        </w:rPr>
      </w:r>
      <w:r>
        <w:rPr/>
        <w:t>制或者与其他方一起共同控制这些政策的制定，则视为投资企业能够对被投资单位施加重大影响。</w:t>
      </w:r>
    </w:p>
    <w:p>
      <w:pPr>
        <w:spacing w:line="240" w:lineRule="auto" w:before="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6"/>
        <w:spacing w:line="408" w:lineRule="auto" w:before="0"/>
        <w:ind w:right="186" w:firstLine="420"/>
        <w:jc w:val="both"/>
      </w:pPr>
      <w:r>
        <w:rPr>
          <w:spacing w:val="2"/>
        </w:rPr>
        <w:t>资产负债表日，若因市价持续下跌或被投资单位经营状况恶化等原因使长期股权投资存在减值迹象</w:t>
      </w:r>
      <w:r>
        <w:rPr>
          <w:w w:val="100"/>
        </w:rPr>
        <w:t> </w:t>
      </w:r>
      <w:r>
        <w:rPr>
          <w:spacing w:val="-2"/>
        </w:rPr>
        <w:t>时，根据单项长期股权投资的公允价值减去处置费用后的净额与长期股权投资预计未来现金流量的现值两</w:t>
      </w:r>
      <w:r>
        <w:rPr>
          <w:spacing w:val="-43"/>
        </w:rPr>
        <w:t> </w:t>
      </w:r>
      <w:r>
        <w:rPr>
          <w:spacing w:val="-43"/>
        </w:rPr>
      </w:r>
      <w:r>
        <w:rPr>
          <w:spacing w:val="-2"/>
        </w:rPr>
        <w:t>者之间较高者确定长期股权投资的可收回金额。长期股权投资的可收回金额低于账面价值时，将资产的账</w:t>
      </w:r>
      <w:r>
        <w:rPr>
          <w:spacing w:val="-44"/>
        </w:rPr>
        <w:t> </w:t>
      </w:r>
      <w:r>
        <w:rPr>
          <w:spacing w:val="-44"/>
        </w:rPr>
      </w:r>
      <w:r>
        <w:rPr>
          <w:spacing w:val="-2"/>
        </w:rPr>
        <w:t>面价值减记至可收回金额，减记的金额确认为资产减值损失，计入当期损益，同时计提相应的资产减值准</w:t>
      </w:r>
      <w:r>
        <w:rPr>
          <w:spacing w:val="-44"/>
        </w:rPr>
        <w:t> </w:t>
      </w:r>
      <w:r>
        <w:rPr>
          <w:spacing w:val="-44"/>
        </w:rPr>
      </w:r>
      <w:r>
        <w:rPr/>
        <w:t>备。</w:t>
      </w:r>
    </w:p>
    <w:p>
      <w:pPr>
        <w:pStyle w:val="Heading6"/>
        <w:spacing w:line="408" w:lineRule="auto"/>
        <w:ind w:right="186" w:firstLine="420"/>
        <w:jc w:val="both"/>
      </w:pPr>
      <w:r>
        <w:rPr>
          <w:spacing w:val="-2"/>
        </w:rPr>
        <w:t>重大影响以下的、在活跃市场中没有报价、公允价值不能可靠计量的长期股权投资，其减值损失是根</w:t>
      </w:r>
      <w:r>
        <w:rPr>
          <w:w w:val="100"/>
        </w:rPr>
        <w:t> </w:t>
      </w:r>
      <w:r>
        <w:rPr/>
        <w:t>据其账面价值与按类似金融资产当时市场收益率对未来现金流量折现确定的现值之间的差额进行确定。</w:t>
      </w:r>
    </w:p>
    <w:p>
      <w:pPr>
        <w:pStyle w:val="Heading6"/>
        <w:spacing w:line="408" w:lineRule="auto"/>
        <w:ind w:right="200" w:firstLine="420"/>
        <w:jc w:val="both"/>
      </w:pPr>
      <w:r>
        <w:rPr>
          <w:spacing w:val="2"/>
        </w:rPr>
        <w:t>除因企业合并形成的商誉以外的存在减值迹象的其他长期股权投资，如果可收回金额的计量结果表</w:t>
      </w:r>
      <w:r>
        <w:rPr>
          <w:w w:val="100"/>
        </w:rPr>
        <w:t> </w:t>
      </w:r>
      <w:r>
        <w:rPr/>
        <w:t>明，该长期股权投资的可收回金额低于其账面价值的，将差额确认为减值损失。</w:t>
      </w:r>
    </w:p>
    <w:p>
      <w:pPr>
        <w:pStyle w:val="Heading6"/>
        <w:spacing w:line="408" w:lineRule="auto"/>
        <w:ind w:right="186" w:firstLine="420"/>
        <w:jc w:val="both"/>
      </w:pPr>
      <w:r>
        <w:rPr>
          <w:spacing w:val="-2"/>
        </w:rPr>
        <w:t>采用成本法核算的长期股权投资，因被投资单位宣告分派现金股利或利润确认投资收益后，考虑长期</w:t>
      </w:r>
      <w:r>
        <w:rPr>
          <w:w w:val="100"/>
        </w:rPr>
        <w:t> </w:t>
      </w:r>
      <w:r>
        <w:rPr/>
        <w:t>股权投资是否发生减值。</w:t>
      </w:r>
    </w:p>
    <w:p>
      <w:pPr>
        <w:pStyle w:val="Heading6"/>
        <w:spacing w:line="240" w:lineRule="auto"/>
        <w:ind w:right="0"/>
        <w:jc w:val="left"/>
      </w:pPr>
      <w:r>
        <w:rPr/>
        <w:t>长期股权投资减值损失一经确认，不再转回。</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477" w:lineRule="auto" w:before="0"/>
        <w:ind w:right="94"/>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t>满足下列条件时予以确认：（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）该固定资产的成本能够可靠地计量。</w:t>
      </w:r>
    </w:p>
    <w:p>
      <w:pPr>
        <w:spacing w:line="240" w:lineRule="auto" w:before="7"/>
        <w:rPr>
          <w:rFonts w:ascii="宋体" w:hAnsi="宋体" w:cs="宋体" w:eastAsia="宋体" w:hint="default"/>
          <w:sz w:val="23"/>
          <w:szCs w:val="23"/>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65" w:lineRule="auto" w:before="0"/>
        <w:ind w:right="94"/>
        <w:jc w:val="left"/>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）在租赁期届满时，租赁资产的所有 权转移给本公司。（</w:t>
      </w:r>
      <w:r>
        <w:rPr>
          <w:rFonts w:ascii="Times New Roman" w:hAnsi="Times New Roman" w:cs="Times New Roman" w:eastAsia="Times New Roman" w:hint="default"/>
        </w:rPr>
        <w:t>2</w:t>
      </w:r>
      <w:r>
        <w:rPr/>
        <w:t>）本公司有购买租赁资产的选择权，所订立的购买价款预计将远低于行使选择权时租赁资产的公允价 值，因而在租赁开始日就可以合理确定本公司将会行使这种选择权。（</w:t>
      </w:r>
      <w:r>
        <w:rPr>
          <w:rFonts w:ascii="Times New Roman" w:hAnsi="Times New Roman" w:cs="Times New Roman" w:eastAsia="Times New Roman" w:hint="default"/>
        </w:rPr>
        <w:t>3</w:t>
      </w:r>
      <w:r>
        <w:rPr/>
        <w:t>）即使资产的所有权不转移，但租赁期占租赁资产 </w:t>
      </w:r>
      <w:r>
        <w:rPr>
          <w:spacing w:val="-2"/>
        </w:rPr>
        <w:t>使用寿命的大部分。（</w:t>
      </w:r>
      <w:r>
        <w:rPr>
          <w:rFonts w:ascii="Times New Roman" w:hAnsi="Times New Roman" w:cs="Times New Roman" w:eastAsia="Times New Roman" w:hint="default"/>
          <w:spacing w:val="-2"/>
        </w:rPr>
        <w:t>4</w:t>
      </w:r>
      <w:r>
        <w:rPr>
          <w:spacing w:val="-2"/>
        </w:rPr>
        <w:t>）本公司在租赁开始日的最低租赁付款额现值，几乎相当于租赁开始日租赁资产公允价值。（</w:t>
      </w:r>
      <w:r>
        <w:rPr>
          <w:rFonts w:ascii="Times New Roman" w:hAnsi="Times New Roman" w:cs="Times New Roman" w:eastAsia="Times New Roman" w:hint="default"/>
          <w:spacing w:val="-2"/>
        </w:rPr>
        <w:t>5</w:t>
      </w:r>
      <w:r>
        <w:rPr>
          <w:spacing w:val="-2"/>
        </w:rPr>
        <w:t>）租</w:t>
      </w:r>
      <w:r>
        <w:rPr>
          <w:spacing w:val="-75"/>
        </w:rPr>
        <w:t> </w:t>
      </w:r>
      <w:r>
        <w:rPr>
          <w:spacing w:val="-2"/>
        </w:rPr>
        <w:t>赁资产性质特殊，如果不作较大改造，只有本公司才能使用。融资租赁租入的固定资产，按租赁开始日租赁资产公允价值与</w:t>
      </w:r>
      <w:r>
        <w:rPr>
          <w:spacing w:val="-64"/>
        </w:rPr>
        <w:t> </w:t>
      </w:r>
      <w:r>
        <w:rPr>
          <w:spacing w:val="-64"/>
        </w:rPr>
      </w:r>
      <w:r>
        <w:rPr>
          <w:spacing w:val="-2"/>
        </w:rPr>
        <w:t>最低租赁付款额的现值两者中较低者，作为入账价值。最低租赁付款额作为长期应付款的入账价值，其差额作为未确认融资</w:t>
      </w:r>
      <w:r>
        <w:rPr>
          <w:spacing w:val="-65"/>
        </w:rPr>
        <w:t> </w:t>
      </w:r>
      <w:r>
        <w:rPr>
          <w:spacing w:val="-65"/>
        </w:rPr>
      </w:r>
      <w:r>
        <w:rPr/>
        <w:t>费用。在租赁谈判和签订租赁合同过程中发生的，可归属于租赁项目的手续费、律师费、差旅费、印花税等初始直接费用， </w:t>
      </w:r>
      <w:r>
        <w:rPr>
          <w:spacing w:val="-2"/>
        </w:rPr>
        <w:t>计入租入资产价值。未确认融资费用在租赁期内各个期间采用实际利率法进行分摊。本公司采用与自有固定资产相一致的折</w:t>
      </w:r>
      <w:r>
        <w:rPr>
          <w:spacing w:val="-64"/>
        </w:rPr>
        <w:t> </w:t>
      </w:r>
      <w:r>
        <w:rPr>
          <w:spacing w:val="-64"/>
        </w:rPr>
      </w:r>
      <w:r>
        <w:rPr/>
        <w:t>旧政策计提融资租入固定资产折旧。能够合理确定租赁期届满时取得租赁资产所有权的，在租赁资产使用寿命内计提折旧。 无法合理确定租赁期届满时能够取得租赁资产所有权的，在租赁期与租赁资产使用寿命两者中较短的期间内计提折旧。</w:t>
      </w:r>
    </w:p>
    <w:p>
      <w:pPr>
        <w:spacing w:line="240" w:lineRule="auto" w:before="9"/>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6"/>
        <w:spacing w:line="408" w:lineRule="auto" w:before="0"/>
        <w:ind w:right="0" w:firstLine="420"/>
        <w:jc w:val="left"/>
      </w:pPr>
      <w:r>
        <w:rPr>
          <w:spacing w:val="-2"/>
        </w:rPr>
        <w:t>除已提足折旧仍继续使用的固定资产之外，固定资产折旧采用年限平均法分类计提，根据固定资产类</w:t>
      </w:r>
      <w:r>
        <w:rPr>
          <w:w w:val="100"/>
        </w:rPr>
        <w:t> </w:t>
      </w:r>
      <w:r>
        <w:rPr/>
        <w:t>别、预计使用寿命和预计净残值率确定折旧率。</w:t>
      </w:r>
    </w:p>
    <w:p>
      <w:pPr>
        <w:pStyle w:val="Heading6"/>
        <w:spacing w:line="408" w:lineRule="auto"/>
        <w:ind w:right="18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pStyle w:val="Heading6"/>
        <w:spacing w:line="408" w:lineRule="auto"/>
        <w:ind w:right="0" w:firstLine="420"/>
        <w:jc w:val="left"/>
      </w:pPr>
      <w:r>
        <w:rPr>
          <w:spacing w:val="-2"/>
        </w:rPr>
        <w:t>利用专项储备支出形成的固定资产，按照形成固定资产的成本冲减专项储备，并确认相同金额的累计</w:t>
      </w:r>
      <w:r>
        <w:rPr>
          <w:w w:val="100"/>
        </w:rPr>
        <w:t> </w:t>
      </w:r>
      <w:r>
        <w:rPr/>
        <w:t>折旧。该固定资产在以后期间不再计提折旧。</w:t>
      </w:r>
      <w:r>
        <w:rPr>
          <w:w w:val="100"/>
        </w:rPr>
        <w:t> </w:t>
      </w:r>
      <w:r>
        <w:rPr>
          <w:spacing w:val="-2"/>
        </w:rPr>
        <w:t>本公司根据固定资产的性质和使用情况，确定固定资产的使用寿命和预计净残值。并在年度终了，对固定</w:t>
      </w:r>
    </w:p>
    <w:p>
      <w:pPr>
        <w:spacing w:after="0" w:line="408"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pStyle w:val="Heading6"/>
        <w:spacing w:line="240" w:lineRule="auto" w:before="175"/>
        <w:ind w:right="141"/>
        <w:jc w:val="left"/>
      </w:pPr>
      <w:r>
        <w:rPr/>
        <w:t>资产的使用寿命、预计净残值和折旧方法进行复核，如与原先估计数存在差异的，进行相应的调整。</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r>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6"/>
        <w:spacing w:line="408" w:lineRule="auto" w:before="0"/>
        <w:ind w:left="573" w:right="141"/>
        <w:jc w:val="left"/>
      </w:pPr>
      <w:r>
        <w:rPr/>
        <w:t>公司在每期末判断固定资产是否存在可能发生减值的迹象。</w:t>
      </w:r>
      <w:r>
        <w:rPr>
          <w:w w:val="100"/>
        </w:rPr>
        <w:t> </w:t>
      </w:r>
      <w:r>
        <w:rPr>
          <w:spacing w:val="-2"/>
        </w:rPr>
        <w:t>固定资产存在减值迹象的，估计其可收回金额。可收回金额根据固定资产的公允价值减去处置费用后</w:t>
      </w:r>
    </w:p>
    <w:p>
      <w:pPr>
        <w:pStyle w:val="Heading6"/>
        <w:spacing w:line="408" w:lineRule="auto"/>
        <w:ind w:left="573" w:right="141" w:hanging="421"/>
        <w:jc w:val="left"/>
      </w:pPr>
      <w:r>
        <w:rPr/>
        <w:t>的净额与固定资产预计未来现金流量的现值两者之间较高者确定。</w:t>
      </w:r>
      <w:r>
        <w:rPr>
          <w:w w:val="100"/>
        </w:rPr>
        <w:t> </w:t>
      </w:r>
      <w:r>
        <w:rPr>
          <w:spacing w:val="-2"/>
        </w:rPr>
        <w:t>当固定资产的可收回金额低于其账面价值的，将固定资产的账面价值减记至可收回金额，减记的金额</w:t>
      </w:r>
    </w:p>
    <w:p>
      <w:pPr>
        <w:pStyle w:val="Heading6"/>
        <w:spacing w:line="408" w:lineRule="auto"/>
        <w:ind w:left="573" w:right="141" w:hanging="421"/>
        <w:jc w:val="left"/>
      </w:pPr>
      <w:r>
        <w:rPr/>
        <w:t>确认为固定资产减值损失，计入当期损益，同时计提相应的固定资产减值准备。</w:t>
      </w:r>
      <w:r>
        <w:rPr>
          <w:w w:val="100"/>
        </w:rPr>
        <w:t> </w:t>
      </w:r>
      <w:r>
        <w:rPr>
          <w:spacing w:val="-2"/>
        </w:rPr>
        <w:t>固定资产减值损失确认后，减值固定资产的折旧在未来期间作相应调整，以使该固定资产在剩余使用</w:t>
      </w:r>
    </w:p>
    <w:p>
      <w:pPr>
        <w:pStyle w:val="Heading6"/>
        <w:spacing w:line="408" w:lineRule="auto"/>
        <w:ind w:left="573" w:right="141" w:hanging="421"/>
        <w:jc w:val="left"/>
      </w:pPr>
      <w:r>
        <w:rPr/>
        <w:t>寿命内，系统地分摊调整后的固定资产账面价值（扣除预计净残值）。</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有迹象表明一项固定资产可能发生减值的，企业以单项固定资产为基础估计其可收回金额。企业难以</w:t>
      </w:r>
    </w:p>
    <w:p>
      <w:pPr>
        <w:pStyle w:val="Heading6"/>
        <w:spacing w:line="240" w:lineRule="auto"/>
        <w:ind w:right="0"/>
        <w:jc w:val="left"/>
      </w:pPr>
      <w:r>
        <w:rPr/>
        <w:t>对单项固定资产的可收回金额进行估计的，以该固定资产所属的资产组为基础确定资产组的可收回金额。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477" w:lineRule="auto" w:before="0"/>
        <w:ind w:right="141"/>
        <w:jc w:val="left"/>
      </w:pPr>
      <w:r>
        <w:rPr>
          <w:spacing w:val="-2"/>
        </w:rPr>
        <w:t>本公司自行建造的在建工程按实际成本计价，实际成本由建造该项资产达到预定可使用状态前所发生的必要支出构成。本公</w:t>
      </w:r>
      <w:r>
        <w:rPr>
          <w:spacing w:val="-64"/>
        </w:rPr>
        <w:t> </w:t>
      </w:r>
      <w:r>
        <w:rPr>
          <w:spacing w:val="-64"/>
        </w:rPr>
      </w:r>
      <w:r>
        <w:rPr/>
        <w:t>司的在建工程以项目分类核算。</w:t>
      </w:r>
    </w:p>
    <w:p>
      <w:pPr>
        <w:spacing w:after="0" w:line="47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77" w:lineRule="auto" w:before="0"/>
        <w:ind w:right="150"/>
        <w:jc w:val="both"/>
      </w:pPr>
      <w:r>
        <w:rPr>
          <w:spacing w:val="-2"/>
        </w:rPr>
        <w:t>在建工程项目按建造该项资产达到预定可使用状态前所发生的全部支出，作为固定资产的入账价值。所建造的固定资产在建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3"/>
        </w:rPr>
        <w:t> </w:t>
      </w:r>
      <w:r>
        <w:rPr>
          <w:spacing w:val="-63"/>
        </w:rPr>
      </w:r>
      <w:r>
        <w:rPr>
          <w:spacing w:val="-2"/>
        </w:rPr>
        <w:t>本等，按估计的价值转入固定资产，并按本公司固定资产折旧政策计提固定资产的折旧，待办理竣工决算后，再按实际成本</w:t>
      </w:r>
      <w:r>
        <w:rPr>
          <w:spacing w:val="-65"/>
        </w:rPr>
        <w:t> </w:t>
      </w:r>
      <w:r>
        <w:rPr>
          <w:spacing w:val="-65"/>
        </w:rPr>
      </w:r>
      <w:r>
        <w:rPr/>
        <w:t>调整原来的暂估价值，但不调整原已计提的折旧额。</w:t>
      </w:r>
    </w:p>
    <w:p>
      <w:pPr>
        <w:spacing w:line="240" w:lineRule="auto" w:before="0"/>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6"/>
        <w:spacing w:line="408" w:lineRule="auto" w:before="0"/>
        <w:ind w:left="573" w:right="141"/>
        <w:jc w:val="left"/>
      </w:pPr>
      <w:r>
        <w:rPr/>
        <w:t>公司在每期末判断在建工程是否存在可能发生减值的迹象。</w:t>
      </w:r>
      <w:r>
        <w:rPr>
          <w:w w:val="100"/>
        </w:rPr>
        <w:t> </w:t>
      </w:r>
      <w:r>
        <w:rPr>
          <w:spacing w:val="-2"/>
        </w:rPr>
        <w:t>在建工程存在减值迹象的，估计其可收回金额。可收回金额根据在建工程的公允价值减去处置费用后</w:t>
      </w:r>
    </w:p>
    <w:p>
      <w:pPr>
        <w:pStyle w:val="Heading6"/>
        <w:spacing w:line="408" w:lineRule="auto"/>
        <w:ind w:left="573" w:right="141" w:hanging="421"/>
        <w:jc w:val="left"/>
      </w:pPr>
      <w:r>
        <w:rPr/>
        <w:t>的净额与在建工程预计未来现金流量的现值两者之间较高者确定。</w:t>
      </w:r>
      <w:r>
        <w:rPr>
          <w:w w:val="100"/>
        </w:rPr>
        <w:t> </w:t>
      </w:r>
      <w:r>
        <w:rPr>
          <w:spacing w:val="-2"/>
        </w:rPr>
        <w:t>当在建工程的可收回金额低于其账面价值的，将在建工程的账面价值减记至可收回金额，减记的金额</w:t>
      </w:r>
    </w:p>
    <w:p>
      <w:pPr>
        <w:pStyle w:val="Heading6"/>
        <w:spacing w:line="408" w:lineRule="auto"/>
        <w:ind w:left="573" w:right="141" w:hanging="421"/>
        <w:jc w:val="left"/>
      </w:pPr>
      <w:r>
        <w:rPr>
          <w:spacing w:val="-2"/>
        </w:rPr>
        <w:t>确认为在建工程减值损失，计入当期损益，同时计提相应的在建工程减值准备。</w:t>
      </w:r>
      <w:r>
        <w:rPr>
          <w:spacing w:val="-38"/>
        </w:rPr>
        <w:t> </w:t>
      </w:r>
      <w:r>
        <w:rPr>
          <w:spacing w:val="-38"/>
        </w:rPr>
      </w:r>
      <w:r>
        <w:rPr/>
        <w:t>在建工程的减值损失一经确认，在以后会计期间不再转回。</w:t>
      </w:r>
    </w:p>
    <w:p>
      <w:pPr>
        <w:pStyle w:val="Heading6"/>
        <w:spacing w:line="408" w:lineRule="auto"/>
        <w:ind w:right="141"/>
        <w:jc w:val="left"/>
      </w:pPr>
      <w:r>
        <w:rPr>
          <w:spacing w:val="-2"/>
        </w:rPr>
        <w:t>有迹象表明一项在建工程可能发生减值的，企业以单项在建工程为基础估计其可收回金额。企业难以对单</w:t>
      </w:r>
      <w:r>
        <w:rPr>
          <w:spacing w:val="-43"/>
        </w:rPr>
        <w:t> </w:t>
      </w:r>
      <w:r>
        <w:rPr>
          <w:spacing w:val="-43"/>
        </w:rPr>
      </w:r>
      <w:r>
        <w:rPr/>
        <w:t>项在建工程的可收回金额进行估计的，以该在建工程所属的资产组为基础确定资产组的可收回金额。</w:t>
      </w:r>
    </w:p>
    <w:p>
      <w:pPr>
        <w:spacing w:line="240" w:lineRule="auto" w:before="0"/>
        <w:rPr>
          <w:rFonts w:ascii="宋体" w:hAnsi="宋体" w:cs="宋体" w:eastAsia="宋体" w:hint="default"/>
          <w:sz w:val="27"/>
          <w:szCs w:val="27"/>
        </w:rPr>
      </w:pPr>
    </w:p>
    <w:p>
      <w:pPr>
        <w:pStyle w:val="Heading7"/>
        <w:spacing w:line="240" w:lineRule="auto"/>
        <w:ind w:right="141"/>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1" w:firstLine="420"/>
        <w:jc w:val="left"/>
      </w:pPr>
      <w:r>
        <w:rPr>
          <w:spacing w:val="-2"/>
        </w:rPr>
        <w:t>公司发生的借款费用，可直接归属于符合资本化条件的资产的购建或者生产的，予以资本化，计入相</w:t>
      </w:r>
      <w:r>
        <w:rPr>
          <w:w w:val="100"/>
        </w:rPr>
        <w:t> </w:t>
      </w:r>
      <w:r>
        <w:rPr/>
        <w:t>关资产成本；其他借款费用，在发生时根据其发生额确认为费用，计入当期损益。</w:t>
      </w:r>
    </w:p>
    <w:p>
      <w:pPr>
        <w:pStyle w:val="Heading6"/>
        <w:spacing w:line="408" w:lineRule="auto"/>
        <w:ind w:right="141" w:firstLine="420"/>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Heading6"/>
        <w:spacing w:line="240" w:lineRule="auto"/>
        <w:ind w:left="573" w:right="141"/>
        <w:jc w:val="left"/>
      </w:pPr>
      <w:r>
        <w:rPr/>
        <w:t>借款费用同时满足下列条件时开始资本化：</w:t>
      </w:r>
    </w:p>
    <w:p>
      <w:pPr>
        <w:spacing w:line="240" w:lineRule="auto" w:before="10"/>
        <w:rPr>
          <w:rFonts w:ascii="宋体" w:hAnsi="宋体" w:cs="宋体" w:eastAsia="宋体" w:hint="default"/>
          <w:sz w:val="14"/>
          <w:szCs w:val="14"/>
        </w:rPr>
      </w:pPr>
    </w:p>
    <w:p>
      <w:pPr>
        <w:pStyle w:val="Heading6"/>
        <w:spacing w:line="386" w:lineRule="auto" w:before="0"/>
        <w:ind w:right="141"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Heading6"/>
        <w:spacing w:line="240" w:lineRule="auto" w:before="65"/>
        <w:ind w:left="573" w:right="141"/>
        <w:jc w:val="left"/>
      </w:pPr>
      <w:r>
        <w:rPr/>
        <w:t>（</w:t>
      </w:r>
      <w:r>
        <w:rPr>
          <w:rFonts w:ascii="Times New Roman" w:hAnsi="Times New Roman" w:cs="Times New Roman" w:eastAsia="Times New Roman" w:hint="default"/>
        </w:rPr>
        <w:t>2</w:t>
      </w:r>
      <w:r>
        <w:rPr/>
        <w:t>）借款费用已经发生；</w:t>
      </w:r>
    </w:p>
    <w:p>
      <w:pPr>
        <w:pStyle w:val="Heading6"/>
        <w:spacing w:line="240" w:lineRule="auto" w:before="177"/>
        <w:ind w:right="141"/>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1" w:firstLine="420"/>
        <w:jc w:val="left"/>
      </w:pPr>
      <w:r>
        <w:rPr>
          <w:spacing w:val="-2"/>
        </w:rPr>
        <w:t>资本化期间，指从借款费用开始资本化时点到停止资本化时点的期间，借款费用暂停资本化的期间不</w:t>
      </w:r>
      <w:r>
        <w:rPr>
          <w:w w:val="100"/>
        </w:rPr>
        <w:t> </w:t>
      </w:r>
      <w:r>
        <w:rPr/>
        <w:t>包括在内。</w:t>
      </w:r>
    </w:p>
    <w:p>
      <w:pPr>
        <w:pStyle w:val="Heading6"/>
        <w:spacing w:line="408" w:lineRule="auto"/>
        <w:ind w:left="573" w:right="141"/>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Heading6"/>
        <w:spacing w:line="408" w:lineRule="auto"/>
        <w:ind w:right="141"/>
        <w:jc w:val="left"/>
      </w:pPr>
      <w:r>
        <w:rPr/>
        <w:t>止资本化。</w:t>
      </w:r>
      <w:r>
        <w:rPr>
          <w:spacing w:val="-102"/>
        </w:rPr>
        <w:t> </w:t>
      </w:r>
      <w:r>
        <w:rPr>
          <w:spacing w:val="-102"/>
        </w:rPr>
      </w:r>
      <w:r>
        <w:rPr>
          <w:spacing w:val="-2"/>
        </w:rPr>
        <w:t>购建或者生产的资产的各部分分别完工，但必须等到整体完工后才可使用或可对外销售的，在该资产整体</w:t>
      </w:r>
      <w:r>
        <w:rPr>
          <w:spacing w:val="-42"/>
        </w:rPr>
        <w:t> </w:t>
      </w:r>
      <w:r>
        <w:rPr>
          <w:spacing w:val="-42"/>
        </w:rPr>
      </w:r>
      <w:r>
        <w:rPr/>
        <w:t>完工时停止借款费用资本化。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0" w:lineRule="auto" w:before="0"/>
        <w:ind w:right="141"/>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w w:val="100"/>
        </w:rPr>
        <w:t> </w:t>
      </w:r>
      <w:r>
        <w:rPr>
          <w:spacing w:val="-2"/>
        </w:rPr>
        <w:t>用暂停资本化；该项中断如是所购建或生产的符合资本化条件的资产达到预定可使用状态或者可销售状态</w:t>
      </w:r>
      <w:r>
        <w:rPr>
          <w:spacing w:val="-42"/>
        </w:rPr>
        <w:t> </w:t>
      </w:r>
      <w:r>
        <w:rPr>
          <w:spacing w:val="-42"/>
        </w:rPr>
      </w:r>
      <w:r>
        <w:rPr>
          <w:spacing w:val="-2"/>
        </w:rPr>
        <w:t>必要的程序，则借款费用继续资本化。在中断期间发生的借款费用确认为当期损益，直至资产的购建或者</w:t>
      </w:r>
      <w:r>
        <w:rPr>
          <w:spacing w:val="-42"/>
        </w:rPr>
        <w:t> </w:t>
      </w:r>
      <w:r>
        <w:rPr>
          <w:spacing w:val="-42"/>
        </w:rPr>
      </w:r>
      <w:r>
        <w:rPr/>
        <w:t>生产活动重新开始后借款费用继续资本化。</w:t>
      </w:r>
    </w:p>
    <w:p>
      <w:pPr>
        <w:spacing w:line="240" w:lineRule="auto" w:before="6"/>
        <w:rPr>
          <w:rFonts w:ascii="宋体" w:hAnsi="宋体" w:cs="宋体" w:eastAsia="宋体" w:hint="default"/>
          <w:sz w:val="27"/>
          <w:szCs w:val="27"/>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25" w:firstLine="420"/>
        <w:jc w:val="both"/>
      </w:pPr>
      <w:r>
        <w:rPr>
          <w:spacing w:val="-2"/>
        </w:rPr>
        <w:t>专门借款的利息费用（扣除尚未动用的借款资金存入银行取得的利息收入或者进行暂时性投资取得的</w:t>
      </w:r>
      <w:r>
        <w:rPr>
          <w:w w:val="100"/>
        </w:rPr>
        <w:t> </w:t>
      </w: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Heading6"/>
        <w:spacing w:line="408" w:lineRule="auto"/>
        <w:ind w:right="141" w:firstLine="420"/>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r>
        <w:rPr>
          <w:w w:val="100"/>
        </w:rPr>
        <w:t> </w:t>
      </w: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left="573" w:right="141"/>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Heading6"/>
        <w:spacing w:line="408" w:lineRule="auto" w:before="65"/>
        <w:ind w:right="141"/>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Heading6"/>
        <w:spacing w:line="408" w:lineRule="auto"/>
        <w:ind w:right="14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Heading6"/>
        <w:spacing w:line="408" w:lineRule="auto"/>
        <w:ind w:right="14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Heading6"/>
        <w:spacing w:line="408" w:lineRule="auto"/>
        <w:ind w:right="145"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Heading6"/>
        <w:spacing w:line="408" w:lineRule="auto"/>
        <w:ind w:right="14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6"/>
        <w:spacing w:line="386" w:lineRule="auto" w:before="0"/>
        <w:ind w:left="573" w:right="5033"/>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Heading6"/>
        <w:spacing w:line="408" w:lineRule="auto" w:before="65"/>
        <w:ind w:right="141"/>
        <w:jc w:val="left"/>
      </w:pPr>
      <w:r>
        <w:rPr>
          <w:spacing w:val="-2"/>
        </w:rPr>
        <w:t>对于使用寿命有限的无形资产，在为企业带来经济利益的期限内按直线法摊销；无法预见无形资产为企业</w:t>
      </w:r>
      <w:r>
        <w:rPr>
          <w:spacing w:val="-43"/>
        </w:rPr>
        <w:t> </w:t>
      </w:r>
      <w:r>
        <w:rPr>
          <w:spacing w:val="-43"/>
        </w:rPr>
      </w:r>
      <w:r>
        <w:rPr/>
        <w:t>带来经济利益期限的，视为使用寿命不确定的无形资产，不予摊销。</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240" w:lineRule="auto" w:before="0"/>
        <w:ind w:right="141"/>
        <w:jc w:val="left"/>
      </w:pPr>
      <w:r>
        <w:rPr/>
        <w:t>每期末，对使用寿命有限的无形资产的使用寿命及摊销方法进行复核。</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240" w:lineRule="auto" w:before="175"/>
        <w:ind w:right="141"/>
        <w:jc w:val="left"/>
      </w:pPr>
      <w:r>
        <w:rPr/>
        <w:t>经复核，本期期末无形资产的使用寿命及摊销方法与以前估计未有不同。</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557"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5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合同规定的使用年限</w:t>
            </w:r>
          </w:p>
        </w:tc>
      </w:tr>
      <w:tr>
        <w:trPr>
          <w:trHeight w:val="55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240" w:lineRule="auto" w:before="0"/>
        <w:ind w:right="141"/>
        <w:jc w:val="left"/>
      </w:pPr>
      <w:r>
        <w:rPr/>
        <w:t>本公司无使用寿命不确定的无形资产。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left="573" w:right="141"/>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对无形资产进行减值测试，估计其可收回金额。可收回金额根据无形资产的公允价值减去处置费用后</w:t>
      </w:r>
    </w:p>
    <w:p>
      <w:pPr>
        <w:pStyle w:val="Heading6"/>
        <w:spacing w:line="408" w:lineRule="auto"/>
        <w:ind w:left="573" w:right="141" w:hanging="421"/>
        <w:jc w:val="left"/>
      </w:pPr>
      <w:r>
        <w:rPr/>
        <w:t>的净额与无形资产预计未来现金流量的现值两者之间较高者确定。</w:t>
      </w:r>
      <w:r>
        <w:rPr>
          <w:w w:val="100"/>
        </w:rPr>
        <w:t> </w:t>
      </w:r>
      <w:r>
        <w:rPr>
          <w:spacing w:val="-2"/>
        </w:rPr>
        <w:t>当无形资产的可收回金额低于其账面价值的，将无形资产的账面价值减记至可收回金额，减记的金额</w:t>
      </w:r>
    </w:p>
    <w:p>
      <w:pPr>
        <w:pStyle w:val="Heading6"/>
        <w:spacing w:line="408" w:lineRule="auto"/>
        <w:ind w:left="573" w:right="141" w:hanging="421"/>
        <w:jc w:val="left"/>
      </w:pPr>
      <w:r>
        <w:rPr/>
        <w:t>确认为无形资产减值损失，计入当期损益，同时计提相应的无形资产减值准备。</w:t>
      </w:r>
      <w:r>
        <w:rPr>
          <w:w w:val="100"/>
        </w:rPr>
        <w:t> </w:t>
      </w:r>
      <w:r>
        <w:rPr>
          <w:spacing w:val="-2"/>
        </w:rPr>
        <w:t>无形资产减值损失确认后，减值无形资产的折耗或者摊销费用在未来期间作相应调整，以使该无形资</w:t>
      </w:r>
    </w:p>
    <w:p>
      <w:pPr>
        <w:pStyle w:val="Heading6"/>
        <w:spacing w:line="408" w:lineRule="auto"/>
        <w:ind w:left="573" w:right="141" w:hanging="421"/>
        <w:jc w:val="left"/>
      </w:pPr>
      <w:r>
        <w:rPr>
          <w:spacing w:val="-2"/>
        </w:rPr>
        <w:t>产在剩余使用寿命内，系统地分摊调整后的无形资产账面价值（扣除预计净残值）。</w:t>
      </w:r>
      <w:r>
        <w:rPr>
          <w:spacing w:val="-35"/>
        </w:rPr>
        <w:t> </w:t>
      </w:r>
      <w:r>
        <w:rPr>
          <w:spacing w:val="-35"/>
        </w:rPr>
      </w:r>
      <w:r>
        <w:rPr/>
        <w:t>无形资产的减值损失一经确认，在以后会计期间不再转回。</w:t>
      </w:r>
    </w:p>
    <w:p>
      <w:pPr>
        <w:pStyle w:val="Heading6"/>
        <w:spacing w:line="408" w:lineRule="auto"/>
        <w:ind w:right="141"/>
        <w:jc w:val="left"/>
      </w:pPr>
      <w:r>
        <w:rPr>
          <w:spacing w:val="-2"/>
        </w:rPr>
        <w:t>有迹象表明一项无形资产可能发生减值的，公司以单项无形资产为基础估计其可收回金额。公司难以对单</w:t>
      </w:r>
      <w:r>
        <w:rPr>
          <w:spacing w:val="-42"/>
        </w:rPr>
        <w:t> </w:t>
      </w:r>
      <w:r>
        <w:rPr>
          <w:spacing w:val="-42"/>
        </w:rPr>
      </w:r>
      <w:r>
        <w:rPr/>
        <w:t>项资产的可收回金额进行估计的，以该无形资产所属的资产组为基础确定无形资产组的可收回金额。</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6"/>
        <w:spacing w:line="408" w:lineRule="auto" w:before="0"/>
        <w:ind w:left="573" w:right="141"/>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Heading6"/>
        <w:spacing w:line="408" w:lineRule="auto"/>
        <w:ind w:right="141"/>
        <w:jc w:val="left"/>
      </w:pPr>
      <w:r>
        <w:rPr/>
        <w:t>的或具有实质性改进的材料、装置、产品等活动的阶段。</w:t>
      </w:r>
      <w:r>
        <w:rPr>
          <w:w w:val="100"/>
        </w:rPr>
        <w:t> </w:t>
      </w:r>
      <w:r>
        <w:rPr>
          <w:spacing w:val="-2"/>
        </w:rPr>
        <w:t>内部研究开发项目研究阶段的支出，在发生时计入当期损益。</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240" w:lineRule="auto" w:before="0"/>
        <w:ind w:left="573" w:right="141"/>
        <w:jc w:val="left"/>
      </w:pPr>
      <w:r>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pStyle w:val="Heading6"/>
        <w:spacing w:line="240" w:lineRule="auto" w:before="0"/>
        <w:ind w:left="573" w:right="141"/>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177"/>
        <w:ind w:left="573" w:right="141"/>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386" w:lineRule="auto" w:before="177"/>
        <w:ind w:right="141"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Heading6"/>
        <w:spacing w:line="386" w:lineRule="auto" w:before="65"/>
        <w:ind w:right="141"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Heading6"/>
        <w:spacing w:line="240" w:lineRule="auto" w:before="65"/>
        <w:ind w:right="141"/>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22"/>
          <w:szCs w:val="22"/>
        </w:rPr>
      </w:pPr>
    </w:p>
    <w:p>
      <w:pPr>
        <w:pStyle w:val="Heading7"/>
        <w:spacing w:line="240" w:lineRule="auto" w:before="196"/>
        <w:ind w:right="141"/>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146"/>
        <w:jc w:val="both"/>
      </w:pPr>
      <w:r>
        <w:rPr>
          <w:spacing w:val="-2"/>
        </w:rPr>
        <w:t>本公司以经营租赁方式租入的固定资产发生的改良支出，以及对实际发生的但由本期和以后各期负担的分</w:t>
      </w:r>
      <w:r>
        <w:rPr>
          <w:spacing w:val="-43"/>
        </w:rPr>
        <w:t> </w:t>
      </w:r>
      <w:r>
        <w:rPr>
          <w:spacing w:val="-43"/>
        </w:rPr>
      </w:r>
      <w:r>
        <w:rPr>
          <w:spacing w:val="-2"/>
        </w:rPr>
        <w:t>摊期限在一年以上的各项费用，作为长期待摊费用，按照项目的预计受益期平均摊销；筹备期间的开办费</w:t>
      </w:r>
      <w:r>
        <w:rPr>
          <w:spacing w:val="-45"/>
        </w:rPr>
        <w:t> </w:t>
      </w:r>
      <w:r>
        <w:rPr>
          <w:spacing w:val="-45"/>
        </w:rPr>
      </w:r>
      <w:r>
        <w:rPr/>
        <w:t>在开始生产经营当月一次性摊入当期费用。</w:t>
      </w:r>
    </w:p>
    <w:p>
      <w:pPr>
        <w:spacing w:line="240" w:lineRule="auto" w:before="0"/>
        <w:rPr>
          <w:rFonts w:ascii="宋体" w:hAnsi="宋体" w:cs="宋体" w:eastAsia="宋体" w:hint="default"/>
          <w:sz w:val="27"/>
          <w:szCs w:val="27"/>
        </w:rPr>
      </w:pPr>
    </w:p>
    <w:p>
      <w:pPr>
        <w:pStyle w:val="Heading7"/>
        <w:spacing w:line="240" w:lineRule="auto"/>
        <w:ind w:right="141"/>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right="2873"/>
        <w:jc w:val="left"/>
      </w:pP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408" w:lineRule="auto" w:before="0"/>
        <w:ind w:left="573" w:right="141"/>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408" w:lineRule="auto" w:before="175"/>
        <w:ind w:left="573" w:right="141"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Heading6"/>
        <w:spacing w:line="408" w:lineRule="auto"/>
        <w:ind w:left="573" w:right="141"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Heading6"/>
        <w:spacing w:line="408" w:lineRule="auto"/>
        <w:ind w:right="141"/>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44"/>
        </w:rPr>
        <w:t> </w:t>
      </w:r>
      <w:r>
        <w:rPr>
          <w:spacing w:val="-44"/>
        </w:rPr>
      </w:r>
      <w:r>
        <w:rPr/>
        <w:t>产单独确认，确认的补偿金额不超过预计负债的账面价值。</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477" w:lineRule="auto" w:before="0"/>
        <w:ind w:right="150"/>
        <w:jc w:val="both"/>
      </w:pP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地计量时，确认商品销售收入实现。公司把签订合同、产品出库并收到客户签收单作为收入确认时点。</w:t>
      </w:r>
    </w:p>
    <w:p>
      <w:pPr>
        <w:spacing w:line="240" w:lineRule="auto" w:before="0"/>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6"/>
        <w:spacing w:line="240" w:lineRule="auto" w:before="0"/>
        <w:ind w:right="0"/>
        <w:jc w:val="left"/>
      </w:pPr>
      <w:r>
        <w:rPr/>
        <w:t>与交易相关的经济利益很可能流入企业，收入的金额能够可靠地计量时。分别下列情况确定让渡资产使用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240" w:lineRule="auto" w:before="175"/>
        <w:ind w:right="141"/>
        <w:jc w:val="left"/>
      </w:pPr>
      <w:r>
        <w:rPr/>
        <w:t>权收入金额：</w:t>
      </w:r>
    </w:p>
    <w:p>
      <w:pPr>
        <w:spacing w:line="240" w:lineRule="auto" w:before="10"/>
        <w:rPr>
          <w:rFonts w:ascii="宋体" w:hAnsi="宋体" w:cs="宋体" w:eastAsia="宋体" w:hint="default"/>
          <w:sz w:val="14"/>
          <w:szCs w:val="14"/>
        </w:rPr>
      </w:pPr>
    </w:p>
    <w:p>
      <w:pPr>
        <w:pStyle w:val="Heading6"/>
        <w:spacing w:line="240" w:lineRule="auto" w:before="0"/>
        <w:ind w:right="141"/>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6"/>
        <w:spacing w:line="240" w:lineRule="auto" w:before="177"/>
        <w:ind w:right="141"/>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pStyle w:val="Heading7"/>
        <w:spacing w:line="240" w:lineRule="auto" w:before="196"/>
        <w:ind w:right="14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477" w:lineRule="auto" w:before="0"/>
        <w:ind w:right="141"/>
        <w:jc w:val="left"/>
      </w:pPr>
      <w:r>
        <w:rPr>
          <w:spacing w:val="-2"/>
        </w:rPr>
        <w:t>政府补助，是本公司从政府无偿取得的货币性资产与非货币性资产，但不包括政府作为企业所有者投入的资本。分为与资产</w:t>
      </w:r>
      <w:r>
        <w:rPr>
          <w:spacing w:val="-63"/>
        </w:rPr>
        <w:t> </w:t>
      </w:r>
      <w:r>
        <w:rPr>
          <w:spacing w:val="-63"/>
        </w:rPr>
      </w:r>
      <w:r>
        <w:rPr/>
        <w:t>相关的政府补助和与收益相关的政府补助。</w:t>
      </w:r>
    </w:p>
    <w:p>
      <w:pPr>
        <w:spacing w:line="240" w:lineRule="auto" w:before="0"/>
        <w:rPr>
          <w:rFonts w:ascii="宋体" w:hAnsi="宋体" w:cs="宋体" w:eastAsia="宋体" w:hint="default"/>
          <w:sz w:val="26"/>
          <w:szCs w:val="26"/>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6"/>
        <w:spacing w:line="408" w:lineRule="auto" w:before="0"/>
        <w:ind w:right="141" w:firstLine="420"/>
        <w:jc w:val="left"/>
      </w:pPr>
      <w:r>
        <w:rPr>
          <w:spacing w:val="-2"/>
        </w:rPr>
        <w:t>与购建固定资产、无形资产等长期资产相关的政府补助，确认为递延收益，按照所建造或购买的资产</w:t>
      </w:r>
      <w:r>
        <w:rPr>
          <w:w w:val="100"/>
        </w:rPr>
        <w:t> </w:t>
      </w:r>
      <w:r>
        <w:rPr/>
        <w:t>使用年限分期计入营业外收入；</w:t>
      </w:r>
      <w:r>
        <w:rPr>
          <w:w w:val="100"/>
        </w:rPr>
        <w:t> </w:t>
      </w:r>
      <w:r>
        <w:rPr>
          <w:spacing w:val="-2"/>
        </w:rPr>
        <w:t>与收益相关的政府补助，用于补偿企业以后期间的相关费用或损失的，取得时确认为递延收益，在确认相</w:t>
      </w:r>
      <w:r>
        <w:rPr>
          <w:spacing w:val="-42"/>
        </w:rPr>
        <w:t> </w:t>
      </w:r>
      <w:r>
        <w:rPr>
          <w:spacing w:val="-42"/>
        </w:rPr>
      </w:r>
      <w:r>
        <w:rPr>
          <w:spacing w:val="-2"/>
        </w:rPr>
        <w:t>关费用的期间计入当期营业外收入；用于补偿企业已发生的相关费用或损失的，取得时直接计入当期营业</w:t>
      </w:r>
      <w:r>
        <w:rPr>
          <w:spacing w:val="-43"/>
        </w:rPr>
        <w:t> </w:t>
      </w:r>
      <w:r>
        <w:rPr>
          <w:spacing w:val="-43"/>
        </w:rPr>
      </w:r>
      <w:r>
        <w:rPr/>
        <w:t>外收入。</w:t>
      </w:r>
    </w:p>
    <w:p>
      <w:pPr>
        <w:spacing w:line="240" w:lineRule="auto" w:before="13"/>
        <w:rPr>
          <w:rFonts w:ascii="宋体" w:hAnsi="宋体" w:cs="宋体" w:eastAsia="宋体" w:hint="default"/>
          <w:sz w:val="26"/>
          <w:szCs w:val="26"/>
        </w:rPr>
      </w:pPr>
    </w:p>
    <w:p>
      <w:pPr>
        <w:pStyle w:val="Heading7"/>
        <w:spacing w:line="240" w:lineRule="auto"/>
        <w:ind w:right="141"/>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spacing w:line="240" w:lineRule="auto" w:before="0"/>
        <w:ind w:right="141"/>
        <w:jc w:val="left"/>
      </w:pPr>
      <w:r>
        <w:rPr/>
        <w:t>公司以很可能取得用来抵扣可抵扣暂时性差异的应纳税所得额为限，确认由可抵扣暂时性差异产生的递延所得税资产。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77" w:lineRule="auto" w:before="0"/>
        <w:ind w:right="141"/>
        <w:jc w:val="left"/>
      </w:pPr>
      <w:r>
        <w:rPr>
          <w:spacing w:val="-2"/>
        </w:rPr>
        <w:t>公司将当期与以前期间应交未交的应纳税暂时性差异确认为递延所得税负债。但不包括商誉、非企业合并形成的交易且该交</w:t>
      </w:r>
      <w:r>
        <w:rPr>
          <w:spacing w:val="-62"/>
        </w:rPr>
        <w:t> </w:t>
      </w:r>
      <w:r>
        <w:rPr>
          <w:spacing w:val="-62"/>
        </w:rPr>
      </w:r>
      <w:r>
        <w:rPr/>
        <w:t>易发生时既不影响会计利润也不影响应纳税所得额所形成的暂时性差异。</w:t>
      </w:r>
    </w:p>
    <w:p>
      <w:pPr>
        <w:spacing w:after="0" w:line="47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right="0" w:firstLine="42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w:t>
      </w:r>
      <w:r>
        <w:rPr>
          <w:w w:val="100"/>
        </w:rPr>
        <w:t> </w:t>
      </w:r>
      <w:r>
        <w:rPr/>
        <w:t>期费用。公司支付的与租赁交易相关的初始直接费用，计入当期费用。</w:t>
      </w:r>
    </w:p>
    <w:p>
      <w:pPr>
        <w:pStyle w:val="Heading6"/>
        <w:spacing w:line="408" w:lineRule="auto" w:before="65"/>
        <w:ind w:right="0" w:firstLine="420"/>
        <w:jc w:val="left"/>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Heading6"/>
        <w:spacing w:line="403" w:lineRule="auto"/>
        <w:ind w:right="0" w:firstLine="42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w:t>
      </w:r>
      <w:r>
        <w:rPr>
          <w:w w:val="100"/>
        </w:rPr>
        <w:t> </w:t>
      </w:r>
      <w:r>
        <w:rPr>
          <w:spacing w:val="-2"/>
        </w:rPr>
        <w:t>租赁收入。公司支付的与租赁交易相关的初始直接费用，计入当期费用；如金额较大的，则予以资本化，</w:t>
      </w:r>
      <w:r>
        <w:rPr>
          <w:spacing w:val="-21"/>
        </w:rPr>
        <w:t> </w:t>
      </w:r>
      <w:r>
        <w:rPr>
          <w:spacing w:val="-21"/>
        </w:rPr>
      </w:r>
      <w:r>
        <w:rPr/>
        <w:t>在整个租赁期间内按照与租赁收入确认相同的基础分期计入当期收益。</w:t>
      </w:r>
      <w:r>
        <w:rPr>
          <w:w w:val="100"/>
        </w:rPr>
        <w:t> </w:t>
      </w: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spacing w:line="240" w:lineRule="auto" w:before="4"/>
        <w:rPr>
          <w:rFonts w:ascii="宋体" w:hAnsi="宋体" w:cs="宋体" w:eastAsia="宋体" w:hint="default"/>
          <w:sz w:val="27"/>
          <w:szCs w:val="27"/>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right="0"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w:t>
      </w:r>
      <w:r>
        <w:rPr>
          <w:w w:val="100"/>
        </w:rPr>
        <w:t> </w:t>
      </w:r>
      <w:r>
        <w:rPr>
          <w:spacing w:val="-5"/>
        </w:rPr>
        <w:t>作为租入资产的入账价值，将最低租赁付款额作为长期应付款的入账价值，其差额作为未确认的融资费用。</w:t>
      </w:r>
    </w:p>
    <w:p>
      <w:pPr>
        <w:pStyle w:val="Heading6"/>
        <w:spacing w:line="240" w:lineRule="auto" w:before="65"/>
        <w:ind w:left="573" w:right="0"/>
        <w:jc w:val="left"/>
      </w:pPr>
      <w:r>
        <w:rPr/>
        <w:t>公司采用实际利率法对未确认的融资费用，在资产租赁期间内摊销，计入财务费用。</w:t>
      </w:r>
    </w:p>
    <w:p>
      <w:pPr>
        <w:spacing w:line="240" w:lineRule="auto" w:before="10"/>
        <w:rPr>
          <w:rFonts w:ascii="宋体" w:hAnsi="宋体" w:cs="宋体" w:eastAsia="宋体" w:hint="default"/>
          <w:sz w:val="14"/>
          <w:szCs w:val="14"/>
        </w:rPr>
      </w:pPr>
    </w:p>
    <w:p>
      <w:pPr>
        <w:pStyle w:val="Heading6"/>
        <w:spacing w:line="398" w:lineRule="auto" w:before="0"/>
        <w:ind w:right="206" w:firstLine="336"/>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w:t>
      </w:r>
      <w:r>
        <w:rPr>
          <w:w w:val="100"/>
        </w:rPr>
        <w:t> </w:t>
      </w:r>
      <w:r>
        <w:rPr>
          <w:spacing w:val="-2"/>
        </w:rPr>
        <w:t>未实现融资收益，在将来收到租金的各期间内确认为租赁收入，公司发生的与出租交易相关的初始直接费</w:t>
      </w:r>
      <w:r>
        <w:rPr>
          <w:spacing w:val="-44"/>
        </w:rPr>
        <w:t> </w:t>
      </w:r>
      <w:r>
        <w:rPr>
          <w:spacing w:val="-44"/>
        </w:rPr>
      </w:r>
      <w:r>
        <w:rPr/>
        <w:t>用，计入应收融资租赁款的初始计量中，并减少租赁期内确认的收益金额。</w:t>
      </w:r>
    </w:p>
    <w:p>
      <w:pPr>
        <w:spacing w:after="0" w:line="398"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本报告期主要会计政策、会计估计是否变更</w:t>
      </w:r>
    </w:p>
    <w:p>
      <w:pPr>
        <w:spacing w:line="240" w:lineRule="auto" w:before="12"/>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本报告期主要会计政策是否变更</w:t>
      </w:r>
    </w:p>
    <w:p>
      <w:pPr>
        <w:spacing w:line="240" w:lineRule="auto" w:before="9"/>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18"/>
          <w:szCs w:val="18"/>
        </w:rPr>
      </w:pPr>
    </w:p>
    <w:p>
      <w:pPr>
        <w:pStyle w:val="Heading6"/>
        <w:spacing w:line="240" w:lineRule="auto" w:before="0"/>
        <w:ind w:right="141"/>
        <w:jc w:val="left"/>
      </w:pPr>
      <w:r>
        <w:rPr/>
        <w:t>本报告期主要会计政策未变更。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本报告期主要会计估计是否变更</w:t>
      </w:r>
    </w:p>
    <w:p>
      <w:pPr>
        <w:spacing w:line="240" w:lineRule="auto" w:before="12"/>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17"/>
          <w:szCs w:val="17"/>
        </w:rPr>
      </w:pPr>
    </w:p>
    <w:p>
      <w:pPr>
        <w:pStyle w:val="Heading6"/>
        <w:spacing w:line="240" w:lineRule="auto" w:before="0"/>
        <w:ind w:right="141"/>
        <w:jc w:val="left"/>
      </w:pPr>
      <w:r>
        <w:rPr/>
        <w:t>本报告期主要会计估计未变更。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本报告期是否发现前期会计差错</w:t>
      </w:r>
    </w:p>
    <w:p>
      <w:pPr>
        <w:spacing w:line="240" w:lineRule="auto" w:before="12"/>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18"/>
          <w:szCs w:val="18"/>
        </w:rPr>
      </w:pPr>
    </w:p>
    <w:p>
      <w:pPr>
        <w:pStyle w:val="Heading6"/>
        <w:spacing w:line="240" w:lineRule="auto" w:before="0"/>
        <w:ind w:right="141"/>
        <w:jc w:val="left"/>
      </w:pPr>
      <w:r>
        <w:rPr/>
        <w:t>本报告期未发现前期差错需要更正。</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本报告期是否发现采用追溯重述法的前期会计差错</w:t>
      </w:r>
    </w:p>
    <w:p>
      <w:pPr>
        <w:spacing w:line="240" w:lineRule="auto" w:before="12"/>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17"/>
          <w:szCs w:val="17"/>
        </w:rPr>
      </w:pPr>
    </w:p>
    <w:p>
      <w:pPr>
        <w:pStyle w:val="Heading6"/>
        <w:spacing w:line="240" w:lineRule="auto" w:before="0"/>
        <w:ind w:right="141"/>
        <w:jc w:val="left"/>
      </w:pPr>
      <w:r>
        <w:rPr/>
        <w:t>本报告期未发现采用追溯重述法的前期差错。</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本报告期是否发现采用未来适用法的前期会计差错</w:t>
      </w:r>
    </w:p>
    <w:p>
      <w:pPr>
        <w:spacing w:line="240" w:lineRule="auto" w:before="12"/>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18"/>
          <w:szCs w:val="18"/>
        </w:rPr>
      </w:pPr>
    </w:p>
    <w:p>
      <w:pPr>
        <w:spacing w:line="657" w:lineRule="auto" w:before="0"/>
        <w:ind w:left="152" w:right="4956" w:firstLine="0"/>
        <w:jc w:val="left"/>
        <w:rPr>
          <w:rFonts w:ascii="宋体" w:hAnsi="宋体" w:cs="宋体" w:eastAsia="宋体" w:hint="default"/>
          <w:sz w:val="24"/>
          <w:szCs w:val="24"/>
        </w:rPr>
      </w:pPr>
      <w:r>
        <w:rPr>
          <w:rFonts w:ascii="宋体" w:hAnsi="宋体" w:cs="宋体" w:eastAsia="宋体" w:hint="default"/>
          <w:sz w:val="21"/>
          <w:szCs w:val="21"/>
        </w:rPr>
        <w:t>本报告期未发现采用未来适用法的前期会计差错。</w:t>
      </w:r>
      <w:r>
        <w:rPr>
          <w:rFonts w:ascii="宋体" w:hAnsi="宋体" w:cs="宋体" w:eastAsia="宋体" w:hint="default"/>
          <w:w w:val="100"/>
          <w:sz w:val="21"/>
          <w:szCs w:val="21"/>
        </w:rPr>
        <w:t> </w:t>
      </w: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、其他主要会计政策、会计估计和财务报表编制方法</w:t>
      </w:r>
      <w:r>
        <w:rPr>
          <w:rFonts w:ascii="宋体" w:hAnsi="宋体" w:cs="宋体" w:eastAsia="宋体" w:hint="default"/>
          <w:b/>
          <w:bCs/>
          <w:w w:val="99"/>
          <w:sz w:val="20"/>
          <w:szCs w:val="20"/>
        </w:rPr>
        <w:t> </w:t>
      </w:r>
      <w:r>
        <w:rPr>
          <w:rFonts w:ascii="宋体" w:hAnsi="宋体" w:cs="宋体" w:eastAsia="宋体" w:hint="default"/>
          <w:b/>
          <w:bCs/>
          <w:sz w:val="24"/>
          <w:szCs w:val="24"/>
        </w:rPr>
        <w:t>五、税项</w:t>
      </w:r>
      <w:r>
        <w:rPr>
          <w:rFonts w:ascii="宋体" w:hAnsi="宋体" w:cs="宋体" w:eastAsia="宋体" w:hint="default"/>
          <w:sz w:val="24"/>
          <w:szCs w:val="24"/>
        </w:rPr>
      </w:r>
    </w:p>
    <w:p>
      <w:pPr>
        <w:pStyle w:val="Heading7"/>
        <w:spacing w:line="240" w:lineRule="auto" w:before="68"/>
        <w:ind w:right="141"/>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557"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5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销售货物、应税劳务收入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55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5"/>
        <w:rPr>
          <w:rFonts w:ascii="宋体" w:hAnsi="宋体" w:cs="宋体" w:eastAsia="宋体" w:hint="default"/>
          <w:b/>
          <w:bCs/>
          <w:sz w:val="6"/>
          <w:szCs w:val="6"/>
        </w:rPr>
      </w:pPr>
    </w:p>
    <w:p>
      <w:pPr>
        <w:pStyle w:val="BodyText"/>
        <w:spacing w:line="240" w:lineRule="auto"/>
        <w:ind w:right="141"/>
        <w:jc w:val="left"/>
      </w:pPr>
      <w:r>
        <w:rPr/>
        <w:t>各分公司、分厂执行的所得税税率</w:t>
      </w:r>
    </w:p>
    <w:p>
      <w:pPr>
        <w:spacing w:line="240" w:lineRule="auto" w:before="3"/>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3512"/>
        <w:gridCol w:w="2427"/>
        <w:gridCol w:w="2393"/>
      </w:tblGrid>
      <w:tr>
        <w:trPr>
          <w:trHeight w:val="509"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税率</w:t>
            </w:r>
          </w:p>
        </w:tc>
        <w:tc>
          <w:tcPr>
            <w:tcW w:w="23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09"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15%</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见本附注（二）（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509"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2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12.5%</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见本附注（二）（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506"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2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25%</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center"/>
              <w:rPr>
                <w:rFonts w:ascii="宋体" w:hAnsi="宋体" w:cs="宋体" w:eastAsia="宋体" w:hint="default"/>
                <w:sz w:val="18"/>
                <w:szCs w:val="18"/>
              </w:rPr>
            </w:pPr>
            <w:r>
              <w:rPr>
                <w:rFonts w:ascii="宋体" w:hAnsi="宋体" w:cs="宋体" w:eastAsia="宋体" w:hint="default"/>
                <w:sz w:val="18"/>
                <w:szCs w:val="18"/>
              </w:rPr>
              <w:t>法定税率</w:t>
            </w:r>
          </w:p>
        </w:tc>
      </w:tr>
      <w:tr>
        <w:trPr>
          <w:trHeight w:val="509"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2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25%</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9"/>
              <w:jc w:val="center"/>
              <w:rPr>
                <w:rFonts w:ascii="宋体" w:hAnsi="宋体" w:cs="宋体" w:eastAsia="宋体" w:hint="default"/>
                <w:sz w:val="18"/>
                <w:szCs w:val="18"/>
              </w:rPr>
            </w:pPr>
            <w:r>
              <w:rPr>
                <w:rFonts w:ascii="宋体" w:hAnsi="宋体" w:cs="宋体" w:eastAsia="宋体" w:hint="default"/>
                <w:sz w:val="18"/>
                <w:szCs w:val="18"/>
              </w:rPr>
              <w:t>法定税率</w:t>
            </w:r>
          </w:p>
        </w:tc>
      </w:tr>
      <w:tr>
        <w:trPr>
          <w:trHeight w:val="509"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2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25%</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center"/>
              <w:rPr>
                <w:rFonts w:ascii="宋体" w:hAnsi="宋体" w:cs="宋体" w:eastAsia="宋体" w:hint="default"/>
                <w:sz w:val="18"/>
                <w:szCs w:val="18"/>
              </w:rPr>
            </w:pPr>
            <w:r>
              <w:rPr>
                <w:rFonts w:ascii="宋体" w:hAnsi="宋体" w:cs="宋体" w:eastAsia="宋体" w:hint="default"/>
                <w:sz w:val="18"/>
                <w:szCs w:val="18"/>
              </w:rPr>
              <w:t>法定税率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7"/>
        <w:spacing w:line="240" w:lineRule="auto" w:before="37"/>
        <w:ind w:left="573" w:right="141" w:hanging="421"/>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left="573" w:right="141"/>
        <w:jc w:val="left"/>
      </w:pPr>
      <w:r>
        <w:rPr>
          <w:rFonts w:ascii="Times New Roman" w:hAnsi="Times New Roman" w:cs="Times New Roman" w:eastAsia="Times New Roman" w:hint="default"/>
        </w:rPr>
        <w:t>(1)</w:t>
      </w:r>
      <w:r>
        <w:rPr/>
        <w:t>增值税</w:t>
      </w:r>
      <w:r>
        <w:rPr>
          <w:spacing w:val="-102"/>
        </w:rPr>
        <w:t> </w:t>
      </w:r>
      <w:r>
        <w:rPr>
          <w:spacing w:val="-3"/>
        </w:rPr>
        <w:t>根据国发</w:t>
      </w:r>
      <w:r>
        <w:rPr>
          <w:rFonts w:ascii="Times New Roman" w:hAnsi="Times New Roman" w:cs="Times New Roman" w:eastAsia="Times New Roman" w:hint="default"/>
          <w:spacing w:val="-3"/>
        </w:rPr>
        <w:t>[2011]4</w:t>
      </w:r>
      <w:r>
        <w:rPr>
          <w:spacing w:val="-3"/>
        </w:rPr>
        <w:t>号《国务院关于印发进一步鼓励软件产业和集成电路产业发展若干政策的通知》的规</w:t>
      </w:r>
    </w:p>
    <w:p>
      <w:pPr>
        <w:pStyle w:val="Heading6"/>
        <w:spacing w:line="386" w:lineRule="auto" w:before="35"/>
        <w:ind w:right="146"/>
        <w:jc w:val="both"/>
      </w:pPr>
      <w:r>
        <w:rPr>
          <w:spacing w:val="-2"/>
        </w:rPr>
        <w:t>定，对增值税一般纳税人销售其自行开发的软件产品，按</w:t>
      </w:r>
      <w:r>
        <w:rPr>
          <w:rFonts w:ascii="Times New Roman" w:hAnsi="Times New Roman" w:cs="Times New Roman" w:eastAsia="Times New Roman" w:hint="default"/>
          <w:spacing w:val="-2"/>
        </w:rPr>
        <w:t>17</w:t>
      </w:r>
      <w:r>
        <w:rPr>
          <w:spacing w:val="-2"/>
        </w:rPr>
        <w:t>％的法定税率征收增值税，对其增值税实际税</w:t>
      </w:r>
      <w:r>
        <w:rPr>
          <w:spacing w:val="-41"/>
        </w:rPr>
        <w:t> </w:t>
      </w:r>
      <w:r>
        <w:rPr>
          <w:spacing w:val="-41"/>
        </w:rPr>
      </w:r>
      <w:r>
        <w:rPr/>
        <w:t>负超过</w:t>
      </w:r>
      <w:r>
        <w:rPr>
          <w:rFonts w:ascii="Times New Roman" w:hAnsi="Times New Roman" w:cs="Times New Roman" w:eastAsia="Times New Roman" w:hint="default"/>
        </w:rPr>
        <w:t>3</w:t>
      </w:r>
      <w:r>
        <w:rPr/>
        <w:t>％的部分即征即退，由企业用于研究开发软件产品和扩大再生产，不作为企业所得税应征收入，</w:t>
      </w:r>
      <w:r>
        <w:rPr>
          <w:spacing w:val="-25"/>
        </w:rPr>
        <w:t> </w:t>
      </w:r>
      <w:r>
        <w:rPr>
          <w:spacing w:val="-25"/>
        </w:rPr>
      </w:r>
      <w:r>
        <w:rPr/>
        <w:t>不予征收企业所得税。</w:t>
      </w:r>
    </w:p>
    <w:p>
      <w:pPr>
        <w:pStyle w:val="Heading6"/>
        <w:spacing w:line="386" w:lineRule="auto" w:before="65"/>
        <w:ind w:right="141" w:firstLine="420"/>
        <w:jc w:val="left"/>
      </w:pPr>
      <w:r>
        <w:rPr/>
        <w:t>根据财政部和国家税务总局印发了《财政部国家税务总局关于在北京等</w:t>
      </w:r>
      <w:r>
        <w:rPr>
          <w:rFonts w:ascii="Times New Roman" w:hAnsi="Times New Roman" w:cs="Times New Roman" w:eastAsia="Times New Roman" w:hint="default"/>
        </w:rPr>
        <w:t>8</w:t>
      </w:r>
      <w:r>
        <w:rPr/>
        <w:t>省市开展交</w:t>
      </w:r>
      <w:r>
        <w:rPr>
          <w:w w:val="100"/>
        </w:rPr>
        <w:t> </w:t>
      </w:r>
      <w:r>
        <w:rPr>
          <w:spacing w:val="-2"/>
        </w:rPr>
        <w:t>通运输业和部分现代服务业营业税改征增值税试点的通知》（财税〔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71</w:t>
      </w:r>
      <w:r>
        <w:rPr>
          <w:spacing w:val="-2"/>
        </w:rPr>
        <w:t>号），广东省于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spacing w:val="-33"/>
        </w:rPr>
        <w:t> </w:t>
      </w:r>
      <w:r>
        <w:rPr>
          <w:rFonts w:ascii="Times New Roman" w:hAnsi="Times New Roman" w:cs="Times New Roman" w:eastAsia="Times New Roman" w:hint="default"/>
          <w:spacing w:val="-2"/>
        </w:rPr>
        <w:t>1</w:t>
      </w:r>
      <w:r>
        <w:rPr>
          <w:spacing w:val="-2"/>
        </w:rPr>
        <w:t>日开始执行营业税改增值税事项。本公司修配业务由原来缴纳营业税（税率为</w:t>
      </w:r>
      <w:r>
        <w:rPr>
          <w:rFonts w:ascii="Times New Roman" w:hAnsi="Times New Roman" w:cs="Times New Roman" w:eastAsia="Times New Roman" w:hint="default"/>
          <w:spacing w:val="-2"/>
        </w:rPr>
        <w:t>5%</w:t>
      </w:r>
      <w:r>
        <w:rPr>
          <w:spacing w:val="-2"/>
        </w:rPr>
        <w:t>）改为增值税，增值税</w:t>
      </w:r>
      <w:r>
        <w:rPr>
          <w:spacing w:val="-5"/>
        </w:rPr>
        <w:t> </w:t>
      </w:r>
      <w:r>
        <w:rPr>
          <w:spacing w:val="-5"/>
        </w:rPr>
      </w:r>
      <w:r>
        <w:rPr/>
        <w:t>税率为</w:t>
      </w:r>
      <w:r>
        <w:rPr>
          <w:rFonts w:ascii="Times New Roman" w:hAnsi="Times New Roman" w:cs="Times New Roman" w:eastAsia="Times New Roman" w:hint="default"/>
        </w:rPr>
        <w:t>6%</w:t>
      </w:r>
      <w:r>
        <w:rPr/>
        <w:t>。</w:t>
      </w:r>
    </w:p>
    <w:p>
      <w:pPr>
        <w:pStyle w:val="Heading6"/>
        <w:spacing w:line="393" w:lineRule="auto" w:before="35"/>
        <w:ind w:right="146" w:firstLine="420"/>
        <w:jc w:val="both"/>
      </w:pPr>
      <w:r>
        <w:rPr/>
        <w:t>本公司于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月通过软件企业认证</w:t>
      </w:r>
      <w:r>
        <w:rPr>
          <w:rFonts w:ascii="Times New Roman" w:hAnsi="Times New Roman" w:cs="Times New Roman" w:eastAsia="Times New Roman" w:hint="default"/>
        </w:rPr>
        <w:t>(</w:t>
      </w:r>
      <w:r>
        <w:rPr/>
        <w:t>证书号码深</w:t>
      </w:r>
      <w:r>
        <w:rPr>
          <w:rFonts w:ascii="Times New Roman" w:hAnsi="Times New Roman" w:cs="Times New Roman" w:eastAsia="Times New Roman" w:hint="default"/>
        </w:rPr>
        <w:t>R-2001-0043)</w:t>
      </w:r>
      <w:r>
        <w:rPr/>
        <w:t>，本公司的软件产品新国都</w:t>
      </w:r>
      <w:r>
        <w:rPr>
          <w:rFonts w:ascii="Times New Roman" w:hAnsi="Times New Roman" w:cs="Times New Roman" w:eastAsia="Times New Roman" w:hint="default"/>
        </w:rPr>
        <w:t>POS</w:t>
      </w:r>
      <w:r>
        <w:rPr/>
        <w:t>软件</w:t>
      </w:r>
      <w:r>
        <w:rPr>
          <w:w w:val="100"/>
        </w:rPr>
        <w:t> </w:t>
      </w:r>
      <w:r>
        <w:rPr>
          <w:rFonts w:ascii="Times New Roman" w:hAnsi="Times New Roman" w:cs="Times New Roman" w:eastAsia="Times New Roman" w:hint="default"/>
          <w:spacing w:val="-2"/>
        </w:rPr>
        <w:t>V2.0</w:t>
      </w:r>
      <w:r>
        <w:rPr>
          <w:spacing w:val="-2"/>
        </w:rPr>
        <w:t>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月通过了深圳市科技局的软件产品认证</w:t>
      </w:r>
      <w:r>
        <w:rPr>
          <w:rFonts w:ascii="Times New Roman" w:hAnsi="Times New Roman" w:cs="Times New Roman" w:eastAsia="Times New Roman" w:hint="default"/>
          <w:spacing w:val="-2"/>
        </w:rPr>
        <w:t>(</w:t>
      </w:r>
      <w:r>
        <w:rPr>
          <w:spacing w:val="-2"/>
        </w:rPr>
        <w:t>证书号码深</w:t>
      </w:r>
      <w:r>
        <w:rPr>
          <w:rFonts w:ascii="Times New Roman" w:hAnsi="Times New Roman" w:cs="Times New Roman" w:eastAsia="Times New Roman" w:hint="default"/>
          <w:spacing w:val="-2"/>
        </w:rPr>
        <w:t>DGY-2007-1230)</w:t>
      </w:r>
      <w:r>
        <w:rPr>
          <w:spacing w:val="-2"/>
        </w:rPr>
        <w:t>。本公司自</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spacing w:val="-12"/>
        </w:rPr>
        <w:t> </w:t>
      </w:r>
      <w:r>
        <w:rPr>
          <w:spacing w:val="-2"/>
        </w:rPr>
        <w:t>起对于销售的产品实行软硬件产品价格在合同中单独列示，并分别开具销售发票，单独核算软硬件产品收</w:t>
      </w:r>
      <w:r>
        <w:rPr>
          <w:spacing w:val="-42"/>
        </w:rPr>
        <w:t> </w:t>
      </w:r>
      <w:r>
        <w:rPr>
          <w:spacing w:val="-42"/>
        </w:rPr>
      </w:r>
      <w:r>
        <w:rPr/>
        <w:t>入</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并开始享受软件产品的增值税税收优惠政策。</w:t>
      </w:r>
    </w:p>
    <w:p>
      <w:pPr>
        <w:pStyle w:val="Heading6"/>
        <w:spacing w:line="240" w:lineRule="auto" w:before="29"/>
        <w:ind w:left="573" w:right="0"/>
        <w:jc w:val="left"/>
      </w:pPr>
      <w:r>
        <w:rPr>
          <w:w w:val="100"/>
        </w:rPr>
        <w:t>深圳</w:t>
      </w:r>
      <w:r>
        <w:rPr>
          <w:spacing w:val="-3"/>
          <w:w w:val="100"/>
        </w:rPr>
        <w:t>市</w:t>
      </w:r>
      <w:r>
        <w:rPr>
          <w:w w:val="100"/>
        </w:rPr>
        <w:t>易</w:t>
      </w:r>
      <w:r>
        <w:rPr>
          <w:spacing w:val="-3"/>
          <w:w w:val="100"/>
        </w:rPr>
        <w:t>联</w:t>
      </w:r>
      <w:r>
        <w:rPr>
          <w:w w:val="100"/>
        </w:rPr>
        <w:t>技</w:t>
      </w:r>
      <w:r>
        <w:rPr>
          <w:spacing w:val="-3"/>
          <w:w w:val="100"/>
        </w:rPr>
        <w:t>术</w:t>
      </w:r>
      <w:r>
        <w:rPr>
          <w:w w:val="100"/>
        </w:rPr>
        <w:t>有</w:t>
      </w:r>
      <w:r>
        <w:rPr>
          <w:spacing w:val="-3"/>
          <w:w w:val="100"/>
        </w:rPr>
        <w:t>限</w:t>
      </w:r>
      <w:r>
        <w:rPr>
          <w:w w:val="100"/>
        </w:rPr>
        <w:t>公</w:t>
      </w:r>
      <w:r>
        <w:rPr>
          <w:spacing w:val="-3"/>
          <w:w w:val="100"/>
        </w:rPr>
        <w:t>司</w:t>
      </w:r>
      <w:r>
        <w:rPr>
          <w:w w:val="100"/>
        </w:rPr>
        <w:t>的软</w:t>
      </w:r>
      <w:r>
        <w:rPr>
          <w:spacing w:val="-3"/>
          <w:w w:val="100"/>
        </w:rPr>
        <w:t>件</w:t>
      </w:r>
      <w:r>
        <w:rPr>
          <w:w w:val="100"/>
        </w:rPr>
        <w:t>产品</w:t>
      </w:r>
      <w:r>
        <w:rPr>
          <w:rFonts w:ascii="Times New Roman" w:hAnsi="Times New Roman" w:cs="Times New Roman" w:eastAsia="Times New Roman" w:hint="default"/>
          <w:spacing w:val="-4"/>
          <w:w w:val="100"/>
        </w:rPr>
        <w:t>(</w:t>
      </w:r>
      <w:r>
        <w:rPr>
          <w:w w:val="100"/>
        </w:rPr>
        <w:t>该</w:t>
      </w:r>
      <w:r>
        <w:rPr>
          <w:spacing w:val="-3"/>
          <w:w w:val="100"/>
        </w:rPr>
        <w:t>公</w:t>
      </w:r>
      <w:r>
        <w:rPr>
          <w:w w:val="100"/>
        </w:rPr>
        <w:t>司</w:t>
      </w:r>
      <w:r>
        <w:rPr>
          <w:spacing w:val="-3"/>
          <w:w w:val="100"/>
        </w:rPr>
        <w:t>由</w:t>
      </w:r>
      <w:r>
        <w:rPr>
          <w:w w:val="100"/>
        </w:rPr>
        <w:t>原</w:t>
      </w:r>
      <w:r>
        <w:rPr>
          <w:spacing w:val="-3"/>
          <w:w w:val="100"/>
        </w:rPr>
        <w:t>深</w:t>
      </w:r>
      <w:r>
        <w:rPr>
          <w:w w:val="100"/>
        </w:rPr>
        <w:t>圳市</w:t>
      </w:r>
      <w:r>
        <w:rPr>
          <w:spacing w:val="-3"/>
          <w:w w:val="100"/>
        </w:rPr>
        <w:t>新</w:t>
      </w:r>
      <w:r>
        <w:rPr>
          <w:w w:val="100"/>
        </w:rPr>
        <w:t>国</w:t>
      </w:r>
      <w:r>
        <w:rPr>
          <w:spacing w:val="-3"/>
          <w:w w:val="100"/>
        </w:rPr>
        <w:t>都</w:t>
      </w:r>
      <w:r>
        <w:rPr>
          <w:w w:val="100"/>
        </w:rPr>
        <w:t>软</w:t>
      </w:r>
      <w:r>
        <w:rPr>
          <w:spacing w:val="-3"/>
          <w:w w:val="100"/>
        </w:rPr>
        <w:t>件</w:t>
      </w:r>
      <w:r>
        <w:rPr>
          <w:w w:val="100"/>
        </w:rPr>
        <w:t>技</w:t>
      </w:r>
      <w:r>
        <w:rPr>
          <w:spacing w:val="-3"/>
          <w:w w:val="100"/>
        </w:rPr>
        <w:t>术</w:t>
      </w:r>
      <w:r>
        <w:rPr>
          <w:w w:val="100"/>
        </w:rPr>
        <w:t>有</w:t>
      </w:r>
      <w:r>
        <w:rPr>
          <w:spacing w:val="-3"/>
          <w:w w:val="100"/>
        </w:rPr>
        <w:t>限</w:t>
      </w:r>
      <w:r>
        <w:rPr>
          <w:w w:val="100"/>
        </w:rPr>
        <w:t>公司</w:t>
      </w:r>
      <w:r>
        <w:rPr>
          <w:spacing w:val="-3"/>
          <w:w w:val="100"/>
        </w:rPr>
        <w:t>更</w:t>
      </w:r>
      <w:r>
        <w:rPr>
          <w:w w:val="100"/>
        </w:rPr>
        <w:t>名</w:t>
      </w:r>
      <w:r>
        <w:rPr>
          <w:spacing w:val="-3"/>
          <w:w w:val="100"/>
        </w:rPr>
        <w:t>而来</w:t>
      </w:r>
      <w:r>
        <w:rPr>
          <w:spacing w:val="-92"/>
          <w:w w:val="100"/>
        </w:rPr>
        <w:t>，</w:t>
      </w:r>
      <w:r>
        <w:rPr>
          <w:spacing w:val="-3"/>
          <w:w w:val="100"/>
        </w:rPr>
        <w:t>以</w:t>
      </w:r>
      <w:r>
        <w:rPr>
          <w:w w:val="100"/>
        </w:rPr>
        <w:t>下</w:t>
      </w:r>
      <w:r>
        <w:rPr>
          <w:spacing w:val="-3"/>
          <w:w w:val="100"/>
        </w:rPr>
        <w:t>简</w:t>
      </w:r>
      <w:r>
        <w:rPr>
          <w:w w:val="100"/>
        </w:rPr>
        <w:t>称</w:t>
      </w:r>
    </w:p>
    <w:p>
      <w:pPr>
        <w:pStyle w:val="Heading6"/>
        <w:spacing w:line="386" w:lineRule="auto" w:before="177"/>
        <w:ind w:right="148"/>
        <w:jc w:val="both"/>
      </w:pPr>
      <w:r>
        <w:rPr>
          <w:rFonts w:ascii="Times New Roman" w:hAnsi="Times New Roman" w:cs="Times New Roman" w:eastAsia="Times New Roman" w:hint="default"/>
          <w:spacing w:val="-1"/>
          <w:w w:val="44"/>
        </w:rPr>
        <w:t>―</w:t>
      </w:r>
      <w:r>
        <w:rPr>
          <w:w w:val="100"/>
        </w:rPr>
        <w:t>易</w:t>
      </w:r>
      <w:r>
        <w:rPr>
          <w:spacing w:val="-3"/>
          <w:w w:val="100"/>
        </w:rPr>
        <w:t>联</w:t>
      </w:r>
      <w:r>
        <w:rPr>
          <w:w w:val="100"/>
        </w:rPr>
        <w:t>技术</w:t>
      </w:r>
      <w:r>
        <w:rPr>
          <w:rFonts w:ascii="Times New Roman" w:hAnsi="Times New Roman" w:cs="Times New Roman" w:eastAsia="Times New Roman" w:hint="default"/>
          <w:spacing w:val="-1"/>
          <w:w w:val="127"/>
        </w:rPr>
        <w:t>‖</w:t>
      </w:r>
      <w:r>
        <w:rPr>
          <w:rFonts w:ascii="Times New Roman" w:hAnsi="Times New Roman" w:cs="Times New Roman" w:eastAsia="Times New Roman" w:hint="default"/>
          <w:spacing w:val="-4"/>
          <w:w w:val="127"/>
        </w:rPr>
        <w:t>)</w:t>
      </w:r>
      <w:r>
        <w:rPr>
          <w:spacing w:val="-22"/>
          <w:w w:val="100"/>
        </w:rPr>
        <w:t>：</w:t>
      </w:r>
      <w:r>
        <w:rPr>
          <w:rFonts w:ascii="Times New Roman" w:hAnsi="Times New Roman" w:cs="Times New Roman" w:eastAsia="Times New Roman" w:hint="default"/>
          <w:spacing w:val="-1"/>
          <w:w w:val="44"/>
        </w:rPr>
        <w:t>―</w:t>
      </w:r>
      <w:r>
        <w:rPr>
          <w:spacing w:val="-3"/>
          <w:w w:val="100"/>
        </w:rPr>
        <w:t>新</w:t>
      </w:r>
      <w:r>
        <w:rPr>
          <w:w w:val="100"/>
        </w:rPr>
        <w:t>国</w:t>
      </w:r>
      <w:r>
        <w:rPr>
          <w:spacing w:val="-3"/>
          <w:w w:val="100"/>
        </w:rPr>
        <w:t>都</w:t>
      </w:r>
      <w:r>
        <w:rPr>
          <w:w w:val="100"/>
        </w:rPr>
        <w:t>移</w:t>
      </w:r>
      <w:r>
        <w:rPr>
          <w:spacing w:val="-3"/>
          <w:w w:val="100"/>
        </w:rPr>
        <w:t>动</w:t>
      </w:r>
      <w:r>
        <w:rPr>
          <w:w w:val="100"/>
        </w:rPr>
        <w:t>终端</w:t>
      </w:r>
      <w:r>
        <w:rPr>
          <w:spacing w:val="-3"/>
          <w:w w:val="100"/>
        </w:rPr>
        <w:t>应</w:t>
      </w:r>
      <w:r>
        <w:rPr>
          <w:w w:val="100"/>
        </w:rPr>
        <w:t>用</w:t>
      </w:r>
      <w:r>
        <w:rPr>
          <w:spacing w:val="-3"/>
          <w:w w:val="100"/>
        </w:rPr>
        <w:t>软件</w:t>
      </w:r>
      <w:r>
        <w:rPr>
          <w:rFonts w:ascii="Times New Roman" w:hAnsi="Times New Roman" w:cs="Times New Roman" w:eastAsia="Times New Roman" w:hint="default"/>
          <w:w w:val="100"/>
        </w:rPr>
        <w:t>V</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59"/>
        </w:rPr>
        <w:t>‖</w:t>
      </w:r>
      <w:r>
        <w:rPr>
          <w:w w:val="100"/>
        </w:rPr>
        <w:t>和</w:t>
      </w:r>
      <w:r>
        <w:rPr>
          <w:rFonts w:ascii="Times New Roman" w:hAnsi="Times New Roman" w:cs="Times New Roman" w:eastAsia="Times New Roman" w:hint="default"/>
          <w:spacing w:val="-3"/>
          <w:w w:val="44"/>
        </w:rPr>
        <w:t>―</w:t>
      </w:r>
      <w:r>
        <w:rPr>
          <w:spacing w:val="-3"/>
          <w:w w:val="100"/>
        </w:rPr>
        <w:t>新</w:t>
      </w:r>
      <w:r>
        <w:rPr>
          <w:w w:val="100"/>
        </w:rPr>
        <w:t>国都</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Z</w:t>
      </w:r>
      <w:r>
        <w:rPr>
          <w:rFonts w:ascii="Times New Roman" w:hAnsi="Times New Roman" w:cs="Times New Roman" w:eastAsia="Times New Roman" w:hint="default"/>
          <w:w w:val="100"/>
        </w:rPr>
        <w:t>M</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w:t>
      </w:r>
      <w:r>
        <w:rPr>
          <w:spacing w:val="-3"/>
          <w:w w:val="100"/>
        </w:rPr>
        <w:t>电</w:t>
      </w:r>
      <w:r>
        <w:rPr>
          <w:w w:val="100"/>
        </w:rPr>
        <w:t>子</w:t>
      </w:r>
      <w:r>
        <w:rPr>
          <w:spacing w:val="-3"/>
          <w:w w:val="100"/>
        </w:rPr>
        <w:t>支</w:t>
      </w:r>
      <w:r>
        <w:rPr>
          <w:w w:val="100"/>
        </w:rPr>
        <w:t>付</w:t>
      </w:r>
      <w:r>
        <w:rPr>
          <w:spacing w:val="-3"/>
          <w:w w:val="100"/>
        </w:rPr>
        <w:t>密码</w:t>
      </w:r>
      <w:r>
        <w:rPr>
          <w:w w:val="100"/>
        </w:rPr>
        <w:t>软</w:t>
      </w:r>
      <w:r>
        <w:rPr>
          <w:spacing w:val="-3"/>
          <w:w w:val="100"/>
        </w:rPr>
        <w:t>件</w:t>
      </w:r>
      <w:r>
        <w:rPr>
          <w:rFonts w:ascii="Times New Roman" w:hAnsi="Times New Roman" w:cs="Times New Roman" w:eastAsia="Times New Roman" w:hint="default"/>
          <w:w w:val="100"/>
        </w:rPr>
        <w:t>V</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59"/>
        </w:rPr>
        <w:t>‖</w:t>
      </w:r>
      <w:r>
        <w:rPr>
          <w:spacing w:val="-3"/>
          <w:w w:val="100"/>
        </w:rPr>
        <w:t>符</w:t>
      </w:r>
      <w:r>
        <w:rPr>
          <w:w w:val="100"/>
        </w:rPr>
        <w:t>合</w:t>
      </w:r>
      <w:r>
        <w:rPr>
          <w:spacing w:val="-3"/>
          <w:w w:val="100"/>
        </w:rPr>
        <w:t>深</w:t>
      </w:r>
      <w:r>
        <w:rPr>
          <w:w w:val="100"/>
        </w:rPr>
        <w:t>圳</w:t>
      </w:r>
      <w:r>
        <w:rPr>
          <w:spacing w:val="-3"/>
          <w:w w:val="100"/>
        </w:rPr>
        <w:t>市</w:t>
      </w:r>
      <w:r>
        <w:rPr>
          <w:w w:val="100"/>
        </w:rPr>
        <w:t>人</w:t>
      </w:r>
      <w:r>
        <w:rPr>
          <w:spacing w:val="-3"/>
          <w:w w:val="100"/>
        </w:rPr>
        <w:t>民</w:t>
      </w:r>
      <w:r>
        <w:rPr>
          <w:w w:val="100"/>
        </w:rPr>
        <w:t>政</w:t>
      </w:r>
      <w:r>
        <w:rPr>
          <w:w w:val="100"/>
        </w:rPr>
        <w:t> </w:t>
      </w:r>
      <w:r>
        <w:rPr>
          <w:spacing w:val="-3"/>
        </w:rPr>
        <w:t>府《关于鼓励软件产业发展的若干政策》</w:t>
      </w:r>
      <w:r>
        <w:rPr>
          <w:rFonts w:ascii="Times New Roman" w:hAnsi="Times New Roman" w:cs="Times New Roman" w:eastAsia="Times New Roman" w:hint="default"/>
          <w:spacing w:val="-3"/>
        </w:rPr>
        <w:t>(2001-1-19)</w:t>
      </w:r>
      <w:r>
        <w:rPr>
          <w:spacing w:val="-3"/>
        </w:rPr>
        <w:t>的规定，并于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日获得上述两款软件的登记</w:t>
      </w:r>
      <w:r>
        <w:rPr>
          <w:spacing w:val="-43"/>
        </w:rPr>
        <w:t> </w:t>
      </w:r>
      <w:r>
        <w:rPr>
          <w:spacing w:val="-43"/>
        </w:rPr>
      </w:r>
      <w:r>
        <w:rPr>
          <w:spacing w:val="-3"/>
          <w:w w:val="100"/>
        </w:rPr>
        <w:t>证书</w:t>
      </w:r>
      <w:r>
        <w:rPr>
          <w:rFonts w:ascii="Times New Roman" w:hAnsi="Times New Roman" w:cs="Times New Roman" w:eastAsia="Times New Roman" w:hint="default"/>
          <w:spacing w:val="-3"/>
          <w:w w:val="100"/>
        </w:rPr>
        <w:t>(</w:t>
      </w:r>
      <w:r>
        <w:rPr>
          <w:spacing w:val="-3"/>
          <w:w w:val="100"/>
        </w:rPr>
        <w:t>证书号码深</w:t>
      </w:r>
      <w:r>
        <w:rPr>
          <w:rFonts w:ascii="Times New Roman" w:hAnsi="Times New Roman" w:cs="Times New Roman" w:eastAsia="Times New Roman" w:hint="default"/>
          <w:spacing w:val="-3"/>
          <w:w w:val="100"/>
        </w:rPr>
        <w:t>DGY-2008-0172</w:t>
      </w:r>
      <w:r>
        <w:rPr>
          <w:spacing w:val="-3"/>
          <w:w w:val="100"/>
        </w:rPr>
        <w:t>和深</w:t>
      </w:r>
      <w:r>
        <w:rPr>
          <w:rFonts w:ascii="Times New Roman" w:hAnsi="Times New Roman" w:cs="Times New Roman" w:eastAsia="Times New Roman" w:hint="default"/>
          <w:spacing w:val="-3"/>
          <w:w w:val="100"/>
        </w:rPr>
        <w:t>DGY-2008-0173)</w:t>
      </w:r>
      <w:r>
        <w:rPr>
          <w:spacing w:val="-3"/>
          <w:w w:val="100"/>
        </w:rPr>
        <w:t>，易联技术自</w:t>
      </w:r>
      <w:r>
        <w:rPr>
          <w:rFonts w:ascii="Times New Roman" w:hAnsi="Times New Roman" w:cs="Times New Roman" w:eastAsia="Times New Roman" w:hint="default"/>
          <w:spacing w:val="-3"/>
          <w:w w:val="100"/>
        </w:rPr>
        <w:t>2008</w:t>
      </w:r>
      <w:r>
        <w:rPr>
          <w:spacing w:val="-3"/>
          <w:w w:val="100"/>
        </w:rPr>
        <w:t>年</w:t>
      </w:r>
      <w:r>
        <w:rPr>
          <w:rFonts w:ascii="Times New Roman" w:hAnsi="Times New Roman" w:cs="Times New Roman" w:eastAsia="Times New Roman" w:hint="default"/>
          <w:spacing w:val="-3"/>
          <w:w w:val="100"/>
        </w:rPr>
        <w:t>11</w:t>
      </w:r>
      <w:r>
        <w:rPr>
          <w:spacing w:val="-3"/>
          <w:w w:val="100"/>
        </w:rPr>
        <w:t>月开始享受软件产品的增值税</w:t>
      </w:r>
      <w:r>
        <w:rPr>
          <w:spacing w:val="-78"/>
          <w:w w:val="100"/>
        </w:rPr>
        <w:t> </w:t>
      </w:r>
      <w:r>
        <w:rPr>
          <w:spacing w:val="-78"/>
          <w:w w:val="100"/>
        </w:rPr>
      </w:r>
      <w:r>
        <w:rPr/>
        <w:t>税收优惠政策。</w:t>
      </w:r>
    </w:p>
    <w:p>
      <w:pPr>
        <w:pStyle w:val="Heading6"/>
        <w:spacing w:line="386" w:lineRule="auto" w:before="65"/>
        <w:ind w:left="573" w:right="141"/>
        <w:jc w:val="left"/>
      </w:pPr>
      <w:r>
        <w:rPr>
          <w:rFonts w:ascii="Times New Roman" w:hAnsi="Times New Roman" w:cs="Times New Roman" w:eastAsia="Times New Roman" w:hint="default"/>
        </w:rPr>
        <w:t>(2)</w:t>
      </w:r>
      <w:r>
        <w:rPr/>
        <w:t>企业所得税</w:t>
      </w:r>
      <w:r>
        <w:rPr>
          <w:spacing w:val="-103"/>
        </w:rPr>
        <w:t> </w:t>
      </w:r>
      <w:r>
        <w:rPr>
          <w:spacing w:val="-103"/>
        </w:rPr>
      </w:r>
      <w:r>
        <w:rPr>
          <w:spacing w:val="-3"/>
        </w:rPr>
        <w:t>本公司</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日取得国家级高新技术企业证书，证书编号：</w:t>
      </w:r>
      <w:r>
        <w:rPr>
          <w:rFonts w:ascii="Times New Roman" w:hAnsi="Times New Roman" w:cs="Times New Roman" w:eastAsia="Times New Roman" w:hint="default"/>
          <w:spacing w:val="-3"/>
        </w:rPr>
        <w:t>GF201144200147</w:t>
      </w:r>
      <w:r>
        <w:rPr>
          <w:spacing w:val="-3"/>
        </w:rPr>
        <w:t>，有效期三年，本</w:t>
      </w:r>
    </w:p>
    <w:p>
      <w:pPr>
        <w:pStyle w:val="Heading6"/>
        <w:spacing w:line="386" w:lineRule="auto" w:before="36"/>
        <w:ind w:right="141"/>
        <w:jc w:val="left"/>
      </w:pPr>
      <w:r>
        <w:rPr/>
        <w:t>年度本公司企业所得税税率减按</w:t>
      </w:r>
      <w:r>
        <w:rPr>
          <w:rFonts w:ascii="Times New Roman" w:hAnsi="Times New Roman" w:cs="Times New Roman" w:eastAsia="Times New Roman" w:hint="default"/>
        </w:rPr>
        <w:t>15%</w:t>
      </w:r>
      <w:r>
        <w:rPr/>
        <w:t>执行。</w:t>
      </w:r>
      <w:r>
        <w:rPr>
          <w:w w:val="100"/>
        </w:rPr>
        <w:t> </w:t>
      </w:r>
      <w:r>
        <w:rPr>
          <w:spacing w:val="-3"/>
        </w:rPr>
        <w:t>根据财税</w:t>
      </w:r>
      <w:r>
        <w:rPr>
          <w:rFonts w:ascii="Times New Roman" w:hAnsi="Times New Roman" w:cs="Times New Roman" w:eastAsia="Times New Roman" w:hint="default"/>
          <w:spacing w:val="-3"/>
        </w:rPr>
        <w:t>[2008]1</w:t>
      </w:r>
      <w:r>
        <w:rPr>
          <w:spacing w:val="-3"/>
        </w:rPr>
        <w:t>号《财政部、国家税务总局关于企业所得税若干优惠政策的通知》中关于鼓励软件产业和</w:t>
      </w:r>
      <w:r>
        <w:rPr>
          <w:spacing w:val="-21"/>
        </w:rPr>
        <w:t> </w:t>
      </w:r>
      <w:r>
        <w:rPr>
          <w:spacing w:val="-21"/>
        </w:rPr>
      </w:r>
      <w:r>
        <w:rPr>
          <w:spacing w:val="13"/>
        </w:rPr>
        <w:t>集成电路产业发展的优惠政策的规定和</w:t>
      </w:r>
      <w:r>
        <w:rPr>
          <w:rFonts w:ascii="Times New Roman" w:hAnsi="Times New Roman" w:cs="Times New Roman" w:eastAsia="Times New Roman" w:hint="default"/>
          <w:spacing w:val="13"/>
        </w:rPr>
        <w:t>2009</w:t>
      </w:r>
      <w:r>
        <w:rPr>
          <w:spacing w:val="13"/>
        </w:rPr>
        <w:t>年</w:t>
      </w:r>
      <w:r>
        <w:rPr>
          <w:rFonts w:ascii="Times New Roman" w:hAnsi="Times New Roman" w:cs="Times New Roman" w:eastAsia="Times New Roman" w:hint="default"/>
          <w:spacing w:val="13"/>
        </w:rPr>
        <w:t>5</w:t>
      </w:r>
      <w:r>
        <w:rPr>
          <w:spacing w:val="13"/>
        </w:rPr>
        <w:t>月</w:t>
      </w:r>
      <w:r>
        <w:rPr>
          <w:rFonts w:ascii="Times New Roman" w:hAnsi="Times New Roman" w:cs="Times New Roman" w:eastAsia="Times New Roman" w:hint="default"/>
          <w:spacing w:val="13"/>
        </w:rPr>
        <w:t>5</w:t>
      </w:r>
      <w:r>
        <w:rPr>
          <w:spacing w:val="13"/>
        </w:rPr>
        <w:t>日深圳市南山区国家税务局深国税南</w:t>
      </w:r>
      <w:r>
        <w:rPr>
          <w:spacing w:val="95"/>
        </w:rPr>
        <w:t> </w:t>
      </w:r>
      <w:r>
        <w:rPr>
          <w:spacing w:val="10"/>
        </w:rPr>
        <w:t>减免备案</w:t>
      </w:r>
      <w:r>
        <w:rPr>
          <w:spacing w:val="-82"/>
        </w:rPr>
        <w:t> </w:t>
      </w:r>
      <w:r>
        <w:rPr>
          <w:spacing w:val="-82"/>
        </w:rPr>
      </w:r>
      <w:r>
        <w:rPr>
          <w:rFonts w:ascii="Times New Roman" w:hAnsi="Times New Roman" w:cs="Times New Roman" w:eastAsia="Times New Roman" w:hint="default"/>
          <w:spacing w:val="-3"/>
        </w:rPr>
        <w:t>[2009]131</w:t>
      </w:r>
      <w:r>
        <w:rPr>
          <w:spacing w:val="-3"/>
        </w:rPr>
        <w:t>号文件《税收优惠登记备案通知书》，易联技术符合软件及集成电路设计企业的税收优惠有关规</w:t>
      </w:r>
      <w:r>
        <w:rPr>
          <w:spacing w:val="-18"/>
        </w:rPr>
        <w:t> </w:t>
      </w:r>
      <w:r>
        <w:rPr>
          <w:spacing w:val="-18"/>
        </w:rPr>
      </w:r>
      <w:r>
        <w:rPr>
          <w:spacing w:val="-2"/>
        </w:rPr>
        <w:t>定，易联技术自开始获利年度起，两年免征企业所得税，三年减半征收企业所得税，</w:t>
      </w:r>
      <w:r>
        <w:rPr>
          <w:rFonts w:ascii="Times New Roman" w:hAnsi="Times New Roman" w:cs="Times New Roman" w:eastAsia="Times New Roman" w:hint="default"/>
          <w:spacing w:val="-2"/>
        </w:rPr>
        <w:t>2009</w:t>
      </w:r>
      <w:r>
        <w:rPr>
          <w:spacing w:val="-2"/>
        </w:rPr>
        <w:t>年度为首个获利</w:t>
      </w:r>
      <w:r>
        <w:rPr>
          <w:spacing w:val="-45"/>
        </w:rPr>
        <w:t> </w:t>
      </w:r>
      <w:r>
        <w:rPr>
          <w:spacing w:val="-45"/>
        </w:rPr>
      </w:r>
      <w:r>
        <w:rPr/>
        <w:t>年度，本年度减半征收企业所得税。</w:t>
      </w:r>
    </w:p>
    <w:p>
      <w:pPr>
        <w:spacing w:after="0" w:line="38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624" w:lineRule="auto" w:before="0"/>
        <w:ind w:left="152" w:right="6642"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、其他说明</w:t>
      </w:r>
      <w:r>
        <w:rPr>
          <w:rFonts w:ascii="宋体" w:hAnsi="宋体" w:cs="宋体" w:eastAsia="宋体" w:hint="default"/>
          <w:b/>
          <w:bCs/>
          <w:w w:val="99"/>
          <w:sz w:val="20"/>
          <w:szCs w:val="20"/>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、子公司情况</w:t>
      </w:r>
      <w:r>
        <w:rPr>
          <w:rFonts w:ascii="宋体" w:hAnsi="宋体" w:cs="宋体" w:eastAsia="宋体" w:hint="default"/>
          <w:sz w:val="20"/>
          <w:szCs w:val="20"/>
        </w:rPr>
      </w:r>
    </w:p>
    <w:p>
      <w:pPr>
        <w:pStyle w:val="Heading7"/>
        <w:spacing w:line="240" w:lineRule="auto" w:before="136"/>
        <w:ind w:right="141"/>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851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7"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477"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96"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5"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477"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49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08"/>
              <w:jc w:val="both"/>
              <w:rPr>
                <w:rFonts w:ascii="宋体" w:hAnsi="宋体" w:cs="宋体" w:eastAsia="宋体" w:hint="default"/>
                <w:sz w:val="18"/>
                <w:szCs w:val="18"/>
              </w:rPr>
            </w:pPr>
            <w:r>
              <w:rPr>
                <w:rFonts w:ascii="宋体" w:hAnsi="宋体" w:cs="宋体" w:eastAsia="宋体" w:hint="default"/>
                <w:sz w:val="18"/>
                <w:szCs w:val="18"/>
              </w:rPr>
              <w:t>深圳市 易联技 术有限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6"/>
              <w:jc w:val="both"/>
              <w:rPr>
                <w:rFonts w:ascii="宋体" w:hAnsi="宋体" w:cs="宋体" w:eastAsia="宋体" w:hint="default"/>
                <w:sz w:val="18"/>
                <w:szCs w:val="18"/>
              </w:rPr>
            </w:pPr>
            <w:r>
              <w:rPr>
                <w:rFonts w:ascii="宋体" w:hAnsi="宋体" w:cs="宋体" w:eastAsia="宋体" w:hint="default"/>
                <w:sz w:val="18"/>
                <w:szCs w:val="18"/>
              </w:rPr>
              <w:t>软件技 术开发 与销售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3" w:right="107"/>
              <w:jc w:val="both"/>
              <w:rPr>
                <w:rFonts w:ascii="宋体" w:hAnsi="宋体" w:cs="宋体" w:eastAsia="宋体" w:hint="default"/>
                <w:sz w:val="18"/>
                <w:szCs w:val="18"/>
              </w:rPr>
            </w:pPr>
            <w:r>
              <w:rPr>
                <w:rFonts w:ascii="宋体" w:hAnsi="宋体" w:cs="宋体" w:eastAsia="宋体" w:hint="default"/>
                <w:sz w:val="18"/>
                <w:szCs w:val="18"/>
              </w:rPr>
              <w:t>软件技 术开发 与销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85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3" w:right="107"/>
              <w:jc w:val="both"/>
              <w:rPr>
                <w:rFonts w:ascii="宋体" w:hAnsi="宋体" w:cs="宋体" w:eastAsia="宋体" w:hint="default"/>
                <w:sz w:val="18"/>
                <w:szCs w:val="18"/>
              </w:rPr>
            </w:pPr>
            <w:r>
              <w:rPr>
                <w:rFonts w:ascii="宋体" w:hAnsi="宋体" w:cs="宋体" w:eastAsia="宋体" w:hint="default"/>
                <w:sz w:val="18"/>
                <w:szCs w:val="18"/>
              </w:rPr>
              <w:t>售，软 件技术 咨询， 计算机 系统集 成。</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85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477" w:lineRule="auto"/>
              <w:ind w:left="24" w:right="108"/>
              <w:jc w:val="both"/>
              <w:rPr>
                <w:rFonts w:ascii="宋体" w:hAnsi="宋体" w:cs="宋体" w:eastAsia="宋体" w:hint="default"/>
                <w:sz w:val="18"/>
                <w:szCs w:val="18"/>
              </w:rPr>
            </w:pPr>
            <w:r>
              <w:rPr>
                <w:rFonts w:ascii="宋体" w:hAnsi="宋体" w:cs="宋体" w:eastAsia="宋体" w:hint="default"/>
                <w:sz w:val="18"/>
                <w:szCs w:val="18"/>
              </w:rPr>
              <w:t>南京市 新国都 技术有 限公司</w:t>
            </w:r>
          </w:p>
          <w:p>
            <w:pPr>
              <w:pStyle w:val="TableParagraph"/>
              <w:spacing w:line="240" w:lineRule="auto" w:before="94"/>
              <w:ind w:left="24" w:right="0"/>
              <w:jc w:val="both"/>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477"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477" w:lineRule="auto"/>
              <w:ind w:left="23" w:right="106"/>
              <w:jc w:val="both"/>
              <w:rPr>
                <w:rFonts w:ascii="宋体" w:hAnsi="宋体" w:cs="宋体" w:eastAsia="宋体" w:hint="default"/>
                <w:sz w:val="18"/>
                <w:szCs w:val="18"/>
              </w:rPr>
            </w:pPr>
            <w:r>
              <w:rPr>
                <w:rFonts w:ascii="宋体" w:hAnsi="宋体" w:cs="宋体" w:eastAsia="宋体" w:hint="default"/>
                <w:sz w:val="18"/>
                <w:szCs w:val="18"/>
              </w:rPr>
              <w:t>软件技 术开发 与销售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软件技 术开发 与销 售、技 术咨询 和服 务；计 算机系 统集 成；投 资咨询 服务； 计算机 产品及 电子产 品的技 术开 发、生 产、销 售、租 赁及技 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10"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711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477" w:lineRule="auto"/>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广州市 新国都 信息科 技有限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475"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37"/>
              <w:ind w:left="23" w:right="106"/>
              <w:jc w:val="both"/>
              <w:rPr>
                <w:rFonts w:ascii="宋体" w:hAnsi="宋体" w:cs="宋体" w:eastAsia="宋体" w:hint="default"/>
                <w:sz w:val="18"/>
                <w:szCs w:val="18"/>
              </w:rPr>
            </w:pPr>
            <w:r>
              <w:rPr>
                <w:rFonts w:ascii="宋体" w:hAnsi="宋体" w:cs="宋体" w:eastAsia="宋体" w:hint="default"/>
                <w:sz w:val="18"/>
                <w:szCs w:val="18"/>
              </w:rPr>
              <w:t>计算机 软件、 智能设 备的研 究、开 发、销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计算机 软件、 智能设 备的研 究、开 发、销 售、技 术咨 询、技 术服 务；计 算机系 统集成 技术服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86"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5" w:lineRule="auto" w:before="146"/>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苏州新 国都电 子技术 有限公 </w:t>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477"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8"/>
              <w:ind w:left="23" w:right="106"/>
              <w:jc w:val="both"/>
              <w:rPr>
                <w:rFonts w:ascii="宋体" w:hAnsi="宋体" w:cs="宋体" w:eastAsia="宋体" w:hint="default"/>
                <w:sz w:val="18"/>
                <w:szCs w:val="18"/>
              </w:rPr>
            </w:pPr>
            <w:r>
              <w:rPr>
                <w:rFonts w:ascii="宋体" w:hAnsi="宋体" w:cs="宋体" w:eastAsia="宋体" w:hint="default"/>
                <w:sz w:val="18"/>
                <w:szCs w:val="18"/>
              </w:rPr>
              <w:t>电子产 品及计 算机产 品的开 发、销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27,806</w:t>
            </w: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3" w:right="107"/>
              <w:jc w:val="left"/>
              <w:rPr>
                <w:rFonts w:ascii="宋体" w:hAnsi="宋体" w:cs="宋体" w:eastAsia="宋体" w:hint="default"/>
                <w:sz w:val="18"/>
                <w:szCs w:val="18"/>
              </w:rPr>
            </w:pPr>
            <w:r>
              <w:rPr>
                <w:rFonts w:ascii="宋体" w:hAnsi="宋体" w:cs="宋体" w:eastAsia="宋体" w:hint="default"/>
                <w:sz w:val="18"/>
                <w:szCs w:val="18"/>
              </w:rPr>
              <w:t>电子产 品及计 算机产 品的开 发、销 售、租 赁及技 术服 务；软 件技术 开发、 销售、 技术咨</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询及技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262,060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2,982,2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2" w:right="0"/>
              <w:jc w:val="center"/>
              <w:rPr>
                <w:rFonts w:ascii="Times New Roman" w:hAnsi="Times New Roman" w:cs="Times New Roman" w:eastAsia="Times New Roman" w:hint="default"/>
                <w:sz w:val="18"/>
                <w:szCs w:val="18"/>
              </w:rPr>
            </w:pPr>
            <w:r>
              <w:rPr>
                <w:rFonts w:ascii="Times New Roman"/>
                <w:sz w:val="18"/>
              </w:rPr>
              <w:t>52.30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2"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468"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务；计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468"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468"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468"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成；投</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468"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资咨询</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515"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7"/>
          <w:szCs w:val="7"/>
        </w:rPr>
      </w:pPr>
    </w:p>
    <w:p>
      <w:pPr>
        <w:pStyle w:val="BodyText"/>
        <w:spacing w:line="240" w:lineRule="auto"/>
        <w:ind w:right="141"/>
        <w:jc w:val="left"/>
      </w:pPr>
      <w:r>
        <w:rPr/>
        <w:t>通过设立或投资等方式取得的子公司的其他说明</w:t>
      </w:r>
    </w:p>
    <w:p>
      <w:pPr>
        <w:spacing w:line="240" w:lineRule="auto" w:before="10"/>
        <w:rPr>
          <w:rFonts w:ascii="宋体" w:hAnsi="宋体" w:cs="宋体" w:eastAsia="宋体" w:hint="default"/>
          <w:sz w:val="20"/>
          <w:szCs w:val="20"/>
        </w:rPr>
      </w:pPr>
    </w:p>
    <w:p>
      <w:pPr>
        <w:pStyle w:val="BodyText"/>
        <w:spacing w:line="451" w:lineRule="auto" w:before="0"/>
        <w:ind w:right="157" w:firstLine="360"/>
        <w:jc w:val="both"/>
      </w:pPr>
      <w:r>
        <w:rPr>
          <w:rFonts w:ascii="Times New Roman" w:hAnsi="Times New Roman" w:cs="Times New Roman" w:eastAsia="Times New Roman" w:hint="default"/>
          <w:spacing w:val="4"/>
        </w:rPr>
        <w:t>*1</w:t>
      </w:r>
      <w:r>
        <w:rPr>
          <w:spacing w:val="4"/>
        </w:rPr>
        <w:t>深圳市易联技术有限公司原名深圳市新国都软件技术有限公司，由本公司</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11</w:t>
      </w:r>
      <w:r>
        <w:rPr>
          <w:spacing w:val="4"/>
        </w:rPr>
        <w:t>月出资</w:t>
      </w:r>
      <w:r>
        <w:rPr>
          <w:rFonts w:ascii="Times New Roman" w:hAnsi="Times New Roman" w:cs="Times New Roman" w:eastAsia="Times New Roman" w:hint="default"/>
          <w:spacing w:val="4"/>
        </w:rPr>
        <w:t>50</w:t>
      </w:r>
      <w:r>
        <w:rPr>
          <w:spacing w:val="4"/>
        </w:rPr>
        <w:t>万元设立，投资比例</w:t>
      </w:r>
      <w:r>
        <w:rPr/>
        <w:t> </w:t>
      </w:r>
      <w:r>
        <w:rPr>
          <w:rFonts w:ascii="Times New Roman" w:hAnsi="Times New Roman" w:cs="Times New Roman" w:eastAsia="Times New Roman" w:hint="default"/>
        </w:rPr>
        <w:t>100%</w:t>
      </w:r>
      <w:r>
        <w:rPr/>
        <w:t>。该出资业经深圳恒平会计师事务所深恒平所</w:t>
      </w:r>
      <w:r>
        <w:rPr>
          <w:rFonts w:ascii="Times New Roman" w:hAnsi="Times New Roman" w:cs="Times New Roman" w:eastAsia="Times New Roman" w:hint="default"/>
        </w:rPr>
        <w:t>(</w:t>
      </w:r>
      <w:r>
        <w:rPr/>
        <w:t>内</w:t>
      </w:r>
      <w:r>
        <w:rPr>
          <w:rFonts w:ascii="Times New Roman" w:hAnsi="Times New Roman" w:cs="Times New Roman" w:eastAsia="Times New Roman" w:hint="default"/>
        </w:rPr>
        <w:t>)</w:t>
      </w:r>
      <w:r>
        <w:rPr/>
        <w:t>验字</w:t>
      </w:r>
      <w:r>
        <w:rPr>
          <w:rFonts w:ascii="Times New Roman" w:hAnsi="Times New Roman" w:cs="Times New Roman" w:eastAsia="Times New Roman" w:hint="default"/>
        </w:rPr>
        <w:t>[2007]165</w:t>
      </w:r>
      <w:r>
        <w:rPr/>
        <w:t>号验资报告验证。</w:t>
      </w:r>
    </w:p>
    <w:p>
      <w:pPr>
        <w:pStyle w:val="BodyText"/>
        <w:spacing w:line="451" w:lineRule="auto" w:before="43"/>
        <w:ind w:right="148" w:firstLine="360"/>
        <w:jc w:val="both"/>
      </w:pPr>
      <w:r>
        <w:rPr>
          <w:spacing w:val="2"/>
        </w:rPr>
        <w:t>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日以货币资金向易联技术增资</w:t>
      </w:r>
      <w:r>
        <w:rPr>
          <w:rFonts w:ascii="Times New Roman" w:hAnsi="Times New Roman" w:cs="Times New Roman" w:eastAsia="Times New Roman" w:hint="default"/>
          <w:spacing w:val="2"/>
        </w:rPr>
        <w:t>950</w:t>
      </w:r>
      <w:r>
        <w:rPr>
          <w:spacing w:val="2"/>
        </w:rPr>
        <w:t>万元，此次增资业经深圳恒平会计师事务所深恒平所</w:t>
      </w:r>
      <w:r>
        <w:rPr>
          <w:rFonts w:ascii="Times New Roman" w:hAnsi="Times New Roman" w:cs="Times New Roman" w:eastAsia="Times New Roman" w:hint="default"/>
          <w:spacing w:val="2"/>
        </w:rPr>
        <w:t>(</w:t>
      </w:r>
      <w:r>
        <w:rPr>
          <w:spacing w:val="2"/>
        </w:rPr>
        <w:t>内</w:t>
      </w:r>
      <w:r>
        <w:rPr>
          <w:rFonts w:ascii="Times New Roman" w:hAnsi="Times New Roman" w:cs="Times New Roman" w:eastAsia="Times New Roman" w:hint="default"/>
          <w:spacing w:val="2"/>
        </w:rPr>
        <w:t>)</w:t>
      </w:r>
      <w:r>
        <w:rPr>
          <w:spacing w:val="2"/>
        </w:rPr>
        <w:t>验字 </w:t>
      </w:r>
      <w:r>
        <w:rPr>
          <w:rFonts w:ascii="Times New Roman" w:hAnsi="Times New Roman" w:cs="Times New Roman" w:eastAsia="Times New Roman" w:hint="default"/>
          <w:spacing w:val="-2"/>
        </w:rPr>
        <w:t>[2009]22</w:t>
      </w:r>
      <w:r>
        <w:rPr>
          <w:spacing w:val="-2"/>
        </w:rPr>
        <w:t>号验资报告验证，并于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日完成工商变更手续，增资完成后本公司对易联技术投资额为</w:t>
      </w:r>
      <w:r>
        <w:rPr>
          <w:rFonts w:ascii="Times New Roman" w:hAnsi="Times New Roman" w:cs="Times New Roman" w:eastAsia="Times New Roman" w:hint="default"/>
          <w:spacing w:val="-2"/>
        </w:rPr>
        <w:t>1,000</w:t>
      </w:r>
      <w:r>
        <w:rPr>
          <w:spacing w:val="-2"/>
        </w:rPr>
        <w:t>万元，持股比</w:t>
      </w:r>
      <w:r>
        <w:rPr>
          <w:spacing w:val="-34"/>
        </w:rPr>
        <w:t> </w:t>
      </w:r>
      <w:r>
        <w:rPr>
          <w:spacing w:val="-34"/>
        </w:rPr>
      </w:r>
      <w:r>
        <w:rPr/>
        <w:t>例</w:t>
      </w:r>
      <w:r>
        <w:rPr>
          <w:rFonts w:ascii="Times New Roman" w:hAnsi="Times New Roman" w:cs="Times New Roman" w:eastAsia="Times New Roman" w:hint="default"/>
        </w:rPr>
        <w:t>100%</w:t>
      </w:r>
      <w:r>
        <w:rPr/>
        <w:t>。</w:t>
      </w:r>
    </w:p>
    <w:p>
      <w:pPr>
        <w:pStyle w:val="BodyText"/>
        <w:spacing w:line="451" w:lineRule="auto" w:before="43"/>
        <w:ind w:right="152" w:firstLine="360"/>
        <w:jc w:val="both"/>
      </w:pPr>
      <w:r>
        <w:rPr>
          <w:spacing w:val="-1"/>
        </w:rPr>
        <w:t>本公司于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日以货币资金向易联技术增资</w:t>
      </w:r>
      <w:r>
        <w:rPr>
          <w:rFonts w:ascii="Times New Roman" w:hAnsi="Times New Roman" w:cs="Times New Roman" w:eastAsia="Times New Roman" w:hint="default"/>
          <w:spacing w:val="-1"/>
        </w:rPr>
        <w:t>10,000</w:t>
      </w:r>
      <w:r>
        <w:rPr>
          <w:spacing w:val="-1"/>
        </w:rPr>
        <w:t>万元，此次增资业经立信大华会计师事务所有限公司立信大华</w:t>
      </w:r>
      <w:r>
        <w:rPr/>
        <w:t> 验字</w:t>
      </w:r>
      <w:r>
        <w:rPr>
          <w:rFonts w:ascii="Times New Roman" w:hAnsi="Times New Roman" w:cs="Times New Roman" w:eastAsia="Times New Roman" w:hint="default"/>
        </w:rPr>
        <w:t>[2011]121</w:t>
      </w:r>
      <w:r>
        <w:rPr/>
        <w:t>号验资报告验证，增资完成后本公司对易联技术投资额为</w:t>
      </w:r>
      <w:r>
        <w:rPr>
          <w:rFonts w:ascii="Times New Roman" w:hAnsi="Times New Roman" w:cs="Times New Roman" w:eastAsia="Times New Roman" w:hint="default"/>
        </w:rPr>
        <w:t>11,000</w:t>
      </w:r>
      <w:r>
        <w:rPr/>
        <w:t>万元，持股比例</w:t>
      </w:r>
      <w:r>
        <w:rPr>
          <w:rFonts w:ascii="Times New Roman" w:hAnsi="Times New Roman" w:cs="Times New Roman" w:eastAsia="Times New Roman" w:hint="default"/>
        </w:rPr>
        <w:t>100%</w:t>
      </w:r>
      <w:r>
        <w:rPr/>
        <w:t>。</w:t>
      </w:r>
    </w:p>
    <w:p>
      <w:pPr>
        <w:pStyle w:val="BodyText"/>
        <w:spacing w:line="451" w:lineRule="auto" w:before="43"/>
        <w:ind w:right="141" w:firstLine="360"/>
        <w:jc w:val="both"/>
      </w:pPr>
      <w:r>
        <w:rPr>
          <w:rFonts w:ascii="Times New Roman" w:hAnsi="Times New Roman" w:cs="Times New Roman" w:eastAsia="Times New Roman" w:hint="default"/>
          <w:spacing w:val="-4"/>
        </w:rPr>
        <w:t>*</w:t>
      </w:r>
      <w:r>
        <w:rPr>
          <w:rFonts w:ascii="Times New Roman" w:hAnsi="Times New Roman" w:cs="Times New Roman" w:eastAsia="Times New Roman" w:hint="default"/>
          <w:spacing w:val="8"/>
        </w:rPr>
        <w:t>2</w:t>
      </w:r>
      <w:r>
        <w:rPr>
          <w:spacing w:val="7"/>
        </w:rPr>
        <w:t>南京市新国都技</w:t>
      </w:r>
      <w:r>
        <w:rPr>
          <w:spacing w:val="9"/>
        </w:rPr>
        <w:t>术</w:t>
      </w:r>
      <w:r>
        <w:rPr>
          <w:spacing w:val="7"/>
        </w:rPr>
        <w:t>有限公</w:t>
      </w:r>
      <w:r>
        <w:rPr>
          <w:spacing w:val="10"/>
        </w:rPr>
        <w:t>司</w:t>
      </w:r>
      <w:r>
        <w:rPr>
          <w:rFonts w:ascii="Times New Roman" w:hAnsi="Times New Roman" w:cs="Times New Roman" w:eastAsia="Times New Roman" w:hint="default"/>
          <w:spacing w:val="7"/>
        </w:rPr>
        <w:t>(</w:t>
      </w:r>
      <w:r>
        <w:rPr>
          <w:spacing w:val="7"/>
        </w:rPr>
        <w:t>以下简称</w:t>
      </w:r>
      <w:r>
        <w:rPr>
          <w:rFonts w:ascii="Times New Roman" w:hAnsi="Times New Roman" w:cs="Times New Roman" w:eastAsia="Times New Roman" w:hint="default"/>
          <w:spacing w:val="6"/>
          <w:w w:val="44"/>
        </w:rPr>
        <w:t>―</w:t>
      </w:r>
      <w:r>
        <w:rPr>
          <w:spacing w:val="7"/>
        </w:rPr>
        <w:t>南京新国都公司</w:t>
      </w:r>
      <w:r>
        <w:rPr>
          <w:rFonts w:ascii="Times New Roman" w:hAnsi="Times New Roman" w:cs="Times New Roman" w:eastAsia="Times New Roman" w:hint="default"/>
          <w:spacing w:val="-1"/>
          <w:w w:val="126"/>
        </w:rPr>
        <w:t>‖</w:t>
      </w:r>
      <w:r>
        <w:rPr>
          <w:rFonts w:ascii="Times New Roman" w:hAnsi="Times New Roman" w:cs="Times New Roman" w:eastAsia="Times New Roman" w:hint="default"/>
          <w:spacing w:val="9"/>
          <w:w w:val="126"/>
        </w:rPr>
        <w:t>)</w:t>
      </w:r>
      <w:r>
        <w:rPr>
          <w:spacing w:val="7"/>
        </w:rPr>
        <w:t>由本公司于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8"/>
        </w:rPr>
        <w:t>9</w:t>
      </w:r>
      <w:r>
        <w:rPr>
          <w:spacing w:val="7"/>
        </w:rPr>
        <w:t>年</w:t>
      </w:r>
      <w:r>
        <w:rPr>
          <w:rFonts w:ascii="Times New Roman" w:hAnsi="Times New Roman" w:cs="Times New Roman" w:eastAsia="Times New Roman" w:hint="default"/>
          <w:spacing w:val="8"/>
        </w:rPr>
        <w:t>4</w:t>
      </w:r>
      <w:r>
        <w:rPr>
          <w:spacing w:val="4"/>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8"/>
        </w:rPr>
        <w:t>5</w:t>
      </w:r>
      <w:r>
        <w:rPr>
          <w:spacing w:val="7"/>
        </w:rPr>
        <w:t>日</w:t>
      </w:r>
      <w:r>
        <w:rPr>
          <w:spacing w:val="4"/>
        </w:rPr>
        <w:t>出</w:t>
      </w:r>
      <w:r>
        <w:rPr>
          <w:spacing w:val="7"/>
        </w:rPr>
        <w:t>资</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9"/>
        </w:rPr>
        <w:t>0</w:t>
      </w:r>
      <w:r>
        <w:rPr>
          <w:spacing w:val="7"/>
        </w:rPr>
        <w:t>万元设立，投资比例 </w:t>
      </w:r>
      <w:r>
        <w:rPr>
          <w:rFonts w:ascii="Times New Roman" w:hAnsi="Times New Roman" w:cs="Times New Roman" w:eastAsia="Times New Roman" w:hint="default"/>
        </w:rPr>
        <w:t>100%</w:t>
      </w:r>
      <w:r>
        <w:rPr/>
        <w:t>，该出资业经南京天正会计师事务所有限公司天正内资验</w:t>
      </w:r>
      <w:r>
        <w:rPr>
          <w:rFonts w:ascii="Times New Roman" w:hAnsi="Times New Roman" w:cs="Times New Roman" w:eastAsia="Times New Roman" w:hint="default"/>
        </w:rPr>
        <w:t>(2009)5-024</w:t>
      </w:r>
      <w:r>
        <w:rPr/>
        <w:t>号验资报告验证。</w:t>
      </w:r>
    </w:p>
    <w:p>
      <w:pPr>
        <w:pStyle w:val="BodyText"/>
        <w:spacing w:line="451" w:lineRule="auto" w:before="43"/>
        <w:ind w:right="142" w:firstLine="360"/>
        <w:jc w:val="both"/>
      </w:pPr>
      <w:r>
        <w:rPr>
          <w:spacing w:val="5"/>
        </w:rPr>
        <w:t>本公司于</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16</w:t>
      </w:r>
      <w:r>
        <w:rPr>
          <w:spacing w:val="5"/>
        </w:rPr>
        <w:t>日以货币资金向南京新国都公司增资</w:t>
      </w:r>
      <w:r>
        <w:rPr>
          <w:rFonts w:ascii="Times New Roman" w:hAnsi="Times New Roman" w:cs="Times New Roman" w:eastAsia="Times New Roman" w:hint="default"/>
          <w:spacing w:val="5"/>
        </w:rPr>
        <w:t>1,000</w:t>
      </w:r>
      <w:r>
        <w:rPr>
          <w:spacing w:val="5"/>
        </w:rPr>
        <w:t>万元，此次增资业经江苏鼎信会计师事务所苏鼎验</w:t>
      </w:r>
      <w:r>
        <w:rPr>
          <w:spacing w:val="7"/>
        </w:rPr>
        <w:t> </w:t>
      </w:r>
      <w:r>
        <w:rPr>
          <w:rFonts w:ascii="Times New Roman" w:hAnsi="Times New Roman" w:cs="Times New Roman" w:eastAsia="Times New Roman" w:hint="default"/>
          <w:spacing w:val="-2"/>
        </w:rPr>
        <w:t>(2009)196</w:t>
      </w:r>
      <w:r>
        <w:rPr>
          <w:spacing w:val="-2"/>
        </w:rPr>
        <w:t>号验资报告验证，并于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号完成工商变更手续，此次增资完成后本公司对南京新国都公司投资额为</w:t>
      </w:r>
      <w:r>
        <w:rPr>
          <w:rFonts w:ascii="Times New Roman" w:hAnsi="Times New Roman" w:cs="Times New Roman" w:eastAsia="Times New Roman" w:hint="default"/>
          <w:spacing w:val="-2"/>
        </w:rPr>
        <w:t>1,300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万元，持股比例</w:t>
      </w:r>
      <w:r>
        <w:rPr>
          <w:rFonts w:ascii="Times New Roman" w:hAnsi="Times New Roman" w:cs="Times New Roman" w:eastAsia="Times New Roman" w:hint="default"/>
        </w:rPr>
        <w:t>100%</w:t>
      </w:r>
      <w:r>
        <w:rPr/>
        <w:t>。</w:t>
      </w:r>
    </w:p>
    <w:p>
      <w:pPr>
        <w:pStyle w:val="BodyText"/>
        <w:spacing w:line="451" w:lineRule="auto" w:before="43"/>
        <w:ind w:right="152" w:firstLine="360"/>
        <w:jc w:val="both"/>
      </w:pPr>
      <w:r>
        <w:rPr>
          <w:rFonts w:ascii="Times New Roman" w:hAnsi="Times New Roman" w:cs="Times New Roman" w:eastAsia="Times New Roman" w:hint="default"/>
          <w:spacing w:val="-4"/>
        </w:rPr>
        <w:t>*</w:t>
      </w:r>
      <w:r>
        <w:rPr>
          <w:rFonts w:ascii="Times New Roman" w:hAnsi="Times New Roman" w:cs="Times New Roman" w:eastAsia="Times New Roman" w:hint="default"/>
          <w:spacing w:val="3"/>
        </w:rPr>
        <w:t>3</w:t>
      </w:r>
      <w:r>
        <w:rPr>
          <w:spacing w:val="2"/>
        </w:rPr>
        <w:t>广州市新国都信</w:t>
      </w:r>
      <w:r>
        <w:rPr/>
        <w:t>息</w:t>
      </w:r>
      <w:r>
        <w:rPr>
          <w:spacing w:val="2"/>
        </w:rPr>
        <w:t>科技</w:t>
      </w:r>
      <w:r>
        <w:rPr/>
        <w:t>有限</w:t>
      </w:r>
      <w:r>
        <w:rPr>
          <w:spacing w:val="2"/>
        </w:rPr>
        <w:t>公司</w:t>
      </w:r>
      <w:r>
        <w:rPr>
          <w:rFonts w:ascii="Times New Roman" w:hAnsi="Times New Roman" w:cs="Times New Roman" w:eastAsia="Times New Roman" w:hint="default"/>
          <w:spacing w:val="2"/>
        </w:rPr>
        <w:t>(</w:t>
      </w:r>
      <w:r>
        <w:rPr>
          <w:spacing w:val="2"/>
        </w:rPr>
        <w:t>以</w:t>
      </w:r>
      <w:r>
        <w:rPr/>
        <w:t>下</w:t>
      </w:r>
      <w:r>
        <w:rPr>
          <w:spacing w:val="2"/>
        </w:rPr>
        <w:t>简称</w:t>
      </w:r>
      <w:r>
        <w:rPr>
          <w:rFonts w:ascii="Times New Roman" w:hAnsi="Times New Roman" w:cs="Times New Roman" w:eastAsia="Times New Roman" w:hint="default"/>
          <w:spacing w:val="1"/>
          <w:w w:val="44"/>
        </w:rPr>
        <w:t>―</w:t>
      </w:r>
      <w:r>
        <w:rPr>
          <w:spacing w:val="2"/>
        </w:rPr>
        <w:t>广</w:t>
      </w:r>
      <w:r>
        <w:rPr/>
        <w:t>州</w:t>
      </w:r>
      <w:r>
        <w:rPr>
          <w:spacing w:val="2"/>
        </w:rPr>
        <w:t>新国</w:t>
      </w:r>
      <w:r>
        <w:rPr/>
        <w:t>都公</w:t>
      </w:r>
      <w:r>
        <w:rPr>
          <w:spacing w:val="3"/>
        </w:rPr>
        <w:t>司</w:t>
      </w:r>
      <w:r>
        <w:rPr>
          <w:rFonts w:ascii="Times New Roman" w:hAnsi="Times New Roman" w:cs="Times New Roman" w:eastAsia="Times New Roman" w:hint="default"/>
          <w:spacing w:val="-1"/>
          <w:w w:val="126"/>
        </w:rPr>
        <w:t>‖</w:t>
      </w:r>
      <w:r>
        <w:rPr>
          <w:rFonts w:ascii="Times New Roman" w:hAnsi="Times New Roman" w:cs="Times New Roman" w:eastAsia="Times New Roman" w:hint="default"/>
          <w:spacing w:val="2"/>
          <w:w w:val="126"/>
        </w:rPr>
        <w:t>)</w:t>
      </w:r>
      <w:r>
        <w:rPr>
          <w:spacing w:val="2"/>
        </w:rPr>
        <w:t>由本公</w:t>
      </w:r>
      <w:r>
        <w:rPr/>
        <w:t>司</w:t>
      </w:r>
      <w:r>
        <w:rPr>
          <w:spacing w:val="3"/>
        </w:rPr>
        <w:t>于</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3"/>
        </w:rPr>
        <w:t>9</w:t>
      </w:r>
      <w:r>
        <w:rPr/>
        <w:t>年</w:t>
      </w:r>
      <w:r>
        <w:rPr>
          <w:rFonts w:ascii="Times New Roman" w:hAnsi="Times New Roman" w:cs="Times New Roman" w:eastAsia="Times New Roman" w:hint="default"/>
          <w:spacing w:val="3"/>
        </w:rPr>
        <w:t>5</w:t>
      </w:r>
      <w:r>
        <w:rPr/>
        <w:t>月</w:t>
      </w:r>
      <w:r>
        <w:rPr>
          <w:rFonts w:ascii="Times New Roman" w:hAnsi="Times New Roman" w:cs="Times New Roman" w:eastAsia="Times New Roman" w:hint="default"/>
          <w:spacing w:val="3"/>
        </w:rPr>
        <w:t>7</w:t>
      </w:r>
      <w:r>
        <w:rPr/>
        <w:t>日</w:t>
      </w:r>
      <w:r>
        <w:rPr>
          <w:spacing w:val="2"/>
        </w:rPr>
        <w:t>出</w:t>
      </w:r>
      <w:r>
        <w:rPr>
          <w:spacing w:val="3"/>
        </w:rPr>
        <w:t>资</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00</w:t>
      </w:r>
      <w:r>
        <w:rPr>
          <w:spacing w:val="2"/>
        </w:rPr>
        <w:t>万元设</w:t>
      </w:r>
      <w:r>
        <w:rPr/>
        <w:t>立</w:t>
      </w:r>
      <w:r>
        <w:rPr>
          <w:spacing w:val="2"/>
        </w:rPr>
        <w:t>，投</w:t>
      </w:r>
      <w:r>
        <w:rPr/>
        <w:t>资</w:t>
      </w:r>
      <w:r>
        <w:rPr>
          <w:spacing w:val="2"/>
        </w:rPr>
        <w:t>比</w:t>
      </w:r>
      <w:r>
        <w:rPr/>
        <w:t>例</w:t>
      </w:r>
      <w:r>
        <w:rPr/>
        <w:t> </w:t>
      </w:r>
      <w:r>
        <w:rPr>
          <w:rFonts w:ascii="Times New Roman" w:hAnsi="Times New Roman" w:cs="Times New Roman" w:eastAsia="Times New Roman" w:hint="default"/>
        </w:rPr>
        <w:t>100%</w:t>
      </w:r>
      <w:r>
        <w:rPr/>
        <w:t>，该出资业经广州海正会计师事务所有限公司海会验字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X044</w:t>
      </w:r>
      <w:r>
        <w:rPr/>
        <w:t>号验资报告验证。</w:t>
      </w:r>
    </w:p>
    <w:p>
      <w:pPr>
        <w:pStyle w:val="BodyText"/>
        <w:spacing w:line="451" w:lineRule="auto" w:before="43"/>
        <w:ind w:right="148" w:firstLine="360"/>
        <w:jc w:val="both"/>
      </w:pPr>
      <w:r>
        <w:rPr>
          <w:rFonts w:ascii="Times New Roman" w:hAnsi="Times New Roman" w:cs="Times New Roman" w:eastAsia="Times New Roman" w:hint="default"/>
          <w:spacing w:val="-4"/>
        </w:rPr>
        <w:t>*</w:t>
      </w:r>
      <w:r>
        <w:rPr>
          <w:rFonts w:ascii="Times New Roman" w:hAnsi="Times New Roman" w:cs="Times New Roman" w:eastAsia="Times New Roman" w:hint="default"/>
          <w:spacing w:val="3"/>
        </w:rPr>
        <w:t>4</w:t>
      </w:r>
      <w:r>
        <w:rPr>
          <w:spacing w:val="2"/>
        </w:rPr>
        <w:t>苏州新国都电子</w:t>
      </w:r>
      <w:r>
        <w:rPr/>
        <w:t>技</w:t>
      </w:r>
      <w:r>
        <w:rPr>
          <w:spacing w:val="2"/>
        </w:rPr>
        <w:t>术有</w:t>
      </w:r>
      <w:r>
        <w:rPr>
          <w:spacing w:val="-1"/>
        </w:rPr>
        <w:t>限</w:t>
      </w:r>
      <w:r>
        <w:rPr/>
        <w:t>公</w:t>
      </w:r>
      <w:r>
        <w:rPr>
          <w:spacing w:val="3"/>
        </w:rPr>
        <w:t>司</w:t>
      </w:r>
      <w:r>
        <w:rPr>
          <w:rFonts w:ascii="Times New Roman" w:hAnsi="Times New Roman" w:cs="Times New Roman" w:eastAsia="Times New Roman" w:hint="default"/>
          <w:spacing w:val="2"/>
        </w:rPr>
        <w:t>(</w:t>
      </w:r>
      <w:r>
        <w:rPr>
          <w:spacing w:val="2"/>
        </w:rPr>
        <w:t>以下</w:t>
      </w:r>
      <w:r>
        <w:rPr/>
        <w:t>简</w:t>
      </w:r>
      <w:r>
        <w:rPr>
          <w:spacing w:val="2"/>
        </w:rPr>
        <w:t>称</w:t>
      </w:r>
      <w:r>
        <w:rPr>
          <w:rFonts w:ascii="Times New Roman" w:hAnsi="Times New Roman" w:cs="Times New Roman" w:eastAsia="Times New Roman" w:hint="default"/>
          <w:spacing w:val="1"/>
          <w:w w:val="44"/>
        </w:rPr>
        <w:t>―</w:t>
      </w:r>
      <w:r>
        <w:rPr>
          <w:spacing w:val="2"/>
        </w:rPr>
        <w:t>苏州</w:t>
      </w:r>
      <w:r>
        <w:rPr/>
        <w:t>新</w:t>
      </w:r>
      <w:r>
        <w:rPr>
          <w:spacing w:val="2"/>
        </w:rPr>
        <w:t>国都</w:t>
      </w:r>
      <w:r>
        <w:rPr/>
        <w:t>公</w:t>
      </w:r>
      <w:r>
        <w:rPr>
          <w:spacing w:val="3"/>
        </w:rPr>
        <w:t>司</w:t>
      </w:r>
      <w:r>
        <w:rPr>
          <w:rFonts w:ascii="Times New Roman" w:hAnsi="Times New Roman" w:cs="Times New Roman" w:eastAsia="Times New Roman" w:hint="default"/>
          <w:spacing w:val="-1"/>
          <w:w w:val="126"/>
        </w:rPr>
        <w:t>‖</w:t>
      </w:r>
      <w:r>
        <w:rPr>
          <w:rFonts w:ascii="Times New Roman" w:hAnsi="Times New Roman" w:cs="Times New Roman" w:eastAsia="Times New Roman" w:hint="default"/>
          <w:spacing w:val="2"/>
          <w:w w:val="126"/>
        </w:rPr>
        <w:t>)</w:t>
      </w:r>
      <w:r>
        <w:rPr>
          <w:spacing w:val="2"/>
        </w:rPr>
        <w:t>由本公</w:t>
      </w:r>
      <w:r>
        <w:rPr/>
        <w:t>司</w:t>
      </w:r>
      <w:r>
        <w:rPr>
          <w:spacing w:val="3"/>
        </w:rPr>
        <w:t>于</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
        </w:rPr>
        <w:t>1</w:t>
      </w:r>
      <w:r>
        <w:rPr/>
        <w:t>年</w:t>
      </w:r>
      <w:r>
        <w:rPr>
          <w:rFonts w:ascii="Times New Roman" w:hAnsi="Times New Roman" w:cs="Times New Roman" w:eastAsia="Times New Roman" w:hint="default"/>
          <w:spacing w:val="3"/>
        </w:rPr>
        <w:t>8</w:t>
      </w:r>
      <w:r>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
        </w:rPr>
        <w:t>7</w:t>
      </w:r>
      <w:r>
        <w:rPr>
          <w:spacing w:val="2"/>
        </w:rPr>
        <w:t>日</w:t>
      </w:r>
      <w:r>
        <w:rPr/>
        <w:t>与</w:t>
      </w:r>
      <w:r>
        <w:rPr>
          <w:spacing w:val="2"/>
        </w:rPr>
        <w:t>苏州君宝</w:t>
      </w:r>
      <w:r>
        <w:rPr/>
        <w:t>投</w:t>
      </w:r>
      <w:r>
        <w:rPr>
          <w:spacing w:val="2"/>
        </w:rPr>
        <w:t>资有限</w:t>
      </w:r>
      <w:r>
        <w:rPr/>
        <w:t>公</w:t>
      </w:r>
      <w:r>
        <w:rPr>
          <w:spacing w:val="2"/>
        </w:rPr>
        <w:t>司共</w:t>
      </w:r>
      <w:r>
        <w:rPr/>
        <w:t>同</w:t>
      </w:r>
      <w:r>
        <w:rPr/>
        <w:t> 出资设立，注册资本</w:t>
      </w:r>
      <w:r>
        <w:rPr>
          <w:rFonts w:ascii="Times New Roman" w:hAnsi="Times New Roman" w:cs="Times New Roman" w:eastAsia="Times New Roman" w:hint="default"/>
        </w:rPr>
        <w:t>15,000</w:t>
      </w:r>
      <w:r>
        <w:rPr/>
        <w:t>万元，实收资本人民币</w:t>
      </w:r>
      <w:r>
        <w:rPr>
          <w:rFonts w:ascii="Times New Roman" w:hAnsi="Times New Roman" w:cs="Times New Roman" w:eastAsia="Times New Roman" w:hint="default"/>
        </w:rPr>
        <w:t>3,000</w:t>
      </w:r>
      <w:r>
        <w:rPr/>
        <w:t>万元，本公司出资</w:t>
      </w:r>
      <w:r>
        <w:rPr>
          <w:rFonts w:ascii="Times New Roman" w:hAnsi="Times New Roman" w:cs="Times New Roman" w:eastAsia="Times New Roman" w:hint="default"/>
        </w:rPr>
        <w:t>2,700</w:t>
      </w:r>
      <w:r>
        <w:rPr/>
        <w:t>万元，持股比例</w:t>
      </w:r>
      <w:r>
        <w:rPr>
          <w:rFonts w:ascii="Times New Roman" w:hAnsi="Times New Roman" w:cs="Times New Roman" w:eastAsia="Times New Roman" w:hint="default"/>
        </w:rPr>
        <w:t>90%</w:t>
      </w:r>
      <w:r>
        <w:rPr/>
        <w:t>，该出资业经江苏鼎信</w:t>
      </w:r>
      <w:r>
        <w:rPr>
          <w:spacing w:val="-20"/>
        </w:rPr>
        <w:t> </w:t>
      </w:r>
      <w:r>
        <w:rPr>
          <w:spacing w:val="-20"/>
        </w:rPr>
      </w:r>
      <w:r>
        <w:rPr/>
        <w:t>会计师事务所苏鼎验</w:t>
      </w:r>
      <w:r>
        <w:rPr>
          <w:rFonts w:ascii="Times New Roman" w:hAnsi="Times New Roman" w:cs="Times New Roman" w:eastAsia="Times New Roman" w:hint="default"/>
        </w:rPr>
        <w:t>(2011)303</w:t>
      </w:r>
      <w:r>
        <w:rPr/>
        <w:t>号验资报告验证。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日，本公司第二期出资</w:t>
      </w:r>
      <w:r>
        <w:rPr>
          <w:rFonts w:ascii="Times New Roman" w:hAnsi="Times New Roman" w:cs="Times New Roman" w:eastAsia="Times New Roman" w:hint="default"/>
        </w:rPr>
        <w:t>10,800</w:t>
      </w:r>
      <w:r>
        <w:rPr/>
        <w:t>万元，累计实缴实收资本为人民</w:t>
      </w:r>
      <w:r>
        <w:rPr>
          <w:spacing w:val="-73"/>
        </w:rPr>
        <w:t> </w:t>
      </w:r>
      <w:r>
        <w:rPr>
          <w:spacing w:val="-73"/>
        </w:rPr>
      </w:r>
      <w:r>
        <w:rPr>
          <w:spacing w:val="-1"/>
        </w:rPr>
        <w:t>币</w:t>
      </w:r>
      <w:r>
        <w:rPr>
          <w:rFonts w:ascii="Times New Roman" w:hAnsi="Times New Roman" w:cs="Times New Roman" w:eastAsia="Times New Roman" w:hint="default"/>
          <w:spacing w:val="-1"/>
        </w:rPr>
        <w:t>13,800</w:t>
      </w:r>
      <w:r>
        <w:rPr>
          <w:spacing w:val="-1"/>
        </w:rPr>
        <w:t>万元，本公司占实缴实收资本</w:t>
      </w:r>
      <w:r>
        <w:rPr>
          <w:rFonts w:ascii="Times New Roman" w:hAnsi="Times New Roman" w:cs="Times New Roman" w:eastAsia="Times New Roman" w:hint="default"/>
          <w:spacing w:val="-1"/>
        </w:rPr>
        <w:t>92%</w:t>
      </w:r>
      <w:r>
        <w:rPr>
          <w:spacing w:val="-1"/>
        </w:rPr>
        <w:t>，该出资业经昆山公信会计师事务所有限公司昆公信验字</w:t>
      </w:r>
      <w:r>
        <w:rPr>
          <w:rFonts w:ascii="Times New Roman" w:hAnsi="Times New Roman" w:cs="Times New Roman" w:eastAsia="Times New Roman" w:hint="default"/>
          <w:spacing w:val="-1"/>
        </w:rPr>
        <w:t>[2012]</w:t>
      </w:r>
      <w:r>
        <w:rPr>
          <w:spacing w:val="-1"/>
        </w:rPr>
        <w:t>第</w:t>
      </w:r>
      <w:r>
        <w:rPr>
          <w:rFonts w:ascii="Times New Roman" w:hAnsi="Times New Roman" w:cs="Times New Roman" w:eastAsia="Times New Roman" w:hint="default"/>
          <w:spacing w:val="-1"/>
        </w:rPr>
        <w:t>193</w:t>
      </w:r>
      <w:r>
        <w:rPr>
          <w:spacing w:val="-1"/>
        </w:rPr>
        <w:t>号验资报告</w:t>
      </w:r>
      <w:r>
        <w:rPr>
          <w:spacing w:val="-70"/>
        </w:rPr>
        <w:t> </w:t>
      </w:r>
      <w:r>
        <w:rPr>
          <w:spacing w:val="-70"/>
        </w:rPr>
      </w:r>
      <w:r>
        <w:rPr/>
        <w:t>验证。</w:t>
      </w:r>
    </w:p>
    <w:p>
      <w:pPr>
        <w:pStyle w:val="BodyText"/>
        <w:spacing w:line="451" w:lineRule="auto" w:before="74"/>
        <w:ind w:right="148"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日苏州新国都公司股东会决议，同意公司注册资本由人民币</w:t>
      </w:r>
      <w:r>
        <w:rPr>
          <w:rFonts w:ascii="Times New Roman" w:hAnsi="Times New Roman" w:cs="Times New Roman" w:eastAsia="Times New Roman" w:hint="default"/>
          <w:spacing w:val="-2"/>
        </w:rPr>
        <w:t>15,000</w:t>
      </w:r>
      <w:r>
        <w:rPr>
          <w:spacing w:val="-2"/>
        </w:rPr>
        <w:t>万元增加到人民币</w:t>
      </w:r>
      <w:r>
        <w:rPr>
          <w:rFonts w:ascii="Times New Roman" w:hAnsi="Times New Roman" w:cs="Times New Roman" w:eastAsia="Times New Roman" w:hint="default"/>
          <w:spacing w:val="-2"/>
        </w:rPr>
        <w:t>27,806</w:t>
      </w:r>
      <w:r>
        <w:rPr>
          <w:spacing w:val="-2"/>
        </w:rPr>
        <w:t>万元，所增注册</w:t>
      </w:r>
      <w:r>
        <w:rPr/>
        <w:t> 资本</w:t>
      </w:r>
      <w:r>
        <w:rPr>
          <w:rFonts w:ascii="Times New Roman" w:hAnsi="Times New Roman" w:cs="Times New Roman" w:eastAsia="Times New Roman" w:hint="default"/>
        </w:rPr>
        <w:t>12,806</w:t>
      </w:r>
      <w:r>
        <w:rPr/>
        <w:t>万元全部由本公司认缴，本次增资后，本公司出资人民币</w:t>
      </w:r>
      <w:r>
        <w:rPr>
          <w:rFonts w:ascii="Times New Roman" w:hAnsi="Times New Roman" w:cs="Times New Roman" w:eastAsia="Times New Roman" w:hint="default"/>
        </w:rPr>
        <w:t>26,306</w:t>
      </w:r>
      <w:r>
        <w:rPr/>
        <w:t>万元，持股比例</w:t>
      </w:r>
      <w:r>
        <w:rPr>
          <w:rFonts w:ascii="Times New Roman" w:hAnsi="Times New Roman" w:cs="Times New Roman" w:eastAsia="Times New Roman" w:hint="default"/>
        </w:rPr>
        <w:t>94.6%</w:t>
      </w:r>
      <w:r>
        <w:rPr/>
        <w:t>，该增资业经昆山公信会</w:t>
      </w:r>
    </w:p>
    <w:p>
      <w:pPr>
        <w:spacing w:after="0" w:line="451"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141"/>
        <w:jc w:val="left"/>
      </w:pPr>
      <w:r>
        <w:rPr/>
        <w:t>计师事务所有限公司昆公信验字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314</w:t>
      </w:r>
      <w:r>
        <w:rPr/>
        <w:t>号验资报告验证。</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851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77"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477"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496"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475"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477"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通过同一控制下企业合并取得的子公司的其他说明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3"/>
        <w:gridCol w:w="683"/>
        <w:gridCol w:w="682"/>
        <w:gridCol w:w="685"/>
        <w:gridCol w:w="682"/>
        <w:gridCol w:w="673"/>
      </w:tblGrid>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67" w:right="65"/>
              <w:jc w:val="left"/>
              <w:rPr>
                <w:rFonts w:ascii="宋体" w:hAnsi="宋体" w:cs="宋体" w:eastAsia="宋体" w:hint="default"/>
                <w:sz w:val="18"/>
                <w:szCs w:val="18"/>
              </w:rPr>
            </w:pPr>
            <w:r>
              <w:rPr>
                <w:rFonts w:ascii="宋体" w:hAnsi="宋体" w:cs="宋体" w:eastAsia="宋体" w:hint="default"/>
                <w:sz w:val="18"/>
                <w:szCs w:val="18"/>
              </w:rPr>
              <w:t>期末实 际投资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67"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2" w:right="0" w:hanging="46"/>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154" w:right="65"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67" w:right="6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7"/>
              <w:ind w:left="69" w:right="53"/>
              <w:jc w:val="left"/>
              <w:rPr>
                <w:rFonts w:ascii="宋体" w:hAnsi="宋体" w:cs="宋体" w:eastAsia="宋体" w:hint="default"/>
                <w:sz w:val="18"/>
                <w:szCs w:val="18"/>
              </w:rPr>
            </w:pPr>
            <w:r>
              <w:rPr>
                <w:rFonts w:ascii="宋体" w:hAnsi="宋体" w:cs="宋体" w:eastAsia="宋体" w:hint="default"/>
                <w:sz w:val="18"/>
                <w:szCs w:val="18"/>
              </w:rPr>
              <w:t>从母公 司所有</w:t>
            </w:r>
          </w:p>
        </w:tc>
      </w:tr>
    </w:tbl>
    <w:p>
      <w:pPr>
        <w:spacing w:after="0" w:line="47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81"/>
      </w:tblGrid>
      <w:tr>
        <w:trPr>
          <w:trHeight w:val="754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67" w:right="65"/>
              <w:jc w:val="center"/>
              <w:rPr>
                <w:rFonts w:ascii="宋体" w:hAnsi="宋体" w:cs="宋体" w:eastAsia="宋体" w:hint="default"/>
                <w:sz w:val="18"/>
                <w:szCs w:val="18"/>
              </w:rPr>
            </w:pPr>
            <w:r>
              <w:rPr>
                <w:rFonts w:ascii="宋体" w:hAnsi="宋体" w:cs="宋体" w:eastAsia="宋体" w:hint="default"/>
                <w:sz w:val="18"/>
                <w:szCs w:val="18"/>
              </w:rPr>
              <w:t>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67" w:right="62"/>
              <w:jc w:val="both"/>
              <w:rPr>
                <w:rFonts w:ascii="宋体" w:hAnsi="宋体" w:cs="宋体" w:eastAsia="宋体" w:hint="default"/>
                <w:sz w:val="18"/>
                <w:szCs w:val="18"/>
              </w:rPr>
            </w:pPr>
            <w:r>
              <w:rPr>
                <w:rFonts w:ascii="宋体" w:hAnsi="宋体" w:cs="宋体" w:eastAsia="宋体" w:hint="default"/>
                <w:sz w:val="18"/>
                <w:szCs w:val="18"/>
              </w:rPr>
              <w:t>中用于 冲减少 数股东 损益的 金额</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7"/>
              <w:ind w:left="69" w:right="59"/>
              <w:jc w:val="both"/>
              <w:rPr>
                <w:rFonts w:ascii="宋体" w:hAnsi="宋体" w:cs="宋体" w:eastAsia="宋体" w:hint="default"/>
                <w:sz w:val="18"/>
                <w:szCs w:val="18"/>
              </w:rPr>
            </w:pPr>
            <w:r>
              <w:rPr>
                <w:rFonts w:ascii="宋体" w:hAnsi="宋体" w:cs="宋体" w:eastAsia="宋体" w:hint="default"/>
                <w:sz w:val="18"/>
                <w:szCs w:val="18"/>
              </w:rPr>
              <w:t>者权益 冲减子 公司少 数股东 分担的 本期亏 损超过 少数股 东在该 子公司 年初所 有者权 益中所 享有份 额后的 余额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559"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合并报表范围发生变更说明</w:t>
      </w:r>
    </w:p>
    <w:p>
      <w:pPr>
        <w:spacing w:line="240" w:lineRule="auto" w:before="9"/>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本期新纳入合并范围的子公司、特殊目的主体、通过受托经营或承租等方式形成控制权的经营实体</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559"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本期不再纳入合并范围的子公司、特殊目的主体、通过受托经营或承租等方式形成控制权的经营实体</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559"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1027"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同一控制下企业合并的其他说明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558"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非同一控制下企业合并的其他说明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559"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line="240" w:lineRule="auto" w:before="5"/>
        <w:rPr>
          <w:rFonts w:ascii="宋体" w:hAnsi="宋体" w:cs="宋体" w:eastAsia="宋体" w:hint="default"/>
          <w:b/>
          <w:bCs/>
          <w:sz w:val="6"/>
          <w:szCs w:val="6"/>
        </w:rPr>
      </w:pPr>
    </w:p>
    <w:p>
      <w:pPr>
        <w:pStyle w:val="BodyText"/>
        <w:spacing w:line="240" w:lineRule="auto"/>
        <w:ind w:right="141"/>
        <w:jc w:val="left"/>
      </w:pPr>
      <w:r>
        <w:rPr/>
        <w:t>出售丧失控制权的股权而减少的子公司的其他说明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line="240" w:lineRule="auto" w:before="6"/>
        <w:rPr>
          <w:rFonts w:ascii="宋体" w:hAnsi="宋体" w:cs="宋体" w:eastAsia="宋体" w:hint="default"/>
          <w:b/>
          <w:bCs/>
          <w:sz w:val="6"/>
          <w:szCs w:val="6"/>
        </w:rPr>
      </w:pPr>
    </w:p>
    <w:p>
      <w:pPr>
        <w:pStyle w:val="BodyText"/>
        <w:spacing w:line="240" w:lineRule="auto"/>
        <w:ind w:right="141"/>
        <w:jc w:val="left"/>
      </w:pPr>
      <w:r>
        <w:rPr/>
        <w:t>反向购买的其他说明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559"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558"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8"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吸收合并的其他说明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line="624" w:lineRule="auto" w:before="0"/>
        <w:ind w:left="152" w:right="596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、境外经营实体主要报表项目的折算汇率</w:t>
      </w:r>
      <w:r>
        <w:rPr>
          <w:rFonts w:ascii="宋体" w:hAnsi="宋体" w:cs="宋体" w:eastAsia="宋体" w:hint="default"/>
          <w:b/>
          <w:bCs/>
          <w:w w:val="99"/>
          <w:sz w:val="20"/>
          <w:szCs w:val="20"/>
        </w:rPr>
        <w:t> </w:t>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4"/>
        <w:rPr>
          <w:rFonts w:ascii="宋体" w:hAnsi="宋体" w:cs="宋体" w:eastAsia="宋体" w:hint="default"/>
          <w:b/>
          <w:bCs/>
          <w:sz w:val="8"/>
          <w:szCs w:val="8"/>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04"/>
        <w:gridCol w:w="931"/>
        <w:gridCol w:w="1606"/>
      </w:tblGrid>
      <w:tr>
        <w:trPr>
          <w:trHeight w:val="283"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75"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75"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83"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70,718.69</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39,850.69</w:t>
            </w:r>
          </w:p>
        </w:tc>
      </w:tr>
      <w:tr>
        <w:trPr>
          <w:trHeight w:val="559"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70,718.69</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39,850.69</w:t>
            </w:r>
          </w:p>
        </w:tc>
      </w:tr>
      <w:tr>
        <w:trPr>
          <w:trHeight w:val="55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684,062,093.25</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742,421,845.87</w:t>
            </w:r>
          </w:p>
        </w:tc>
      </w:tr>
      <w:tr>
        <w:trPr>
          <w:trHeight w:val="55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684,062,093.25</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742,421,845.87</w:t>
            </w:r>
          </w:p>
        </w:tc>
      </w:tr>
      <w:tr>
        <w:trPr>
          <w:trHeight w:val="55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17,250,897.60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12,453,349.10</w:t>
            </w:r>
          </w:p>
        </w:tc>
      </w:tr>
      <w:tr>
        <w:trPr>
          <w:trHeight w:val="55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17,250,897.60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12,453,349.10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3"/>
        <w:gridCol w:w="1326"/>
        <w:gridCol w:w="920"/>
        <w:gridCol w:w="1606"/>
      </w:tblGrid>
      <w:tr>
        <w:trPr>
          <w:trHeight w:val="560"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701,383,709.54</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754,915,045.66</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如有因抵押、质押或冻结等对使用有限制、存放在境外、有潜在回收风险的款项应单独说明</w:t>
      </w:r>
    </w:p>
    <w:p>
      <w:pPr>
        <w:spacing w:line="240" w:lineRule="auto" w:before="2"/>
        <w:rPr>
          <w:rFonts w:ascii="宋体" w:hAnsi="宋体" w:cs="宋体" w:eastAsia="宋体" w:hint="default"/>
          <w:sz w:val="25"/>
          <w:szCs w:val="25"/>
        </w:rPr>
      </w:pPr>
    </w:p>
    <w:p>
      <w:pPr>
        <w:pStyle w:val="Heading6"/>
        <w:spacing w:line="384" w:lineRule="auto" w:before="0"/>
        <w:ind w:left="573" w:right="141"/>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日止，本公司不存在质押、冻结、或有潜在收回风险的款项。</w:t>
      </w:r>
      <w:r>
        <w:rPr>
          <w:spacing w:val="-31"/>
        </w:rPr>
        <w:t> </w:t>
      </w:r>
      <w:r>
        <w:rPr>
          <w:spacing w:val="-31"/>
        </w:rPr>
      </w:r>
      <w:r>
        <w:rPr/>
        <w:t>其中受限制的货币资金明细如下：</w:t>
      </w:r>
    </w:p>
    <w:tbl>
      <w:tblPr>
        <w:tblW w:w="0" w:type="auto"/>
        <w:jc w:val="left"/>
        <w:tblInd w:w="145" w:type="dxa"/>
        <w:tblLayout w:type="fixed"/>
        <w:tblCellMar>
          <w:top w:w="0" w:type="dxa"/>
          <w:left w:w="0" w:type="dxa"/>
          <w:bottom w:w="0" w:type="dxa"/>
          <w:right w:w="0" w:type="dxa"/>
        </w:tblCellMar>
        <w:tblLook w:val="01E0"/>
      </w:tblPr>
      <w:tblGrid>
        <w:gridCol w:w="4035"/>
        <w:gridCol w:w="2115"/>
        <w:gridCol w:w="2379"/>
      </w:tblGrid>
      <w:tr>
        <w:trPr>
          <w:trHeight w:val="511" w:hRule="exact"/>
        </w:trPr>
        <w:tc>
          <w:tcPr>
            <w:tcW w:w="40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right="1748"/>
              <w:jc w:val="righ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35"/>
                <w:sz w:val="16"/>
                <w:szCs w:val="16"/>
              </w:rPr>
              <w:t> </w:t>
            </w:r>
            <w:r>
              <w:rPr>
                <w:rFonts w:ascii="宋体" w:hAnsi="宋体" w:cs="宋体" w:eastAsia="宋体" w:hint="default"/>
                <w:sz w:val="16"/>
                <w:szCs w:val="16"/>
              </w:rPr>
              <w:t>目</w:t>
            </w:r>
          </w:p>
        </w:tc>
        <w:tc>
          <w:tcPr>
            <w:tcW w:w="21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8"/>
              <w:ind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509" w:hRule="exact"/>
        </w:trPr>
        <w:tc>
          <w:tcPr>
            <w:tcW w:w="4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银行承兑汇票保证金</w:t>
            </w:r>
          </w:p>
        </w:tc>
        <w:tc>
          <w:tcPr>
            <w:tcW w:w="21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2"/>
                <w:sz w:val="16"/>
              </w:rPr>
              <w:t>17,250,897.60</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2"/>
                <w:sz w:val="16"/>
              </w:rPr>
              <w:t>12,453,349.10</w:t>
            </w:r>
          </w:p>
        </w:tc>
      </w:tr>
      <w:tr>
        <w:trPr>
          <w:trHeight w:val="509" w:hRule="exact"/>
        </w:trPr>
        <w:tc>
          <w:tcPr>
            <w:tcW w:w="4035" w:type="dxa"/>
            <w:tcBorders>
              <w:top w:val="single" w:sz="12" w:space="0" w:color="000000"/>
              <w:left w:val="single" w:sz="6" w:space="0" w:color="000000"/>
              <w:bottom w:val="single" w:sz="12" w:space="0" w:color="000000"/>
              <w:right w:val="single" w:sz="6" w:space="0" w:color="000000"/>
            </w:tcBorders>
          </w:tcPr>
          <w:p>
            <w:pPr>
              <w:pStyle w:val="TableParagraph"/>
              <w:tabs>
                <w:tab w:pos="482" w:val="left" w:leader="none"/>
              </w:tabs>
              <w:spacing w:line="240" w:lineRule="auto" w:before="106"/>
              <w:ind w:right="1683"/>
              <w:jc w:val="right"/>
              <w:rPr>
                <w:rFonts w:ascii="宋体" w:hAnsi="宋体" w:cs="宋体" w:eastAsia="宋体" w:hint="default"/>
                <w:sz w:val="16"/>
                <w:szCs w:val="16"/>
              </w:rPr>
            </w:pPr>
            <w:r>
              <w:rPr>
                <w:rFonts w:ascii="宋体" w:hAnsi="宋体" w:cs="宋体" w:eastAsia="宋体" w:hint="default"/>
                <w:sz w:val="16"/>
                <w:szCs w:val="16"/>
              </w:rPr>
              <w:t>合</w:t>
              <w:tab/>
              <w:t>计</w:t>
            </w:r>
          </w:p>
        </w:tc>
        <w:tc>
          <w:tcPr>
            <w:tcW w:w="21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2"/>
                <w:sz w:val="16"/>
              </w:rPr>
              <w:t>17,250,897.60</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2"/>
                <w:sz w:val="16"/>
              </w:rPr>
              <w:t>12,453,349.10</w:t>
            </w:r>
          </w:p>
        </w:tc>
      </w:tr>
    </w:tbl>
    <w:p>
      <w:pPr>
        <w:spacing w:line="240" w:lineRule="auto" w:before="10"/>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45"/>
      </w:tblGrid>
      <w:tr>
        <w:trPr>
          <w:trHeight w:val="558"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557"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559"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1" w:right="0"/>
              <w:jc w:val="left"/>
              <w:rPr>
                <w:rFonts w:ascii="Times New Roman" w:hAnsi="Times New Roman" w:cs="Times New Roman" w:eastAsia="Times New Roman" w:hint="default"/>
                <w:sz w:val="18"/>
                <w:szCs w:val="18"/>
              </w:rPr>
            </w:pPr>
            <w:r>
              <w:rPr>
                <w:rFonts w:ascii="Times New Roman"/>
                <w:sz w:val="18"/>
              </w:rPr>
              <w:t>60,867,821.00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5" w:right="0"/>
              <w:jc w:val="left"/>
              <w:rPr>
                <w:rFonts w:ascii="Times New Roman" w:hAnsi="Times New Roman" w:cs="Times New Roman" w:eastAsia="Times New Roman" w:hint="default"/>
                <w:sz w:val="18"/>
                <w:szCs w:val="18"/>
              </w:rPr>
            </w:pPr>
            <w:r>
              <w:rPr>
                <w:rFonts w:ascii="Times New Roman"/>
                <w:sz w:val="18"/>
              </w:rPr>
              <w:t>43,390,886.80</w:t>
            </w:r>
          </w:p>
        </w:tc>
      </w:tr>
      <w:tr>
        <w:trPr>
          <w:trHeight w:val="559"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89"/>
        <w:gridCol w:w="2657"/>
        <w:gridCol w:w="2921"/>
      </w:tblGrid>
      <w:tr>
        <w:trPr>
          <w:trHeight w:val="560"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1" w:right="0"/>
              <w:jc w:val="left"/>
              <w:rPr>
                <w:rFonts w:ascii="Times New Roman" w:hAnsi="Times New Roman" w:cs="Times New Roman" w:eastAsia="Times New Roman" w:hint="default"/>
                <w:sz w:val="18"/>
                <w:szCs w:val="18"/>
              </w:rPr>
            </w:pPr>
            <w:r>
              <w:rPr>
                <w:rFonts w:ascii="Times New Roman"/>
                <w:sz w:val="18"/>
              </w:rPr>
              <w:t>60,867,821.00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5" w:right="0"/>
              <w:jc w:val="left"/>
              <w:rPr>
                <w:rFonts w:ascii="Times New Roman" w:hAnsi="Times New Roman" w:cs="Times New Roman" w:eastAsia="Times New Roman" w:hint="default"/>
                <w:sz w:val="18"/>
                <w:szCs w:val="18"/>
              </w:rPr>
            </w:pPr>
            <w:r>
              <w:rPr>
                <w:rFonts w:ascii="Times New Roman"/>
                <w:sz w:val="18"/>
              </w:rPr>
              <w:t>43,390,886.80</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5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spacing w:line="240" w:lineRule="auto" w:before="0"/>
        <w:ind w:right="141"/>
        <w:jc w:val="left"/>
      </w:pPr>
      <w:r>
        <w:rPr/>
        <w:t>因出票人无力履约而将票据转为应收账款的票据</w:t>
      </w:r>
    </w:p>
    <w:p>
      <w:pPr>
        <w:spacing w:line="240" w:lineRule="auto" w:before="12"/>
        <w:rPr>
          <w:rFonts w:ascii="宋体" w:hAnsi="宋体" w:cs="宋体" w:eastAsia="宋体" w:hint="default"/>
          <w:sz w:val="20"/>
          <w:szCs w:val="20"/>
        </w:rPr>
      </w:pPr>
    </w:p>
    <w:p>
      <w:pPr>
        <w:pStyle w:val="BodyText"/>
        <w:spacing w:line="240" w:lineRule="auto" w:before="0"/>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5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6"/>
          <w:szCs w:val="6"/>
        </w:rPr>
      </w:pPr>
    </w:p>
    <w:p>
      <w:pPr>
        <w:spacing w:line="477" w:lineRule="auto" w:before="44"/>
        <w:ind w:left="152" w:right="5393"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2"/>
          <w:sz w:val="21"/>
          <w:szCs w:val="21"/>
        </w:rPr>
        <w:t>期末无因出票人无力履约转为应收账款的票据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18"/>
          <w:szCs w:val="18"/>
        </w:rPr>
        <w:t>公司已经背书给其他方但尚未到期的票据</w:t>
      </w:r>
    </w:p>
    <w:p>
      <w:pPr>
        <w:pStyle w:val="BodyText"/>
        <w:spacing w:line="240" w:lineRule="auto" w:before="95"/>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56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6"/>
          <w:szCs w:val="6"/>
        </w:rPr>
      </w:pPr>
    </w:p>
    <w:p>
      <w:pPr>
        <w:spacing w:line="477" w:lineRule="auto" w:before="44"/>
        <w:ind w:left="152" w:right="6911"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z w:val="21"/>
          <w:szCs w:val="21"/>
        </w:rPr>
        <w:t>期末无已背书未到期的票据</w:t>
      </w:r>
      <w:r>
        <w:rPr>
          <w:rFonts w:ascii="宋体" w:hAnsi="宋体" w:cs="宋体" w:eastAsia="宋体" w:hint="default"/>
          <w:w w:val="100"/>
          <w:sz w:val="21"/>
          <w:szCs w:val="21"/>
        </w:rPr>
        <w:t> </w:t>
      </w:r>
      <w:r>
        <w:rPr>
          <w:rFonts w:ascii="宋体" w:hAnsi="宋体" w:cs="宋体" w:eastAsia="宋体" w:hint="default"/>
          <w:sz w:val="18"/>
          <w:szCs w:val="18"/>
        </w:rPr>
        <w:t>已贴现或质押的商业承兑票据的说明</w:t>
      </w:r>
    </w:p>
    <w:p>
      <w:pPr>
        <w:pStyle w:val="Heading6"/>
        <w:spacing w:line="240" w:lineRule="auto" w:before="72"/>
        <w:ind w:right="141"/>
        <w:jc w:val="left"/>
      </w:pPr>
      <w:r>
        <w:rPr/>
        <w:t>期末无已贴现或质押的商业承兑汇票及银行承兑汇票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7"/>
        <w:spacing w:line="240" w:lineRule="auto"/>
        <w:ind w:right="141"/>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55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141"/>
        <w:jc w:val="left"/>
      </w:pPr>
      <w:r>
        <w:rPr/>
        <w:t>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557"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028"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4"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、账龄在一年以内的应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1,978,055.64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1,811,016.06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1,978,055.64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1,811,016.06</w:t>
            </w:r>
          </w:p>
        </w:tc>
      </w:tr>
      <w:tr>
        <w:trPr>
          <w:trHeight w:val="557"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1,978,055.64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1,811,016.06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1,978,055.64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1,811,016.06</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8"/>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6"/>
      </w:tblGrid>
      <w:tr>
        <w:trPr>
          <w:trHeight w:val="559"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998"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9"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57"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1027"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211,436,20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6.22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14,739,249.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6.97%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151,727,3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68.58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8,647,889.93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5.7%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6"/>
      </w:tblGrid>
      <w:tr>
        <w:trPr>
          <w:trHeight w:val="102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211,436,20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6.22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14,739,249.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6.97%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151,727,3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68.58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8,647,889.93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5.7%</w:t>
            </w:r>
          </w:p>
        </w:tc>
      </w:tr>
      <w:tr>
        <w:trPr>
          <w:trHeight w:val="1027"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211,436,20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6.22</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14,739,249.</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151,727,3</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68.58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8,647,889.93</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516" w:lineRule="auto"/>
        <w:ind w:right="5814"/>
        <w:jc w:val="left"/>
      </w:pPr>
      <w:r>
        <w:rPr/>
        <w:t>应收账款种类的说明 期末单项金额重大并单项计提坏账准备的应收账款</w:t>
      </w:r>
    </w:p>
    <w:p>
      <w:pPr>
        <w:pStyle w:val="BodyText"/>
        <w:spacing w:line="489" w:lineRule="auto" w:before="66"/>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83"/>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31"/>
        <w:gridCol w:w="1459"/>
      </w:tblGrid>
      <w:tr>
        <w:trPr>
          <w:trHeight w:val="55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7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8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0"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562"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194,694,215.61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92.08%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9,734,710.78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146,988,930.57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7,349,446.53</w:t>
            </w:r>
          </w:p>
        </w:tc>
      </w:tr>
      <w:tr>
        <w:trPr>
          <w:trHeight w:val="557"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13,065,164.60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6.18%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2,613,032.92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3,569,252.01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713,850.40</w:t>
            </w:r>
          </w:p>
        </w:tc>
      </w:tr>
      <w:tr>
        <w:trPr>
          <w:trHeight w:val="559"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2,570,640.01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1,285,320.01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1,169,186.00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584,593.00</w:t>
            </w:r>
          </w:p>
        </w:tc>
      </w:tr>
      <w:tr>
        <w:trPr>
          <w:trHeight w:val="557"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1,106,186.00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1,106,186.00</w:t>
            </w:r>
          </w:p>
        </w:tc>
        <w:tc>
          <w:tcPr>
            <w:tcW w:w="14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211,436,206.22</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14,739,249.71</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151,727,368.58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8,647,889.93</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组合中，采用余额百分比法计提坏账准备的应收账款</w:t>
      </w:r>
    </w:p>
    <w:p>
      <w:pPr>
        <w:spacing w:line="240" w:lineRule="auto" w:before="9"/>
        <w:rPr>
          <w:rFonts w:ascii="宋体" w:hAnsi="宋体" w:cs="宋体" w:eastAsia="宋体" w:hint="default"/>
          <w:sz w:val="20"/>
          <w:szCs w:val="20"/>
        </w:rPr>
      </w:pPr>
    </w:p>
    <w:p>
      <w:pPr>
        <w:pStyle w:val="BodyText"/>
        <w:spacing w:line="489" w:lineRule="auto" w:before="0"/>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487" w:lineRule="auto" w:before="86"/>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87"/>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期末单项金额重大或虽不重大但单独进行减值测试的应收账款坏账准备计提</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56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20"/>
              <w:jc w:val="left"/>
              <w:rPr>
                <w:rFonts w:ascii="宋体" w:hAnsi="宋体" w:cs="宋体" w:eastAsia="宋体" w:hint="default"/>
                <w:sz w:val="18"/>
                <w:szCs w:val="18"/>
              </w:rPr>
            </w:pPr>
            <w:r>
              <w:rPr>
                <w:rFonts w:ascii="宋体" w:hAnsi="宋体" w:cs="宋体" w:eastAsia="宋体" w:hint="default"/>
                <w:sz w:val="18"/>
                <w:szCs w:val="18"/>
              </w:rPr>
              <w:t>洪泽县农村信用合 作社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78"/>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20"/>
              <w:jc w:val="left"/>
              <w:rPr>
                <w:rFonts w:ascii="宋体" w:hAnsi="宋体" w:cs="宋体" w:eastAsia="宋体" w:hint="default"/>
                <w:sz w:val="18"/>
                <w:szCs w:val="18"/>
              </w:rPr>
            </w:pPr>
            <w:r>
              <w:rPr>
                <w:rFonts w:ascii="宋体" w:hAnsi="宋体" w:cs="宋体" w:eastAsia="宋体" w:hint="default"/>
                <w:sz w:val="18"/>
                <w:szCs w:val="18"/>
              </w:rPr>
              <w:t>中国农业银行南通 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8"/>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应收账款核销说明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）本报告期应收账款中持有公司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559"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101,956,920.86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48.22%</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8,485,002.60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81"/>
              <w:jc w:val="left"/>
              <w:rPr>
                <w:rFonts w:ascii="宋体" w:hAnsi="宋体" w:cs="宋体" w:eastAsia="宋体" w:hint="default"/>
                <w:sz w:val="18"/>
                <w:szCs w:val="18"/>
              </w:rPr>
            </w:pPr>
            <w:r>
              <w:rPr>
                <w:rFonts w:ascii="宋体" w:hAnsi="宋体" w:cs="宋体" w:eastAsia="宋体" w:hint="default"/>
                <w:sz w:val="18"/>
                <w:szCs w:val="18"/>
              </w:rPr>
              <w:t>通联支付网络服务股份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14,475,773.21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通联支付网络服务股份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522,660.00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7,925,129.33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深圳市瑞柏泰电子有限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6,152,117.35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145,678,603.35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w:t>
            </w:r>
          </w:p>
        </w:tc>
      </w:tr>
    </w:tbl>
    <w:p>
      <w:pPr>
        <w:spacing w:line="240" w:lineRule="auto" w:before="7"/>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559"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557"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1"/>
        <w:rPr>
          <w:rFonts w:ascii="宋体" w:hAnsi="宋体" w:cs="宋体" w:eastAsia="宋体" w:hint="default"/>
          <w:sz w:val="13"/>
          <w:szCs w:val="13"/>
        </w:rPr>
      </w:pPr>
    </w:p>
    <w:p>
      <w:pPr>
        <w:spacing w:line="1135" w:lineRule="exact"/>
        <w:ind w:left="148"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05pt;height:56.8pt;mso-position-horizontal-relative:char;mso-position-vertical-relative:line" coordorigin="0,0" coordsize="9581,1136">
            <v:group style="position:absolute;left:23;top:14;width:2;height:548" coordorigin="23,14" coordsize="2,548">
              <v:shape style="position:absolute;left:23;top:14;width:2;height:548" coordorigin="23,14" coordsize="0,548" path="m23,14l23,562e" filled="false" stroked="true" strokeweight="1.08pt" strokecolor="#d2d2d2">
                <v:path arrowok="t"/>
              </v:shape>
            </v:group>
            <v:group style="position:absolute;left:3846;top:14;width:2;height:548" coordorigin="3846,14" coordsize="2,548">
              <v:shape style="position:absolute;left:3846;top:14;width:2;height:548" coordorigin="3846,14" coordsize="0,548" path="m3846,14l3846,562e" filled="false" stroked="true" strokeweight="1.2pt" strokecolor="#d2d2d2">
                <v:path arrowok="t"/>
              </v:shape>
            </v:group>
            <v:group style="position:absolute;left:34;top:14;width:3801;height:548" coordorigin="34,14" coordsize="3801,548">
              <v:shape style="position:absolute;left:34;top:14;width:3801;height:548" coordorigin="34,14" coordsize="3801,548" path="m34,562l3834,562,3834,14,34,14,34,562xe" filled="true" fillcolor="#d2d2d2" stroked="false">
                <v:path arrowok="t"/>
                <v:fill type="solid"/>
              </v:shape>
            </v:group>
            <v:group style="position:absolute;left:3879;top:14;width:2;height:548" coordorigin="3879,14" coordsize="2,548">
              <v:shape style="position:absolute;left:3879;top:14;width:2;height:548" coordorigin="3879,14" coordsize="0,548" path="m3879,14l3879,562e" filled="false" stroked="true" strokeweight="1.2pt" strokecolor="#d2d2d2">
                <v:path arrowok="t"/>
              </v:shape>
            </v:group>
            <v:group style="position:absolute;left:9559;top:14;width:2;height:548" coordorigin="9559,14" coordsize="2,548">
              <v:shape style="position:absolute;left:9559;top:14;width:2;height:548" coordorigin="9559,14" coordsize="0,548" path="m9559,14l9559,562e" filled="false" stroked="true" strokeweight="1.2pt" strokecolor="#d2d2d2">
                <v:path arrowok="t"/>
              </v:shape>
            </v:group>
            <v:group style="position:absolute;left:3891;top:14;width:5656;height:548" coordorigin="3891,14" coordsize="5656,548">
              <v:shape style="position:absolute;left:3891;top:14;width:5656;height:548" coordorigin="3891,14" coordsize="5656,548" path="m3891,562l9547,562,9547,14,3891,14,3891,562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567" coordorigin="3863,5" coordsize="2,567">
              <v:shape style="position:absolute;left:3863;top:5;width:2;height:567" coordorigin="3863,5" coordsize="0,567" path="m3863,5l3863,571e" filled="false" stroked="true" strokeweight=".48pt" strokecolor="#000000">
                <v:path arrowok="t"/>
              </v:shape>
            </v:group>
            <v:group style="position:absolute;left:23;top:574;width:2;height:548" coordorigin="23,574" coordsize="2,548">
              <v:shape style="position:absolute;left:23;top:574;width:2;height:548" coordorigin="23,574" coordsize="0,548" path="m23,574l23,1121e" filled="false" stroked="true" strokeweight="1.08pt" strokecolor="#d2d2d2">
                <v:path arrowok="t"/>
              </v:shape>
            </v:group>
            <v:group style="position:absolute;left:9559;top:574;width:2;height:548" coordorigin="9559,574" coordsize="2,548">
              <v:shape style="position:absolute;left:9559;top:574;width:2;height:548" coordorigin="9559,574" coordsize="0,548" path="m9559,574l9559,1121e" filled="false" stroked="true" strokeweight="1.2pt" strokecolor="#d2d2d2">
                <v:path arrowok="t"/>
              </v:shape>
            </v:group>
            <v:group style="position:absolute;left:34;top:574;width:9514;height:548" coordorigin="34,574" coordsize="9514,548">
              <v:shape style="position:absolute;left:34;top:574;width:9514;height:548" coordorigin="34,574" coordsize="9514,548" path="m34,1121l9547,1121,9547,574,34,574,34,1121xe" filled="true" fillcolor="#d2d2d2" stroked="false">
                <v:path arrowok="t"/>
                <v:fill type="solid"/>
              </v:shape>
            </v:group>
            <v:group style="position:absolute;left:10;top:566;width:3849;height:2" coordorigin="10,566" coordsize="3849,2">
              <v:shape style="position:absolute;left:10;top:566;width:3849;height:2" coordorigin="10,566" coordsize="3849,0" path="m10,566l3858,566e" filled="false" stroked="true" strokeweight=".48pt" strokecolor="#000000">
                <v:path arrowok="t"/>
              </v:shape>
            </v:group>
            <v:group style="position:absolute;left:3867;top:566;width:5704;height:2" coordorigin="3867,566" coordsize="5704,2">
              <v:shape style="position:absolute;left:3867;top:566;width:5704;height:2" coordorigin="3867,566" coordsize="5704,0" path="m3867,566l9571,566e" filled="false" stroked="true" strokeweight=".48pt" strokecolor="#000000">
                <v:path arrowok="t"/>
              </v:shape>
            </v:group>
            <v:group style="position:absolute;left:5;top:5;width:2;height:1126" coordorigin="5,5" coordsize="2,1126">
              <v:shape style="position:absolute;left:5;top:5;width:2;height:1126" coordorigin="5,5" coordsize="0,1126" path="m5,5l5,1130e" filled="false" stroked="true" strokeweight=".48pt" strokecolor="#000000">
                <v:path arrowok="t"/>
              </v:shape>
            </v:group>
            <v:group style="position:absolute;left:10;top:1126;width:9562;height:2" coordorigin="10,1126" coordsize="9562,2">
              <v:shape style="position:absolute;left:10;top:1126;width:9562;height:2" coordorigin="10,1126" coordsize="9562,0" path="m10,1126l9571,1126e" filled="false" stroked="true" strokeweight=".48pt" strokecolor="#000000">
                <v:path arrowok="t"/>
              </v:shape>
            </v:group>
            <v:group style="position:absolute;left:9576;top:5;width:2;height:1126" coordorigin="9576,5" coordsize="2,1126">
              <v:shape style="position:absolute;left:9576;top:5;width:2;height:1126" coordorigin="9576,5" coordsize="0,1126" path="m9576,5l9576,1130e" filled="false" stroked="true" strokeweight=".48pt" strokecolor="#000000">
                <v:path arrowok="t"/>
              </v:shape>
              <v:shape style="position:absolute;left:1752;top:19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9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75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group>
          </v:group>
        </w:pict>
      </w:r>
      <w:r>
        <w:rPr>
          <w:rFonts w:ascii="宋体" w:hAnsi="宋体" w:cs="宋体" w:eastAsia="宋体" w:hint="default"/>
          <w:position w:val="-22"/>
          <w:sz w:val="20"/>
          <w:szCs w:val="20"/>
        </w:rPr>
      </w:r>
    </w:p>
    <w:p>
      <w:pPr>
        <w:spacing w:after="0" w:line="1135"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558" w:lineRule="exact"/>
        <w:ind w:left="154"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78.5pt;height:27.95pt;mso-position-horizontal-relative:char;mso-position-vertical-relative:line" type="#_x0000_t202" filled="true" fillcolor="#d2d2d2" stroked="true" strokeweight=".48pt" strokecolor="#000000">
            <w10:anchorlock/>
            <v:textbox inset="0,0,0,0">
              <w:txbxContent>
                <w:p>
                  <w:pPr>
                    <w:pStyle w:val="BodyText"/>
                    <w:spacing w:line="240" w:lineRule="auto" w:before="128"/>
                    <w:ind w:left="22" w:right="0"/>
                    <w:jc w:val="left"/>
                  </w:pPr>
                  <w:r>
                    <w:rPr/>
                    <w:t>负债：</w:t>
                  </w:r>
                </w:p>
              </w:txbxContent>
            </v:textbox>
            <v:fill type="solid"/>
          </v:shape>
        </w:pict>
      </w:r>
      <w:r>
        <w:rPr>
          <w:rFonts w:ascii="宋体" w:hAnsi="宋体" w:cs="宋体" w:eastAsia="宋体" w:hint="default"/>
          <w:position w:val="-10"/>
          <w:sz w:val="20"/>
          <w:szCs w:val="20"/>
        </w:rPr>
      </w:r>
    </w:p>
    <w:p>
      <w:pPr>
        <w:spacing w:line="240" w:lineRule="auto" w:before="13"/>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559"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9"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57"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10,102,900.2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944,479.25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7,744,173.98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670,223.46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10,102,900.2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944,479.25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7,744,173.98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670,223.46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w:t>
            </w:r>
          </w:p>
        </w:tc>
      </w:tr>
      <w:tr>
        <w:trPr>
          <w:trHeight w:val="102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10,102,900.2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944,479.25</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7,744,173.98</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670,223.46</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516" w:lineRule="auto"/>
        <w:ind w:right="5634"/>
        <w:jc w:val="left"/>
      </w:pPr>
      <w:r>
        <w:rPr/>
        <w:t>其他应收款种类的说明 期末单项金额重大并单项计提坏账准备的其他应收款</w:t>
      </w:r>
    </w:p>
    <w:p>
      <w:pPr>
        <w:pStyle w:val="BodyText"/>
        <w:spacing w:line="489" w:lineRule="auto" w:before="66"/>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83"/>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557"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24"/>
        <w:gridCol w:w="1853"/>
        <w:gridCol w:w="658"/>
        <w:gridCol w:w="1448"/>
        <w:gridCol w:w="1450"/>
        <w:gridCol w:w="658"/>
        <w:gridCol w:w="1668"/>
      </w:tblGrid>
      <w:tr>
        <w:trPr>
          <w:trHeight w:val="558"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558"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9,016,442.11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89.24%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450,822.10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6,944,940.62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350,247.03</w:t>
            </w:r>
          </w:p>
        </w:tc>
      </w:tr>
      <w:tr>
        <w:trPr>
          <w:trHeight w:val="559"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614,329.72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122,865.94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467,727.41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93,545.48</w:t>
            </w:r>
          </w:p>
        </w:tc>
      </w:tr>
      <w:tr>
        <w:trPr>
          <w:trHeight w:val="557"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202,674.41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101,337.21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105,075.00</w:t>
            </w:r>
          </w:p>
        </w:tc>
      </w:tr>
      <w:tr>
        <w:trPr>
          <w:trHeight w:val="559"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269,454.00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269,454.00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121,355.95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121,355.95</w:t>
            </w:r>
          </w:p>
        </w:tc>
      </w:tr>
      <w:tr>
        <w:trPr>
          <w:trHeight w:val="560"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10,102,900.24</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944,479.25</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7,744,173.98</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670,223.46</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组合中，采用余额百分比法计提坏账准备的其他应收款</w:t>
      </w:r>
    </w:p>
    <w:p>
      <w:pPr>
        <w:spacing w:line="240" w:lineRule="auto" w:before="9"/>
        <w:rPr>
          <w:rFonts w:ascii="宋体" w:hAnsi="宋体" w:cs="宋体" w:eastAsia="宋体" w:hint="default"/>
          <w:sz w:val="20"/>
          <w:szCs w:val="20"/>
        </w:rPr>
      </w:pPr>
    </w:p>
    <w:p>
      <w:pPr>
        <w:pStyle w:val="BodyText"/>
        <w:spacing w:line="489" w:lineRule="auto" w:before="0"/>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489" w:lineRule="auto" w:before="83"/>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86"/>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1027"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期末单项金额重大或虽不重大但单独进行减值测试的其他应收账款坏账准备计提</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559"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55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141"/>
        <w:jc w:val="left"/>
      </w:pPr>
      <w:r>
        <w:rPr/>
        <w:t>其他应收款核销说明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）本报告期其他应收款中持有公司</w:t>
      </w:r>
      <w:r>
        <w:rPr>
          <w:spacing w:val="-53"/>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557"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55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1,159,920.00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11.48%</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姚伟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深圳市赛百诺基因技术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392,768.00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3,310,288.00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32.77%</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77"/>
        <w:gridCol w:w="2431"/>
        <w:gridCol w:w="2430"/>
        <w:gridCol w:w="2418"/>
      </w:tblGrid>
      <w:tr>
        <w:trPr>
          <w:trHeight w:val="560"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559"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1"/>
        <w:rPr>
          <w:rFonts w:ascii="宋体" w:hAnsi="宋体" w:cs="宋体" w:eastAsia="宋体" w:hint="default"/>
          <w:sz w:val="13"/>
          <w:szCs w:val="13"/>
        </w:rPr>
      </w:pPr>
    </w:p>
    <w:p>
      <w:pPr>
        <w:spacing w:line="1692" w:lineRule="exact"/>
        <w:ind w:left="148"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479.05pt;height:84.6pt;mso-position-horizontal-relative:char;mso-position-vertical-relative:line" coordorigin="0,0" coordsize="9581,1692">
            <v:group style="position:absolute;left:23;top:14;width:2;height:548" coordorigin="23,14" coordsize="2,548">
              <v:shape style="position:absolute;left:23;top:14;width:2;height:548" coordorigin="23,14" coordsize="0,548" path="m23,14l23,562e" filled="false" stroked="true" strokeweight="1.08pt" strokecolor="#d2d2d2">
                <v:path arrowok="t"/>
              </v:shape>
            </v:group>
            <v:group style="position:absolute;left:3713;top:14;width:2;height:548" coordorigin="3713,14" coordsize="2,548">
              <v:shape style="position:absolute;left:3713;top:14;width:2;height:548" coordorigin="3713,14" coordsize="0,548" path="m3713,14l3713,562e" filled="false" stroked="true" strokeweight="1.08pt" strokecolor="#d2d2d2">
                <v:path arrowok="t"/>
              </v:shape>
            </v:group>
            <v:group style="position:absolute;left:34;top:14;width:3669;height:548" coordorigin="34,14" coordsize="3669,548">
              <v:shape style="position:absolute;left:34;top:14;width:3669;height:548" coordorigin="34,14" coordsize="3669,548" path="m34,562l3702,562,3702,14,34,14,34,562xe" filled="true" fillcolor="#d2d2d2" stroked="false">
                <v:path arrowok="t"/>
                <v:fill type="solid"/>
              </v:shape>
            </v:group>
            <v:group style="position:absolute;left:3745;top:14;width:2;height:548" coordorigin="3745,14" coordsize="2,548">
              <v:shape style="position:absolute;left:3745;top:14;width:2;height:548" coordorigin="3745,14" coordsize="0,548" path="m3745,14l3745,562e" filled="false" stroked="true" strokeweight="1.2pt" strokecolor="#d2d2d2">
                <v:path arrowok="t"/>
              </v:shape>
            </v:group>
            <v:group style="position:absolute;left:9559;top:14;width:2;height:548" coordorigin="9559,14" coordsize="2,548">
              <v:shape style="position:absolute;left:9559;top:14;width:2;height:548" coordorigin="9559,14" coordsize="0,548" path="m9559,14l9559,562e" filled="false" stroked="true" strokeweight="1.2pt" strokecolor="#d2d2d2">
                <v:path arrowok="t"/>
              </v:shape>
            </v:group>
            <v:group style="position:absolute;left:3757;top:14;width:5790;height:548" coordorigin="3757,14" coordsize="5790,548">
              <v:shape style="position:absolute;left:3757;top:14;width:5790;height:548" coordorigin="3757,14" coordsize="5790,548" path="m3757,562l9547,562,9547,14,3757,14,3757,562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567" coordorigin="3728,5" coordsize="2,567">
              <v:shape style="position:absolute;left:3728;top:5;width:2;height:567" coordorigin="3728,5" coordsize="0,567" path="m3728,5l3728,571e" filled="false" stroked="true" strokeweight=".48pt" strokecolor="#000000">
                <v:path arrowok="t"/>
              </v:shape>
            </v:group>
            <v:group style="position:absolute;left:23;top:571;width:2;height:550" coordorigin="23,571" coordsize="2,550">
              <v:shape style="position:absolute;left:23;top:571;width:2;height:550" coordorigin="23,571" coordsize="0,550" path="m23,571l23,1121e" filled="false" stroked="true" strokeweight="1.08pt" strokecolor="#d2d2d2">
                <v:path arrowok="t"/>
              </v:shape>
            </v:group>
            <v:group style="position:absolute;left:9559;top:571;width:2;height:550" coordorigin="9559,571" coordsize="2,550">
              <v:shape style="position:absolute;left:9559;top:571;width:2;height:550" coordorigin="9559,571" coordsize="0,550" path="m9559,571l9559,1121e" filled="false" stroked="true" strokeweight="1.2pt" strokecolor="#d2d2d2">
                <v:path arrowok="t"/>
              </v:shape>
            </v:group>
            <v:group style="position:absolute;left:34;top:571;width:9514;height:550" coordorigin="34,571" coordsize="9514,550">
              <v:shape style="position:absolute;left:34;top:571;width:9514;height:550" coordorigin="34,571" coordsize="9514,550" path="m34,1121l9547,1121,9547,571,34,571,34,1121xe" filled="true" fillcolor="#d2d2d2" stroked="false">
                <v:path arrowok="t"/>
                <v:fill type="solid"/>
              </v:shape>
            </v:group>
            <v:group style="position:absolute;left:10;top:566;width:3714;height:2" coordorigin="10,566" coordsize="3714,2">
              <v:shape style="position:absolute;left:10;top:566;width:3714;height:2" coordorigin="10,566" coordsize="3714,0" path="m10,566l3723,566e" filled="false" stroked="true" strokeweight=".48pt" strokecolor="#000000">
                <v:path arrowok="t"/>
              </v:shape>
            </v:group>
            <v:group style="position:absolute;left:3733;top:566;width:5838;height:2" coordorigin="3733,566" coordsize="5838,2">
              <v:shape style="position:absolute;left:3733;top:566;width:5838;height:2" coordorigin="3733,566" coordsize="5838,0" path="m3733,566l9571,566e" filled="false" stroked="true" strokeweight=".48pt" strokecolor="#000000">
                <v:path arrowok="t"/>
              </v:shape>
            </v:group>
            <v:group style="position:absolute;left:23;top:1130;width:2;height:548" coordorigin="23,1130" coordsize="2,548">
              <v:shape style="position:absolute;left:23;top:1130;width:2;height:548" coordorigin="23,1130" coordsize="0,548" path="m23,1130l23,1678e" filled="false" stroked="true" strokeweight="1.08pt" strokecolor="#d2d2d2">
                <v:path arrowok="t"/>
              </v:shape>
            </v:group>
            <v:group style="position:absolute;left:9559;top:1130;width:2;height:548" coordorigin="9559,1130" coordsize="2,548">
              <v:shape style="position:absolute;left:9559;top:1130;width:2;height:548" coordorigin="9559,1130" coordsize="0,548" path="m9559,1130l9559,1678e" filled="false" stroked="true" strokeweight="1.2pt" strokecolor="#d2d2d2">
                <v:path arrowok="t"/>
              </v:shape>
            </v:group>
            <v:group style="position:absolute;left:34;top:1130;width:9514;height:548" coordorigin="34,1130" coordsize="9514,548">
              <v:shape style="position:absolute;left:34;top:1130;width:9514;height:548" coordorigin="34,1130" coordsize="9514,548" path="m34,1678l9547,1678,9547,1130,34,1130,34,1678xe" filled="true" fillcolor="#d2d2d2" stroked="false">
                <v:path arrowok="t"/>
                <v:fill type="solid"/>
              </v:shape>
            </v:group>
            <v:group style="position:absolute;left:10;top:1126;width:9562;height:2" coordorigin="10,1126" coordsize="9562,2">
              <v:shape style="position:absolute;left:10;top:1126;width:9562;height:2" coordorigin="10,1126" coordsize="9562,0" path="m10,1126l9571,1126e" filled="false" stroked="true" strokeweight=".48pt" strokecolor="#000000">
                <v:path arrowok="t"/>
              </v:shape>
            </v:group>
            <v:group style="position:absolute;left:5;top:5;width:2;height:1683" coordorigin="5,5" coordsize="2,1683">
              <v:shape style="position:absolute;left:5;top:5;width:2;height:1683" coordorigin="5,5" coordsize="0,1683" path="m5,5l5,1687e" filled="false" stroked="true" strokeweight=".48pt" strokecolor="#000000">
                <v:path arrowok="t"/>
              </v:shape>
            </v:group>
            <v:group style="position:absolute;left:10;top:1682;width:9562;height:2" coordorigin="10,1682" coordsize="9562,2">
              <v:shape style="position:absolute;left:10;top:1682;width:9562;height:2" coordorigin="10,1682" coordsize="9562,0" path="m10,1682l9571,1682e" filled="false" stroked="true" strokeweight=".48pt" strokecolor="#000000">
                <v:path arrowok="t"/>
              </v:shape>
            </v:group>
            <v:group style="position:absolute;left:9576;top:5;width:2;height:1683" coordorigin="9576,5" coordsize="2,1683">
              <v:shape style="position:absolute;left:9576;top:5;width:2;height:1683" coordorigin="9576,5" coordsize="0,1683" path="m9576,5l9576,1687e" filled="false" stroked="true" strokeweight=".48pt" strokecolor="#000000">
                <v:path arrowok="t"/>
              </v:shape>
              <v:shape style="position:absolute;left:1688;top:19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9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75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131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33"/>
          <w:sz w:val="20"/>
          <w:szCs w:val="20"/>
        </w:rPr>
      </w:r>
    </w:p>
    <w:p>
      <w:pPr>
        <w:spacing w:line="240" w:lineRule="auto" w:before="2"/>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83"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75"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275"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3"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1,792,562.29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2,241,896.19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98.92%</w:t>
            </w:r>
          </w:p>
        </w:tc>
      </w:tr>
      <w:tr>
        <w:trPr>
          <w:trHeight w:val="559"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24,483.00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r>
      <w:tr>
        <w:trPr>
          <w:trHeight w:val="557"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1,823,562.29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2,266,379.19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预付款项账龄的说明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81"/>
              <w:jc w:val="left"/>
              <w:rPr>
                <w:rFonts w:ascii="宋体" w:hAnsi="宋体" w:cs="宋体" w:eastAsia="宋体" w:hint="default"/>
                <w:sz w:val="18"/>
                <w:szCs w:val="18"/>
              </w:rPr>
            </w:pPr>
            <w:r>
              <w:rPr>
                <w:rFonts w:ascii="宋体" w:hAnsi="宋体" w:cs="宋体" w:eastAsia="宋体" w:hint="default"/>
                <w:sz w:val="18"/>
                <w:szCs w:val="18"/>
              </w:rPr>
              <w:t>北京银联金卡科技有限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深圳市伟创自动化设备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暂未验收</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深圳市精英商标事务所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深圳市腾邦国际票务股 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81"/>
              <w:jc w:val="left"/>
              <w:rPr>
                <w:rFonts w:ascii="宋体" w:hAnsi="宋体" w:cs="宋体" w:eastAsia="宋体" w:hint="default"/>
                <w:sz w:val="18"/>
                <w:szCs w:val="18"/>
              </w:rPr>
            </w:pPr>
            <w:r>
              <w:rPr>
                <w:rFonts w:ascii="宋体" w:hAnsi="宋体" w:cs="宋体" w:eastAsia="宋体" w:hint="default"/>
                <w:sz w:val="18"/>
                <w:szCs w:val="18"/>
              </w:rPr>
              <w:t>深圳市东华假日酒店有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1,416,035.00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预付款项主要单位的说明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）本报告期预付款项中持有本公司</w:t>
      </w:r>
      <w:r>
        <w:rPr>
          <w:spacing w:val="-53"/>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558"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588"/>
        <w:gridCol w:w="1461"/>
        <w:gridCol w:w="1193"/>
        <w:gridCol w:w="1331"/>
        <w:gridCol w:w="1326"/>
        <w:gridCol w:w="1330"/>
        <w:gridCol w:w="1316"/>
      </w:tblGrid>
      <w:tr>
        <w:trPr>
          <w:trHeight w:val="283"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69"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73" w:type="dxa"/>
            <w:gridSpan w:val="3"/>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24,493,903.39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24,493,903.39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20,328,273.15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20,328,273.15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55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31,991,317.18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31,991,317.18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26,923,993.97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26,923,993.97</w:t>
            </w:r>
          </w:p>
        </w:tc>
      </w:tr>
      <w:tr>
        <w:trPr>
          <w:trHeight w:val="55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24,833,202.43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24,833,202.43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13,854,220.66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13,854,220.66</w:t>
            </w:r>
          </w:p>
        </w:tc>
      </w:tr>
      <w:tr>
        <w:trPr>
          <w:trHeight w:val="55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8,411,978.76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8,411,978.76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48,504,011.38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48,504,011.38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44,892,764.78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44,892,764.78</w:t>
            </w:r>
          </w:p>
        </w:tc>
      </w:tr>
      <w:tr>
        <w:trPr>
          <w:trHeight w:val="55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138,234,413.14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138,234,413.14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105,999,252.56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105,999,252.56</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5"/>
        <w:gridCol w:w="1414"/>
        <w:gridCol w:w="1431"/>
        <w:gridCol w:w="1757"/>
      </w:tblGrid>
      <w:tr>
        <w:trPr>
          <w:trHeight w:val="559"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7"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本期转回金额占该项存货期</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5"/>
        <w:rPr>
          <w:rFonts w:ascii="宋体" w:hAnsi="宋体" w:cs="宋体" w:eastAsia="宋体" w:hint="default"/>
          <w:b/>
          <w:bCs/>
          <w:sz w:val="6"/>
          <w:szCs w:val="6"/>
        </w:rPr>
      </w:pPr>
    </w:p>
    <w:p>
      <w:pPr>
        <w:pStyle w:val="BodyText"/>
        <w:spacing w:line="240" w:lineRule="auto"/>
        <w:ind w:right="141"/>
        <w:jc w:val="left"/>
      </w:pPr>
      <w:r>
        <w:rPr/>
        <w:t>存货的说明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558"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871,991.00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未抵扣的进项税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22,447,862.56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23,319,853.56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其他流动资产说明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9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557"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5"/>
        <w:rPr>
          <w:rFonts w:ascii="宋体" w:hAnsi="宋体" w:cs="宋体" w:eastAsia="宋体" w:hint="default"/>
          <w:sz w:val="6"/>
          <w:szCs w:val="6"/>
        </w:rPr>
      </w:pPr>
    </w:p>
    <w:p>
      <w:pPr>
        <w:pStyle w:val="BodyText"/>
        <w:spacing w:line="518" w:lineRule="auto"/>
        <w:ind w:right="0"/>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spacing w:line="240" w:lineRule="auto" w:before="7"/>
        <w:rPr>
          <w:rFonts w:ascii="宋体" w:hAnsi="宋体" w:cs="宋体" w:eastAsia="宋体" w:hint="default"/>
          <w:sz w:val="23"/>
          <w:szCs w:val="23"/>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left="0" w:right="19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5"/>
        <w:rPr>
          <w:rFonts w:ascii="宋体" w:hAnsi="宋体" w:cs="宋体" w:eastAsia="宋体" w:hint="default"/>
          <w:sz w:val="6"/>
          <w:szCs w:val="6"/>
        </w:rPr>
      </w:pPr>
    </w:p>
    <w:p>
      <w:pPr>
        <w:pStyle w:val="BodyText"/>
        <w:spacing w:line="240" w:lineRule="auto"/>
        <w:ind w:right="0"/>
        <w:jc w:val="left"/>
      </w:pPr>
      <w:r>
        <w:rPr/>
        <w:t>可供出售金融资产的长期债权投资的说明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9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559"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5"/>
        <w:rPr>
          <w:rFonts w:ascii="宋体" w:hAnsi="宋体" w:cs="宋体" w:eastAsia="宋体" w:hint="default"/>
          <w:sz w:val="6"/>
          <w:szCs w:val="6"/>
        </w:rPr>
      </w:pPr>
    </w:p>
    <w:p>
      <w:pPr>
        <w:pStyle w:val="BodyText"/>
        <w:spacing w:line="240" w:lineRule="auto"/>
        <w:ind w:right="0"/>
        <w:jc w:val="left"/>
      </w:pPr>
      <w:r>
        <w:rPr/>
        <w:t>持有至到期投资的说明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9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559"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5"/>
        <w:rPr>
          <w:rFonts w:ascii="宋体" w:hAnsi="宋体" w:cs="宋体" w:eastAsia="宋体" w:hint="default"/>
          <w:sz w:val="6"/>
          <w:szCs w:val="6"/>
        </w:rPr>
      </w:pPr>
    </w:p>
    <w:p>
      <w:pPr>
        <w:pStyle w:val="BodyText"/>
        <w:spacing w:line="240" w:lineRule="auto"/>
        <w:ind w:right="0"/>
        <w:jc w:val="left"/>
      </w:pPr>
      <w:r>
        <w:rPr/>
        <w:t>本报告期内出售但尚未到期的持有至到期投资情况说明</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557"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49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本企业在被投</w:t>
            </w:r>
          </w:p>
          <w:p>
            <w:pPr>
              <w:pStyle w:val="TableParagraph"/>
              <w:spacing w:line="468" w:lineRule="exact" w:before="6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58"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57"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2" w:right="81"/>
              <w:jc w:val="left"/>
              <w:rPr>
                <w:rFonts w:ascii="宋体" w:hAnsi="宋体" w:cs="宋体" w:eastAsia="宋体" w:hint="default"/>
                <w:sz w:val="18"/>
                <w:szCs w:val="18"/>
              </w:rPr>
            </w:pPr>
            <w:r>
              <w:rPr>
                <w:rFonts w:ascii="宋体" w:hAnsi="宋体" w:cs="宋体" w:eastAsia="宋体" w:hint="default"/>
                <w:sz w:val="18"/>
                <w:szCs w:val="18"/>
              </w:rPr>
              <w:t>肇庆市好易联 网络有限公司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1,477.90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792.85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1,319.30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128.73</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2899"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3"/>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3"/>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3"/>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3"/>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7"/>
              <w:ind w:left="22" w:right="39"/>
              <w:jc w:val="left"/>
              <w:rPr>
                <w:rFonts w:ascii="宋体" w:hAnsi="宋体" w:cs="宋体" w:eastAsia="宋体" w:hint="default"/>
                <w:sz w:val="18"/>
                <w:szCs w:val="18"/>
              </w:rPr>
            </w:pPr>
            <w:r>
              <w:rPr>
                <w:rFonts w:ascii="宋体" w:hAnsi="宋体" w:cs="宋体" w:eastAsia="宋体" w:hint="default"/>
                <w:sz w:val="18"/>
                <w:szCs w:val="18"/>
              </w:rPr>
              <w:t>肇庆市好 易联网络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1,250,624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3,254,181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630,781.5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3,884,962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51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Exadigm,</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4,371,874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3,254,181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3,752,031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7,006,212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102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长期股权投资的说明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557"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line="240" w:lineRule="auto" w:before="5"/>
        <w:rPr>
          <w:rFonts w:ascii="宋体" w:hAnsi="宋体" w:cs="宋体" w:eastAsia="宋体" w:hint="default"/>
          <w:sz w:val="6"/>
          <w:szCs w:val="6"/>
        </w:rPr>
      </w:pPr>
    </w:p>
    <w:p>
      <w:pPr>
        <w:pStyle w:val="BodyText"/>
        <w:spacing w:line="240" w:lineRule="auto"/>
        <w:ind w:left="0" w:right="151"/>
        <w:jc w:val="right"/>
      </w:pPr>
      <w:r>
        <w:rPr/>
        <w:t>单位：</w:t>
      </w:r>
      <w:r>
        <w:rPr>
          <w:spacing w:val="1"/>
        </w:rPr>
        <w:t> </w:t>
      </w:r>
      <w:r>
        <w:rPr/>
        <w:t>元</w:t>
      </w:r>
    </w:p>
    <w:p>
      <w:pPr>
        <w:spacing w:line="240" w:lineRule="auto" w:before="11"/>
        <w:rPr>
          <w:rFonts w:ascii="宋体" w:hAnsi="宋体" w:cs="宋体" w:eastAsia="宋体" w:hint="default"/>
          <w:sz w:val="13"/>
          <w:szCs w:val="13"/>
        </w:rPr>
      </w:pPr>
    </w:p>
    <w:p>
      <w:pPr>
        <w:spacing w:line="576" w:lineRule="exact"/>
        <w:ind w:left="14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79.05pt;height:28.8pt;mso-position-horizontal-relative:char;mso-position-vertical-relative:line" coordorigin="0,0" coordsize="9581,576">
            <v:group style="position:absolute;left:23;top:14;width:2;height:548" coordorigin="23,14" coordsize="2,548">
              <v:shape style="position:absolute;left:23;top:14;width:2;height:548" coordorigin="23,14" coordsize="0,548" path="m23,14l23,562e" filled="false" stroked="true" strokeweight="1.08pt" strokecolor="#d2d2d2">
                <v:path arrowok="t"/>
              </v:shape>
            </v:group>
            <v:group style="position:absolute;left:5350;top:14;width:2;height:548" coordorigin="5350,14" coordsize="2,548">
              <v:shape style="position:absolute;left:5350;top:14;width:2;height:548" coordorigin="5350,14" coordsize="0,548" path="m5350,14l5350,562e" filled="false" stroked="true" strokeweight="1.08pt" strokecolor="#d2d2d2">
                <v:path arrowok="t"/>
              </v:shape>
            </v:group>
            <v:group style="position:absolute;left:34;top:14;width:5306;height:548" coordorigin="34,14" coordsize="5306,548">
              <v:shape style="position:absolute;left:34;top:14;width:5306;height:548" coordorigin="34,14" coordsize="5306,548" path="m34,562l5339,562,5339,14,34,14,34,562xe" filled="true" fillcolor="#d2d2d2" stroked="false">
                <v:path arrowok="t"/>
                <v:fill type="solid"/>
              </v:shape>
            </v:group>
            <v:group style="position:absolute;left:5382;top:14;width:2;height:548" coordorigin="5382,14" coordsize="2,548">
              <v:shape style="position:absolute;left:5382;top:14;width:2;height:548" coordorigin="5382,14" coordsize="0,548" path="m5382,14l5382,562e" filled="false" stroked="true" strokeweight="1.2pt" strokecolor="#d2d2d2">
                <v:path arrowok="t"/>
              </v:shape>
            </v:group>
            <v:group style="position:absolute;left:9559;top:14;width:2;height:548" coordorigin="9559,14" coordsize="2,548">
              <v:shape style="position:absolute;left:9559;top:14;width:2;height:548" coordorigin="9559,14" coordsize="0,548" path="m9559,14l9559,562e" filled="false" stroked="true" strokeweight="1.2pt" strokecolor="#d2d2d2">
                <v:path arrowok="t"/>
              </v:shape>
            </v:group>
            <v:group style="position:absolute;left:5394;top:14;width:4153;height:548" coordorigin="5394,14" coordsize="4153,548">
              <v:shape style="position:absolute;left:5394;top:14;width:4153;height:548" coordorigin="5394,14" coordsize="4153,548" path="m5394,562l9547,562,9547,14,5394,14,5394,562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567" coordorigin="5,5" coordsize="2,567">
              <v:shape style="position:absolute;left:5;top:5;width:2;height:567" coordorigin="5,5" coordsize="0,567" path="m5,5l5,571e" filled="false" stroked="true" strokeweight=".48pt" strokecolor="#000000">
                <v:path arrowok="t"/>
              </v:shape>
            </v:group>
            <v:group style="position:absolute;left:10;top:566;width:5351;height:2" coordorigin="10,566" coordsize="5351,2">
              <v:shape style="position:absolute;left:10;top:566;width:5351;height:2" coordorigin="10,566" coordsize="5351,0" path="m10,566l5361,566e" filled="false" stroked="true" strokeweight=".48pt" strokecolor="#000000">
                <v:path arrowok="t"/>
              </v:shape>
            </v:group>
            <v:group style="position:absolute;left:5365;top:5;width:2;height:567" coordorigin="5365,5" coordsize="2,567">
              <v:shape style="position:absolute;left:5365;top:5;width:2;height:567" coordorigin="5365,5" coordsize="0,567" path="m5365,5l5365,571e" filled="false" stroked="true" strokeweight=".48pt" strokecolor="#000000">
                <v:path arrowok="t"/>
              </v:shape>
            </v:group>
            <v:group style="position:absolute;left:5370;top:566;width:4201;height:2" coordorigin="5370,566" coordsize="4201,2">
              <v:shape style="position:absolute;left:5370;top:566;width:4201;height:2" coordorigin="5370,566" coordsize="4201,0" path="m5370,566l9571,566e" filled="false" stroked="true" strokeweight=".48pt" strokecolor="#000000">
                <v:path arrowok="t"/>
              </v:shape>
            </v:group>
            <v:group style="position:absolute;left:9576;top:5;width:2;height:567" coordorigin="9576,5" coordsize="2,567">
              <v:shape style="position:absolute;left:9576;top:5;width:2;height:567" coordorigin="9576,5" coordsize="0,567" path="m9576,5l9576,571e" filled="false" stroked="true" strokeweight=".48pt" strokecolor="#000000">
                <v:path arrowok="t"/>
              </v:shape>
              <v:shape style="position:absolute;left:7290;top:19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11"/>
          <w:sz w:val="20"/>
          <w:szCs w:val="20"/>
        </w:rPr>
      </w:r>
    </w:p>
    <w:p>
      <w:pPr>
        <w:spacing w:line="240" w:lineRule="auto" w:before="2"/>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558"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026"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6"/>
          <w:szCs w:val="6"/>
        </w:rPr>
      </w:pPr>
    </w:p>
    <w:p>
      <w:pPr>
        <w:pStyle w:val="BodyText"/>
        <w:spacing w:line="477" w:lineRule="auto"/>
        <w:ind w:right="141"/>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after="0" w:line="47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25,946,058.45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5" w:right="0"/>
              <w:jc w:val="left"/>
              <w:rPr>
                <w:rFonts w:ascii="Times New Roman" w:hAnsi="Times New Roman" w:cs="Times New Roman" w:eastAsia="Times New Roman" w:hint="default"/>
                <w:sz w:val="18"/>
                <w:szCs w:val="18"/>
              </w:rPr>
            </w:pPr>
            <w:r>
              <w:rPr>
                <w:rFonts w:ascii="Times New Roman"/>
                <w:sz w:val="18"/>
              </w:rPr>
              <w:t>13,757,057.49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1,598,641.35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38,104,474.59</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975,939.85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975,939.85</w:t>
            </w:r>
          </w:p>
        </w:tc>
      </w:tr>
      <w:tr>
        <w:trPr>
          <w:trHeight w:val="560"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968,034.52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931,744.71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1,899,779.23</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4,659,288.16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1,418,117.11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3,632,171.05</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13,604,975.16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3,947,644.44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180,524.24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17,372,095.36</w:t>
            </w:r>
          </w:p>
        </w:tc>
      </w:tr>
      <w:tr>
        <w:trPr>
          <w:trHeight w:val="102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办公及电子设</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5,737,820.76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8,486,668.34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14,224,489.10</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14,187,115.48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3,696,526.12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1,403,411.21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16,480,230.39</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23,188.38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46,376.76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69,565.14</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508,691.69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153,602.41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662,294.10</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2,282,375.96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793,214.98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1,319,145.09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1,756,445.85</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9,624,299.11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925,038.00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84,266.12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10,465,070.99</w:t>
            </w:r>
          </w:p>
        </w:tc>
      </w:tr>
      <w:tr>
        <w:trPr>
          <w:trHeight w:val="102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办公及电子设</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1,748,560.34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1,778,293.97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3,526,854.31</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11,758,942.97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21,624,244.20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952,751.47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906,374.71</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459,342.83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1,237,485.13</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2,376,912.20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1,875,725.20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4518"/>
        <w:gridCol w:w="1459"/>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3,980,676.05</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6,907,024.37</w:t>
            </w:r>
          </w:p>
        </w:tc>
      </w:tr>
      <w:tr>
        <w:trPr>
          <w:trHeight w:val="102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26" w:right="0"/>
              <w:jc w:val="left"/>
              <w:rPr>
                <w:rFonts w:ascii="宋体" w:hAnsi="宋体" w:cs="宋体" w:eastAsia="宋体" w:hint="default"/>
                <w:sz w:val="18"/>
                <w:szCs w:val="18"/>
              </w:rPr>
            </w:pPr>
            <w:r>
              <w:rPr>
                <w:rFonts w:ascii="宋体" w:hAnsi="宋体" w:cs="宋体" w:eastAsia="宋体" w:hint="default"/>
                <w:sz w:val="18"/>
                <w:szCs w:val="18"/>
              </w:rPr>
              <w:t>办公及电子设</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3,989,260.42</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10,697,634.79</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26" w:right="0"/>
              <w:jc w:val="left"/>
              <w:rPr>
                <w:rFonts w:ascii="宋体" w:hAnsi="宋体" w:cs="宋体" w:eastAsia="宋体" w:hint="default"/>
                <w:sz w:val="18"/>
                <w:szCs w:val="18"/>
              </w:rPr>
            </w:pPr>
            <w:r>
              <w:rPr>
                <w:rFonts w:ascii="宋体" w:hAnsi="宋体" w:cs="宋体" w:eastAsia="宋体" w:hint="default"/>
                <w:sz w:val="18"/>
                <w:szCs w:val="18"/>
              </w:rPr>
              <w:t>办公及电子设</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11,758,942.97</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21,624,244.20</w:t>
            </w:r>
          </w:p>
        </w:tc>
      </w:tr>
      <w:tr>
        <w:trPr>
          <w:trHeight w:val="560"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952,751.47</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906,374.71</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459,342.83</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1,237,485.13</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2,376,912.20</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1,875,725.20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3,980,676.05</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6,907,024.37</w:t>
            </w:r>
          </w:p>
        </w:tc>
      </w:tr>
      <w:tr>
        <w:trPr>
          <w:trHeight w:val="102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26" w:right="0"/>
              <w:jc w:val="left"/>
              <w:rPr>
                <w:rFonts w:ascii="宋体" w:hAnsi="宋体" w:cs="宋体" w:eastAsia="宋体" w:hint="default"/>
                <w:sz w:val="18"/>
                <w:szCs w:val="18"/>
              </w:rPr>
            </w:pPr>
            <w:r>
              <w:rPr>
                <w:rFonts w:ascii="宋体" w:hAnsi="宋体" w:cs="宋体" w:eastAsia="宋体" w:hint="default"/>
                <w:sz w:val="18"/>
                <w:szCs w:val="18"/>
              </w:rPr>
              <w:t>办公及电子设</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3,989,260.42</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10,697,634.79</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本期折旧额</w:t>
      </w:r>
      <w:r>
        <w:rPr>
          <w:spacing w:val="-49"/>
        </w:rPr>
        <w:t> </w:t>
      </w:r>
      <w:r>
        <w:rPr>
          <w:rFonts w:ascii="Times New Roman" w:hAnsi="Times New Roman" w:cs="Times New Roman" w:eastAsia="Times New Roman" w:hint="default"/>
        </w:rPr>
        <w:t>3,696,526.12</w:t>
      </w:r>
      <w:r>
        <w:rPr>
          <w:rFonts w:ascii="Times New Roman" w:hAnsi="Times New Roman" w:cs="Times New Roman" w:eastAsia="Times New Roman" w:hint="default"/>
          <w:spacing w:val="-2"/>
        </w:rPr>
        <w:t> </w:t>
      </w:r>
      <w:r>
        <w:rPr/>
        <w:t>元；本期由在建工程转入固定资产原价为元。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55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7"/>
        <w:gridCol w:w="4784"/>
      </w:tblGrid>
      <w:tr>
        <w:trPr>
          <w:trHeight w:val="56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6,907,024.40</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559"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55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line="240" w:lineRule="auto" w:before="6"/>
        <w:rPr>
          <w:rFonts w:ascii="宋体" w:hAnsi="宋体" w:cs="宋体" w:eastAsia="宋体" w:hint="default"/>
          <w:b/>
          <w:bCs/>
          <w:sz w:val="6"/>
          <w:szCs w:val="6"/>
        </w:rPr>
      </w:pPr>
    </w:p>
    <w:p>
      <w:pPr>
        <w:pStyle w:val="BodyText"/>
        <w:spacing w:line="240" w:lineRule="auto"/>
        <w:ind w:right="141"/>
        <w:jc w:val="left"/>
      </w:pPr>
      <w:r>
        <w:rPr/>
        <w:t>固定资产说明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558"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苏州电子支付研发基地项目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17,512,551.40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17,512,551.40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17,512,551.40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17,512,551.40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961"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苏州电</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135,000,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17,512,5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17,512,5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45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4" w:right="159"/>
              <w:jc w:val="both"/>
              <w:rPr>
                <w:rFonts w:ascii="宋体" w:hAnsi="宋体" w:cs="宋体" w:eastAsia="宋体" w:hint="default"/>
                <w:sz w:val="18"/>
                <w:szCs w:val="18"/>
              </w:rPr>
            </w:pPr>
            <w:r>
              <w:rPr>
                <w:rFonts w:ascii="宋体" w:hAnsi="宋体" w:cs="宋体" w:eastAsia="宋体" w:hint="default"/>
                <w:sz w:val="18"/>
                <w:szCs w:val="18"/>
              </w:rPr>
              <w:t>子支付 研发基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97" w:right="0"/>
              <w:jc w:val="left"/>
              <w:rPr>
                <w:rFonts w:ascii="Times New Roman" w:hAnsi="Times New Roman" w:cs="Times New Roman" w:eastAsia="Times New Roman" w:hint="default"/>
                <w:sz w:val="18"/>
                <w:szCs w:val="18"/>
              </w:rPr>
            </w:pPr>
            <w:r>
              <w:rPr>
                <w:rFonts w:ascii="Times New Roman"/>
                <w:sz w:val="18"/>
              </w:rPr>
              <w:t>51.40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0" w:right="0"/>
              <w:jc w:val="left"/>
              <w:rPr>
                <w:rFonts w:ascii="Times New Roman" w:hAnsi="Times New Roman" w:cs="Times New Roman" w:eastAsia="Times New Roman" w:hint="default"/>
                <w:sz w:val="18"/>
                <w:szCs w:val="18"/>
              </w:rPr>
            </w:pPr>
            <w:r>
              <w:rPr>
                <w:rFonts w:ascii="Times New Roman"/>
                <w:sz w:val="18"/>
              </w:rPr>
              <w:t>51.40</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17,512,5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51.40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17,512,5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51.40</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在建工程项目变动情况的说明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55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b/>
          <w:bCs/>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55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工程物资的说明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557"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557"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9"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557"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560"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557"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558"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558"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558"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558"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558"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生产性生物资产的说明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558"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油气资产的说明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557"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9"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33,401,069.59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2,006,568.45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35,407,638.04</w:t>
            </w: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32,777,860.00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598,978.80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33,376,838.80</w:t>
            </w:r>
          </w:p>
        </w:tc>
      </w:tr>
      <w:tr>
        <w:trPr>
          <w:trHeight w:val="560"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623,209.59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1,407,589.65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2,030,799.24</w:t>
            </w: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813,203.61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909,858.91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1,723,062.52</w:t>
            </w:r>
          </w:p>
        </w:tc>
      </w:tr>
      <w:tr>
        <w:trPr>
          <w:trHeight w:val="55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652,518.53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667,556.76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1,320,075.29</w:t>
            </w: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160,685.08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242,302.15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402,987.23</w:t>
            </w:r>
          </w:p>
        </w:tc>
      </w:tr>
      <w:tr>
        <w:trPr>
          <w:trHeight w:val="559"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32,587,865.98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1,096,709.54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33,684,575.52</w:t>
            </w: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32,125,341.47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-68,577.96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32,056,763.51</w:t>
            </w:r>
          </w:p>
        </w:tc>
      </w:tr>
      <w:tr>
        <w:trPr>
          <w:trHeight w:val="560"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462,524.51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1,165,287.50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1,627,812.01</w:t>
            </w: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32,587,865.98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1,096,709.54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33,684,575.52</w:t>
            </w:r>
          </w:p>
        </w:tc>
      </w:tr>
      <w:tr>
        <w:trPr>
          <w:trHeight w:val="55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32,125,341.47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-68,577.96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32,056,763.51</w:t>
            </w:r>
          </w:p>
        </w:tc>
      </w:tr>
      <w:tr>
        <w:trPr>
          <w:trHeight w:val="55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462,524.51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1,165,287.50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1,627,812.01</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本期摊销额</w:t>
      </w:r>
      <w:r>
        <w:rPr>
          <w:spacing w:val="-47"/>
        </w:rPr>
        <w:t> </w:t>
      </w:r>
      <w:r>
        <w:rPr>
          <w:rFonts w:ascii="Times New Roman" w:hAnsi="Times New Roman" w:cs="Times New Roman" w:eastAsia="Times New Roman" w:hint="default"/>
        </w:rPr>
        <w:t>909,858.91</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557"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18" w:lineRule="auto" w:before="0"/>
        <w:ind w:right="4374"/>
        <w:jc w:val="left"/>
      </w:pPr>
      <w:r>
        <w:rPr/>
        <w:t>本期开发支出占本期研究开发项目支出总额的比例。 通过公司内部研发形成的无形资产占无形资产期末账面价值的比例。</w:t>
      </w:r>
    </w:p>
    <w:p>
      <w:pPr>
        <w:pStyle w:val="BodyText"/>
        <w:spacing w:line="240" w:lineRule="auto" w:before="62"/>
        <w:ind w:right="0"/>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7"/>
        <w:spacing w:line="240" w:lineRule="auto"/>
        <w:ind w:right="141"/>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26"/>
        <w:gridCol w:w="1462"/>
        <w:gridCol w:w="1460"/>
        <w:gridCol w:w="1459"/>
        <w:gridCol w:w="1462"/>
        <w:gridCol w:w="1198"/>
      </w:tblGrid>
      <w:tr>
        <w:trPr>
          <w:trHeight w:val="1027"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079"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说明商誉的减值测试方法和减值准备计提方法</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969,852.10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2,136,034.91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416,220.82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2,689,666.19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1,670,922.00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1,485,264.00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2,640,774.10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2,136,034.91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601,878.82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4,174,930.19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长期待摊费用的说明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spacing w:line="240" w:lineRule="auto" w:before="0"/>
        <w:ind w:right="141"/>
        <w:jc w:val="left"/>
      </w:pPr>
      <w:r>
        <w:rPr/>
        <w:t>已确认的递延所得税资产和递延所得税负债</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10"/>
      </w:tblGrid>
      <w:tr>
        <w:trPr>
          <w:trHeight w:val="56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2" w:hRule="exact"/>
        </w:trPr>
        <w:tc>
          <w:tcPr>
            <w:tcW w:w="9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559"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2,360,623.92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1,384,933.12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557"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1,363,750.00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828,750.00</w:t>
            </w:r>
          </w:p>
        </w:tc>
      </w:tr>
      <w:tr>
        <w:trPr>
          <w:trHeight w:val="559"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内部未实现销售利润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3,859,621.15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2,176,904.74</w:t>
            </w:r>
          </w:p>
        </w:tc>
      </w:tr>
      <w:tr>
        <w:trPr>
          <w:trHeight w:val="558"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7,583,995.07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4,390,587.86</w:t>
            </w:r>
          </w:p>
        </w:tc>
      </w:tr>
      <w:tr>
        <w:trPr>
          <w:trHeight w:val="55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未确认递延所得税资产明细</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559"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17,734.04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196,658.61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214,392.65</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未确认递延所得税资产的可抵扣亏损将于以下年度到期</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559"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196,658.61</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196,658.61</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应纳税差异和可抵扣差异项目明细</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11"/>
        <w:rPr>
          <w:rFonts w:ascii="宋体" w:hAnsi="宋体" w:cs="宋体" w:eastAsia="宋体" w:hint="default"/>
          <w:sz w:val="13"/>
          <w:szCs w:val="13"/>
        </w:rPr>
      </w:pPr>
    </w:p>
    <w:p>
      <w:pPr>
        <w:spacing w:line="2251" w:lineRule="exact"/>
        <w:ind w:left="148"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478.9pt;height:112.6pt;mso-position-horizontal-relative:char;mso-position-vertical-relative:line" coordorigin="0,0" coordsize="9578,2252">
            <v:group style="position:absolute;left:12;top:14;width:3846;height:279" coordorigin="12,14" coordsize="3846,279">
              <v:shape style="position:absolute;left:12;top:14;width:3846;height:279" coordorigin="12,14" coordsize="3846,279" path="m12,293l3858,293,3858,14,12,14,12,293xe" filled="true" fillcolor="#d2d2d2" stroked="false">
                <v:path arrowok="t"/>
                <v:fill type="solid"/>
              </v:shape>
            </v:group>
            <v:group style="position:absolute;left:23;top:293;width:2;height:550" coordorigin="23,293" coordsize="2,550">
              <v:shape style="position:absolute;left:23;top:293;width:2;height:550" coordorigin="23,293" coordsize="0,550" path="m23,293l23,842e" filled="false" stroked="true" strokeweight="1.08pt" strokecolor="#d2d2d2">
                <v:path arrowok="t"/>
              </v:shape>
            </v:group>
            <v:group style="position:absolute;left:3846;top:293;width:2;height:550" coordorigin="3846,293" coordsize="2,550">
              <v:shape style="position:absolute;left:3846;top:293;width:2;height:550" coordorigin="3846,293" coordsize="0,550" path="m3846,293l3846,842e" filled="false" stroked="true" strokeweight="1.2pt" strokecolor="#d2d2d2">
                <v:path arrowok="t"/>
              </v:shape>
            </v:group>
            <v:group style="position:absolute;left:12;top:842;width:3846;height:279" coordorigin="12,842" coordsize="3846,279">
              <v:shape style="position:absolute;left:12;top:842;width:3846;height:279" coordorigin="12,842" coordsize="3846,279" path="m12,1121l3858,1121,3858,842,12,842,12,1121xe" filled="true" fillcolor="#d2d2d2" stroked="false">
                <v:path arrowok="t"/>
                <v:fill type="solid"/>
              </v:shape>
            </v:group>
            <v:group style="position:absolute;left:34;top:293;width:3801;height:550" coordorigin="34,293" coordsize="3801,550">
              <v:shape style="position:absolute;left:34;top:293;width:3801;height:550" coordorigin="34,293" coordsize="3801,550" path="m34,842l3834,842,3834,293,34,293,34,842xe" filled="true" fillcolor="#d2d2d2" stroked="false">
                <v:path arrowok="t"/>
                <v:fill type="solid"/>
              </v:shape>
            </v:group>
            <v:group style="position:absolute;left:3878;top:14;width:2;height:548" coordorigin="3878,14" coordsize="2,548">
              <v:shape style="position:absolute;left:3878;top:14;width:2;height:548" coordorigin="3878,14" coordsize="0,548" path="m3878,14l3878,562e" filled="false" stroked="true" strokeweight="1.08pt" strokecolor="#d2d2d2">
                <v:path arrowok="t"/>
              </v:shape>
            </v:group>
            <v:group style="position:absolute;left:9559;top:14;width:2;height:548" coordorigin="9559,14" coordsize="2,548">
              <v:shape style="position:absolute;left:9559;top:14;width:2;height:548" coordorigin="9559,14" coordsize="0,548" path="m9559,14l9559,562e" filled="false" stroked="true" strokeweight="1.2pt" strokecolor="#d2d2d2">
                <v:path arrowok="t"/>
              </v:shape>
            </v:group>
            <v:group style="position:absolute;left:3889;top:14;width:5658;height:548" coordorigin="3889,14" coordsize="5658,548">
              <v:shape style="position:absolute;left:3889;top:14;width:5658;height:548" coordorigin="3889,14" coordsize="5658,548" path="m3889,562l9547,562,9547,14,3889,14,3889,562xe" filled="true" fillcolor="#d2d2d2" stroked="false">
                <v:path arrowok="t"/>
                <v:fill type="solid"/>
              </v:shape>
            </v:group>
            <v:group style="position:absolute;left:10;top:10;width:3846;height:2" coordorigin="10,10" coordsize="3846,2">
              <v:shape style="position:absolute;left:10;top:10;width:3846;height:2" coordorigin="10,10" coordsize="3846,0" path="m10,10l3855,10e" filled="false" stroked="true" strokeweight=".48pt" strokecolor="#000000">
                <v:path arrowok="t"/>
              </v:shape>
            </v:group>
            <v:group style="position:absolute;left:3865;top:10;width:5704;height:2" coordorigin="3865,10" coordsize="5704,2">
              <v:shape style="position:absolute;left:3865;top:10;width:5704;height:2" coordorigin="3865,10" coordsize="5704,0" path="m3865,10l9568,10e" filled="false" stroked="true" strokeweight=".48pt" strokecolor="#000000">
                <v:path arrowok="t"/>
              </v:shape>
            </v:group>
            <v:group style="position:absolute;left:3878;top:574;width:2;height:548" coordorigin="3878,574" coordsize="2,548">
              <v:shape style="position:absolute;left:3878;top:574;width:2;height:548" coordorigin="3878,574" coordsize="0,548" path="m3878,574l3878,1121e" filled="false" stroked="true" strokeweight="1.08pt" strokecolor="#d2d2d2">
                <v:path arrowok="t"/>
              </v:shape>
            </v:group>
            <v:group style="position:absolute;left:6769;top:574;width:2;height:548" coordorigin="6769,574" coordsize="2,548">
              <v:shape style="position:absolute;left:6769;top:574;width:2;height:548" coordorigin="6769,574" coordsize="0,548" path="m6769,574l6769,1121e" filled="false" stroked="true" strokeweight="1.2pt" strokecolor="#d2d2d2">
                <v:path arrowok="t"/>
              </v:shape>
            </v:group>
            <v:group style="position:absolute;left:3889;top:574;width:2869;height:548" coordorigin="3889,574" coordsize="2869,548">
              <v:shape style="position:absolute;left:3889;top:574;width:2869;height:548" coordorigin="3889,574" coordsize="2869,548" path="m3889,1121l6757,1121,6757,574,3889,574,3889,1121xe" filled="true" fillcolor="#d2d2d2" stroked="false">
                <v:path arrowok="t"/>
                <v:fill type="solid"/>
              </v:shape>
            </v:group>
            <v:group style="position:absolute;left:6803;top:574;width:2;height:548" coordorigin="6803,574" coordsize="2,548">
              <v:shape style="position:absolute;left:6803;top:574;width:2;height:548" coordorigin="6803,574" coordsize="0,548" path="m6803,574l6803,1121e" filled="false" stroked="true" strokeweight="1.2pt" strokecolor="#d2d2d2">
                <v:path arrowok="t"/>
              </v:shape>
            </v:group>
            <v:group style="position:absolute;left:9559;top:574;width:2;height:548" coordorigin="9559,574" coordsize="2,548">
              <v:shape style="position:absolute;left:9559;top:574;width:2;height:548" coordorigin="9559,574" coordsize="0,548" path="m9559,574l9559,1121e" filled="false" stroked="true" strokeweight="1.2pt" strokecolor="#d2d2d2">
                <v:path arrowok="t"/>
              </v:shape>
            </v:group>
            <v:group style="position:absolute;left:6815;top:574;width:2732;height:548" coordorigin="6815,574" coordsize="2732,548">
              <v:shape style="position:absolute;left:6815;top:574;width:2732;height:548" coordorigin="6815,574" coordsize="2732,548" path="m6815,1121l9547,1121,9547,574,6815,574,6815,1121xe" filled="true" fillcolor="#d2d2d2" stroked="false">
                <v:path arrowok="t"/>
                <v:fill type="solid"/>
              </v:shape>
            </v:group>
            <v:group style="position:absolute;left:3865;top:566;width:2917;height:2" coordorigin="3865,566" coordsize="2917,2">
              <v:shape style="position:absolute;left:3865;top:566;width:2917;height:2" coordorigin="3865,566" coordsize="2917,0" path="m3865,566l6781,566e" filled="false" stroked="true" strokeweight=".48pt" strokecolor="#000000">
                <v:path arrowok="t"/>
              </v:shape>
            </v:group>
            <v:group style="position:absolute;left:6791;top:566;width:2778;height:2" coordorigin="6791,566" coordsize="2778,2">
              <v:shape style="position:absolute;left:6791;top:566;width:2778;height:2" coordorigin="6791,566" coordsize="2778,0" path="m6791,566l9568,566e" filled="false" stroked="true" strokeweight=".48pt" strokecolor="#000000">
                <v:path arrowok="t"/>
              </v:shape>
            </v:group>
            <v:group style="position:absolute;left:3860;top:5;width:2;height:1126" coordorigin="3860,5" coordsize="2,1126">
              <v:shape style="position:absolute;left:3860;top:5;width:2;height:1126" coordorigin="3860,5" coordsize="0,1126" path="m3860,5l3860,1130e" filled="false" stroked="true" strokeweight=".48pt" strokecolor="#000000">
                <v:path arrowok="t"/>
              </v:shape>
            </v:group>
            <v:group style="position:absolute;left:6786;top:562;width:2;height:569" coordorigin="6786,562" coordsize="2,569">
              <v:shape style="position:absolute;left:6786;top:562;width:2;height:569" coordorigin="6786,562" coordsize="0,569" path="m6786,562l6786,1130e" filled="false" stroked="true" strokeweight=".48pt" strokecolor="#000000">
                <v:path arrowok="t"/>
              </v:shape>
            </v:group>
            <v:group style="position:absolute;left:23;top:1130;width:2;height:548" coordorigin="23,1130" coordsize="2,548">
              <v:shape style="position:absolute;left:23;top:1130;width:2;height:548" coordorigin="23,1130" coordsize="0,548" path="m23,1130l23,1678e" filled="false" stroked="true" strokeweight="1.08pt" strokecolor="#d2d2d2">
                <v:path arrowok="t"/>
              </v:shape>
            </v:group>
            <v:group style="position:absolute;left:9559;top:1130;width:2;height:548" coordorigin="9559,1130" coordsize="2,548">
              <v:shape style="position:absolute;left:9559;top:1130;width:2;height:548" coordorigin="9559,1130" coordsize="0,548" path="m9559,1130l9559,1678e" filled="false" stroked="true" strokeweight="1.2pt" strokecolor="#d2d2d2">
                <v:path arrowok="t"/>
              </v:shape>
            </v:group>
            <v:group style="position:absolute;left:34;top:1130;width:9514;height:548" coordorigin="34,1130" coordsize="9514,548">
              <v:shape style="position:absolute;left:34;top:1130;width:9514;height:548" coordorigin="34,1130" coordsize="9514,548" path="m34,1678l9547,1678,9547,1130,34,1130,34,1678xe" filled="true" fillcolor="#d2d2d2" stroked="false">
                <v:path arrowok="t"/>
                <v:fill type="solid"/>
              </v:shape>
            </v:group>
            <v:group style="position:absolute;left:10;top:1126;width:3846;height:2" coordorigin="10,1126" coordsize="3846,2">
              <v:shape style="position:absolute;left:10;top:1126;width:3846;height:2" coordorigin="10,1126" coordsize="3846,0" path="m10,1126l3855,1126e" filled="false" stroked="true" strokeweight=".48pt" strokecolor="#000000">
                <v:path arrowok="t"/>
              </v:shape>
            </v:group>
            <v:group style="position:absolute;left:3865;top:1126;width:2917;height:2" coordorigin="3865,1126" coordsize="2917,2">
              <v:shape style="position:absolute;left:3865;top:1126;width:2917;height:2" coordorigin="3865,1126" coordsize="2917,0" path="m3865,1126l6781,1126e" filled="false" stroked="true" strokeweight=".48pt" strokecolor="#000000">
                <v:path arrowok="t"/>
              </v:shape>
            </v:group>
            <v:group style="position:absolute;left:6791;top:1126;width:2778;height:2" coordorigin="6791,1126" coordsize="2778,2">
              <v:shape style="position:absolute;left:6791;top:1126;width:2778;height:2" coordorigin="6791,1126" coordsize="2778,0" path="m6791,1126l9568,1126e" filled="false" stroked="true" strokeweight=".48pt" strokecolor="#000000">
                <v:path arrowok="t"/>
              </v:shape>
            </v:group>
            <v:group style="position:absolute;left:5;top:5;width:2;height:1683" coordorigin="5,5" coordsize="2,1683">
              <v:shape style="position:absolute;left:5;top:5;width:2;height:1683" coordorigin="5,5" coordsize="0,1683" path="m5,5l5,1687e" filled="false" stroked="true" strokeweight=".48pt" strokecolor="#000000">
                <v:path arrowok="t"/>
              </v:shape>
            </v:group>
            <v:group style="position:absolute;left:9573;top:5;width:2;height:1683" coordorigin="9573,5" coordsize="2,1683">
              <v:shape style="position:absolute;left:9573;top:5;width:2;height:1683" coordorigin="9573,5" coordsize="0,1683" path="m9573,5l9573,1687e" filled="false" stroked="true" strokeweight=".48pt" strokecolor="#000000">
                <v:path arrowok="t"/>
              </v:shape>
            </v:group>
            <v:group style="position:absolute;left:23;top:1690;width:2;height:548" coordorigin="23,1690" coordsize="2,548">
              <v:shape style="position:absolute;left:23;top:1690;width:2;height:548" coordorigin="23,1690" coordsize="0,548" path="m23,1690l23,2237e" filled="false" stroked="true" strokeweight="1.08pt" strokecolor="#d2d2d2">
                <v:path arrowok="t"/>
              </v:shape>
            </v:group>
            <v:group style="position:absolute;left:9559;top:1690;width:2;height:548" coordorigin="9559,1690" coordsize="2,548">
              <v:shape style="position:absolute;left:9559;top:1690;width:2;height:548" coordorigin="9559,1690" coordsize="0,548" path="m9559,1690l9559,2237e" filled="false" stroked="true" strokeweight="1.2pt" strokecolor="#d2d2d2">
                <v:path arrowok="t"/>
              </v:shape>
            </v:group>
            <v:group style="position:absolute;left:34;top:1690;width:9514;height:548" coordorigin="34,1690" coordsize="9514,548">
              <v:shape style="position:absolute;left:34;top:1690;width:9514;height:548" coordorigin="34,1690" coordsize="9514,548" path="m34,2237l9547,2237,9547,1690,34,1690,34,2237xe" filled="true" fillcolor="#d2d2d2" stroked="false">
                <v:path arrowok="t"/>
                <v:fill type="solid"/>
              </v:shape>
            </v:group>
            <v:group style="position:absolute;left:10;top:1682;width:9559;height:2" coordorigin="10,1682" coordsize="9559,2">
              <v:shape style="position:absolute;left:10;top:1682;width:9559;height:2" coordorigin="10,1682" coordsize="9559,0" path="m10,1682l9568,1682e" filled="false" stroked="true" strokeweight=".48pt" strokecolor="#000000">
                <v:path arrowok="t"/>
              </v:shape>
            </v:group>
            <v:group style="position:absolute;left:5;top:1687;width:2;height:560" coordorigin="5,1687" coordsize="2,560">
              <v:shape style="position:absolute;left:5;top:1687;width:2;height:560" coordorigin="5,1687" coordsize="0,560" path="m5,1687l5,2247e" filled="false" stroked="true" strokeweight=".48pt" strokecolor="#000000">
                <v:path arrowok="t"/>
              </v:shape>
            </v:group>
            <v:group style="position:absolute;left:10;top:2242;width:9559;height:2" coordorigin="10,2242" coordsize="9559,2">
              <v:shape style="position:absolute;left:10;top:2242;width:9559;height:2" coordorigin="10,2242" coordsize="9559,0" path="m10,2242l9568,2242e" filled="false" stroked="true" strokeweight=".48pt" strokecolor="#000000">
                <v:path arrowok="t"/>
              </v:shape>
            </v:group>
            <v:group style="position:absolute;left:9573;top:1687;width:2;height:560" coordorigin="9573,1687" coordsize="2,560">
              <v:shape style="position:absolute;left:9573;top:1687;width:2;height:560" coordorigin="9573,1687" coordsize="0,560" path="m9573,1687l9573,2247e" filled="false" stroked="true" strokeweight=".48pt" strokecolor="#000000">
                <v:path arrowok="t"/>
              </v:shape>
              <v:shape style="position:absolute;left:1752;top:47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0;top:10;width:5713;height:558" type="#_x0000_t202" filled="false" stroked="false">
                <v:textbox inset="0,0,0,0">
                  <w:txbxContent>
                    <w:p>
                      <w:pPr>
                        <w:spacing w:before="133"/>
                        <w:ind w:left="2" w:right="0" w:firstLine="0"/>
                        <w:jc w:val="center"/>
                        <w:rPr>
                          <w:rFonts w:ascii="宋体" w:hAnsi="宋体" w:cs="宋体" w:eastAsia="宋体" w:hint="default"/>
                          <w:sz w:val="18"/>
                          <w:szCs w:val="18"/>
                        </w:rPr>
                      </w:pPr>
                      <w:r>
                        <w:rPr>
                          <w:rFonts w:ascii="宋体" w:hAnsi="宋体" w:cs="宋体" w:eastAsia="宋体" w:hint="default"/>
                          <w:sz w:val="18"/>
                          <w:szCs w:val="18"/>
                        </w:rPr>
                        <w:t>暂时性差异金额</w:t>
                      </w:r>
                    </w:p>
                  </w:txbxContent>
                </v:textbox>
                <w10:wrap type="none"/>
              </v:shape>
              <v:shape style="position:absolute;left:5142;top:75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w:t>
                      </w:r>
                    </w:p>
                  </w:txbxContent>
                </v:textbox>
                <w10:wrap type="none"/>
              </v:shape>
              <v:shape style="position:absolute;left:8001;top:75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w:t>
                      </w:r>
                    </w:p>
                  </w:txbxContent>
                </v:textbox>
                <w10:wrap type="none"/>
              </v:shape>
              <v:shape style="position:absolute;left:34;top:1314;width:12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应纳税差异项目</w:t>
                      </w:r>
                    </w:p>
                  </w:txbxContent>
                </v:textbox>
                <w10:wrap type="none"/>
              </v:shape>
              <v:shape style="position:absolute;left:34;top:1874;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可抵扣差异项目</w:t>
                      </w:r>
                    </w:p>
                  </w:txbxContent>
                </v:textbox>
                <w10:wrap type="none"/>
              </v:shape>
            </v:group>
          </v:group>
        </w:pict>
      </w:r>
      <w:r>
        <w:rPr>
          <w:rFonts w:ascii="宋体" w:hAnsi="宋体" w:cs="宋体" w:eastAsia="宋体" w:hint="default"/>
          <w:position w:val="-44"/>
          <w:sz w:val="20"/>
          <w:szCs w:val="20"/>
        </w:rPr>
      </w:r>
    </w:p>
    <w:p>
      <w:pPr>
        <w:spacing w:line="240" w:lineRule="auto" w:before="2"/>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互抵后的递延所得税资产及负债的组成项目</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062"/>
        <w:gridCol w:w="1615"/>
        <w:gridCol w:w="1628"/>
        <w:gridCol w:w="1628"/>
        <w:gridCol w:w="1616"/>
      </w:tblGrid>
      <w:tr>
        <w:trPr>
          <w:trHeight w:val="473" w:hRule="exact"/>
        </w:trPr>
        <w:tc>
          <w:tcPr>
            <w:tcW w:w="3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547" w:hRule="exact"/>
        </w:trPr>
        <w:tc>
          <w:tcPr>
            <w:tcW w:w="3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473" w:hRule="exact"/>
        </w:trPr>
        <w:tc>
          <w:tcPr>
            <w:tcW w:w="3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7,583,995.07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49" w:right="0"/>
              <w:jc w:val="left"/>
              <w:rPr>
                <w:rFonts w:ascii="Times New Roman" w:hAnsi="Times New Roman" w:cs="Times New Roman" w:eastAsia="Times New Roman" w:hint="default"/>
                <w:sz w:val="18"/>
                <w:szCs w:val="18"/>
              </w:rPr>
            </w:pPr>
            <w:r>
              <w:rPr>
                <w:rFonts w:ascii="Times New Roman"/>
                <w:sz w:val="18"/>
              </w:rPr>
              <w:t>4,390,587.86</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递延所得税资产和递延所得税负债互抵明细</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559"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递延所得税资产和递延所得税负债的说明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8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78"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83"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9"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9,318,113.39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6,367,195.57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15,683,728.96</w:t>
            </w:r>
          </w:p>
        </w:tc>
      </w:tr>
      <w:tr>
        <w:trPr>
          <w:trHeight w:val="557"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9,318,113.39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6,367,195.57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15,683,728.96</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资产减值明细情况的说明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557"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其他非流动资产的说明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558"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短期借款分类的说明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558"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240" w:lineRule="auto" w:before="6"/>
        <w:rPr>
          <w:rFonts w:ascii="宋体" w:hAnsi="宋体" w:cs="宋体" w:eastAsia="宋体" w:hint="default"/>
          <w:sz w:val="6"/>
          <w:szCs w:val="6"/>
        </w:rPr>
      </w:pPr>
    </w:p>
    <w:p>
      <w:pPr>
        <w:pStyle w:val="BodyText"/>
        <w:spacing w:line="516" w:lineRule="auto"/>
        <w:ind w:right="3654"/>
        <w:jc w:val="left"/>
      </w:pPr>
      <w:r>
        <w:rPr/>
        <w:t>资产负债表日后已偿还金额元。 短期借款的说明，包括已到期短期借款获展期的，说明展期条件、新的到期日</w:t>
      </w:r>
    </w:p>
    <w:p>
      <w:pPr>
        <w:spacing w:line="240" w:lineRule="auto" w:before="11"/>
        <w:rPr>
          <w:rFonts w:ascii="宋体" w:hAnsi="宋体" w:cs="宋体" w:eastAsia="宋体" w:hint="default"/>
          <w:sz w:val="23"/>
          <w:szCs w:val="23"/>
        </w:rPr>
      </w:pPr>
    </w:p>
    <w:p>
      <w:pPr>
        <w:pStyle w:val="Heading7"/>
        <w:spacing w:line="240" w:lineRule="auto"/>
        <w:ind w:right="141"/>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557"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交易性金融负债的说明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557"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65,310,843.82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41,511,155.04</w:t>
            </w:r>
          </w:p>
        </w:tc>
      </w:tr>
      <w:tr>
        <w:trPr>
          <w:trHeight w:val="557"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65,310,843.82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41,511,155.04</w:t>
            </w:r>
          </w:p>
        </w:tc>
      </w:tr>
    </w:tbl>
    <w:p>
      <w:pPr>
        <w:spacing w:line="240" w:lineRule="auto" w:before="5"/>
        <w:rPr>
          <w:rFonts w:ascii="宋体" w:hAnsi="宋体" w:cs="宋体" w:eastAsia="宋体" w:hint="default"/>
          <w:sz w:val="6"/>
          <w:szCs w:val="6"/>
        </w:rPr>
      </w:pPr>
    </w:p>
    <w:p>
      <w:pPr>
        <w:pStyle w:val="BodyText"/>
        <w:spacing w:line="518" w:lineRule="auto"/>
        <w:ind w:right="7254"/>
        <w:jc w:val="left"/>
      </w:pPr>
      <w:r>
        <w:rPr/>
        <w:t>下一会计期间将到期的金额元。 应付票据的说明</w:t>
      </w:r>
    </w:p>
    <w:p>
      <w:pPr>
        <w:spacing w:line="240" w:lineRule="auto" w:before="7"/>
        <w:rPr>
          <w:rFonts w:ascii="宋体" w:hAnsi="宋体" w:cs="宋体" w:eastAsia="宋体" w:hint="default"/>
          <w:sz w:val="23"/>
          <w:szCs w:val="23"/>
        </w:rPr>
      </w:pPr>
    </w:p>
    <w:p>
      <w:pPr>
        <w:pStyle w:val="Heading7"/>
        <w:spacing w:line="240" w:lineRule="auto"/>
        <w:ind w:right="141"/>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557"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53,193,149.02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35,484,177.85</w:t>
            </w:r>
          </w:p>
        </w:tc>
      </w:tr>
      <w:tr>
        <w:trPr>
          <w:trHeight w:val="557"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107,624.41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335,971.66</w:t>
            </w:r>
          </w:p>
        </w:tc>
      </w:tr>
      <w:tr>
        <w:trPr>
          <w:trHeight w:val="559"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55,368.80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53,356,142.23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35,820,149.51</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）本报告期应付账款中应付持有公司</w:t>
      </w:r>
      <w:r>
        <w:rPr>
          <w:spacing w:val="-54"/>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559"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557"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65,039,691.91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60,235,760.28</w:t>
            </w:r>
          </w:p>
        </w:tc>
      </w:tr>
      <w:tr>
        <w:trPr>
          <w:trHeight w:val="55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2,023,767.13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3,439,939.73</w:t>
            </w:r>
          </w:p>
        </w:tc>
      </w:tr>
      <w:tr>
        <w:trPr>
          <w:trHeight w:val="55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378,109.73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6,589.73</w:t>
            </w:r>
          </w:p>
        </w:tc>
      </w:tr>
      <w:tr>
        <w:trPr>
          <w:trHeight w:val="55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6,589.73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67,448,158.50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63,682,289.74</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）本报告期预收账款中预收持有公司</w:t>
      </w:r>
      <w:r>
        <w:rPr>
          <w:spacing w:val="-54"/>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1"/>
      </w:tblGrid>
      <w:tr>
        <w:trPr>
          <w:trHeight w:val="558"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12,050,991.23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77,329,447.79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73,392,530.39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15,987,908.63</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3,938,636.80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3,938,636.80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4,452,749.25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4,452,749.25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1,584,552.88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1,584,552.88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基本养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2,497,465.55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2,497,465.55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失业保</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127,579.68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127,579.68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工伤保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129,010.32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129,010.32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26" w:right="0"/>
              <w:jc w:val="left"/>
              <w:rPr>
                <w:rFonts w:ascii="宋体" w:hAnsi="宋体" w:cs="宋体" w:eastAsia="宋体" w:hint="default"/>
                <w:sz w:val="18"/>
                <w:szCs w:val="18"/>
              </w:rPr>
            </w:pPr>
            <w:r>
              <w:rPr>
                <w:rFonts w:ascii="宋体" w:hAnsi="宋体" w:cs="宋体" w:eastAsia="宋体" w:hint="default"/>
                <w:sz w:val="18"/>
                <w:szCs w:val="18"/>
              </w:rPr>
              <w:t>生育保</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114,140.82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114,140.82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894,845.05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894,845.05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12,050,991.23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86,615,678.89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82,678,761.49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15,987,908.63</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应付职工薪酬中属于拖欠性质的金额元。</w:t>
      </w:r>
    </w:p>
    <w:p>
      <w:pPr>
        <w:spacing w:line="240" w:lineRule="auto" w:before="12"/>
        <w:rPr>
          <w:rFonts w:ascii="宋体" w:hAnsi="宋体" w:cs="宋体" w:eastAsia="宋体" w:hint="default"/>
          <w:sz w:val="20"/>
          <w:szCs w:val="20"/>
        </w:rPr>
      </w:pPr>
    </w:p>
    <w:p>
      <w:pPr>
        <w:pStyle w:val="BodyText"/>
        <w:spacing w:line="487" w:lineRule="auto" w:before="0"/>
        <w:ind w:right="2038"/>
        <w:jc w:val="left"/>
      </w:pPr>
      <w:r>
        <w:rPr/>
        <w:t>工会经费和职工教育经费金额</w:t>
      </w:r>
      <w:r>
        <w:rPr>
          <w:spacing w:val="-48"/>
        </w:rPr>
        <w:t> </w:t>
      </w:r>
      <w:r>
        <w:rPr>
          <w:rFonts w:ascii="Times New Roman" w:hAnsi="Times New Roman" w:cs="Times New Roman" w:eastAsia="Times New Roman" w:hint="default"/>
        </w:rPr>
        <w:t>597,077.78</w:t>
      </w:r>
      <w:r>
        <w:rPr>
          <w:rFonts w:ascii="Times New Roman" w:hAnsi="Times New Roman" w:cs="Times New Roman" w:eastAsia="Times New Roman" w:hint="default"/>
          <w:spacing w:val="-1"/>
        </w:rPr>
        <w:t> </w:t>
      </w:r>
      <w:r>
        <w:rPr/>
        <w:t>元，非货币性福利金额元，因解除劳动关系给予补偿元。 应付职工薪酬预计发放时间、金额等安排</w:t>
      </w:r>
    </w:p>
    <w:p>
      <w:pPr>
        <w:spacing w:line="240" w:lineRule="auto" w:before="6"/>
        <w:rPr>
          <w:rFonts w:ascii="宋体" w:hAnsi="宋体" w:cs="宋体" w:eastAsia="宋体" w:hint="default"/>
          <w:sz w:val="25"/>
          <w:szCs w:val="25"/>
        </w:rPr>
      </w:pPr>
    </w:p>
    <w:p>
      <w:pPr>
        <w:pStyle w:val="Heading7"/>
        <w:spacing w:line="240" w:lineRule="auto"/>
        <w:ind w:right="141"/>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558"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12,527,712.71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4,040,774.81</w:t>
            </w:r>
          </w:p>
        </w:tc>
      </w:tr>
      <w:tr>
        <w:trPr>
          <w:trHeight w:val="558"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42,659.07</w:t>
            </w:r>
          </w:p>
        </w:tc>
      </w:tr>
      <w:tr>
        <w:trPr>
          <w:trHeight w:val="558"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8,905,216.88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5,913,609.03</w:t>
            </w:r>
          </w:p>
        </w:tc>
      </w:tr>
      <w:tr>
        <w:trPr>
          <w:trHeight w:val="558"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179,605.41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81,213.97</w:t>
            </w:r>
          </w:p>
        </w:tc>
      </w:tr>
      <w:tr>
        <w:trPr>
          <w:trHeight w:val="558"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843,018.00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779,768.61</w:t>
            </w:r>
          </w:p>
        </w:tc>
      </w:tr>
      <w:tr>
        <w:trPr>
          <w:trHeight w:val="557"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602,161.06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555,156.50</w:t>
            </w:r>
          </w:p>
        </w:tc>
      </w:tr>
      <w:tr>
        <w:trPr>
          <w:trHeight w:val="559"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14,168.24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11,882.89</w:t>
            </w:r>
          </w:p>
        </w:tc>
      </w:tr>
      <w:tr>
        <w:trPr>
          <w:trHeight w:val="557"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207,262.76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40,129.31</w:t>
            </w:r>
          </w:p>
        </w:tc>
      </w:tr>
      <w:tr>
        <w:trPr>
          <w:trHeight w:val="559"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23,279,145.06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11,465,194.19</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558"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应付利息说明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558"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应付股利的说明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557"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3,087,705.95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4,891,032.19</w:t>
            </w:r>
          </w:p>
        </w:tc>
      </w:tr>
      <w:tr>
        <w:trPr>
          <w:trHeight w:val="557"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133,115.60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90,803.00</w:t>
            </w:r>
          </w:p>
        </w:tc>
      </w:tr>
      <w:tr>
        <w:trPr>
          <w:trHeight w:val="559"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27,263.00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42,394.00</w:t>
            </w:r>
          </w:p>
        </w:tc>
      </w:tr>
      <w:tr>
        <w:trPr>
          <w:trHeight w:val="557"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42,394.00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3,290,478.55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5,024,229.19</w:t>
            </w:r>
          </w:p>
        </w:tc>
      </w:tr>
    </w:tbl>
    <w:p>
      <w:pPr>
        <w:spacing w:line="240" w:lineRule="auto" w:before="7"/>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557"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559"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预计负债说明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559"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一年内到期的长期借款</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559"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5"/>
        <w:rPr>
          <w:rFonts w:ascii="宋体" w:hAnsi="宋体" w:cs="宋体" w:eastAsia="宋体" w:hint="default"/>
          <w:sz w:val="6"/>
          <w:szCs w:val="6"/>
        </w:rPr>
      </w:pPr>
    </w:p>
    <w:p>
      <w:pPr>
        <w:pStyle w:val="BodyText"/>
        <w:spacing w:line="516" w:lineRule="auto"/>
        <w:ind w:right="5094"/>
        <w:jc w:val="left"/>
      </w:pPr>
      <w:r>
        <w:rPr/>
        <w:t>一年内到期的长期借款中属于逾期借款获得展期的金额元。 金额前五名的一年内到期的长期借款</w:t>
      </w:r>
    </w:p>
    <w:p>
      <w:pPr>
        <w:pStyle w:val="BodyText"/>
        <w:spacing w:line="240" w:lineRule="auto" w:before="66"/>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557"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一年内到期的长期借款中的逾期借款</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240" w:lineRule="auto" w:before="5"/>
        <w:rPr>
          <w:rFonts w:ascii="宋体" w:hAnsi="宋体" w:cs="宋体" w:eastAsia="宋体" w:hint="default"/>
          <w:sz w:val="6"/>
          <w:szCs w:val="6"/>
        </w:rPr>
      </w:pPr>
    </w:p>
    <w:p>
      <w:pPr>
        <w:pStyle w:val="BodyText"/>
        <w:spacing w:line="518" w:lineRule="auto"/>
        <w:ind w:right="7074"/>
        <w:jc w:val="left"/>
      </w:pPr>
      <w:r>
        <w:rPr/>
        <w:t>资产负债表日后已偿还的金额元。 一年内到期的长期借款说明</w:t>
      </w:r>
    </w:p>
    <w:p>
      <w:pPr>
        <w:spacing w:line="240" w:lineRule="auto" w:before="7"/>
        <w:rPr>
          <w:rFonts w:ascii="宋体" w:hAnsi="宋体" w:cs="宋体" w:eastAsia="宋体" w:hint="default"/>
          <w:sz w:val="23"/>
          <w:szCs w:val="23"/>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一年内到期的应付债券说明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55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一年内到期的长期应付款的说明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557"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其他流动负债说明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557"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长期借款分类的说明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557"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102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应付债券说明，包括可转换公司债券的转股条件、转股时间</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558"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240" w:lineRule="auto" w:before="5"/>
        <w:rPr>
          <w:rFonts w:ascii="宋体" w:hAnsi="宋体" w:cs="宋体" w:eastAsia="宋体" w:hint="default"/>
          <w:sz w:val="6"/>
          <w:szCs w:val="6"/>
        </w:rPr>
      </w:pPr>
    </w:p>
    <w:p>
      <w:pPr>
        <w:pStyle w:val="BodyText"/>
        <w:spacing w:line="516" w:lineRule="auto"/>
        <w:ind w:right="5814"/>
        <w:jc w:val="left"/>
      </w:pPr>
      <w:r>
        <w:rPr/>
        <w:t>由独立第三方为公司融资租赁提供担保的金额元。 长期应付款的说明</w:t>
      </w:r>
    </w:p>
    <w:p>
      <w:pPr>
        <w:spacing w:line="240" w:lineRule="auto" w:before="11"/>
        <w:rPr>
          <w:rFonts w:ascii="宋体" w:hAnsi="宋体" w:cs="宋体" w:eastAsia="宋体" w:hint="default"/>
          <w:sz w:val="23"/>
          <w:szCs w:val="23"/>
        </w:rPr>
      </w:pPr>
    </w:p>
    <w:p>
      <w:pPr>
        <w:pStyle w:val="Heading7"/>
        <w:spacing w:line="240" w:lineRule="auto"/>
        <w:ind w:right="141"/>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55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专项应付款说明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560"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7"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5,750,000.00</w:t>
            </w:r>
          </w:p>
        </w:tc>
      </w:tr>
      <w:tr>
        <w:trPr>
          <w:trHeight w:val="559"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5,750,000.00</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其他非流动负债说明，包括本报告期取得的各类与资产相关、与收益相关的政府补助及其期末金额</w:t>
      </w:r>
    </w:p>
    <w:p>
      <w:pPr>
        <w:spacing w:line="240" w:lineRule="auto" w:before="12"/>
        <w:rPr>
          <w:rFonts w:ascii="宋体" w:hAnsi="宋体" w:cs="宋体" w:eastAsia="宋体" w:hint="default"/>
          <w:sz w:val="18"/>
          <w:szCs w:val="18"/>
        </w:rPr>
      </w:pPr>
    </w:p>
    <w:p>
      <w:pPr>
        <w:pStyle w:val="Heading6"/>
        <w:spacing w:line="386" w:lineRule="auto" w:before="0"/>
        <w:ind w:right="141" w:firstLine="420"/>
        <w:jc w:val="left"/>
      </w:pPr>
      <w:r>
        <w:rPr>
          <w:rFonts w:ascii="Times New Roman" w:hAnsi="Times New Roman" w:cs="Times New Roman" w:eastAsia="Times New Roman" w:hint="default"/>
        </w:rPr>
        <w:t>1</w:t>
      </w:r>
      <w:r>
        <w:rPr/>
        <w:t>．根据工信部财</w:t>
      </w:r>
      <w:r>
        <w:rPr>
          <w:rFonts w:ascii="Times New Roman" w:hAnsi="Times New Roman" w:cs="Times New Roman" w:eastAsia="Times New Roman" w:hint="default"/>
        </w:rPr>
        <w:t>[2009]480</w:t>
      </w:r>
      <w:r>
        <w:rPr/>
        <w:t>号文件相关规定，本公司获得电子信息产业发展基金工业和信息化部发展</w:t>
      </w:r>
      <w:r>
        <w:rPr>
          <w:w w:val="100"/>
        </w:rPr>
        <w:t> </w:t>
      </w:r>
      <w:r>
        <w:rPr/>
        <w:t>资金</w:t>
      </w:r>
      <w:r>
        <w:rPr>
          <w:rFonts w:ascii="Times New Roman" w:hAnsi="Times New Roman" w:cs="Times New Roman" w:eastAsia="Times New Roman" w:hint="default"/>
        </w:rPr>
        <w:t>100</w:t>
      </w:r>
      <w:r>
        <w:rPr/>
        <w:t>万元。</w:t>
      </w:r>
    </w:p>
    <w:p>
      <w:pPr>
        <w:spacing w:after="0" w:line="38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Heading6"/>
        <w:spacing w:line="386" w:lineRule="auto" w:before="175"/>
        <w:ind w:right="0" w:firstLine="420"/>
        <w:jc w:val="left"/>
      </w:pPr>
      <w:r>
        <w:rPr>
          <w:rFonts w:ascii="Times New Roman" w:hAnsi="Times New Roman" w:cs="Times New Roman" w:eastAsia="Times New Roman" w:hint="default"/>
          <w:spacing w:val="-2"/>
        </w:rPr>
        <w:t>2</w:t>
      </w:r>
      <w:r>
        <w:rPr>
          <w:spacing w:val="-2"/>
        </w:rPr>
        <w:t>．根据《深圳市科技研发资金管理暂行办法》、《深圳市科技计划项目管理暂行办法》等文件规定，</w:t>
      </w:r>
      <w:r>
        <w:rPr>
          <w:w w:val="100"/>
        </w:rPr>
        <w:t> </w:t>
      </w:r>
      <w:r>
        <w:rPr/>
        <w:t>为完成深科工贸信计财字</w:t>
      </w:r>
      <w:r>
        <w:rPr>
          <w:rFonts w:ascii="Times New Roman" w:hAnsi="Times New Roman" w:cs="Times New Roman" w:eastAsia="Times New Roman" w:hint="default"/>
        </w:rPr>
        <w:t>[2009]84</w:t>
      </w:r>
      <w:r>
        <w:rPr/>
        <w:t>号文件下达的深圳市科技计划符合</w:t>
      </w:r>
      <w:r>
        <w:rPr>
          <w:rFonts w:ascii="Times New Roman" w:hAnsi="Times New Roman" w:cs="Times New Roman" w:eastAsia="Times New Roman" w:hint="default"/>
        </w:rPr>
        <w:t>PCI2.X</w:t>
      </w:r>
      <w:r>
        <w:rPr/>
        <w:t>的金融</w:t>
      </w:r>
      <w:r>
        <w:rPr>
          <w:rFonts w:ascii="Times New Roman" w:hAnsi="Times New Roman" w:cs="Times New Roman" w:eastAsia="Times New Roman" w:hint="default"/>
        </w:rPr>
        <w:t>POS</w:t>
      </w:r>
      <w:r>
        <w:rPr/>
        <w:t>技术方案国际科技</w:t>
      </w:r>
      <w:r>
        <w:rPr>
          <w:spacing w:val="-36"/>
        </w:rPr>
        <w:t> </w:t>
      </w:r>
      <w:r>
        <w:rPr>
          <w:spacing w:val="-36"/>
        </w:rPr>
      </w:r>
      <w:r>
        <w:rPr/>
        <w:t>合作研发项目，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月，本公司收到项目资助资金</w:t>
      </w:r>
      <w:r>
        <w:rPr>
          <w:rFonts w:ascii="Times New Roman" w:hAnsi="Times New Roman" w:cs="Times New Roman" w:eastAsia="Times New Roman" w:hint="default"/>
        </w:rPr>
        <w:t>100</w:t>
      </w:r>
      <w:r>
        <w:rPr/>
        <w:t>万元。</w:t>
      </w:r>
    </w:p>
    <w:p>
      <w:pPr>
        <w:pStyle w:val="Heading6"/>
        <w:spacing w:line="386" w:lineRule="auto" w:before="35"/>
        <w:ind w:right="0" w:firstLine="420"/>
        <w:jc w:val="left"/>
      </w:pPr>
      <w:r>
        <w:rPr>
          <w:rFonts w:ascii="Times New Roman" w:hAnsi="Times New Roman" w:cs="Times New Roman" w:eastAsia="Times New Roman" w:hint="default"/>
          <w:spacing w:val="-2"/>
        </w:rPr>
        <w:t>3.</w:t>
      </w:r>
      <w:r>
        <w:rPr>
          <w:spacing w:val="-2"/>
        </w:rPr>
        <w:t>根据国科发计</w:t>
      </w:r>
      <w:r>
        <w:rPr>
          <w:rFonts w:ascii="Times New Roman" w:hAnsi="Times New Roman" w:cs="Times New Roman" w:eastAsia="Times New Roman" w:hint="default"/>
          <w:spacing w:val="-2"/>
        </w:rPr>
        <w:t>[2010]543</w:t>
      </w:r>
      <w:r>
        <w:rPr>
          <w:spacing w:val="-2"/>
        </w:rPr>
        <w:t>号文件，本公司之子公司易联技术取得深圳市财政局下发的银行卡身份认证</w:t>
      </w:r>
      <w:r>
        <w:rPr>
          <w:w w:val="100"/>
        </w:rPr>
        <w:t> </w:t>
      </w:r>
      <w:r>
        <w:rPr/>
        <w:t>管理安全系统项目资助资金</w:t>
      </w:r>
      <w:r>
        <w:rPr>
          <w:rFonts w:ascii="Times New Roman" w:hAnsi="Times New Roman" w:cs="Times New Roman" w:eastAsia="Times New Roman" w:hint="default"/>
        </w:rPr>
        <w:t>35</w:t>
      </w:r>
      <w:r>
        <w:rPr/>
        <w:t>万元。</w:t>
      </w:r>
    </w:p>
    <w:p>
      <w:pPr>
        <w:pStyle w:val="Heading6"/>
        <w:spacing w:line="386" w:lineRule="auto" w:before="35"/>
        <w:ind w:right="206" w:firstLine="420"/>
        <w:jc w:val="both"/>
      </w:pPr>
      <w:r>
        <w:rPr>
          <w:rFonts w:ascii="Times New Roman" w:hAnsi="Times New Roman" w:cs="Times New Roman" w:eastAsia="Times New Roman" w:hint="default"/>
          <w:spacing w:val="-2"/>
        </w:rPr>
        <w:t>4.</w:t>
      </w:r>
      <w:r>
        <w:rPr>
          <w:spacing w:val="-2"/>
        </w:rPr>
        <w:t>根据深圳发改</w:t>
      </w:r>
      <w:r>
        <w:rPr>
          <w:rFonts w:ascii="Times New Roman" w:hAnsi="Times New Roman" w:cs="Times New Roman" w:eastAsia="Times New Roman" w:hint="default"/>
          <w:spacing w:val="-2"/>
        </w:rPr>
        <w:t>[2011]169</w:t>
      </w:r>
      <w:r>
        <w:rPr>
          <w:spacing w:val="-2"/>
        </w:rPr>
        <w:t>号文件，本公司与深圳市科技工贸和信息化委员会签订了《深圳市互联网产</w:t>
      </w:r>
      <w:r>
        <w:rPr>
          <w:w w:val="100"/>
        </w:rPr>
        <w:t> </w:t>
      </w:r>
      <w:r>
        <w:rPr>
          <w:w w:val="99"/>
        </w:rPr>
        <w:t>业发展专项资金项目合同书》，取得了项目专项补助资金</w:t>
      </w:r>
      <w:r>
        <w:rPr>
          <w:rFonts w:ascii="Times New Roman" w:hAnsi="Times New Roman" w:cs="Times New Roman" w:eastAsia="Times New Roman" w:hint="default"/>
          <w:w w:val="99"/>
        </w:rPr>
        <w:t>50</w:t>
      </w:r>
      <w:r>
        <w:rPr>
          <w:w w:val="99"/>
        </w:rPr>
        <w:t>万元用于</w:t>
      </w:r>
      <w:r>
        <w:rPr>
          <w:rFonts w:ascii="Times New Roman" w:hAnsi="Times New Roman" w:cs="Times New Roman" w:eastAsia="Times New Roman" w:hint="default"/>
          <w:w w:val="99"/>
        </w:rPr>
        <w:t>―</w:t>
      </w:r>
      <w:r>
        <w:rPr>
          <w:w w:val="99"/>
        </w:rPr>
        <w:t>城市一卡通小额射频电子支付受理</w:t>
      </w:r>
      <w:r>
        <w:rPr>
          <w:spacing w:val="-70"/>
          <w:w w:val="99"/>
        </w:rPr>
        <w:t> </w:t>
      </w:r>
      <w:r>
        <w:rPr>
          <w:spacing w:val="-70"/>
          <w:w w:val="99"/>
        </w:rPr>
      </w:r>
      <w:r>
        <w:rPr/>
        <w:t>设备的研发、应用示范及推广</w:t>
      </w:r>
      <w:r>
        <w:rPr>
          <w:rFonts w:ascii="Times New Roman" w:hAnsi="Times New Roman" w:cs="Times New Roman" w:eastAsia="Times New Roman" w:hint="default"/>
        </w:rPr>
        <w:t>‖</w:t>
      </w:r>
      <w:r>
        <w:rPr/>
        <w:t>。</w:t>
      </w:r>
    </w:p>
    <w:p>
      <w:pPr>
        <w:pStyle w:val="Heading6"/>
        <w:spacing w:line="386" w:lineRule="auto" w:before="36"/>
        <w:ind w:right="0" w:firstLine="42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．本公司与深圳市福田区科技创新局签订《福田区科技发展资金事前拨付项目资金使用合同》，取</w:t>
      </w:r>
      <w:r>
        <w:rPr>
          <w:w w:val="100"/>
        </w:rPr>
        <w:t> </w:t>
      </w:r>
      <w:r>
        <w:rPr>
          <w:spacing w:val="-2"/>
          <w:w w:val="100"/>
        </w:rPr>
        <w:t>得项目资助资金</w:t>
      </w:r>
      <w:r>
        <w:rPr>
          <w:rFonts w:ascii="Times New Roman" w:hAnsi="Times New Roman" w:cs="Times New Roman" w:eastAsia="Times New Roman" w:hint="default"/>
          <w:spacing w:val="-2"/>
          <w:w w:val="100"/>
        </w:rPr>
        <w:t>40</w:t>
      </w:r>
      <w:r>
        <w:rPr>
          <w:spacing w:val="-2"/>
          <w:w w:val="100"/>
        </w:rPr>
        <w:t>万元用于</w:t>
      </w:r>
      <w:r>
        <w:rPr>
          <w:rFonts w:ascii="Times New Roman" w:hAnsi="Times New Roman" w:cs="Times New Roman" w:eastAsia="Times New Roman" w:hint="default"/>
          <w:spacing w:val="-2"/>
          <w:w w:val="100"/>
        </w:rPr>
        <w:t>―</w:t>
      </w:r>
      <w:r>
        <w:rPr>
          <w:spacing w:val="-2"/>
          <w:w w:val="100"/>
        </w:rPr>
        <w:t>脚本化</w:t>
      </w:r>
      <w:r>
        <w:rPr>
          <w:rFonts w:ascii="Times New Roman" w:hAnsi="Times New Roman" w:cs="Times New Roman" w:eastAsia="Times New Roman" w:hint="default"/>
          <w:spacing w:val="-2"/>
          <w:w w:val="100"/>
        </w:rPr>
        <w:t>POS</w:t>
      </w:r>
      <w:r>
        <w:rPr>
          <w:spacing w:val="-2"/>
          <w:w w:val="100"/>
        </w:rPr>
        <w:t>支撑系统设计及推广项目</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2"/>
        </w:rPr>
      </w:r>
    </w:p>
    <w:p>
      <w:pPr>
        <w:pStyle w:val="Heading6"/>
        <w:spacing w:line="240" w:lineRule="auto" w:before="35"/>
        <w:ind w:left="573"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39"/>
        </w:rPr>
        <w:t> </w:t>
      </w:r>
      <w:r>
        <w:rPr/>
        <w:t>根据深发改</w:t>
      </w:r>
      <w:r>
        <w:rPr>
          <w:rFonts w:ascii="Times New Roman" w:hAnsi="Times New Roman" w:cs="Times New Roman" w:eastAsia="Times New Roman" w:hint="default"/>
        </w:rPr>
        <w:t>[2011]169</w:t>
      </w:r>
      <w:r>
        <w:rPr/>
        <w:t>号文件，本公司之子公司易联技术与深圳市科技工贸和信息化委员会签订了</w:t>
      </w:r>
    </w:p>
    <w:p>
      <w:pPr>
        <w:pStyle w:val="Heading6"/>
        <w:spacing w:line="386" w:lineRule="auto" w:before="177"/>
        <w:ind w:right="0"/>
        <w:jc w:val="left"/>
      </w:pPr>
      <w:r>
        <w:rPr>
          <w:w w:val="98"/>
        </w:rPr>
        <w:t>《深圳市互联网产业发展专项资金项目合同书》，取得了项目专项补助资金</w:t>
      </w:r>
      <w:r>
        <w:rPr>
          <w:rFonts w:ascii="Times New Roman" w:hAnsi="Times New Roman" w:cs="Times New Roman" w:eastAsia="Times New Roman" w:hint="default"/>
          <w:w w:val="98"/>
        </w:rPr>
        <w:t>100</w:t>
      </w:r>
      <w:r>
        <w:rPr>
          <w:w w:val="98"/>
        </w:rPr>
        <w:t>万元用于</w:t>
      </w:r>
      <w:r>
        <w:rPr>
          <w:rFonts w:ascii="Times New Roman" w:hAnsi="Times New Roman" w:cs="Times New Roman" w:eastAsia="Times New Roman" w:hint="default"/>
          <w:w w:val="98"/>
        </w:rPr>
        <w:t>―</w:t>
      </w:r>
      <w:r>
        <w:rPr>
          <w:w w:val="98"/>
        </w:rPr>
        <w:t>爱用</w:t>
      </w:r>
      <w:r>
        <w:rPr>
          <w:rFonts w:ascii="Times New Roman" w:hAnsi="Times New Roman" w:cs="Times New Roman" w:eastAsia="Times New Roman" w:hint="default"/>
          <w:w w:val="98"/>
        </w:rPr>
        <w:t>‗</w:t>
      </w:r>
      <w:r>
        <w:rPr>
          <w:w w:val="98"/>
        </w:rPr>
        <w:t>网银宝</w:t>
      </w:r>
      <w:r>
        <w:rPr>
          <w:rFonts w:ascii="Times New Roman" w:hAnsi="Times New Roman" w:cs="Times New Roman" w:eastAsia="Times New Roman" w:hint="default"/>
          <w:w w:val="98"/>
        </w:rPr>
        <w:t>‘</w:t>
      </w:r>
      <w:r>
        <w:rPr>
          <w:w w:val="98"/>
        </w:rPr>
        <w:t>互</w:t>
      </w:r>
      <w:r>
        <w:rPr>
          <w:spacing w:val="-73"/>
          <w:w w:val="98"/>
        </w:rPr>
        <w:t> </w:t>
      </w:r>
      <w:r>
        <w:rPr/>
        <w:t>联网支付系统研发项目</w:t>
      </w:r>
      <w:r>
        <w:rPr>
          <w:rFonts w:ascii="Times New Roman" w:hAnsi="Times New Roman" w:cs="Times New Roman" w:eastAsia="Times New Roman" w:hint="default"/>
        </w:rPr>
        <w:t>‖</w:t>
      </w:r>
      <w:r>
        <w:rPr/>
        <w:t>。</w:t>
      </w:r>
    </w:p>
    <w:p>
      <w:pPr>
        <w:pStyle w:val="Heading6"/>
        <w:spacing w:line="386" w:lineRule="auto" w:before="155"/>
        <w:ind w:right="0" w:firstLine="420"/>
        <w:jc w:val="left"/>
      </w:pPr>
      <w:r>
        <w:rPr>
          <w:rFonts w:ascii="Times New Roman" w:hAnsi="Times New Roman" w:cs="Times New Roman" w:eastAsia="Times New Roman" w:hint="default"/>
          <w:spacing w:val="2"/>
        </w:rPr>
        <w:t>7.</w:t>
      </w:r>
      <w:r>
        <w:rPr>
          <w:spacing w:val="2"/>
        </w:rPr>
        <w:t>根据深圳市发改委</w:t>
      </w:r>
      <w:r>
        <w:rPr>
          <w:rFonts w:ascii="Times New Roman" w:hAnsi="Times New Roman" w:cs="Times New Roman" w:eastAsia="Times New Roman" w:hint="default"/>
          <w:spacing w:val="2"/>
        </w:rPr>
        <w:t>[2012]825</w:t>
      </w:r>
      <w:r>
        <w:rPr>
          <w:spacing w:val="2"/>
        </w:rPr>
        <w:t>号文件关于深圳市新国都技术股份有限公司电子支付综合平台产业化</w:t>
      </w:r>
      <w:r>
        <w:rPr>
          <w:w w:val="100"/>
        </w:rPr>
        <w:t> </w:t>
      </w:r>
      <w:r>
        <w:rPr/>
        <w:t>项目资金申请报告的批复，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月本公司取得项目补助资金</w:t>
      </w:r>
      <w:r>
        <w:rPr>
          <w:rFonts w:ascii="Times New Roman" w:hAnsi="Times New Roman" w:cs="Times New Roman" w:eastAsia="Times New Roman" w:hint="default"/>
        </w:rPr>
        <w:t>400</w:t>
      </w:r>
      <w:r>
        <w:rPr/>
        <w:t>万元。</w:t>
      </w:r>
    </w:p>
    <w:p>
      <w:pPr>
        <w:pStyle w:val="Heading6"/>
        <w:spacing w:line="240" w:lineRule="auto" w:before="156"/>
        <w:ind w:left="573" w:right="0"/>
        <w:jc w:val="left"/>
      </w:pPr>
      <w:r>
        <w:rPr>
          <w:rFonts w:ascii="Times New Roman" w:hAnsi="Times New Roman" w:cs="Times New Roman" w:eastAsia="Times New Roman" w:hint="default"/>
        </w:rPr>
        <w:t>8.</w:t>
      </w:r>
      <w:r>
        <w:rPr/>
        <w:t>根据深圳市战略性新兴产业发展专项资金</w:t>
      </w:r>
      <w:r>
        <w:rPr>
          <w:rFonts w:ascii="Times New Roman" w:hAnsi="Times New Roman" w:cs="Times New Roman" w:eastAsia="Times New Roman" w:hint="default"/>
        </w:rPr>
        <w:t>2012</w:t>
      </w:r>
      <w:r>
        <w:rPr/>
        <w:t>年第三批资助项目（互联网产业）公示名单，</w:t>
      </w:r>
      <w:r>
        <w:rPr>
          <w:rFonts w:ascii="Times New Roman" w:hAnsi="Times New Roman" w:cs="Times New Roman" w:eastAsia="Times New Roman" w:hint="default"/>
        </w:rPr>
        <w:t>2012</w:t>
      </w:r>
      <w:r>
        <w:rPr/>
        <w:t>年</w:t>
      </w:r>
    </w:p>
    <w:p>
      <w:pPr>
        <w:pStyle w:val="Heading6"/>
        <w:spacing w:line="240" w:lineRule="auto" w:before="177"/>
        <w:ind w:right="0"/>
        <w:jc w:val="left"/>
      </w:pPr>
      <w:r>
        <w:rPr>
          <w:rFonts w:ascii="Times New Roman" w:hAnsi="Times New Roman" w:cs="Times New Roman" w:eastAsia="Times New Roman" w:hint="default"/>
        </w:rPr>
        <w:t>11</w:t>
      </w:r>
      <w:r>
        <w:rPr/>
        <w:t>月本公司之子公司易联技术取得深圳市财政委员会下发补助资金</w:t>
      </w:r>
      <w:r>
        <w:rPr>
          <w:rFonts w:ascii="Times New Roman" w:hAnsi="Times New Roman" w:cs="Times New Roman" w:eastAsia="Times New Roman" w:hint="default"/>
        </w:rPr>
        <w:t>80</w:t>
      </w:r>
      <w:r>
        <w:rPr/>
        <w:t>万元。</w:t>
      </w:r>
    </w:p>
    <w:p>
      <w:pPr>
        <w:pStyle w:val="Heading6"/>
        <w:spacing w:line="386" w:lineRule="auto" w:before="177"/>
        <w:ind w:right="0"/>
        <w:jc w:val="left"/>
      </w:pPr>
      <w:r>
        <w:rPr>
          <w:rFonts w:ascii="Times New Roman" w:hAnsi="Times New Roman" w:cs="Times New Roman" w:eastAsia="Times New Roman" w:hint="default"/>
          <w:spacing w:val="-1"/>
        </w:rPr>
        <w:t>9.</w:t>
      </w:r>
      <w:r>
        <w:rPr>
          <w:spacing w:val="-1"/>
        </w:rPr>
        <w:t>根据</w:t>
      </w:r>
      <w:r>
        <w:rPr>
          <w:rFonts w:ascii="Times New Roman" w:hAnsi="Times New Roman" w:cs="Times New Roman" w:eastAsia="Times New Roman" w:hint="default"/>
          <w:spacing w:val="-1"/>
        </w:rPr>
        <w:t>2012</w:t>
      </w:r>
      <w:r>
        <w:rPr>
          <w:spacing w:val="-1"/>
        </w:rPr>
        <w:t>年度国际科技合作计划资助项目公示名单，</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月本公司取得深圳市财政委员会下发补助</w:t>
      </w:r>
      <w:r>
        <w:rPr>
          <w:spacing w:val="-22"/>
        </w:rPr>
        <w:t> </w:t>
      </w:r>
      <w:r>
        <w:rPr>
          <w:spacing w:val="-22"/>
        </w:rPr>
      </w:r>
      <w:r>
        <w:rPr/>
        <w:t>资金</w:t>
      </w:r>
      <w:r>
        <w:rPr>
          <w:rFonts w:ascii="Times New Roman" w:hAnsi="Times New Roman" w:cs="Times New Roman" w:eastAsia="Times New Roman" w:hint="default"/>
        </w:rPr>
        <w:t>40</w:t>
      </w:r>
      <w:r>
        <w:rPr/>
        <w:t>万元。</w:t>
      </w:r>
    </w:p>
    <w:p>
      <w:pPr>
        <w:spacing w:line="240" w:lineRule="auto" w:before="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left="0" w:right="21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8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78"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8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7"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114,300,000.00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114,300,000.00</w:t>
            </w:r>
          </w:p>
        </w:tc>
      </w:tr>
    </w:tbl>
    <w:p>
      <w:pPr>
        <w:spacing w:line="240" w:lineRule="auto" w:before="5"/>
        <w:rPr>
          <w:rFonts w:ascii="宋体" w:hAnsi="宋体" w:cs="宋体" w:eastAsia="宋体" w:hint="default"/>
          <w:sz w:val="6"/>
          <w:szCs w:val="6"/>
        </w:rPr>
      </w:pPr>
    </w:p>
    <w:p>
      <w:pPr>
        <w:pStyle w:val="BodyText"/>
        <w:spacing w:line="240" w:lineRule="auto"/>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19"/>
          <w:szCs w:val="19"/>
        </w:rPr>
      </w:pPr>
    </w:p>
    <w:p>
      <w:pPr>
        <w:pStyle w:val="BodyText"/>
        <w:spacing w:line="240" w:lineRule="auto" w:before="0"/>
        <w:ind w:right="0"/>
        <w:jc w:val="left"/>
      </w:pPr>
      <w:r>
        <w:rPr/>
        <w:t>年的股份有限公司，设立前的年份只需说明净资产情况；有限责任公司整体变更为股份公司应说明公司设立时的验资情况</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库存股情况说明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专项储备情况说明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557"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641,920,393.65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641,920,393.65</w:t>
            </w: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641,920,393.65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641,920,393.65</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资本公积说明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557"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10,796,086.08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1,920,825.05</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12,716,911.13</w:t>
            </w: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10,796,086.08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1,920,825.05</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12,716,911.13</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一般风险准备情况说明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168,030,408.69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168,030,408.69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60,160,444.91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1,920,825.05</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11,430,000.00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214,840,028.55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调整年初未分配利润明细：</w:t>
      </w:r>
    </w:p>
    <w:p>
      <w:pPr>
        <w:spacing w:line="240" w:lineRule="auto" w:before="9"/>
        <w:rPr>
          <w:rFonts w:ascii="宋体" w:hAnsi="宋体" w:cs="宋体" w:eastAsia="宋体" w:hint="default"/>
          <w:sz w:val="20"/>
          <w:szCs w:val="20"/>
        </w:rPr>
      </w:pPr>
    </w:p>
    <w:p>
      <w:pPr>
        <w:pStyle w:val="BodyText"/>
        <w:spacing w:line="240" w:lineRule="auto" w:before="0"/>
        <w:ind w:right="141"/>
        <w:jc w:val="left"/>
      </w:pPr>
      <w:r>
        <w:rPr>
          <w:rFonts w:ascii="Times New Roman" w:hAnsi="Times New Roman" w:cs="Times New Roman" w:eastAsia="Times New Roman" w:hint="default"/>
        </w:rPr>
        <w:t>1)</w:t>
      </w:r>
      <w:r>
        <w:rPr/>
        <w:t>、由于《企业会计准则》及其相关新规定进行追溯调整，影响年初未分配利润元。</w:t>
      </w:r>
    </w:p>
    <w:p>
      <w:pPr>
        <w:spacing w:line="240" w:lineRule="auto" w:before="11"/>
        <w:rPr>
          <w:rFonts w:ascii="宋体" w:hAnsi="宋体" w:cs="宋体" w:eastAsia="宋体" w:hint="default"/>
          <w:sz w:val="19"/>
          <w:szCs w:val="19"/>
        </w:rPr>
      </w:pPr>
    </w:p>
    <w:p>
      <w:pPr>
        <w:pStyle w:val="BodyText"/>
        <w:spacing w:line="240" w:lineRule="auto" w:before="0"/>
        <w:ind w:right="141"/>
        <w:jc w:val="left"/>
      </w:pPr>
      <w:r>
        <w:rPr>
          <w:rFonts w:ascii="Times New Roman" w:hAnsi="Times New Roman" w:cs="Times New Roman" w:eastAsia="Times New Roman" w:hint="default"/>
        </w:rPr>
        <w:t>2)</w:t>
      </w:r>
      <w:r>
        <w:rPr/>
        <w:t>、由于会计政策变更，影响年初未分配利润元。</w:t>
      </w:r>
    </w:p>
    <w:p>
      <w:pPr>
        <w:spacing w:line="240" w:lineRule="auto" w:before="9"/>
        <w:rPr>
          <w:rFonts w:ascii="宋体" w:hAnsi="宋体" w:cs="宋体" w:eastAsia="宋体" w:hint="default"/>
          <w:sz w:val="19"/>
          <w:szCs w:val="19"/>
        </w:rPr>
      </w:pPr>
    </w:p>
    <w:p>
      <w:pPr>
        <w:pStyle w:val="BodyText"/>
        <w:spacing w:line="240" w:lineRule="auto" w:before="0"/>
        <w:ind w:right="141"/>
        <w:jc w:val="left"/>
      </w:pPr>
      <w:r>
        <w:rPr>
          <w:rFonts w:ascii="Times New Roman" w:hAnsi="Times New Roman" w:cs="Times New Roman" w:eastAsia="Times New Roman" w:hint="default"/>
        </w:rPr>
        <w:t>3)</w:t>
      </w:r>
      <w:r>
        <w:rPr/>
        <w:t>、由于重大会计差错更正，影响年初未分配利润元。</w:t>
      </w:r>
    </w:p>
    <w:p>
      <w:pPr>
        <w:spacing w:line="240" w:lineRule="auto" w:before="11"/>
        <w:rPr>
          <w:rFonts w:ascii="宋体" w:hAnsi="宋体" w:cs="宋体" w:eastAsia="宋体" w:hint="default"/>
          <w:sz w:val="19"/>
          <w:szCs w:val="19"/>
        </w:rPr>
      </w:pPr>
    </w:p>
    <w:p>
      <w:pPr>
        <w:pStyle w:val="BodyText"/>
        <w:spacing w:line="240" w:lineRule="auto" w:before="0"/>
        <w:ind w:right="141"/>
        <w:jc w:val="left"/>
      </w:pPr>
      <w:r>
        <w:rPr>
          <w:rFonts w:ascii="Times New Roman" w:hAnsi="Times New Roman" w:cs="Times New Roman" w:eastAsia="Times New Roman" w:hint="default"/>
        </w:rPr>
        <w:t>4)</w:t>
      </w:r>
      <w:r>
        <w:rPr/>
        <w:t>、由于同一控制导致的合并范围变更，影响年初未分配利润元。</w:t>
      </w:r>
    </w:p>
    <w:p>
      <w:pPr>
        <w:spacing w:line="240" w:lineRule="auto" w:before="11"/>
        <w:rPr>
          <w:rFonts w:ascii="宋体" w:hAnsi="宋体" w:cs="宋体" w:eastAsia="宋体" w:hint="default"/>
          <w:sz w:val="19"/>
          <w:szCs w:val="19"/>
        </w:rPr>
      </w:pPr>
    </w:p>
    <w:p>
      <w:pPr>
        <w:pStyle w:val="BodyText"/>
        <w:spacing w:line="480" w:lineRule="auto" w:before="0"/>
        <w:ind w:right="141"/>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Heading6"/>
        <w:spacing w:line="386" w:lineRule="auto" w:before="70"/>
        <w:ind w:right="141"/>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日本公司</w:t>
      </w:r>
      <w:r>
        <w:rPr>
          <w:rFonts w:ascii="Times New Roman" w:hAnsi="Times New Roman" w:cs="Times New Roman" w:eastAsia="Times New Roman" w:hint="default"/>
        </w:rPr>
        <w:t>2011</w:t>
      </w:r>
      <w:r>
        <w:rPr/>
        <w:t>年度股东大会决议，本公司对</w:t>
      </w:r>
      <w:r>
        <w:rPr>
          <w:rFonts w:ascii="Times New Roman" w:hAnsi="Times New Roman" w:cs="Times New Roman" w:eastAsia="Times New Roman" w:hint="default"/>
        </w:rPr>
        <w:t>2011</w:t>
      </w:r>
      <w:r>
        <w:rPr/>
        <w:t>年度利润进行分配，具体方案为向全体</w:t>
      </w:r>
      <w:r>
        <w:rPr>
          <w:spacing w:val="-26"/>
        </w:rPr>
        <w:t> </w:t>
      </w:r>
      <w:r>
        <w:rPr>
          <w:spacing w:val="-26"/>
        </w:rPr>
      </w:r>
      <w:r>
        <w:rPr/>
        <w:t>股东每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1</w:t>
      </w:r>
      <w:r>
        <w:rPr/>
        <w:t>元（含税），共分配人民币</w:t>
      </w:r>
      <w:r>
        <w:rPr>
          <w:rFonts w:ascii="Times New Roman" w:hAnsi="Times New Roman" w:cs="Times New Roman" w:eastAsia="Times New Roman" w:hint="default"/>
        </w:rPr>
        <w:t>11,430,000.00</w:t>
      </w:r>
      <w:r>
        <w:rPr>
          <w:rFonts w:ascii="Times New Roman" w:hAnsi="Times New Roman" w:cs="Times New Roman" w:eastAsia="Times New Roman" w:hint="default"/>
          <w:spacing w:val="26"/>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557"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494,315,894.67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341,506,975.08</w:t>
            </w:r>
          </w:p>
        </w:tc>
      </w:tr>
      <w:tr>
        <w:trPr>
          <w:trHeight w:val="557"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89,922.88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1"/>
        <w:gridCol w:w="3058"/>
        <w:gridCol w:w="3190"/>
      </w:tblGrid>
      <w:tr>
        <w:trPr>
          <w:trHeight w:val="560"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8" w:right="0"/>
              <w:jc w:val="left"/>
              <w:rPr>
                <w:rFonts w:ascii="Times New Roman" w:hAnsi="Times New Roman" w:cs="Times New Roman" w:eastAsia="Times New Roman" w:hint="default"/>
                <w:sz w:val="18"/>
                <w:szCs w:val="18"/>
              </w:rPr>
            </w:pPr>
            <w:r>
              <w:rPr>
                <w:rFonts w:ascii="Times New Roman"/>
                <w:sz w:val="18"/>
              </w:rPr>
              <w:t>294,528,706.61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160,292,089.18</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559"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银行卡电子支付终端</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494,315,894.67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293,688,072.41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341,506,975.08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160,269,397.02</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494,315,894.67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293,688,072.41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341,506,975.08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160,269,397.02</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559"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6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475,525,661.62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290,430,957.41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324,837,256.20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156,357,828.40</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11,413,580.41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1,178,665.99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11,086,822.35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2,236,549.10</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136,752.14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44,394.00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273,504.27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94,336.00</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1,637,386.90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272,319.38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78,594.87</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4,742,439.26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1,761,735.63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4,867,395.56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1,580,683.52</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860,074.34</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363,401.83</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494,315,894.67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293,688,072.41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341,506,975.08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160,269,397.02</w:t>
            </w:r>
          </w:p>
        </w:tc>
      </w:tr>
    </w:tbl>
    <w:p>
      <w:pPr>
        <w:spacing w:line="240" w:lineRule="auto" w:before="7"/>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8"/>
      </w:tblGrid>
      <w:tr>
        <w:trPr>
          <w:trHeight w:val="558"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191,900,445.27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121,723,351.00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140,744,443.88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73,654,487.60</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104,495,675.21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55,735,774.80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55,072,974.37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25,538,859.43</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83,876,104.29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49,261,567.01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76,825,538.46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32,040,739.25</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51,951,801.69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31,988,832.09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37,989,196.58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15,458,025.21</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22,339,847.86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12,868,280.90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11,699,947.86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5,396,649.91</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18,529,841.03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10,292,287.51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10,687,317.95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4,466,888.49</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15,945,220.51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9,258,252.07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7,297,910.26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3,410,139.99</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5,276,958.81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2,559,727.03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1,189,645.72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303,607.14</w:t>
            </w:r>
          </w:p>
        </w:tc>
      </w:tr>
      <w:tr>
        <w:trPr>
          <w:trHeight w:val="559"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494,315,894.67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293,688,072.41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341,506,975.08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160,269,397.02</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559"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139,073,119.08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28.09%</w:t>
            </w:r>
          </w:p>
        </w:tc>
      </w:tr>
      <w:tr>
        <w:trPr>
          <w:trHeight w:val="1027"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39"/>
              <w:jc w:val="left"/>
              <w:rPr>
                <w:rFonts w:ascii="宋体" w:hAnsi="宋体" w:cs="宋体" w:eastAsia="宋体" w:hint="default"/>
                <w:sz w:val="18"/>
                <w:szCs w:val="18"/>
              </w:rPr>
            </w:pPr>
            <w:r>
              <w:rPr>
                <w:rFonts w:ascii="宋体" w:hAnsi="宋体" w:cs="宋体" w:eastAsia="宋体" w:hint="default"/>
                <w:sz w:val="18"/>
                <w:szCs w:val="18"/>
              </w:rPr>
              <w:t>艾体威尔电子技术（北京）有限 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97,132,109.83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19.62%</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农村信用合作社</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52,157,659.83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10.54%</w:t>
            </w:r>
          </w:p>
        </w:tc>
      </w:tr>
      <w:tr>
        <w:trPr>
          <w:trHeight w:val="559"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30,378,871.79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22,846,065.81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w:t>
            </w:r>
          </w:p>
        </w:tc>
      </w:tr>
      <w:tr>
        <w:trPr>
          <w:trHeight w:val="559"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341,587,826.34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营业收入的说明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3"/>
        <w:gridCol w:w="1595"/>
      </w:tblGrid>
      <w:tr>
        <w:trPr>
          <w:trHeight w:val="559"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0"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519"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合同项目的说明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557"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59"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498,442.17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577,007.34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3,472,861.55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2,857,764.59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2,480,615.41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2,041,305.67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6,452,021.70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5,479,077.60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营业税金及附加的说明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16,863,474.19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12,419,345.38</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9,337,208.06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9,070,289.81</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4,606,529.14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4,086,142.82</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6,533,233.94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4,888,286.12</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9,522,722.70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13,206,793.65</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19,287,193.70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10,489,306.50</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5,580,774.95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3,303,762.26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2,685,240.64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1,838,562.79</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1,237,004.86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667,088.12</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75,653,382.18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59,969,577.45</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66,553,514.04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46,014,535.73</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14,829,433.01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9,409,276.31</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4,271,174.26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3,538,073.55</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1,305,231.72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774,257.19</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769,591.84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635,682.25</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1,548,393.47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1,604,576.50</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562,833.90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414,941.80</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4,159,332.60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3,631,880.72</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93,999,504.84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66,023,224.05</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259,043.66</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-19,779,238.89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-13,868,660.73</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3,837.24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213,443.69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138,746.95</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-19,561,957.96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-13,470,870.12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1"/>
      </w:tblGrid>
      <w:tr>
        <w:trPr>
          <w:trHeight w:val="557"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公允价值变动收益的说明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557"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557"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595,966.25</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558"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8"/>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559"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559"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3" w:right="0"/>
              <w:jc w:val="left"/>
              <w:rPr>
                <w:rFonts w:ascii="Times New Roman" w:hAnsi="Times New Roman" w:cs="Times New Roman" w:eastAsia="Times New Roman" w:hint="default"/>
                <w:sz w:val="18"/>
                <w:szCs w:val="18"/>
              </w:rPr>
            </w:pPr>
            <w:r>
              <w:rPr>
                <w:rFonts w:ascii="Times New Roman"/>
                <w:sz w:val="18"/>
              </w:rPr>
              <w:t>6,367,195.57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2" w:right="0"/>
              <w:jc w:val="left"/>
              <w:rPr>
                <w:rFonts w:ascii="Times New Roman" w:hAnsi="Times New Roman" w:cs="Times New Roman" w:eastAsia="Times New Roman" w:hint="default"/>
                <w:sz w:val="18"/>
                <w:szCs w:val="18"/>
              </w:rPr>
            </w:pPr>
            <w:r>
              <w:rPr>
                <w:rFonts w:ascii="Times New Roman"/>
                <w:sz w:val="18"/>
              </w:rPr>
              <w:t>4,956,844.19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74.828003pt;margin-top:709.659973pt;width:113.25pt;height:29.85pt;mso-position-horizontal-relative:page;mso-position-vertical-relative:page;z-index:-9277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奖）</w:t>
                  </w:r>
                </w:p>
              </w:txbxContent>
            </v:textbox>
            <w10:wrap type="none"/>
          </v:shape>
        </w:pict>
      </w:r>
      <w:r>
        <w:rPr/>
        <w:pict>
          <v:group style="position:absolute;margin-left:190.009995pt;margin-top:709.119995pt;width:99.25pt;height:39.7pt;mso-position-horizontal-relative:page;mso-position-vertical-relative:page;z-index:-927736" coordorigin="3800,14182" coordsize="1985,794">
            <v:group style="position:absolute;left:3811;top:14193;width:2;height:550" coordorigin="3811,14193" coordsize="2,550">
              <v:shape style="position:absolute;left:3811;top:14193;width:2;height:550" coordorigin="3811,14193" coordsize="0,550" path="m3811,14193l3811,14743e" filled="false" stroked="true" strokeweight="1.08pt" strokecolor="#ffffff">
                <v:path arrowok="t"/>
              </v:shape>
            </v:group>
            <v:group style="position:absolute;left:3800;top:14743;width:1985;height:233" coordorigin="3800,14743" coordsize="1985,233">
              <v:shape style="position:absolute;left:3800;top:14743;width:1985;height:233" coordorigin="3800,14743" coordsize="1985,233" path="m3800,14976l5785,14976,5785,14743,3800,14743,3800,14976xe" filled="true" fillcolor="#ffffff" stroked="false">
                <v:path arrowok="t"/>
                <v:fill type="solid"/>
              </v:shape>
            </v:group>
            <v:group style="position:absolute;left:3822;top:14193;width:1940;height:550" coordorigin="3822,14193" coordsize="1940,550">
              <v:shape style="position:absolute;left:3822;top:14193;width:1940;height:550" coordorigin="3822,14193" coordsize="1940,550" path="m3822,14743l5761,14743,5761,14193,3822,14193,3822,1474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4255"/>
        <w:gridCol w:w="2525"/>
        <w:gridCol w:w="2789"/>
      </w:tblGrid>
      <w:tr>
        <w:trPr>
          <w:trHeight w:val="560"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6,367,195.57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2" w:right="0"/>
              <w:jc w:val="left"/>
              <w:rPr>
                <w:rFonts w:ascii="Times New Roman" w:hAnsi="Times New Roman" w:cs="Times New Roman" w:eastAsia="Times New Roman" w:hint="default"/>
                <w:sz w:val="18"/>
                <w:szCs w:val="18"/>
              </w:rPr>
            </w:pPr>
            <w:r>
              <w:rPr>
                <w:rFonts w:ascii="Times New Roman"/>
                <w:sz w:val="18"/>
              </w:rPr>
              <w:t>4,956,844.19</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240"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547"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240"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4,417,500.00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2,054,085.00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4,417,500.00</w:t>
            </w:r>
          </w:p>
        </w:tc>
      </w:tr>
      <w:tr>
        <w:trPr>
          <w:trHeight w:val="559"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25,890,004.77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23,051,982.63</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23,478.63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36,350.00</w:t>
            </w:r>
          </w:p>
        </w:tc>
      </w:tr>
      <w:tr>
        <w:trPr>
          <w:trHeight w:val="559"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30,343,854.77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25,129,546.26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4,453,850.00</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660"/>
        <w:gridCol w:w="609"/>
        <w:gridCol w:w="1385"/>
        <w:gridCol w:w="1995"/>
        <w:gridCol w:w="2921"/>
      </w:tblGrid>
      <w:tr>
        <w:trPr>
          <w:trHeight w:val="557"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高新技术企业专项补助资金</w:t>
            </w:r>
          </w:p>
        </w:tc>
        <w:tc>
          <w:tcPr>
            <w:tcW w:w="1994" w:type="dxa"/>
            <w:gridSpan w:val="2"/>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120,385.00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4" w:right="104"/>
              <w:jc w:val="left"/>
              <w:rPr>
                <w:rFonts w:ascii="宋体" w:hAnsi="宋体" w:cs="宋体" w:eastAsia="宋体" w:hint="default"/>
                <w:sz w:val="18"/>
                <w:szCs w:val="18"/>
              </w:rPr>
            </w:pPr>
            <w:r>
              <w:rPr>
                <w:rFonts w:ascii="宋体" w:hAnsi="宋体" w:cs="宋体" w:eastAsia="宋体" w:hint="default"/>
                <w:sz w:val="18"/>
                <w:szCs w:val="18"/>
              </w:rPr>
              <w:t>经济发展基金扶持信息服务业资 助款</w:t>
            </w:r>
          </w:p>
        </w:tc>
        <w:tc>
          <w:tcPr>
            <w:tcW w:w="1994" w:type="dxa"/>
            <w:gridSpan w:val="2"/>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4"/>
              <w:jc w:val="left"/>
              <w:rPr>
                <w:rFonts w:ascii="宋体" w:hAnsi="宋体" w:cs="宋体" w:eastAsia="宋体" w:hint="default"/>
                <w:sz w:val="18"/>
                <w:szCs w:val="18"/>
              </w:rPr>
            </w:pPr>
            <w:r>
              <w:rPr>
                <w:rFonts w:ascii="宋体" w:hAnsi="宋体" w:cs="宋体" w:eastAsia="宋体" w:hint="default"/>
                <w:sz w:val="18"/>
                <w:szCs w:val="18"/>
              </w:rPr>
              <w:t>福田区经济发展基金扶持发展企 业上市资助</w:t>
            </w:r>
          </w:p>
        </w:tc>
        <w:tc>
          <w:tcPr>
            <w:tcW w:w="1994" w:type="dxa"/>
            <w:gridSpan w:val="2"/>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4" w:right="104"/>
              <w:jc w:val="left"/>
              <w:rPr>
                <w:rFonts w:ascii="宋体" w:hAnsi="宋体" w:cs="宋体" w:eastAsia="宋体" w:hint="default"/>
                <w:sz w:val="18"/>
                <w:szCs w:val="18"/>
              </w:rPr>
            </w:pPr>
            <w:r>
              <w:rPr>
                <w:rFonts w:ascii="宋体" w:hAnsi="宋体" w:cs="宋体" w:eastAsia="宋体" w:hint="default"/>
                <w:sz w:val="18"/>
                <w:szCs w:val="18"/>
              </w:rPr>
              <w:t>福田区科技发展资金知识产权资 助款</w:t>
            </w:r>
          </w:p>
        </w:tc>
        <w:tc>
          <w:tcPr>
            <w:tcW w:w="1994" w:type="dxa"/>
            <w:gridSpan w:val="2"/>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技术创新补贴</w:t>
            </w:r>
          </w:p>
        </w:tc>
        <w:tc>
          <w:tcPr>
            <w:tcW w:w="1994" w:type="dxa"/>
            <w:gridSpan w:val="2"/>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48" w:lineRule="auto" w:before="128"/>
              <w:ind w:left="24" w:right="20"/>
              <w:jc w:val="left"/>
              <w:rPr>
                <w:rFonts w:ascii="宋体" w:hAnsi="宋体" w:cs="宋体" w:eastAsia="宋体" w:hint="default"/>
                <w:sz w:val="18"/>
                <w:szCs w:val="18"/>
              </w:rPr>
            </w:pPr>
            <w:r>
              <w:rPr>
                <w:rFonts w:ascii="宋体" w:hAnsi="宋体" w:cs="宋体" w:eastAsia="宋体" w:hint="default"/>
                <w:sz w:val="18"/>
                <w:szCs w:val="18"/>
              </w:rPr>
              <w:t>深圳市科学技术协会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年度深 圳市科学技术奖励（科技进步</w:t>
            </w:r>
          </w:p>
        </w:tc>
        <w:tc>
          <w:tcPr>
            <w:tcW w:w="609" w:type="dxa"/>
            <w:tcBorders>
              <w:top w:val="single" w:sz="4" w:space="0" w:color="000000"/>
              <w:left w:val="single" w:sz="4" w:space="0" w:color="000000"/>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深圳市市场监督管理局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批著作权登记补贴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4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04"/>
              <w:jc w:val="both"/>
              <w:rPr>
                <w:rFonts w:ascii="宋体" w:hAnsi="宋体" w:cs="宋体" w:eastAsia="宋体" w:hint="default"/>
                <w:sz w:val="18"/>
                <w:szCs w:val="18"/>
              </w:rPr>
            </w:pPr>
            <w:r>
              <w:rPr>
                <w:rFonts w:ascii="宋体" w:hAnsi="宋体" w:cs="宋体" w:eastAsia="宋体" w:hint="default"/>
                <w:sz w:val="18"/>
                <w:szCs w:val="18"/>
              </w:rPr>
              <w:t>深圳市民营及中小企业发展专项 资金企业改制上市培育项目资助 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4"/>
              <w:jc w:val="left"/>
              <w:rPr>
                <w:rFonts w:ascii="宋体" w:hAnsi="宋体" w:cs="宋体" w:eastAsia="宋体" w:hint="default"/>
                <w:sz w:val="18"/>
                <w:szCs w:val="18"/>
              </w:rPr>
            </w:pPr>
            <w:r>
              <w:rPr>
                <w:rFonts w:ascii="宋体" w:hAnsi="宋体" w:cs="宋体" w:eastAsia="宋体" w:hint="default"/>
                <w:sz w:val="18"/>
                <w:szCs w:val="18"/>
              </w:rPr>
              <w:t>面向物联网的第三方交易支付平 台及设备项目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49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04"/>
              <w:jc w:val="both"/>
              <w:rPr>
                <w:rFonts w:ascii="宋体" w:hAnsi="宋体" w:cs="宋体" w:eastAsia="宋体" w:hint="default"/>
                <w:sz w:val="18"/>
                <w:szCs w:val="18"/>
              </w:rPr>
            </w:pPr>
            <w:r>
              <w:rPr>
                <w:rFonts w:ascii="宋体" w:hAnsi="宋体" w:cs="宋体" w:eastAsia="宋体" w:hint="default"/>
                <w:sz w:val="18"/>
                <w:szCs w:val="18"/>
              </w:rPr>
              <w:t>深圳市财政委员会深圳市民营及 中小企业发展专项资金企业信息 化建设项目资助款项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南山区财政局科技发展资金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04"/>
              <w:jc w:val="left"/>
              <w:rPr>
                <w:rFonts w:ascii="宋体" w:hAnsi="宋体" w:cs="宋体" w:eastAsia="宋体" w:hint="default"/>
                <w:sz w:val="18"/>
                <w:szCs w:val="18"/>
              </w:rPr>
            </w:pPr>
            <w:r>
              <w:rPr>
                <w:rFonts w:ascii="宋体" w:hAnsi="宋体" w:cs="宋体" w:eastAsia="宋体" w:hint="default"/>
                <w:sz w:val="18"/>
                <w:szCs w:val="18"/>
              </w:rPr>
              <w:t>深圳市科技研发资金国家和省研 发项目配套计划资助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著作权补贴款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4,417,500.00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2,054,085.00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营业外收入说明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709"/>
        <w:gridCol w:w="2021"/>
        <w:gridCol w:w="1915"/>
        <w:gridCol w:w="1913"/>
      </w:tblGrid>
      <w:tr>
        <w:trPr>
          <w:trHeight w:val="239" w:hRule="exact"/>
        </w:trPr>
        <w:tc>
          <w:tcPr>
            <w:tcW w:w="3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547" w:hRule="exact"/>
        </w:trPr>
        <w:tc>
          <w:tcPr>
            <w:tcW w:w="3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240" w:hRule="exact"/>
        </w:trPr>
        <w:tc>
          <w:tcPr>
            <w:tcW w:w="3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23,972.02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23,972.02</w:t>
            </w:r>
          </w:p>
        </w:tc>
      </w:tr>
      <w:tr>
        <w:trPr>
          <w:trHeight w:val="558"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23,972.02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23,972.02</w:t>
            </w:r>
          </w:p>
        </w:tc>
      </w:tr>
      <w:tr>
        <w:trPr>
          <w:trHeight w:val="557"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23,680.00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违约金支出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356,736.03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356,736.03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557"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118,879.67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118,879.67</w:t>
            </w:r>
          </w:p>
        </w:tc>
      </w:tr>
      <w:tr>
        <w:trPr>
          <w:trHeight w:val="559"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499,587.72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93,831.67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499,587.72</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营业外支出说明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559"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11,146,454.34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11,450,179.09</w:t>
            </w:r>
          </w:p>
        </w:tc>
      </w:tr>
      <w:tr>
        <w:trPr>
          <w:trHeight w:val="558"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-3,193,407.21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-3,197,929.41</w:t>
            </w:r>
          </w:p>
        </w:tc>
      </w:tr>
      <w:tr>
        <w:trPr>
          <w:trHeight w:val="559"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7,953,047.13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8,252,249.68</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6"/>
        <w:spacing w:line="386" w:lineRule="auto" w:before="0"/>
        <w:ind w:right="149" w:firstLine="420"/>
        <w:jc w:val="both"/>
      </w:pPr>
      <w:r>
        <w:rPr/>
        <w:t>本公司按照中国证监会《公开发行证券的公司信息披露编报规则第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w:t>
      </w:r>
      <w:r>
        <w:rPr>
          <w:w w:val="100"/>
        </w:rPr>
        <w:t> 的计算</w:t>
      </w:r>
      <w:r>
        <w:rPr>
          <w:spacing w:val="2"/>
          <w:w w:val="100"/>
        </w:rPr>
        <w:t>及</w:t>
      </w:r>
      <w:r>
        <w:rPr>
          <w:w w:val="100"/>
        </w:rPr>
        <w:t>披露（</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spacing w:val="2"/>
          <w:w w:val="100"/>
        </w:rPr>
        <w:t>年</w:t>
      </w:r>
      <w:r>
        <w:rPr>
          <w:w w:val="100"/>
        </w:rPr>
        <w:t>修订）》</w:t>
      </w:r>
      <w:r>
        <w:rPr>
          <w:spacing w:val="3"/>
          <w:w w:val="100"/>
        </w:rPr>
        <w:t>（</w:t>
      </w:r>
      <w:r>
        <w:rPr>
          <w:rFonts w:ascii="Times New Roman" w:hAnsi="Times New Roman" w:cs="Times New Roman" w:eastAsia="Times New Roman" w:hint="default"/>
          <w:spacing w:val="-1"/>
          <w:w w:val="44"/>
        </w:rPr>
        <w:t>―</w:t>
      </w:r>
      <w:r>
        <w:rPr>
          <w:w w:val="100"/>
        </w:rPr>
        <w:t>中国证券监</w:t>
      </w:r>
      <w:r>
        <w:rPr>
          <w:spacing w:val="2"/>
          <w:w w:val="100"/>
        </w:rPr>
        <w:t>督</w:t>
      </w:r>
      <w:r>
        <w:rPr>
          <w:w w:val="100"/>
        </w:rPr>
        <w:t>管理委员</w:t>
      </w:r>
      <w:r>
        <w:rPr>
          <w:spacing w:val="2"/>
          <w:w w:val="100"/>
        </w:rPr>
        <w:t>会</w:t>
      </w:r>
      <w:r>
        <w:rPr>
          <w:w w:val="100"/>
        </w:rPr>
        <w:t>公</w:t>
      </w:r>
      <w:r>
        <w:rPr>
          <w:spacing w:val="3"/>
          <w:w w:val="100"/>
        </w:rPr>
        <w:t>告</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w:t>
      </w:r>
      <w:r>
        <w:rPr>
          <w:w w:val="100"/>
        </w:rPr>
        <w:t>号）、《公</w:t>
      </w:r>
      <w:r>
        <w:rPr>
          <w:spacing w:val="2"/>
          <w:w w:val="100"/>
        </w:rPr>
        <w:t>开</w:t>
      </w:r>
      <w:r>
        <w:rPr>
          <w:w w:val="100"/>
        </w:rPr>
        <w:t>发行证券的公司信</w:t>
      </w:r>
      <w:r>
        <w:rPr>
          <w:w w:val="100"/>
        </w:rPr>
        <w:t> 息披</w:t>
      </w:r>
      <w:r>
        <w:rPr>
          <w:spacing w:val="-3"/>
          <w:w w:val="100"/>
        </w:rPr>
        <w:t>露</w:t>
      </w:r>
      <w:r>
        <w:rPr>
          <w:w w:val="100"/>
        </w:rPr>
        <w:t>解</w:t>
      </w:r>
      <w:r>
        <w:rPr>
          <w:spacing w:val="-3"/>
          <w:w w:val="100"/>
        </w:rPr>
        <w:t>释</w:t>
      </w:r>
      <w:r>
        <w:rPr>
          <w:w w:val="100"/>
        </w:rPr>
        <w:t>性</w:t>
      </w:r>
      <w:r>
        <w:rPr>
          <w:spacing w:val="-3"/>
          <w:w w:val="100"/>
        </w:rPr>
        <w:t>公</w:t>
      </w:r>
      <w:r>
        <w:rPr>
          <w:w w:val="100"/>
        </w:rPr>
        <w:t>告</w:t>
      </w:r>
      <w:r>
        <w:rPr>
          <w:spacing w:val="-3"/>
          <w:w w:val="100"/>
        </w:rPr>
        <w:t>第</w:t>
      </w:r>
      <w:r>
        <w:rPr>
          <w:rFonts w:ascii="Times New Roman" w:hAnsi="Times New Roman" w:cs="Times New Roman" w:eastAsia="Times New Roman" w:hint="default"/>
          <w:w w:val="100"/>
        </w:rPr>
        <w:t>1</w:t>
      </w:r>
      <w:r>
        <w:rPr>
          <w:spacing w:val="-3"/>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非</w:t>
      </w:r>
      <w:r>
        <w:rPr>
          <w:spacing w:val="-3"/>
          <w:w w:val="100"/>
        </w:rPr>
        <w:t>经</w:t>
      </w:r>
      <w:r>
        <w:rPr>
          <w:w w:val="100"/>
        </w:rPr>
        <w:t>常</w:t>
      </w:r>
      <w:r>
        <w:rPr>
          <w:spacing w:val="-3"/>
          <w:w w:val="100"/>
        </w:rPr>
        <w:t>性</w:t>
      </w:r>
      <w:r>
        <w:rPr>
          <w:w w:val="100"/>
        </w:rPr>
        <w:t>损</w:t>
      </w:r>
      <w:r>
        <w:rPr>
          <w:spacing w:val="-10"/>
          <w:w w:val="100"/>
        </w:rPr>
        <w:t>益</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w:t>
      </w:r>
      <w:r>
        <w:rPr>
          <w:spacing w:val="-10"/>
          <w:w w:val="100"/>
        </w:rPr>
        <w:t>）</w:t>
      </w:r>
      <w:r>
        <w:rPr>
          <w:spacing w:val="-15"/>
          <w:w w:val="100"/>
        </w:rPr>
        <w:t>》</w:t>
      </w:r>
      <w:r>
        <w:rPr>
          <w:spacing w:val="-1"/>
          <w:w w:val="100"/>
        </w:rPr>
        <w:t>（</w:t>
      </w:r>
      <w:r>
        <w:rPr>
          <w:rFonts w:ascii="Times New Roman" w:hAnsi="Times New Roman" w:cs="Times New Roman" w:eastAsia="Times New Roman" w:hint="default"/>
          <w:w w:val="44"/>
        </w:rPr>
        <w:t>―</w:t>
      </w:r>
      <w:r>
        <w:rPr>
          <w:spacing w:val="-3"/>
          <w:w w:val="100"/>
        </w:rPr>
        <w:t>中</w:t>
      </w:r>
      <w:r>
        <w:rPr>
          <w:w w:val="100"/>
        </w:rPr>
        <w:t>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员会</w:t>
      </w:r>
      <w:r>
        <w:rPr>
          <w:spacing w:val="-3"/>
          <w:w w:val="100"/>
        </w:rPr>
        <w:t>公</w:t>
      </w:r>
      <w:r>
        <w:rPr>
          <w:w w:val="100"/>
        </w:rPr>
        <w:t>告</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08</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3</w:t>
      </w:r>
      <w:r>
        <w:rPr>
          <w:w w:val="100"/>
        </w:rPr>
        <w:t>号</w:t>
      </w:r>
      <w:r>
        <w:rPr>
          <w:rFonts w:ascii="Times New Roman" w:hAnsi="Times New Roman" w:cs="Times New Roman" w:eastAsia="Times New Roman" w:hint="default"/>
          <w:spacing w:val="-1"/>
          <w:w w:val="159"/>
        </w:rPr>
        <w:t>‖</w:t>
      </w:r>
      <w:r>
        <w:rPr>
          <w:spacing w:val="-10"/>
          <w:w w:val="100"/>
        </w:rPr>
        <w:t>）</w:t>
      </w:r>
      <w:r>
        <w:rPr>
          <w:spacing w:val="-3"/>
          <w:w w:val="100"/>
        </w:rPr>
        <w:t>要</w:t>
      </w:r>
      <w:r>
        <w:rPr>
          <w:w w:val="100"/>
        </w:rPr>
        <w:t>求</w:t>
      </w:r>
      <w:r>
        <w:rPr>
          <w:w w:val="100"/>
        </w:rPr>
        <w:t> </w:t>
      </w:r>
      <w:r>
        <w:rPr/>
        <w:t>计算的每股收益如下：</w:t>
      </w:r>
    </w:p>
    <w:p>
      <w:pPr>
        <w:pStyle w:val="Heading5"/>
        <w:spacing w:line="240" w:lineRule="auto" w:before="65"/>
        <w:ind w:left="575" w:right="141"/>
        <w:jc w:val="left"/>
        <w:rPr>
          <w:b w:val="0"/>
          <w:bCs w:val="0"/>
        </w:rPr>
      </w:pPr>
      <w:r>
        <w:rPr>
          <w:rFonts w:ascii="Times New Roman" w:hAnsi="Times New Roman" w:cs="Times New Roman" w:eastAsia="Times New Roman" w:hint="default"/>
        </w:rPr>
        <w:t>1</w:t>
      </w:r>
      <w:r>
        <w:rPr/>
        <w:t>、计算结果</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3721"/>
        <w:gridCol w:w="1387"/>
        <w:gridCol w:w="912"/>
        <w:gridCol w:w="1255"/>
        <w:gridCol w:w="1253"/>
      </w:tblGrid>
      <w:tr>
        <w:trPr>
          <w:trHeight w:val="509" w:hRule="exact"/>
        </w:trPr>
        <w:tc>
          <w:tcPr>
            <w:tcW w:w="3721" w:type="dxa"/>
            <w:vMerge w:val="restart"/>
            <w:tcBorders>
              <w:top w:val="single" w:sz="6" w:space="0" w:color="000000"/>
              <w:left w:val="single" w:sz="6" w:space="0" w:color="000000"/>
              <w:right w:val="single" w:sz="6" w:space="0" w:color="000000"/>
            </w:tcBorders>
          </w:tcPr>
          <w:p>
            <w:pPr>
              <w:pStyle w:val="TableParagraph"/>
              <w:spacing w:line="240" w:lineRule="auto" w:before="115"/>
              <w:ind w:left="4" w:right="0"/>
              <w:jc w:val="center"/>
              <w:rPr>
                <w:rFonts w:ascii="宋体" w:hAnsi="宋体" w:cs="宋体" w:eastAsia="宋体" w:hint="default"/>
                <w:sz w:val="16"/>
                <w:szCs w:val="16"/>
              </w:rPr>
            </w:pPr>
            <w:r>
              <w:rPr>
                <w:rFonts w:ascii="宋体" w:hAnsi="宋体" w:cs="宋体" w:eastAsia="宋体" w:hint="default"/>
                <w:sz w:val="16"/>
                <w:szCs w:val="16"/>
              </w:rPr>
              <w:t>报告期利润</w:t>
            </w:r>
          </w:p>
        </w:tc>
        <w:tc>
          <w:tcPr>
            <w:tcW w:w="230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2"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250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15"/>
              <w:ind w:right="0"/>
              <w:jc w:val="center"/>
              <w:rPr>
                <w:rFonts w:ascii="宋体" w:hAnsi="宋体" w:cs="宋体" w:eastAsia="宋体" w:hint="default"/>
                <w:sz w:val="16"/>
                <w:szCs w:val="16"/>
              </w:rPr>
            </w:pPr>
            <w:r>
              <w:rPr>
                <w:rFonts w:ascii="宋体" w:hAnsi="宋体" w:cs="宋体" w:eastAsia="宋体" w:hint="default"/>
                <w:sz w:val="16"/>
                <w:szCs w:val="16"/>
              </w:rPr>
              <w:t>上期数</w:t>
            </w:r>
          </w:p>
        </w:tc>
      </w:tr>
      <w:tr>
        <w:trPr>
          <w:trHeight w:val="977" w:hRule="exact"/>
        </w:trPr>
        <w:tc>
          <w:tcPr>
            <w:tcW w:w="3721" w:type="dxa"/>
            <w:vMerge/>
            <w:tcBorders>
              <w:left w:val="single" w:sz="6" w:space="0" w:color="000000"/>
              <w:bottom w:val="single" w:sz="12" w:space="0" w:color="000000"/>
              <w:right w:val="single" w:sz="6" w:space="0" w:color="000000"/>
            </w:tcBorders>
          </w:tcPr>
          <w:p>
            <w:pP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208" w:right="0"/>
              <w:jc w:val="left"/>
              <w:rPr>
                <w:rFonts w:ascii="宋体" w:hAnsi="宋体" w:cs="宋体" w:eastAsia="宋体" w:hint="default"/>
                <w:sz w:val="16"/>
                <w:szCs w:val="16"/>
              </w:rPr>
            </w:pPr>
            <w:r>
              <w:rPr>
                <w:rFonts w:ascii="宋体" w:hAnsi="宋体" w:cs="宋体" w:eastAsia="宋体" w:hint="default"/>
                <w:sz w:val="16"/>
                <w:szCs w:val="16"/>
              </w:rPr>
              <w:t>基本每股收益</w:t>
            </w:r>
          </w:p>
        </w:tc>
        <w:tc>
          <w:tcPr>
            <w:tcW w:w="9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center"/>
              <w:rPr>
                <w:rFonts w:ascii="宋体" w:hAnsi="宋体" w:cs="宋体" w:eastAsia="宋体" w:hint="default"/>
                <w:sz w:val="16"/>
                <w:szCs w:val="16"/>
              </w:rPr>
            </w:pPr>
            <w:r>
              <w:rPr>
                <w:rFonts w:ascii="宋体" w:hAnsi="宋体" w:cs="宋体" w:eastAsia="宋体" w:hint="default"/>
                <w:sz w:val="16"/>
                <w:szCs w:val="16"/>
              </w:rPr>
              <w:t>稀释每股收</w:t>
            </w: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w w:val="100"/>
                <w:sz w:val="16"/>
                <w:szCs w:val="16"/>
              </w:rPr>
              <w:t>益</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139" w:right="0"/>
              <w:jc w:val="left"/>
              <w:rPr>
                <w:rFonts w:ascii="宋体" w:hAnsi="宋体" w:cs="宋体" w:eastAsia="宋体" w:hint="default"/>
                <w:sz w:val="16"/>
                <w:szCs w:val="16"/>
              </w:rPr>
            </w:pPr>
            <w:r>
              <w:rPr>
                <w:rFonts w:ascii="宋体" w:hAnsi="宋体" w:cs="宋体" w:eastAsia="宋体" w:hint="default"/>
                <w:sz w:val="16"/>
                <w:szCs w:val="16"/>
              </w:rPr>
              <w:t>基本每股收益</w:t>
            </w:r>
          </w:p>
        </w:tc>
        <w:tc>
          <w:tcPr>
            <w:tcW w:w="1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8"/>
              <w:ind w:left="139" w:right="0"/>
              <w:jc w:val="left"/>
              <w:rPr>
                <w:rFonts w:ascii="宋体" w:hAnsi="宋体" w:cs="宋体" w:eastAsia="宋体" w:hint="default"/>
                <w:sz w:val="16"/>
                <w:szCs w:val="16"/>
              </w:rPr>
            </w:pPr>
            <w:r>
              <w:rPr>
                <w:rFonts w:ascii="宋体" w:hAnsi="宋体" w:cs="宋体" w:eastAsia="宋体" w:hint="default"/>
                <w:sz w:val="16"/>
                <w:szCs w:val="16"/>
              </w:rPr>
              <w:t>稀释每股收益</w:t>
            </w:r>
          </w:p>
        </w:tc>
      </w:tr>
      <w:tr>
        <w:trPr>
          <w:trHeight w:val="509" w:hRule="exact"/>
        </w:trPr>
        <w:tc>
          <w:tcPr>
            <w:tcW w:w="3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归属于公司普通股股东的净利润（Ⅰ）</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0.53</w:t>
            </w:r>
          </w:p>
        </w:tc>
        <w:tc>
          <w:tcPr>
            <w:tcW w:w="9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0.53</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0.66</w:t>
            </w:r>
          </w:p>
        </w:tc>
        <w:tc>
          <w:tcPr>
            <w:tcW w:w="1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6"/>
              <w:jc w:val="right"/>
              <w:rPr>
                <w:rFonts w:ascii="Times New Roman" w:hAnsi="Times New Roman" w:cs="Times New Roman" w:eastAsia="Times New Roman" w:hint="default"/>
                <w:sz w:val="16"/>
                <w:szCs w:val="16"/>
              </w:rPr>
            </w:pPr>
            <w:r>
              <w:rPr>
                <w:rFonts w:ascii="Times New Roman"/>
                <w:spacing w:val="-1"/>
                <w:sz w:val="16"/>
              </w:rPr>
              <w:t>0.66</w:t>
            </w:r>
          </w:p>
        </w:tc>
      </w:tr>
      <w:tr>
        <w:trPr>
          <w:trHeight w:val="977" w:hRule="exact"/>
        </w:trPr>
        <w:tc>
          <w:tcPr>
            <w:tcW w:w="3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扣除非经常性损益后归属于公司普通股股东的净利润</w:t>
            </w: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（Ⅱ）</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0.49</w:t>
            </w:r>
          </w:p>
        </w:tc>
        <w:tc>
          <w:tcPr>
            <w:tcW w:w="9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0.49</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0.65</w:t>
            </w:r>
          </w:p>
        </w:tc>
        <w:tc>
          <w:tcPr>
            <w:tcW w:w="1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6"/>
              <w:jc w:val="right"/>
              <w:rPr>
                <w:rFonts w:ascii="Times New Roman" w:hAnsi="Times New Roman" w:cs="Times New Roman" w:eastAsia="Times New Roman" w:hint="default"/>
                <w:sz w:val="16"/>
                <w:szCs w:val="16"/>
              </w:rPr>
            </w:pPr>
            <w:r>
              <w:rPr>
                <w:rFonts w:ascii="Times New Roman"/>
                <w:spacing w:val="-1"/>
                <w:sz w:val="16"/>
              </w:rPr>
              <w:t>0.65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5"/>
        <w:spacing w:line="240" w:lineRule="auto" w:before="36"/>
        <w:ind w:left="575" w:right="141"/>
        <w:jc w:val="left"/>
        <w:rPr>
          <w:b w:val="0"/>
          <w:bCs w:val="0"/>
        </w:rPr>
      </w:pPr>
      <w:r>
        <w:rPr>
          <w:rFonts w:ascii="Times New Roman" w:hAnsi="Times New Roman" w:cs="Times New Roman" w:eastAsia="Times New Roman" w:hint="default"/>
        </w:rPr>
        <w:t>2</w:t>
      </w:r>
      <w:r>
        <w:rPr/>
        <w:t>、每股收益的计算过程</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3294"/>
        <w:gridCol w:w="1589"/>
        <w:gridCol w:w="1805"/>
        <w:gridCol w:w="1841"/>
      </w:tblGrid>
      <w:tr>
        <w:trPr>
          <w:trHeight w:val="511" w:hRule="exact"/>
        </w:trPr>
        <w:tc>
          <w:tcPr>
            <w:tcW w:w="3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7"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35"/>
                <w:sz w:val="16"/>
                <w:szCs w:val="16"/>
              </w:rPr>
              <w:t> </w:t>
            </w:r>
            <w:r>
              <w:rPr>
                <w:rFonts w:ascii="宋体" w:hAnsi="宋体" w:cs="宋体" w:eastAsia="宋体" w:hint="default"/>
                <w:sz w:val="16"/>
                <w:szCs w:val="16"/>
              </w:rPr>
              <w:t>目</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4" w:right="0"/>
              <w:jc w:val="center"/>
              <w:rPr>
                <w:rFonts w:ascii="宋体" w:hAnsi="宋体" w:cs="宋体" w:eastAsia="宋体" w:hint="default"/>
                <w:sz w:val="16"/>
                <w:szCs w:val="16"/>
              </w:rPr>
            </w:pPr>
            <w:r>
              <w:rPr>
                <w:rFonts w:ascii="宋体" w:hAnsi="宋体" w:cs="宋体" w:eastAsia="宋体" w:hint="default"/>
                <w:sz w:val="16"/>
                <w:szCs w:val="16"/>
              </w:rPr>
              <w:t>序号</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2"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8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5"/>
              <w:ind w:right="0"/>
              <w:jc w:val="center"/>
              <w:rPr>
                <w:rFonts w:ascii="宋体" w:hAnsi="宋体" w:cs="宋体" w:eastAsia="宋体" w:hint="default"/>
                <w:sz w:val="16"/>
                <w:szCs w:val="16"/>
              </w:rPr>
            </w:pPr>
            <w:r>
              <w:rPr>
                <w:rFonts w:ascii="宋体" w:hAnsi="宋体" w:cs="宋体" w:eastAsia="宋体" w:hint="default"/>
                <w:sz w:val="16"/>
                <w:szCs w:val="16"/>
              </w:rPr>
              <w:t>上期数</w:t>
            </w:r>
          </w:p>
        </w:tc>
      </w:tr>
    </w:tbl>
    <w:p>
      <w:pPr>
        <w:spacing w:after="0" w:line="240" w:lineRule="auto"/>
        <w:jc w:val="center"/>
        <w:rPr>
          <w:rFonts w:ascii="宋体" w:hAnsi="宋体" w:cs="宋体" w:eastAsia="宋体" w:hint="default"/>
          <w:sz w:val="16"/>
          <w:szCs w:val="16"/>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94"/>
        <w:gridCol w:w="1589"/>
        <w:gridCol w:w="1805"/>
        <w:gridCol w:w="1841"/>
      </w:tblGrid>
      <w:tr>
        <w:trPr>
          <w:trHeight w:val="512" w:hRule="exact"/>
        </w:trPr>
        <w:tc>
          <w:tcPr>
            <w:tcW w:w="3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4" w:right="0"/>
              <w:jc w:val="left"/>
              <w:rPr>
                <w:rFonts w:ascii="宋体" w:hAnsi="宋体" w:cs="宋体" w:eastAsia="宋体" w:hint="default"/>
                <w:sz w:val="16"/>
                <w:szCs w:val="16"/>
              </w:rPr>
            </w:pPr>
            <w:r>
              <w:rPr>
                <w:rFonts w:ascii="宋体" w:hAnsi="宋体" w:cs="宋体" w:eastAsia="宋体" w:hint="default"/>
                <w:sz w:val="16"/>
                <w:szCs w:val="16"/>
              </w:rPr>
              <w:t>归属于本公司普通股股东的净利润</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2"/>
                <w:sz w:val="16"/>
              </w:rPr>
              <w:t>60,160,444.91</w:t>
            </w:r>
          </w:p>
        </w:tc>
        <w:tc>
          <w:tcPr>
            <w:tcW w:w="18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spacing w:val="-2"/>
                <w:sz w:val="16"/>
              </w:rPr>
              <w:t>75,741,882.80</w:t>
            </w:r>
          </w:p>
        </w:tc>
      </w:tr>
      <w:tr>
        <w:trPr>
          <w:trHeight w:val="974"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pacing w:val="2"/>
                <w:sz w:val="16"/>
                <w:szCs w:val="16"/>
              </w:rPr>
              <w:t>扣除所得税影响后归属于母公司普通股股东净</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利润的非经常性损益</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3,933,687.28</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1,674,897.17</w:t>
            </w:r>
          </w:p>
        </w:tc>
      </w:tr>
      <w:tr>
        <w:trPr>
          <w:trHeight w:val="977"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pacing w:val="2"/>
                <w:sz w:val="16"/>
                <w:szCs w:val="16"/>
              </w:rPr>
              <w:t>扣除非经常性损益后的归属于本公司普通股股</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东的净利润</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sz w:val="16"/>
              </w:rPr>
              <w:t>3=1-2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pacing w:val="-2"/>
                <w:sz w:val="16"/>
              </w:rPr>
              <w:t>56,226,757.63</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5"/>
              <w:jc w:val="right"/>
              <w:rPr>
                <w:rFonts w:ascii="Times New Roman" w:hAnsi="Times New Roman" w:cs="Times New Roman" w:eastAsia="Times New Roman" w:hint="default"/>
                <w:sz w:val="16"/>
                <w:szCs w:val="16"/>
              </w:rPr>
            </w:pPr>
            <w:r>
              <w:rPr>
                <w:rFonts w:ascii="Times New Roman"/>
                <w:spacing w:val="-2"/>
                <w:sz w:val="16"/>
              </w:rPr>
              <w:t>74,066,985.63</w:t>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期初股份总数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4</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0"/>
              <w:jc w:val="right"/>
              <w:rPr>
                <w:rFonts w:ascii="Times New Roman" w:hAnsi="Times New Roman" w:cs="Times New Roman" w:eastAsia="Times New Roman" w:hint="default"/>
                <w:sz w:val="16"/>
                <w:szCs w:val="16"/>
              </w:rPr>
            </w:pPr>
            <w:r>
              <w:rPr>
                <w:rFonts w:ascii="Times New Roman"/>
                <w:spacing w:val="-1"/>
                <w:sz w:val="16"/>
              </w:rPr>
              <w:t>114,300,000.00</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2"/>
                <w:sz w:val="16"/>
              </w:rPr>
              <w:t>63,500,000.00</w:t>
            </w:r>
          </w:p>
        </w:tc>
      </w:tr>
      <w:tr>
        <w:trPr>
          <w:trHeight w:val="97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1"/>
              <w:jc w:val="left"/>
              <w:rPr>
                <w:rFonts w:ascii="宋体" w:hAnsi="宋体" w:cs="宋体" w:eastAsia="宋体" w:hint="default"/>
                <w:sz w:val="16"/>
                <w:szCs w:val="16"/>
              </w:rPr>
            </w:pPr>
            <w:r>
              <w:rPr>
                <w:rFonts w:ascii="宋体" w:hAnsi="宋体" w:cs="宋体" w:eastAsia="宋体" w:hint="default"/>
                <w:spacing w:val="2"/>
                <w:sz w:val="16"/>
                <w:szCs w:val="16"/>
              </w:rPr>
              <w:t>报告期因公积金转增股本或股票股利分配等增</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加的股份数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5</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2"/>
                <w:sz w:val="16"/>
              </w:rPr>
              <w:t>50,800,000.00</w:t>
            </w:r>
          </w:p>
        </w:tc>
      </w:tr>
      <w:tr>
        <w:trPr>
          <w:trHeight w:val="509" w:hRule="exact"/>
        </w:trPr>
        <w:tc>
          <w:tcPr>
            <w:tcW w:w="3294" w:type="dxa"/>
            <w:vMerge w:val="restart"/>
            <w:tcBorders>
              <w:top w:val="single" w:sz="12" w:space="0" w:color="000000"/>
              <w:left w:val="single" w:sz="6"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报告期因发行新股或债转股等增加的股份数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w w:val="100"/>
                <w:sz w:val="16"/>
              </w:rPr>
              <w:t>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vMerge/>
            <w:tcBorders>
              <w:left w:val="single" w:sz="6"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6" w:hRule="exact"/>
        </w:trPr>
        <w:tc>
          <w:tcPr>
            <w:tcW w:w="3294" w:type="dxa"/>
            <w:vMerge/>
            <w:tcBorders>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vMerge w:val="restart"/>
            <w:tcBorders>
              <w:top w:val="single" w:sz="12" w:space="0" w:color="000000"/>
              <w:left w:val="single" w:sz="6" w:space="0" w:color="000000"/>
              <w:right w:val="single" w:sz="6" w:space="0" w:color="000000"/>
            </w:tcBorders>
          </w:tcPr>
          <w:p>
            <w:pPr>
              <w:pStyle w:val="TableParagraph"/>
              <w:spacing w:line="537" w:lineRule="auto" w:before="108"/>
              <w:ind w:left="4" w:right="1"/>
              <w:jc w:val="left"/>
              <w:rPr>
                <w:rFonts w:ascii="宋体" w:hAnsi="宋体" w:cs="宋体" w:eastAsia="宋体" w:hint="default"/>
                <w:sz w:val="16"/>
                <w:szCs w:val="16"/>
              </w:rPr>
            </w:pPr>
            <w:r>
              <w:rPr>
                <w:rFonts w:ascii="宋体" w:hAnsi="宋体" w:cs="宋体" w:eastAsia="宋体" w:hint="default"/>
                <w:spacing w:val="2"/>
                <w:sz w:val="16"/>
                <w:szCs w:val="16"/>
              </w:rPr>
              <w:t>发行新股或债转股等增加股份下一月份起至报</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告期年末的月份数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w w:val="100"/>
                <w:sz w:val="16"/>
              </w:rPr>
              <w:t>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vMerge/>
            <w:tcBorders>
              <w:left w:val="single" w:sz="6"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6" w:hRule="exact"/>
        </w:trPr>
        <w:tc>
          <w:tcPr>
            <w:tcW w:w="3294" w:type="dxa"/>
            <w:vMerge/>
            <w:tcBorders>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报告期因回购等减少的股份数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w w:val="100"/>
                <w:sz w:val="16"/>
              </w:rPr>
              <w:t>8</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减少股份下一月份起至报告期年末的月份数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w w:val="100"/>
                <w:sz w:val="16"/>
              </w:rPr>
              <w:t>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6"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报告期缩股数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sz w:val="16"/>
              </w:rPr>
              <w:t>10</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报告期月份数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sz w:val="16"/>
              </w:rPr>
              <w:t>11</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z w:val="16"/>
              </w:rPr>
              <w:t>12</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z w:val="16"/>
              </w:rPr>
              <w:t>12</w:t>
            </w:r>
          </w:p>
        </w:tc>
      </w:tr>
      <w:tr>
        <w:trPr>
          <w:trHeight w:val="977"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发行在外的普通股加权平均数（Ⅱ）</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12=4+5+6×7</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7"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÷11-8×9÷11-10</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0"/>
              <w:jc w:val="right"/>
              <w:rPr>
                <w:rFonts w:ascii="Times New Roman" w:hAnsi="Times New Roman" w:cs="Times New Roman" w:eastAsia="Times New Roman" w:hint="default"/>
                <w:sz w:val="16"/>
                <w:szCs w:val="16"/>
              </w:rPr>
            </w:pPr>
            <w:r>
              <w:rPr>
                <w:rFonts w:ascii="Times New Roman"/>
                <w:spacing w:val="-1"/>
                <w:sz w:val="16"/>
              </w:rPr>
              <w:t>114,300,000.00</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5"/>
              <w:jc w:val="right"/>
              <w:rPr>
                <w:rFonts w:ascii="Times New Roman" w:hAnsi="Times New Roman" w:cs="Times New Roman" w:eastAsia="Times New Roman" w:hint="default"/>
                <w:sz w:val="16"/>
                <w:szCs w:val="16"/>
              </w:rPr>
            </w:pPr>
            <w:r>
              <w:rPr>
                <w:rFonts w:ascii="Times New Roman"/>
                <w:spacing w:val="-1"/>
                <w:sz w:val="16"/>
              </w:rPr>
              <w:t>114,300,000.00</w:t>
            </w:r>
          </w:p>
        </w:tc>
      </w:tr>
      <w:tr>
        <w:trPr>
          <w:trHeight w:val="974"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pacing w:val="2"/>
                <w:sz w:val="16"/>
                <w:szCs w:val="16"/>
              </w:rPr>
              <w:t>因同一控制下企业合并而调整的发行在外的普</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通股加权平均数（Ⅰ）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sz w:val="16"/>
              </w:rPr>
              <w:t>13</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9"/>
              <w:ind w:left="4" w:right="0"/>
              <w:jc w:val="left"/>
              <w:rPr>
                <w:rFonts w:ascii="宋体" w:hAnsi="宋体" w:cs="宋体" w:eastAsia="宋体" w:hint="default"/>
                <w:sz w:val="16"/>
                <w:szCs w:val="16"/>
              </w:rPr>
            </w:pPr>
            <w:r>
              <w:rPr>
                <w:rFonts w:ascii="宋体" w:hAnsi="宋体" w:cs="宋体" w:eastAsia="宋体" w:hint="default"/>
                <w:sz w:val="16"/>
                <w:szCs w:val="16"/>
              </w:rPr>
              <w:t>基本每股收益（Ⅰ）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14=1÷13</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0.53</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4"/>
              <w:jc w:val="right"/>
              <w:rPr>
                <w:rFonts w:ascii="Times New Roman" w:hAnsi="Times New Roman" w:cs="Times New Roman" w:eastAsia="Times New Roman" w:hint="default"/>
                <w:sz w:val="16"/>
                <w:szCs w:val="16"/>
              </w:rPr>
            </w:pPr>
            <w:r>
              <w:rPr>
                <w:rFonts w:ascii="Times New Roman"/>
                <w:spacing w:val="-1"/>
                <w:sz w:val="16"/>
              </w:rPr>
              <w:t>0.66</w:t>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基本每股收益（Ⅱ）</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15=3÷12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0.49</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4"/>
              <w:jc w:val="right"/>
              <w:rPr>
                <w:rFonts w:ascii="Times New Roman" w:hAnsi="Times New Roman" w:cs="Times New Roman" w:eastAsia="Times New Roman" w:hint="default"/>
                <w:sz w:val="16"/>
                <w:szCs w:val="16"/>
              </w:rPr>
            </w:pPr>
            <w:r>
              <w:rPr>
                <w:rFonts w:ascii="Times New Roman"/>
                <w:spacing w:val="-1"/>
                <w:sz w:val="16"/>
              </w:rPr>
              <w:t>0.65</w:t>
            </w:r>
          </w:p>
        </w:tc>
      </w:tr>
      <w:tr>
        <w:trPr>
          <w:trHeight w:val="974"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pacing w:val="2"/>
                <w:sz w:val="16"/>
                <w:szCs w:val="16"/>
              </w:rPr>
              <w:t>已确认为费用的稀释性潜在普通股利息及其他</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影响因素</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sz w:val="16"/>
              </w:rPr>
              <w:t>16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509"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所得税率</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sz w:val="16"/>
              </w:rPr>
              <w:t>17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94"/>
        <w:gridCol w:w="1589"/>
        <w:gridCol w:w="1805"/>
        <w:gridCol w:w="1841"/>
      </w:tblGrid>
      <w:tr>
        <w:trPr>
          <w:trHeight w:val="512" w:hRule="exact"/>
        </w:trPr>
        <w:tc>
          <w:tcPr>
            <w:tcW w:w="3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left="4" w:right="0"/>
              <w:jc w:val="left"/>
              <w:rPr>
                <w:rFonts w:ascii="宋体" w:hAnsi="宋体" w:cs="宋体" w:eastAsia="宋体" w:hint="default"/>
                <w:sz w:val="16"/>
                <w:szCs w:val="16"/>
              </w:rPr>
            </w:pPr>
            <w:r>
              <w:rPr>
                <w:rFonts w:ascii="宋体" w:hAnsi="宋体" w:cs="宋体" w:eastAsia="宋体" w:hint="default"/>
                <w:sz w:val="16"/>
                <w:szCs w:val="16"/>
              </w:rPr>
              <w:t>转换费用</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4" w:right="0"/>
              <w:jc w:val="left"/>
              <w:rPr>
                <w:rFonts w:ascii="Times New Roman" w:hAnsi="Times New Roman" w:cs="Times New Roman" w:eastAsia="Times New Roman" w:hint="default"/>
                <w:sz w:val="16"/>
                <w:szCs w:val="16"/>
              </w:rPr>
            </w:pPr>
            <w:r>
              <w:rPr>
                <w:rFonts w:ascii="Times New Roman"/>
                <w:sz w:val="16"/>
              </w:rPr>
              <w:t>18</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974"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8"/>
              <w:jc w:val="left"/>
              <w:rPr>
                <w:rFonts w:ascii="宋体" w:hAnsi="宋体" w:cs="宋体" w:eastAsia="宋体" w:hint="default"/>
                <w:sz w:val="16"/>
                <w:szCs w:val="16"/>
              </w:rPr>
            </w:pPr>
            <w:r>
              <w:rPr>
                <w:rFonts w:ascii="宋体" w:hAnsi="宋体" w:cs="宋体" w:eastAsia="宋体" w:hint="default"/>
                <w:spacing w:val="2"/>
                <w:sz w:val="16"/>
                <w:szCs w:val="16"/>
              </w:rPr>
              <w:t>可转换公司债券、认股权证、股份期权等转换</w:t>
            </w:r>
            <w:r>
              <w:rPr>
                <w:rFonts w:ascii="宋体" w:hAnsi="宋体" w:cs="宋体" w:eastAsia="宋体" w:hint="default"/>
                <w:sz w:val="16"/>
                <w:szCs w:val="16"/>
              </w:rPr>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宋体" w:hAnsi="宋体" w:cs="宋体" w:eastAsia="宋体" w:hint="default"/>
                <w:sz w:val="16"/>
                <w:szCs w:val="16"/>
              </w:rPr>
            </w:pPr>
            <w:r>
              <w:rPr>
                <w:rFonts w:ascii="宋体" w:hAnsi="宋体" w:cs="宋体" w:eastAsia="宋体" w:hint="default"/>
                <w:sz w:val="16"/>
                <w:szCs w:val="16"/>
              </w:rPr>
              <w:t>或行权而增加的股份数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sz w:val="16"/>
              </w:rPr>
              <w:t>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2"/>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7"/>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977"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16"/>
                <w:szCs w:val="16"/>
              </w:rPr>
            </w:pPr>
            <w:r>
              <w:rPr>
                <w:rFonts w:ascii="宋体" w:hAnsi="宋体" w:cs="宋体" w:eastAsia="宋体" w:hint="default"/>
                <w:sz w:val="16"/>
                <w:szCs w:val="16"/>
              </w:rPr>
              <w:t>稀释每股收益（Ⅰ）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20=[1+(16-18)×</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(100%-17)]÷(13+19)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right="1"/>
              <w:jc w:val="right"/>
              <w:rPr>
                <w:rFonts w:ascii="Times New Roman" w:hAnsi="Times New Roman" w:cs="Times New Roman" w:eastAsia="Times New Roman" w:hint="default"/>
                <w:sz w:val="16"/>
                <w:szCs w:val="16"/>
              </w:rPr>
            </w:pPr>
            <w:r>
              <w:rPr>
                <w:rFonts w:ascii="Times New Roman"/>
                <w:spacing w:val="-1"/>
                <w:sz w:val="16"/>
              </w:rPr>
              <w:t>0.53</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3"/>
              <w:ind w:right="4"/>
              <w:jc w:val="right"/>
              <w:rPr>
                <w:rFonts w:ascii="Times New Roman" w:hAnsi="Times New Roman" w:cs="Times New Roman" w:eastAsia="Times New Roman" w:hint="default"/>
                <w:sz w:val="16"/>
                <w:szCs w:val="16"/>
              </w:rPr>
            </w:pPr>
            <w:r>
              <w:rPr>
                <w:rFonts w:ascii="Times New Roman"/>
                <w:spacing w:val="-1"/>
                <w:sz w:val="16"/>
              </w:rPr>
              <w:t>0.66</w:t>
            </w:r>
          </w:p>
        </w:tc>
      </w:tr>
      <w:tr>
        <w:trPr>
          <w:trHeight w:val="977"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6"/>
              <w:ind w:left="4" w:right="0"/>
              <w:jc w:val="left"/>
              <w:rPr>
                <w:rFonts w:ascii="宋体" w:hAnsi="宋体" w:cs="宋体" w:eastAsia="宋体" w:hint="default"/>
                <w:sz w:val="16"/>
                <w:szCs w:val="16"/>
              </w:rPr>
            </w:pPr>
            <w:r>
              <w:rPr>
                <w:rFonts w:ascii="宋体" w:hAnsi="宋体" w:cs="宋体" w:eastAsia="宋体" w:hint="default"/>
                <w:sz w:val="16"/>
                <w:szCs w:val="16"/>
              </w:rPr>
              <w:t>稀释每股收益（Ⅱ）</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 w:right="0"/>
              <w:jc w:val="left"/>
              <w:rPr>
                <w:rFonts w:ascii="Times New Roman" w:hAnsi="Times New Roman" w:cs="Times New Roman" w:eastAsia="Times New Roman" w:hint="default"/>
                <w:sz w:val="16"/>
                <w:szCs w:val="16"/>
              </w:rPr>
            </w:pPr>
            <w:r>
              <w:rPr>
                <w:rFonts w:ascii="Times New Roman"/>
                <w:sz w:val="16"/>
              </w:rPr>
              <w:t>21=[3+(16-18)</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6"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×(100%-17)]÷(12+19)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6"/>
                <w:szCs w:val="16"/>
              </w:rPr>
            </w:pPr>
            <w:r>
              <w:rPr>
                <w:rFonts w:ascii="Times New Roman"/>
                <w:spacing w:val="-1"/>
                <w:sz w:val="16"/>
              </w:rPr>
              <w:t>0.49</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1"/>
              <w:ind w:right="4"/>
              <w:jc w:val="right"/>
              <w:rPr>
                <w:rFonts w:ascii="Times New Roman" w:hAnsi="Times New Roman" w:cs="Times New Roman" w:eastAsia="Times New Roman" w:hint="default"/>
                <w:sz w:val="16"/>
                <w:szCs w:val="16"/>
              </w:rPr>
            </w:pPr>
            <w:r>
              <w:rPr>
                <w:rFonts w:ascii="Times New Roman"/>
                <w:spacing w:val="-1"/>
                <w:sz w:val="16"/>
              </w:rPr>
              <w:t>0.65</w:t>
            </w:r>
          </w:p>
        </w:tc>
      </w:tr>
    </w:tbl>
    <w:p>
      <w:pPr>
        <w:spacing w:line="240" w:lineRule="auto" w:before="10"/>
        <w:rPr>
          <w:rFonts w:ascii="Times New Roman" w:hAnsi="Times New Roman" w:cs="Times New Roman" w:eastAsia="Times New Roman" w:hint="default"/>
          <w:sz w:val="12"/>
          <w:szCs w:val="12"/>
        </w:rPr>
      </w:pPr>
    </w:p>
    <w:p>
      <w:pPr>
        <w:pStyle w:val="Heading6"/>
        <w:spacing w:line="386" w:lineRule="auto" w:before="36"/>
        <w:ind w:left="573" w:right="75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）基本每股收益</w:t>
      </w:r>
      <w:r>
        <w:rPr>
          <w:w w:val="100"/>
        </w:rPr>
        <w:t> </w:t>
      </w:r>
      <w:r>
        <w:rPr>
          <w:spacing w:val="-1"/>
        </w:rPr>
        <w:t>基本每股收益</w:t>
      </w:r>
      <w:r>
        <w:rPr>
          <w:rFonts w:ascii="Times New Roman" w:hAnsi="Times New Roman" w:cs="Times New Roman" w:eastAsia="Times New Roman" w:hint="default"/>
          <w:spacing w:val="-1"/>
        </w:rPr>
        <w:t>=P0÷S</w:t>
      </w:r>
    </w:p>
    <w:p>
      <w:pPr>
        <w:pStyle w:val="Heading6"/>
        <w:spacing w:line="240" w:lineRule="auto" w:before="35"/>
        <w:ind w:left="573" w:right="141"/>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7"/>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Sj×Mj÷M0-Sk</w:t>
      </w:r>
    </w:p>
    <w:p>
      <w:pPr>
        <w:pStyle w:val="Heading6"/>
        <w:spacing w:line="386" w:lineRule="auto" w:before="177"/>
        <w:ind w:right="146" w:firstLine="420"/>
        <w:jc w:val="both"/>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w:t>
      </w:r>
      <w:r>
        <w:rPr>
          <w:w w:val="100"/>
        </w:rPr>
        <w:t> </w:t>
      </w:r>
      <w:r>
        <w:rPr>
          <w:spacing w:val="-3"/>
        </w:rPr>
        <w:t>发行在外的普通股加权平均数；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w:t>
      </w:r>
      <w:r>
        <w:rPr>
          <w:spacing w:val="-16"/>
        </w:rPr>
        <w:t> </w:t>
      </w:r>
      <w:r>
        <w:rPr>
          <w:spacing w:val="-16"/>
        </w:rPr>
      </w:r>
      <w:r>
        <w:rPr>
          <w:spacing w:val="-1"/>
        </w:rPr>
        <w:t>股份数；</w:t>
      </w:r>
      <w:r>
        <w:rPr>
          <w:rFonts w:ascii="Times New Roman" w:hAnsi="Times New Roman" w:cs="Times New Roman" w:eastAsia="Times New Roman" w:hint="default"/>
          <w:spacing w:val="-1"/>
        </w:rPr>
        <w:t>Si</w:t>
      </w:r>
      <w:r>
        <w:rPr>
          <w:spacing w:val="-1"/>
        </w:rPr>
        <w:t>为报告期因发行新股或债转股等增加股份数；</w:t>
      </w:r>
      <w:r>
        <w:rPr>
          <w:rFonts w:ascii="Times New Roman" w:hAnsi="Times New Roman" w:cs="Times New Roman" w:eastAsia="Times New Roman" w:hint="default"/>
          <w:spacing w:val="-1"/>
        </w:rPr>
        <w:t>Sj</w:t>
      </w:r>
      <w:r>
        <w:rPr>
          <w:spacing w:val="-1"/>
        </w:rPr>
        <w:t>为报告期因回购等减少股份数；</w:t>
      </w:r>
      <w:r>
        <w:rPr>
          <w:rFonts w:ascii="Times New Roman" w:hAnsi="Times New Roman" w:cs="Times New Roman" w:eastAsia="Times New Roman" w:hint="default"/>
          <w:spacing w:val="-1"/>
        </w:rPr>
        <w:t>Sk</w:t>
      </w:r>
      <w:r>
        <w:rPr>
          <w:spacing w:val="-1"/>
        </w:rPr>
        <w:t>为报告期缩</w:t>
      </w:r>
      <w:r>
        <w:rPr>
          <w:spacing w:val="-24"/>
        </w:rPr>
        <w:t> </w:t>
      </w:r>
      <w:r>
        <w:rPr>
          <w:spacing w:val="-24"/>
        </w:rPr>
      </w:r>
      <w:r>
        <w:rPr>
          <w:spacing w:val="-1"/>
        </w:rPr>
        <w:t>股数；</w:t>
      </w:r>
      <w:r>
        <w:rPr>
          <w:rFonts w:ascii="Times New Roman" w:hAnsi="Times New Roman" w:cs="Times New Roman" w:eastAsia="Times New Roman" w:hint="default"/>
          <w:spacing w:val="-1"/>
        </w:rPr>
        <w:t>M0</w:t>
      </w:r>
      <w:r>
        <w:rPr>
          <w:spacing w:val="-1"/>
        </w:rPr>
        <w:t>报告期月份数；</w:t>
      </w:r>
      <w:r>
        <w:rPr>
          <w:rFonts w:ascii="Times New Roman" w:hAnsi="Times New Roman" w:cs="Times New Roman" w:eastAsia="Times New Roman" w:hint="default"/>
          <w:spacing w:val="-1"/>
        </w:rPr>
        <w:t>Mi</w:t>
      </w:r>
      <w:r>
        <w:rPr>
          <w:spacing w:val="-1"/>
        </w:rPr>
        <w:t>为增加股份次月起至报告期期末的累计月数；</w:t>
      </w:r>
      <w:r>
        <w:rPr>
          <w:rFonts w:ascii="Times New Roman" w:hAnsi="Times New Roman" w:cs="Times New Roman" w:eastAsia="Times New Roman" w:hint="default"/>
          <w:spacing w:val="-1"/>
        </w:rPr>
        <w:t>Mj</w:t>
      </w:r>
      <w:r>
        <w:rPr>
          <w:spacing w:val="-1"/>
        </w:rPr>
        <w:t>为减少股份次月起至报告期</w:t>
      </w:r>
      <w:r>
        <w:rPr>
          <w:spacing w:val="-29"/>
        </w:rPr>
        <w:t> </w:t>
      </w:r>
      <w:r>
        <w:rPr>
          <w:spacing w:val="-29"/>
        </w:rPr>
      </w:r>
      <w:r>
        <w:rPr/>
        <w:t>期末的累计月数。</w:t>
      </w:r>
    </w:p>
    <w:p>
      <w:pPr>
        <w:pStyle w:val="Heading6"/>
        <w:spacing w:line="386" w:lineRule="auto" w:before="65"/>
        <w:ind w:left="573" w:right="141"/>
        <w:jc w:val="left"/>
      </w:pPr>
      <w:r>
        <w:rPr/>
        <w:t>（</w:t>
      </w:r>
      <w:r>
        <w:rPr>
          <w:rFonts w:ascii="Times New Roman" w:hAnsi="Times New Roman" w:cs="Times New Roman" w:eastAsia="Times New Roman" w:hint="default"/>
        </w:rPr>
        <w:t>2</w:t>
      </w:r>
      <w:r>
        <w:rPr/>
        <w:t>）稀释每股收益</w:t>
      </w:r>
      <w:r>
        <w:rPr>
          <w:w w:val="100"/>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Sj×Mj÷M0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Sk+</w:t>
      </w:r>
      <w:r>
        <w:rPr>
          <w:spacing w:val="-2"/>
        </w:rPr>
        <w:t>认股权证、股份期权、可转换债券等增加的普</w:t>
      </w:r>
    </w:p>
    <w:p>
      <w:pPr>
        <w:pStyle w:val="Heading6"/>
        <w:spacing w:line="386" w:lineRule="auto" w:before="35"/>
        <w:ind w:left="573" w:right="141" w:hanging="421"/>
        <w:jc w:val="left"/>
      </w:pPr>
      <w:r>
        <w:rPr/>
        <w:t>通股加权平均数</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2"/>
        </w:rPr>
        <w:t>其中，</w:t>
      </w:r>
      <w:r>
        <w:rPr>
          <w:rFonts w:ascii="Times New Roman" w:hAnsi="Times New Roman" w:cs="Times New Roman" w:eastAsia="Times New Roman" w:hint="default"/>
          <w:spacing w:val="-2"/>
        </w:rPr>
        <w:t>P1</w:t>
      </w:r>
      <w:r>
        <w:rPr>
          <w:spacing w:val="-2"/>
        </w:rPr>
        <w:t>为归属于公司普通股股东的净利润或扣除非经常性损益后归属于公司普通股股东的净利润，</w:t>
      </w:r>
    </w:p>
    <w:p>
      <w:pPr>
        <w:pStyle w:val="Heading6"/>
        <w:spacing w:line="408" w:lineRule="auto" w:before="35"/>
        <w:ind w:right="146"/>
        <w:jc w:val="both"/>
      </w:pPr>
      <w:r>
        <w:rPr>
          <w:spacing w:val="-2"/>
        </w:rPr>
        <w:t>并考虑稀释性潜在普通股对其影响，按《企业会计准则》及有关规定进行调整。公司在计算稀释每股收益</w:t>
      </w:r>
      <w:r>
        <w:rPr>
          <w:spacing w:val="-47"/>
        </w:rPr>
        <w:t> </w:t>
      </w:r>
      <w:r>
        <w:rPr>
          <w:spacing w:val="-47"/>
        </w:rPr>
      </w:r>
      <w:r>
        <w:rPr>
          <w:spacing w:val="-2"/>
        </w:rPr>
        <w:t>时，考虑所有稀释性潜在普通股对归属于公司普通股股东的净利润或扣除非经常性损益后归属于公司普通</w:t>
      </w:r>
      <w:r>
        <w:rPr>
          <w:spacing w:val="-43"/>
        </w:rPr>
        <w:t> </w:t>
      </w:r>
      <w:r>
        <w:rPr>
          <w:spacing w:val="-43"/>
        </w:rPr>
      </w:r>
      <w:r>
        <w:rPr>
          <w:spacing w:val="-2"/>
        </w:rPr>
        <w:t>股股东的净利润和加权平均股数的影响，按照其稀释程度从大到小的顺序计入稀释每股收益，直至稀释每</w:t>
      </w:r>
      <w:r>
        <w:rPr>
          <w:spacing w:val="-43"/>
        </w:rPr>
        <w:t> </w:t>
      </w:r>
      <w:r>
        <w:rPr>
          <w:spacing w:val="-43"/>
        </w:rPr>
      </w:r>
      <w:r>
        <w:rPr/>
        <w:t>股收益达到最小值。</w:t>
      </w:r>
    </w:p>
    <w:p>
      <w:pPr>
        <w:spacing w:line="240" w:lineRule="auto" w:before="0"/>
        <w:rPr>
          <w:rFonts w:ascii="宋体" w:hAnsi="宋体" w:cs="宋体" w:eastAsia="宋体" w:hint="default"/>
          <w:sz w:val="27"/>
          <w:szCs w:val="27"/>
        </w:rPr>
      </w:pPr>
    </w:p>
    <w:p>
      <w:pPr>
        <w:pStyle w:val="Heading7"/>
        <w:spacing w:line="240" w:lineRule="auto"/>
        <w:ind w:right="0"/>
        <w:jc w:val="both"/>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557"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其他综合收益说明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557"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9"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20,869,922.21</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1,396,807.23</w:t>
            </w:r>
          </w:p>
        </w:tc>
      </w:tr>
      <w:tr>
        <w:trPr>
          <w:trHeight w:val="56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2,917,500.00</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36,350.00</w:t>
            </w:r>
          </w:p>
        </w:tc>
      </w:tr>
      <w:tr>
        <w:trPr>
          <w:trHeight w:val="559"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25,220,579.44</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收到的其他与经营活动有关的现金说明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559"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26,111,004.75</w:t>
            </w:r>
          </w:p>
        </w:tc>
      </w:tr>
      <w:tr>
        <w:trPr>
          <w:trHeight w:val="559"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69,403,822.34</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167,394.51</w:t>
            </w:r>
          </w:p>
        </w:tc>
      </w:tr>
      <w:tr>
        <w:trPr>
          <w:trHeight w:val="559"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95,682,221.60</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支付的其他与经营活动有关的现金说明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559"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560"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w:t>
            </w:r>
          </w:p>
        </w:tc>
      </w:tr>
    </w:tbl>
    <w:p>
      <w:pPr>
        <w:spacing w:line="240" w:lineRule="auto" w:before="5"/>
        <w:rPr>
          <w:rFonts w:ascii="宋体" w:hAnsi="宋体" w:cs="宋体" w:eastAsia="宋体" w:hint="default"/>
          <w:sz w:val="6"/>
          <w:szCs w:val="6"/>
        </w:rPr>
      </w:pPr>
    </w:p>
    <w:p>
      <w:pPr>
        <w:pStyle w:val="BodyText"/>
        <w:spacing w:line="240" w:lineRule="auto"/>
        <w:ind w:left="112" w:right="0"/>
        <w:jc w:val="left"/>
      </w:pPr>
      <w:r>
        <w:rPr/>
        <w:t>收到的其他与投资活动有关的现金说明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left="112"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1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558"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6"/>
        <w:rPr>
          <w:rFonts w:ascii="宋体" w:hAnsi="宋体" w:cs="宋体" w:eastAsia="宋体" w:hint="default"/>
          <w:sz w:val="6"/>
          <w:szCs w:val="6"/>
        </w:rPr>
      </w:pPr>
    </w:p>
    <w:p>
      <w:pPr>
        <w:pStyle w:val="BodyText"/>
        <w:spacing w:line="240" w:lineRule="auto"/>
        <w:ind w:left="112" w:right="0"/>
        <w:jc w:val="left"/>
      </w:pPr>
      <w:r>
        <w:rPr/>
        <w:t>支付的其他与投资活动有关的现金说明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7"/>
        <w:spacing w:line="240" w:lineRule="auto"/>
        <w:ind w:left="112"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1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557"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9"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54,830,470.86</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18,549,471.24</w:t>
            </w:r>
          </w:p>
        </w:tc>
      </w:tr>
      <w:tr>
        <w:trPr>
          <w:trHeight w:val="560"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73,379,942.10</w:t>
            </w:r>
          </w:p>
        </w:tc>
      </w:tr>
    </w:tbl>
    <w:p>
      <w:pPr>
        <w:spacing w:line="240" w:lineRule="auto" w:before="5"/>
        <w:rPr>
          <w:rFonts w:ascii="宋体" w:hAnsi="宋体" w:cs="宋体" w:eastAsia="宋体" w:hint="default"/>
          <w:sz w:val="6"/>
          <w:szCs w:val="6"/>
        </w:rPr>
      </w:pPr>
    </w:p>
    <w:p>
      <w:pPr>
        <w:pStyle w:val="BodyText"/>
        <w:spacing w:line="240" w:lineRule="auto"/>
        <w:ind w:left="112" w:right="0"/>
        <w:jc w:val="left"/>
      </w:pPr>
      <w:r>
        <w:rPr/>
        <w:t>收到的其他与筹资活动有关的现金说明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left="112"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1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55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7"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59,628,019.36</w:t>
            </w:r>
          </w:p>
        </w:tc>
      </w:tr>
      <w:tr>
        <w:trPr>
          <w:trHeight w:val="560"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59,628,019.36</w:t>
            </w:r>
          </w:p>
        </w:tc>
      </w:tr>
    </w:tbl>
    <w:p>
      <w:pPr>
        <w:spacing w:line="240" w:lineRule="auto" w:before="5"/>
        <w:rPr>
          <w:rFonts w:ascii="宋体" w:hAnsi="宋体" w:cs="宋体" w:eastAsia="宋体" w:hint="default"/>
          <w:sz w:val="6"/>
          <w:szCs w:val="6"/>
        </w:rPr>
      </w:pPr>
    </w:p>
    <w:p>
      <w:pPr>
        <w:pStyle w:val="BodyText"/>
        <w:spacing w:line="240" w:lineRule="auto"/>
        <w:ind w:left="112" w:right="0"/>
        <w:jc w:val="left"/>
      </w:pPr>
      <w:r>
        <w:rPr/>
        <w:t>支付的其他与筹资活动有关的现金说明</w:t>
      </w:r>
    </w:p>
    <w:p>
      <w:pPr>
        <w:spacing w:after="0" w:line="240" w:lineRule="auto"/>
        <w:jc w:val="left"/>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7"/>
        <w:spacing w:line="240" w:lineRule="auto" w:before="37"/>
        <w:ind w:right="141"/>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60,158,193.15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75,726,386.86</w:t>
            </w:r>
          </w:p>
        </w:tc>
      </w:tr>
      <w:tr>
        <w:trPr>
          <w:trHeight w:val="560"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6,367,195.57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4,956,844.19</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3,696,526.12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3,910,652.59</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909,858.91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389,465.74</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601,878.82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1,579,273.13</w:t>
            </w:r>
          </w:p>
        </w:tc>
      </w:tr>
      <w:tr>
        <w:trPr>
          <w:trHeight w:val="102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23,972.02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-18,379,258.43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259,043.66</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-3,193,407.21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-3,197,929.41</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-37,182,805.02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-43,707,767.31</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-78,013,261.20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-110,693,992.90</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26,916,054.33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110,163,249.48</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-38,725,834.44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38,789,259.78</w:t>
            </w:r>
          </w:p>
        </w:tc>
      </w:tr>
      <w:tr>
        <w:trPr>
          <w:trHeight w:val="560"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684,132,811.94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742,461,696.56</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742,461,696.56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729,414,262.06</w:t>
            </w:r>
          </w:p>
        </w:tc>
      </w:tr>
      <w:tr>
        <w:trPr>
          <w:trHeight w:val="559"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-58,328,884.62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13,047,434.50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557"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558"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684,132,811.94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742,461,696.56</w:t>
            </w:r>
          </w:p>
        </w:tc>
      </w:tr>
      <w:tr>
        <w:trPr>
          <w:trHeight w:val="558"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70,718.69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39,850.69</w:t>
            </w:r>
          </w:p>
        </w:tc>
      </w:tr>
      <w:tr>
        <w:trPr>
          <w:trHeight w:val="558"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684,062,093.25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742,421,845.87</w:t>
            </w:r>
          </w:p>
        </w:tc>
      </w:tr>
      <w:tr>
        <w:trPr>
          <w:trHeight w:val="559"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684,132,811.94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742,461,696.56</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现金流量表补充资料的说明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说明对上年年末余额进行调整的</w:t>
      </w:r>
      <w:r>
        <w:rPr>
          <w:rFonts w:ascii="Times New Roman" w:hAnsi="Times New Roman" w:cs="Times New Roman" w:eastAsia="Times New Roman" w:hint="default"/>
          <w:spacing w:val="-1"/>
          <w:w w:val="44"/>
        </w:rPr>
        <w:t>―</w:t>
      </w:r>
      <w:r>
        <w:rPr/>
        <w:t>其他</w:t>
      </w:r>
      <w:r>
        <w:rPr>
          <w:rFonts w:ascii="Times New Roman" w:hAnsi="Times New Roman" w:cs="Times New Roman" w:eastAsia="Times New Roman" w:hint="default"/>
          <w:spacing w:val="-1"/>
          <w:w w:val="158"/>
        </w:rPr>
        <w:t>‖</w:t>
      </w:r>
      <w:r>
        <w:rPr/>
        <w:t>项目名称及调整金</w:t>
      </w:r>
      <w:r>
        <w:rPr>
          <w:spacing w:val="2"/>
        </w:rPr>
        <w:t>额</w:t>
      </w:r>
      <w:r>
        <w:rPr/>
        <w:t>、由同一控制下企业合并产生的追溯调整等事项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141"/>
        <w:jc w:val="left"/>
        <w:rPr>
          <w:b w:val="0"/>
          <w:bCs w:val="0"/>
        </w:rPr>
      </w:pPr>
      <w:r>
        <w:rPr/>
        <w:t>八、资产证券化业务的会计处理</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69"/>
        <w:ind w:right="141"/>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55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9"/>
          <w:szCs w:val="29"/>
        </w:rPr>
      </w:pPr>
    </w:p>
    <w:p>
      <w:pPr>
        <w:pStyle w:val="Heading4"/>
        <w:spacing w:line="240" w:lineRule="auto" w:before="26"/>
        <w:ind w:right="141"/>
        <w:jc w:val="left"/>
        <w:rPr>
          <w:b w:val="0"/>
          <w:bCs w:val="0"/>
        </w:rPr>
      </w:pPr>
      <w:r>
        <w:rPr/>
        <w:t>九、关联方及关联交易</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961"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69" w:right="70"/>
              <w:jc w:val="center"/>
              <w:rPr>
                <w:rFonts w:ascii="宋体" w:hAnsi="宋体" w:cs="宋体" w:eastAsia="宋体" w:hint="default"/>
                <w:sz w:val="18"/>
                <w:szCs w:val="18"/>
              </w:rPr>
            </w:pPr>
            <w:r>
              <w:rPr>
                <w:rFonts w:ascii="宋体" w:hAnsi="宋体" w:cs="宋体" w:eastAsia="宋体" w:hint="default"/>
                <w:sz w:val="18"/>
                <w:szCs w:val="18"/>
              </w:rPr>
              <w:t>母公司对 本企业的 表决权比</w:t>
            </w:r>
          </w:p>
          <w:p>
            <w:pPr>
              <w:pStyle w:val="TableParagraph"/>
              <w:spacing w:line="240" w:lineRule="auto" w:before="5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本企业的母公司情况的说明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49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2"/>
              <w:jc w:val="both"/>
              <w:rPr>
                <w:rFonts w:ascii="宋体" w:hAnsi="宋体" w:cs="宋体" w:eastAsia="宋体" w:hint="default"/>
                <w:sz w:val="18"/>
                <w:szCs w:val="18"/>
              </w:rPr>
            </w:pPr>
            <w:r>
              <w:rPr>
                <w:rFonts w:ascii="宋体" w:hAnsi="宋体" w:cs="宋体" w:eastAsia="宋体" w:hint="default"/>
                <w:sz w:val="18"/>
                <w:szCs w:val="18"/>
              </w:rPr>
              <w:t>深圳市易联 技术有限公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软件技术开 发与销售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67004405-3</w:t>
            </w:r>
          </w:p>
        </w:tc>
      </w:tr>
      <w:tr>
        <w:trPr>
          <w:trHeight w:val="149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4" w:right="22"/>
              <w:jc w:val="both"/>
              <w:rPr>
                <w:rFonts w:ascii="宋体" w:hAnsi="宋体" w:cs="宋体" w:eastAsia="宋体" w:hint="default"/>
                <w:sz w:val="18"/>
                <w:szCs w:val="18"/>
              </w:rPr>
            </w:pPr>
            <w:r>
              <w:rPr>
                <w:rFonts w:ascii="宋体" w:hAnsi="宋体" w:cs="宋体" w:eastAsia="宋体" w:hint="default"/>
                <w:sz w:val="18"/>
                <w:szCs w:val="18"/>
              </w:rPr>
              <w:t>南京市新国 都技术有限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软件技术开 发与销售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68672193-6</w:t>
            </w:r>
          </w:p>
        </w:tc>
      </w:tr>
      <w:tr>
        <w:trPr>
          <w:trHeight w:val="19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24" w:right="22"/>
              <w:jc w:val="both"/>
              <w:rPr>
                <w:rFonts w:ascii="宋体" w:hAnsi="宋体" w:cs="宋体" w:eastAsia="宋体" w:hint="default"/>
                <w:sz w:val="18"/>
                <w:szCs w:val="18"/>
              </w:rPr>
            </w:pPr>
            <w:r>
              <w:rPr>
                <w:rFonts w:ascii="宋体" w:hAnsi="宋体" w:cs="宋体" w:eastAsia="宋体" w:hint="default"/>
                <w:sz w:val="18"/>
                <w:szCs w:val="18"/>
              </w:rPr>
              <w:t>广州市新国 都信息科技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计算机软 件、智能设 备的研究、 开发、销售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1"/>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542" w:lineRule="auto"/>
              <w:ind w:left="23" w:right="139"/>
              <w:jc w:val="left"/>
              <w:rPr>
                <w:rFonts w:ascii="Times New Roman" w:hAnsi="Times New Roman" w:cs="Times New Roman" w:eastAsia="Times New Roman" w:hint="default"/>
                <w:sz w:val="18"/>
                <w:szCs w:val="18"/>
              </w:rPr>
            </w:pPr>
            <w:r>
              <w:rPr>
                <w:rFonts w:ascii="Times New Roman"/>
                <w:sz w:val="18"/>
              </w:rPr>
              <w:t>68934614- X</w:t>
            </w:r>
          </w:p>
        </w:tc>
      </w:tr>
      <w:tr>
        <w:trPr>
          <w:trHeight w:val="149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4" w:right="22"/>
              <w:jc w:val="both"/>
              <w:rPr>
                <w:rFonts w:ascii="宋体" w:hAnsi="宋体" w:cs="宋体" w:eastAsia="宋体" w:hint="default"/>
                <w:sz w:val="18"/>
                <w:szCs w:val="18"/>
              </w:rPr>
            </w:pPr>
            <w:r>
              <w:rPr>
                <w:rFonts w:ascii="宋体" w:hAnsi="宋体" w:cs="宋体" w:eastAsia="宋体" w:hint="default"/>
                <w:sz w:val="18"/>
                <w:szCs w:val="18"/>
              </w:rPr>
              <w:t>苏州新国都 电子技术有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7"/>
              <w:ind w:left="23" w:right="21"/>
              <w:jc w:val="both"/>
              <w:rPr>
                <w:rFonts w:ascii="宋体" w:hAnsi="宋体" w:cs="宋体" w:eastAsia="宋体" w:hint="default"/>
                <w:sz w:val="18"/>
                <w:szCs w:val="18"/>
              </w:rPr>
            </w:pPr>
            <w:r>
              <w:rPr>
                <w:rFonts w:ascii="宋体" w:hAnsi="宋体" w:cs="宋体" w:eastAsia="宋体" w:hint="default"/>
                <w:sz w:val="18"/>
                <w:szCs w:val="18"/>
              </w:rPr>
              <w:t>电子产品及 计算机产品 的开发、销</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58105574-6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519"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961"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559"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57"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495"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2" w:right="201"/>
              <w:jc w:val="both"/>
              <w:rPr>
                <w:rFonts w:ascii="宋体" w:hAnsi="宋体" w:cs="宋体" w:eastAsia="宋体" w:hint="default"/>
                <w:sz w:val="18"/>
                <w:szCs w:val="18"/>
              </w:rPr>
            </w:pPr>
            <w:r>
              <w:rPr>
                <w:rFonts w:ascii="宋体" w:hAnsi="宋体" w:cs="宋体" w:eastAsia="宋体" w:hint="default"/>
                <w:sz w:val="18"/>
                <w:szCs w:val="18"/>
              </w:rPr>
              <w:t>肇庆市好 易联网络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肇庆市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罗元昌</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计算机软件 开发服务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74170822-5</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956"/>
              <w:jc w:val="righ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2"/>
              <w:jc w:val="righ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27932635-7</w:t>
            </w:r>
          </w:p>
        </w:tc>
      </w:tr>
    </w:tbl>
    <w:p>
      <w:pPr>
        <w:spacing w:line="240" w:lineRule="auto" w:before="5"/>
        <w:rPr>
          <w:rFonts w:ascii="宋体" w:hAnsi="宋体" w:cs="宋体" w:eastAsia="宋体" w:hint="default"/>
          <w:b/>
          <w:bCs/>
          <w:sz w:val="6"/>
          <w:szCs w:val="6"/>
        </w:rPr>
      </w:pPr>
    </w:p>
    <w:p>
      <w:pPr>
        <w:pStyle w:val="BodyText"/>
        <w:spacing w:line="240" w:lineRule="auto"/>
        <w:ind w:right="141"/>
        <w:jc w:val="left"/>
      </w:pPr>
      <w:r>
        <w:rPr/>
        <w:t>本企业的其他关联方情况的说明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60"/>
        <w:jc w:val="right"/>
      </w:pPr>
      <w:r>
        <w:rPr/>
        <w:pict>
          <v:shape style="position:absolute;margin-left:409.630005pt;margin-top:-.248285pt;width:85.5pt;height:23.4pt;mso-position-horizontal-relative:page;mso-position-vertical-relative:paragraph;z-index:-927688"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6.459999pt;margin-top:-79.444283pt;width:479.1pt;height:103.1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559"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49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firstLine="9"/>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468" w:lineRule="exact" w:before="68"/>
                          <w:ind w:left="23" w:right="3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firstLine="9"/>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468" w:lineRule="exact" w:before="68"/>
                          <w:ind w:left="23" w:right="3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right="141"/>
        <w:jc w:val="left"/>
      </w:pPr>
      <w:r>
        <w:rPr/>
        <w:t>出售商品、提供劳务情况表</w:t>
      </w:r>
    </w:p>
    <w:p>
      <w:pPr>
        <w:spacing w:line="240" w:lineRule="auto" w:before="7"/>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60"/>
        <w:jc w:val="right"/>
      </w:pPr>
      <w:r>
        <w:rPr/>
        <w:pict>
          <v:shape style="position:absolute;margin-left:409.630005pt;margin-top:-.248301pt;width:85.5pt;height:23.4pt;mso-position-horizontal-relative:page;mso-position-vertical-relative:paragraph;z-index:-927640"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6.459999pt;margin-top:-79.448303pt;width:479.1pt;height:154.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559"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49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3" w:right="31" w:firstLine="9"/>
                          <w:jc w:val="left"/>
                          <w:rPr>
                            <w:rFonts w:ascii="宋体" w:hAnsi="宋体" w:cs="宋体" w:eastAsia="宋体" w:hint="default"/>
                            <w:sz w:val="18"/>
                            <w:szCs w:val="18"/>
                          </w:rPr>
                        </w:pPr>
                        <w:r>
                          <w:rPr>
                            <w:rFonts w:ascii="宋体" w:hAnsi="宋体" w:cs="宋体" w:eastAsia="宋体" w:hint="default"/>
                            <w:sz w:val="18"/>
                            <w:szCs w:val="18"/>
                          </w:rPr>
                          <w:t>占同类交 易金额的</w:t>
                        </w:r>
                      </w:p>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3" w:right="31" w:firstLine="9"/>
                          <w:jc w:val="left"/>
                          <w:rPr>
                            <w:rFonts w:ascii="宋体" w:hAnsi="宋体" w:cs="宋体" w:eastAsia="宋体" w:hint="default"/>
                            <w:sz w:val="18"/>
                            <w:szCs w:val="18"/>
                          </w:rPr>
                        </w:pPr>
                        <w:r>
                          <w:rPr>
                            <w:rFonts w:ascii="宋体" w:hAnsi="宋体" w:cs="宋体" w:eastAsia="宋体" w:hint="default"/>
                            <w:sz w:val="18"/>
                            <w:szCs w:val="18"/>
                          </w:rPr>
                          <w:t>占同类交 易金额的</w:t>
                        </w:r>
                      </w:p>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2" w:right="120"/>
                          <w:jc w:val="left"/>
                          <w:rPr>
                            <w:rFonts w:ascii="宋体" w:hAnsi="宋体" w:cs="宋体" w:eastAsia="宋体" w:hint="default"/>
                            <w:sz w:val="18"/>
                            <w:szCs w:val="18"/>
                          </w:rPr>
                        </w:pPr>
                        <w:r>
                          <w:rPr>
                            <w:rFonts w:ascii="宋体" w:hAnsi="宋体" w:cs="宋体" w:eastAsia="宋体" w:hint="default"/>
                            <w:sz w:val="18"/>
                            <w:szCs w:val="18"/>
                          </w:rPr>
                          <w:t>肇庆市好易联网络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机及配件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299,871.79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0.06%</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公司受托管理</w:t>
      </w:r>
      <w:r>
        <w:rPr>
          <w:rFonts w:ascii="Times New Roman" w:hAnsi="Times New Roman" w:cs="Times New Roman" w:eastAsia="Times New Roman" w:hint="default"/>
        </w:rPr>
        <w:t>/</w:t>
      </w:r>
      <w:r>
        <w:rPr/>
        <w:t>承包情况表</w:t>
      </w:r>
    </w:p>
    <w:p>
      <w:pPr>
        <w:spacing w:line="240" w:lineRule="auto" w:before="6"/>
        <w:rPr>
          <w:rFonts w:ascii="宋体" w:hAnsi="宋体" w:cs="宋体" w:eastAsia="宋体" w:hint="default"/>
          <w:sz w:val="16"/>
          <w:szCs w:val="16"/>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49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8"/>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公司委托管理</w:t>
      </w:r>
      <w:r>
        <w:rPr>
          <w:rFonts w:ascii="Times New Roman" w:hAnsi="Times New Roman" w:cs="Times New Roman" w:eastAsia="Times New Roman" w:hint="default"/>
        </w:rPr>
        <w:t>/</w:t>
      </w:r>
      <w:r>
        <w:rPr/>
        <w:t>出包情况表</w:t>
      </w:r>
    </w:p>
    <w:p>
      <w:pPr>
        <w:spacing w:line="240" w:lineRule="auto" w:before="3"/>
        <w:rPr>
          <w:rFonts w:ascii="宋体" w:hAnsi="宋体" w:cs="宋体" w:eastAsia="宋体" w:hint="default"/>
          <w:sz w:val="16"/>
          <w:szCs w:val="1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9" w:right="0" w:hanging="65"/>
              <w:jc w:val="left"/>
              <w:rPr>
                <w:rFonts w:ascii="宋体" w:hAnsi="宋体" w:cs="宋体" w:eastAsia="宋体" w:hint="default"/>
                <w:sz w:val="18"/>
                <w:szCs w:val="18"/>
              </w:rPr>
            </w:pPr>
            <w:r>
              <w:rPr>
                <w:rFonts w:ascii="宋体" w:hAnsi="宋体" w:cs="宋体" w:eastAsia="宋体" w:hint="default"/>
                <w:sz w:val="18"/>
                <w:szCs w:val="18"/>
              </w:rPr>
              <w:t>本报告期确认的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关联托管</w:t>
      </w:r>
      <w:r>
        <w:rPr>
          <w:rFonts w:ascii="Times New Roman" w:hAnsi="Times New Roman" w:cs="Times New Roman" w:eastAsia="Times New Roman" w:hint="default"/>
        </w:rPr>
        <w:t>/</w:t>
      </w:r>
      <w:r>
        <w:rPr/>
        <w:t>承包情况说明</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right="141"/>
        <w:jc w:val="left"/>
      </w:pPr>
      <w:r>
        <w:rPr/>
        <w:t>公司出租情况表</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公司承租情况表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73"/>
        <w:gridCol w:w="1371"/>
        <w:gridCol w:w="1373"/>
        <w:gridCol w:w="1368"/>
        <w:gridCol w:w="1368"/>
        <w:gridCol w:w="1369"/>
        <w:gridCol w:w="1351"/>
      </w:tblGrid>
      <w:tr>
        <w:trPr>
          <w:trHeight w:val="102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7"/>
              <w:jc w:val="left"/>
              <w:rPr>
                <w:rFonts w:ascii="宋体" w:hAnsi="宋体" w:cs="宋体" w:eastAsia="宋体" w:hint="default"/>
                <w:sz w:val="18"/>
                <w:szCs w:val="18"/>
              </w:rPr>
            </w:pPr>
            <w:r>
              <w:rPr>
                <w:rFonts w:ascii="宋体" w:hAnsi="宋体" w:cs="宋体" w:eastAsia="宋体" w:hint="default"/>
                <w:sz w:val="18"/>
                <w:szCs w:val="18"/>
              </w:rPr>
              <w:t>深圳市泰德信实 业有限公司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1,010,724.00</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关联租赁情况说明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102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关联担保情况说明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5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559"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58"/>
        <w:jc w:val="right"/>
      </w:pPr>
      <w:r>
        <w:rPr/>
        <w:pict>
          <v:shape style="position:absolute;margin-left:416.350006pt;margin-top:-.248285pt;width:78.75pt;height:23.4pt;mso-position-horizontal-relative:page;mso-position-vertical-relative:paragraph;z-index:-92759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6.459999pt;margin-top:-79.412285pt;width:479.2pt;height:103.1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558"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477"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477"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494"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firstLine="9"/>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468" w:lineRule="exact" w:before="68"/>
                          <w:ind w:left="23" w:right="3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 w:right="0" w:firstLine="9"/>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468" w:lineRule="exact" w:before="68"/>
                          <w:ind w:left="23" w:right="3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上市公司应收关联方款项</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559"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57"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90"/>
              <w:jc w:val="left"/>
              <w:rPr>
                <w:rFonts w:ascii="宋体" w:hAnsi="宋体" w:cs="宋体" w:eastAsia="宋体" w:hint="default"/>
                <w:sz w:val="18"/>
                <w:szCs w:val="18"/>
              </w:rPr>
            </w:pPr>
            <w:r>
              <w:rPr>
                <w:rFonts w:ascii="宋体" w:hAnsi="宋体" w:cs="宋体" w:eastAsia="宋体" w:hint="default"/>
                <w:sz w:val="18"/>
                <w:szCs w:val="18"/>
              </w:rPr>
              <w:t>肇庆市好易联网络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7" w:right="0"/>
              <w:jc w:val="left"/>
              <w:rPr>
                <w:rFonts w:ascii="Times New Roman" w:hAnsi="Times New Roman" w:cs="Times New Roman" w:eastAsia="Times New Roman" w:hint="default"/>
                <w:sz w:val="18"/>
                <w:szCs w:val="18"/>
              </w:rPr>
            </w:pPr>
            <w:r>
              <w:rPr>
                <w:rFonts w:ascii="Times New Roman"/>
                <w:sz w:val="18"/>
              </w:rPr>
              <w:t>11,000.00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550.00</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上市公司应付关联方款项</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558"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0"/>
        <w:rPr>
          <w:rFonts w:ascii="宋体" w:hAnsi="宋体" w:cs="宋体" w:eastAsia="宋体" w:hint="default"/>
          <w:sz w:val="24"/>
          <w:szCs w:val="24"/>
        </w:rPr>
      </w:pPr>
    </w:p>
    <w:p>
      <w:pPr>
        <w:pStyle w:val="Heading4"/>
        <w:spacing w:line="240" w:lineRule="auto" w:before="26"/>
        <w:ind w:right="141"/>
        <w:jc w:val="left"/>
        <w:rPr>
          <w:b w:val="0"/>
          <w:bCs w:val="0"/>
        </w:rPr>
      </w:pPr>
      <w:r>
        <w:rPr/>
        <w:t>十、股份支付</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17"/>
          <w:szCs w:val="17"/>
        </w:rPr>
      </w:pPr>
    </w:p>
    <w:p>
      <w:pPr>
        <w:pStyle w:val="BodyText"/>
        <w:spacing w:line="240" w:lineRule="auto"/>
        <w:ind w:right="141"/>
        <w:jc w:val="left"/>
      </w:pPr>
      <w:r>
        <w:rPr/>
        <w:t>股份支付情况的说明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6"/>
        <w:rPr>
          <w:rFonts w:ascii="宋体" w:hAnsi="宋体" w:cs="宋体" w:eastAsia="宋体" w:hint="default"/>
          <w:sz w:val="17"/>
          <w:szCs w:val="17"/>
        </w:rPr>
      </w:pPr>
    </w:p>
    <w:p>
      <w:pPr>
        <w:pStyle w:val="BodyText"/>
        <w:spacing w:line="240" w:lineRule="auto"/>
        <w:ind w:right="141"/>
        <w:jc w:val="left"/>
      </w:pPr>
      <w:r>
        <w:rPr/>
        <w:t>以权益结算的股份支付的说明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6"/>
        <w:rPr>
          <w:rFonts w:ascii="宋体" w:hAnsi="宋体" w:cs="宋体" w:eastAsia="宋体" w:hint="default"/>
          <w:sz w:val="17"/>
          <w:szCs w:val="17"/>
        </w:rPr>
      </w:pPr>
    </w:p>
    <w:p>
      <w:pPr>
        <w:pStyle w:val="BodyText"/>
        <w:spacing w:line="240" w:lineRule="auto"/>
        <w:ind w:right="141"/>
        <w:jc w:val="left"/>
      </w:pPr>
      <w:r>
        <w:rPr/>
        <w:t>以现金结算的股份支付的说明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7"/>
        <w:spacing w:line="240" w:lineRule="auto" w:before="37"/>
        <w:ind w:right="141"/>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Heading4"/>
        <w:spacing w:line="240" w:lineRule="auto"/>
        <w:ind w:right="141"/>
        <w:jc w:val="left"/>
        <w:rPr>
          <w:b w:val="0"/>
          <w:bCs w:val="0"/>
        </w:rPr>
      </w:pPr>
      <w:r>
        <w:rPr/>
        <w:t>十一、或有事项</w:t>
      </w:r>
      <w:r>
        <w:rPr>
          <w:b w:val="0"/>
          <w:bCs w:val="0"/>
        </w:rPr>
      </w:r>
    </w:p>
    <w:p>
      <w:pPr>
        <w:spacing w:line="240" w:lineRule="auto" w:before="0"/>
        <w:rPr>
          <w:rFonts w:ascii="宋体" w:hAnsi="宋体" w:cs="宋体" w:eastAsia="宋体" w:hint="default"/>
          <w:b/>
          <w:bCs/>
          <w:sz w:val="24"/>
          <w:szCs w:val="24"/>
        </w:rPr>
      </w:pPr>
    </w:p>
    <w:p>
      <w:pPr>
        <w:spacing w:line="660" w:lineRule="auto" w:before="172"/>
        <w:ind w:left="152" w:right="2873" w:firstLine="0"/>
        <w:jc w:val="left"/>
        <w:rPr>
          <w:rFonts w:ascii="宋体" w:hAnsi="宋体" w:cs="宋体" w:eastAsia="宋体" w:hint="default"/>
          <w:sz w:val="18"/>
          <w:szCs w:val="18"/>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、未决诉讼或仲裁形成的或有负债及其财务影响</w:t>
      </w:r>
      <w:r>
        <w:rPr>
          <w:rFonts w:ascii="宋体" w:hAnsi="宋体" w:cs="宋体" w:eastAsia="宋体" w:hint="default"/>
          <w:b/>
          <w:bCs/>
          <w:w w:val="99"/>
          <w:sz w:val="20"/>
          <w:szCs w:val="20"/>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日，本公司无需披露的或有事项。</w:t>
      </w:r>
      <w:r>
        <w:rPr>
          <w:rFonts w:ascii="宋体" w:hAnsi="宋体" w:cs="宋体" w:eastAsia="宋体" w:hint="default"/>
          <w:w w:val="100"/>
          <w:sz w:val="21"/>
          <w:szCs w:val="21"/>
        </w:rPr>
        <w:t> </w:t>
      </w:r>
      <w:r>
        <w:rPr>
          <w:rFonts w:ascii="Times New Roman" w:hAnsi="Times New Roman" w:cs="Times New Roman" w:eastAsia="Times New Roman" w:hint="default"/>
          <w:b/>
          <w:bCs/>
          <w:w w:val="95"/>
          <w:sz w:val="20"/>
          <w:szCs w:val="20"/>
        </w:rPr>
        <w:t>2</w:t>
      </w:r>
      <w:r>
        <w:rPr>
          <w:rFonts w:ascii="宋体" w:hAnsi="宋体" w:cs="宋体" w:eastAsia="宋体" w:hint="default"/>
          <w:b/>
          <w:bCs/>
          <w:w w:val="95"/>
          <w:sz w:val="20"/>
          <w:szCs w:val="20"/>
        </w:rPr>
        <w:t>、为其他单位提供债务担保形成的或有负债及其财务影响</w:t>
      </w:r>
      <w:r>
        <w:rPr>
          <w:rFonts w:ascii="宋体" w:hAnsi="宋体" w:cs="宋体" w:eastAsia="宋体" w:hint="default"/>
          <w:b/>
          <w:bCs/>
          <w:spacing w:val="57"/>
          <w:w w:val="95"/>
          <w:sz w:val="20"/>
          <w:szCs w:val="20"/>
        </w:rPr>
        <w:t> </w:t>
      </w:r>
      <w:r>
        <w:rPr>
          <w:rFonts w:ascii="宋体" w:hAnsi="宋体" w:cs="宋体" w:eastAsia="宋体" w:hint="default"/>
          <w:b/>
          <w:bCs/>
          <w:spacing w:val="57"/>
          <w:w w:val="95"/>
          <w:sz w:val="20"/>
          <w:szCs w:val="20"/>
        </w:rPr>
      </w:r>
      <w:r>
        <w:rPr>
          <w:rFonts w:ascii="宋体" w:hAnsi="宋体" w:cs="宋体" w:eastAsia="宋体" w:hint="default"/>
          <w:sz w:val="18"/>
          <w:szCs w:val="18"/>
        </w:rPr>
        <w:t>其他或有负债及其财务影响</w:t>
      </w:r>
    </w:p>
    <w:p>
      <w:pPr>
        <w:spacing w:line="240" w:lineRule="auto" w:before="1"/>
        <w:rPr>
          <w:rFonts w:ascii="宋体" w:hAnsi="宋体" w:cs="宋体" w:eastAsia="宋体" w:hint="default"/>
          <w:sz w:val="13"/>
          <w:szCs w:val="13"/>
        </w:rPr>
      </w:pPr>
    </w:p>
    <w:p>
      <w:pPr>
        <w:pStyle w:val="Heading4"/>
        <w:spacing w:line="240" w:lineRule="auto"/>
        <w:ind w:right="141"/>
        <w:jc w:val="left"/>
        <w:rPr>
          <w:b w:val="0"/>
          <w:bCs w:val="0"/>
        </w:rPr>
      </w:pPr>
      <w:r>
        <w:rPr/>
        <w:t>十二、承诺事项</w:t>
      </w:r>
      <w:r>
        <w:rPr>
          <w:b w:val="0"/>
          <w:bCs w:val="0"/>
        </w:rPr>
      </w:r>
    </w:p>
    <w:p>
      <w:pPr>
        <w:spacing w:line="240" w:lineRule="auto" w:before="0"/>
        <w:rPr>
          <w:rFonts w:ascii="宋体" w:hAnsi="宋体" w:cs="宋体" w:eastAsia="宋体" w:hint="default"/>
          <w:b/>
          <w:bCs/>
          <w:sz w:val="24"/>
          <w:szCs w:val="24"/>
        </w:rPr>
      </w:pPr>
    </w:p>
    <w:p>
      <w:pPr>
        <w:spacing w:line="650" w:lineRule="auto" w:before="169"/>
        <w:ind w:left="152" w:right="356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、重大承诺事项</w:t>
      </w:r>
      <w:r>
        <w:rPr>
          <w:rFonts w:ascii="宋体" w:hAnsi="宋体" w:cs="宋体" w:eastAsia="宋体" w:hint="default"/>
          <w:b/>
          <w:bCs/>
          <w:w w:val="99"/>
          <w:sz w:val="20"/>
          <w:szCs w:val="20"/>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日，本公司无需披露的重大承诺事项。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、前期承诺履行情况</w:t>
      </w:r>
      <w:r>
        <w:rPr>
          <w:rFonts w:ascii="宋体" w:hAnsi="宋体" w:cs="宋体" w:eastAsia="宋体" w:hint="default"/>
          <w:sz w:val="20"/>
          <w:szCs w:val="20"/>
        </w:rPr>
      </w:r>
    </w:p>
    <w:p>
      <w:pPr>
        <w:pStyle w:val="Heading4"/>
        <w:spacing w:line="240" w:lineRule="auto" w:before="80"/>
        <w:ind w:right="141"/>
        <w:jc w:val="left"/>
        <w:rPr>
          <w:b w:val="0"/>
          <w:bCs w:val="0"/>
        </w:rPr>
      </w:pPr>
      <w:r>
        <w:rPr/>
        <w:t>十三、资产负债表日后事项</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6"/>
        <w:spacing w:line="240" w:lineRule="auto" w:before="0"/>
        <w:ind w:left="0" w:right="250"/>
        <w:jc w:val="right"/>
      </w:pPr>
      <w:r>
        <w:rPr>
          <w:spacing w:val="-1"/>
        </w:rPr>
        <w:t>经本公司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rFonts w:ascii="Times New Roman" w:hAnsi="Times New Roman" w:cs="Times New Roman" w:eastAsia="Times New Roman" w:hint="default"/>
        </w:rPr>
        <w:t>   </w:t>
      </w:r>
      <w:r>
        <w:rPr>
          <w:spacing w:val="-2"/>
        </w:rPr>
        <w:t>日第二届董事会第十一次会议通过，本公司将持有肇庆市好易联网络有限公司</w:t>
      </w:r>
    </w:p>
    <w:p>
      <w:pPr>
        <w:pStyle w:val="Heading6"/>
        <w:spacing w:line="240" w:lineRule="auto" w:before="177"/>
        <w:ind w:right="141"/>
        <w:jc w:val="left"/>
      </w:pPr>
      <w:r>
        <w:rPr>
          <w:rFonts w:ascii="Times New Roman" w:hAnsi="Times New Roman" w:cs="Times New Roman" w:eastAsia="Times New Roman" w:hint="default"/>
        </w:rPr>
        <w:t>49%</w:t>
      </w:r>
      <w:r>
        <w:rPr/>
        <w:t>股权出售给广州银联网络支付有限公司，本次交易的实际交易价格为人民币</w:t>
      </w:r>
      <w:r>
        <w:rPr>
          <w:rFonts w:ascii="Times New Roman" w:hAnsi="Times New Roman" w:cs="Times New Roman" w:eastAsia="Times New Roman" w:hint="default"/>
        </w:rPr>
        <w:t>1,300</w:t>
      </w:r>
      <w:r>
        <w:rPr/>
        <w:t>万元。</w:t>
      </w:r>
    </w:p>
    <w:p>
      <w:pPr>
        <w:spacing w:line="240" w:lineRule="auto" w:before="0"/>
        <w:rPr>
          <w:rFonts w:ascii="宋体" w:hAnsi="宋体" w:cs="宋体" w:eastAsia="宋体" w:hint="default"/>
          <w:sz w:val="22"/>
          <w:szCs w:val="22"/>
        </w:rPr>
      </w:pPr>
    </w:p>
    <w:p>
      <w:pPr>
        <w:pStyle w:val="Heading4"/>
        <w:spacing w:line="240" w:lineRule="auto" w:before="164"/>
        <w:ind w:right="141"/>
        <w:jc w:val="left"/>
        <w:rPr>
          <w:b w:val="0"/>
          <w:bCs w:val="0"/>
        </w:rPr>
      </w:pPr>
      <w:r>
        <w:rPr/>
        <w:t>十四、其他重要事项</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1025"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578"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307" w:right="34"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7"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55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1026"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558"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0"/>
        <w:jc w:val="both"/>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both"/>
        <w:rPr>
          <w:b w:val="0"/>
          <w:bCs w:val="0"/>
        </w:rPr>
      </w:pPr>
      <w:r>
        <w:rPr>
          <w:rFonts w:ascii="Times New Roman" w:hAnsi="Times New Roman" w:cs="Times New Roman" w:eastAsia="Times New Roman" w:hint="default"/>
        </w:rPr>
        <w:t>9</w:t>
      </w:r>
      <w:r>
        <w:rPr/>
        <w:t>、其他</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352" w:lineRule="auto" w:before="0"/>
        <w:ind w:left="152" w:right="151" w:firstLine="0"/>
        <w:jc w:val="both"/>
        <w:rPr>
          <w:rFonts w:ascii="宋体" w:hAnsi="宋体" w:cs="宋体" w:eastAsia="宋体" w:hint="default"/>
          <w:sz w:val="23"/>
          <w:szCs w:val="23"/>
        </w:rPr>
      </w:pPr>
      <w:r>
        <w:rPr>
          <w:rFonts w:ascii="Times New Roman" w:hAnsi="Times New Roman" w:cs="Times New Roman" w:eastAsia="Times New Roman" w:hint="default"/>
          <w:spacing w:val="-1"/>
          <w:sz w:val="23"/>
          <w:szCs w:val="23"/>
        </w:rPr>
        <w:t>2012</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12</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10</w:t>
      </w:r>
      <w:r>
        <w:rPr>
          <w:rFonts w:ascii="宋体" w:hAnsi="宋体" w:cs="宋体" w:eastAsia="宋体" w:hint="default"/>
          <w:spacing w:val="-1"/>
          <w:sz w:val="23"/>
          <w:szCs w:val="23"/>
        </w:rPr>
        <w:t>日，本公司第二届董事会第十次会议审议通过了《审议收购深圳市瑞柏泰电子有限</w:t>
      </w:r>
      <w:r>
        <w:rPr>
          <w:rFonts w:ascii="宋体" w:hAnsi="宋体" w:cs="宋体" w:eastAsia="宋体" w:hint="default"/>
          <w:spacing w:val="-95"/>
          <w:sz w:val="23"/>
          <w:szCs w:val="23"/>
        </w:rPr>
        <w:t> </w:t>
      </w:r>
      <w:r>
        <w:rPr>
          <w:rFonts w:ascii="宋体" w:hAnsi="宋体" w:cs="宋体" w:eastAsia="宋体" w:hint="default"/>
          <w:spacing w:val="-95"/>
          <w:sz w:val="23"/>
          <w:szCs w:val="23"/>
        </w:rPr>
      </w:r>
      <w:r>
        <w:rPr>
          <w:rFonts w:ascii="宋体" w:hAnsi="宋体" w:cs="宋体" w:eastAsia="宋体" w:hint="default"/>
          <w:sz w:val="23"/>
          <w:szCs w:val="23"/>
        </w:rPr>
        <w:t>公司</w:t>
      </w:r>
      <w:r>
        <w:rPr>
          <w:rFonts w:ascii="Times New Roman" w:hAnsi="Times New Roman" w:cs="Times New Roman" w:eastAsia="Times New Roman" w:hint="default"/>
          <w:sz w:val="23"/>
          <w:szCs w:val="23"/>
        </w:rPr>
        <w:t>20%</w:t>
      </w:r>
      <w:r>
        <w:rPr>
          <w:rFonts w:ascii="宋体" w:hAnsi="宋体" w:cs="宋体" w:eastAsia="宋体" w:hint="default"/>
          <w:sz w:val="23"/>
          <w:szCs w:val="23"/>
        </w:rPr>
        <w:t>股权的议案》，同意本公司使用超募资金人民币</w:t>
      </w:r>
      <w:r>
        <w:rPr>
          <w:rFonts w:ascii="Times New Roman" w:hAnsi="Times New Roman" w:cs="Times New Roman" w:eastAsia="Times New Roman" w:hint="default"/>
          <w:sz w:val="23"/>
          <w:szCs w:val="23"/>
        </w:rPr>
        <w:t>2000</w:t>
      </w:r>
      <w:r>
        <w:rPr>
          <w:rFonts w:ascii="宋体" w:hAnsi="宋体" w:cs="宋体" w:eastAsia="宋体" w:hint="default"/>
          <w:sz w:val="23"/>
          <w:szCs w:val="23"/>
        </w:rPr>
        <w:t>万元向蔡敏女士购买其所持有的深</w:t>
      </w:r>
      <w:r>
        <w:rPr>
          <w:rFonts w:ascii="宋体" w:hAnsi="宋体" w:cs="宋体" w:eastAsia="宋体" w:hint="default"/>
          <w:spacing w:val="-98"/>
          <w:sz w:val="23"/>
          <w:szCs w:val="23"/>
        </w:rPr>
        <w:t> </w:t>
      </w:r>
      <w:r>
        <w:rPr>
          <w:rFonts w:ascii="宋体" w:hAnsi="宋体" w:cs="宋体" w:eastAsia="宋体" w:hint="default"/>
          <w:sz w:val="23"/>
          <w:szCs w:val="23"/>
        </w:rPr>
        <w:t>圳市瑞柏泰电子有限公司</w:t>
      </w:r>
      <w:r>
        <w:rPr>
          <w:rFonts w:ascii="Times New Roman" w:hAnsi="Times New Roman" w:cs="Times New Roman" w:eastAsia="Times New Roman" w:hint="default"/>
          <w:sz w:val="23"/>
          <w:szCs w:val="23"/>
        </w:rPr>
        <w:t>20%</w:t>
      </w:r>
      <w:r>
        <w:rPr>
          <w:rFonts w:ascii="宋体" w:hAnsi="宋体" w:cs="宋体" w:eastAsia="宋体" w:hint="default"/>
          <w:sz w:val="23"/>
          <w:szCs w:val="23"/>
        </w:rPr>
        <w:t>股权。截止</w:t>
      </w:r>
      <w:r>
        <w:rPr>
          <w:rFonts w:ascii="Times New Roman" w:hAnsi="Times New Roman" w:cs="Times New Roman" w:eastAsia="Times New Roman" w:hint="default"/>
          <w:sz w:val="23"/>
          <w:szCs w:val="23"/>
        </w:rPr>
        <w:t>2012</w:t>
      </w:r>
      <w:r>
        <w:rPr>
          <w:rFonts w:ascii="宋体" w:hAnsi="宋体" w:cs="宋体" w:eastAsia="宋体" w:hint="default"/>
          <w:sz w:val="23"/>
          <w:szCs w:val="23"/>
        </w:rPr>
        <w:t>年</w:t>
      </w:r>
      <w:r>
        <w:rPr>
          <w:rFonts w:ascii="Times New Roman" w:hAnsi="Times New Roman" w:cs="Times New Roman" w:eastAsia="Times New Roman" w:hint="default"/>
          <w:sz w:val="23"/>
          <w:szCs w:val="23"/>
        </w:rPr>
        <w:t>12</w:t>
      </w:r>
      <w:r>
        <w:rPr>
          <w:rFonts w:ascii="宋体" w:hAnsi="宋体" w:cs="宋体" w:eastAsia="宋体" w:hint="default"/>
          <w:sz w:val="23"/>
          <w:szCs w:val="23"/>
        </w:rPr>
        <w:t>月</w:t>
      </w:r>
      <w:r>
        <w:rPr>
          <w:rFonts w:ascii="Times New Roman" w:hAnsi="Times New Roman" w:cs="Times New Roman" w:eastAsia="Times New Roman" w:hint="default"/>
          <w:sz w:val="23"/>
          <w:szCs w:val="23"/>
        </w:rPr>
        <w:t>31</w:t>
      </w:r>
      <w:r>
        <w:rPr>
          <w:rFonts w:ascii="宋体" w:hAnsi="宋体" w:cs="宋体" w:eastAsia="宋体" w:hint="default"/>
          <w:sz w:val="23"/>
          <w:szCs w:val="23"/>
        </w:rPr>
        <w:t>日，本公司尚未支付股权转让款项。</w:t>
      </w: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r>
        <w:rPr/>
        <w:t>十五、母公司财务报表主要项目注释</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557"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210,802,346.22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99.97</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14,707,556.71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149,371,218.58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8,530,082.43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210,802,346.22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14,707,556.71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149,371,218.58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8,530,082.43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w:t>
            </w:r>
          </w:p>
        </w:tc>
      </w:tr>
      <w:tr>
        <w:trPr>
          <w:trHeight w:val="149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24" w:right="163"/>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59,840.00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0.03%</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210,862,186.22</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14,707,556.71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149,431,058.58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8,530,082.43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516" w:lineRule="auto"/>
        <w:ind w:right="5814"/>
        <w:jc w:val="left"/>
      </w:pPr>
      <w:r>
        <w:rPr/>
        <w:t>应收账款种类的说明 期末单项金额重大并单项计提坏账准备的应收账款</w:t>
      </w:r>
    </w:p>
    <w:p>
      <w:pPr>
        <w:spacing w:after="0" w:line="51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89" w:lineRule="auto" w:before="0"/>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83"/>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1"/>
        <w:gridCol w:w="1469"/>
        <w:gridCol w:w="2131"/>
        <w:gridCol w:w="660"/>
        <w:gridCol w:w="1593"/>
      </w:tblGrid>
      <w:tr>
        <w:trPr>
          <w:trHeight w:val="557"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0"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9" w:type="dxa"/>
            <w:vMerge w:val="restart"/>
            <w:tcBorders>
              <w:top w:val="single" w:sz="4" w:space="0" w:color="000000"/>
              <w:left w:val="single" w:sz="4" w:space="0" w:color="000000"/>
              <w:right w:val="single" w:sz="4" w:space="0" w:color="000000"/>
            </w:tcBorders>
            <w:shd w:val="clear" w:color="auto" w:fill="D2D2D2"/>
          </w:tcPr>
          <w:p>
            <w:pPr/>
          </w:p>
        </w:tc>
        <w:tc>
          <w:tcPr>
            <w:tcW w:w="27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7" w:type="dxa"/>
            <w:gridSpan w:val="2"/>
            <w:vMerge/>
            <w:tcBorders>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nil" w:sz="6" w:space="0" w:color="auto"/>
              <w:right w:val="single" w:sz="4" w:space="0" w:color="000000"/>
            </w:tcBorders>
            <w:shd w:val="clear" w:color="auto" w:fill="D2D2D2"/>
          </w:tcPr>
          <w:p>
            <w:pPr/>
          </w:p>
        </w:tc>
        <w:tc>
          <w:tcPr>
            <w:tcW w:w="2791"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38"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w:t>
            </w:r>
          </w:p>
        </w:tc>
        <w:tc>
          <w:tcPr>
            <w:tcW w:w="14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69"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469" w:type="dxa"/>
            <w:vMerge/>
            <w:tcBorders>
              <w:left w:val="single" w:sz="4" w:space="0" w:color="000000"/>
              <w:bottom w:val="nil" w:sz="6" w:space="0" w:color="auto"/>
              <w:right w:val="single" w:sz="4" w:space="0" w:color="000000"/>
            </w:tcBorders>
            <w:shd w:val="clear" w:color="auto" w:fill="D2D2D2"/>
          </w:tcPr>
          <w:p>
            <w:pPr/>
          </w:p>
        </w:tc>
        <w:tc>
          <w:tcPr>
            <w:tcW w:w="21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81"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469" w:type="dxa"/>
            <w:vMerge w:val="restart"/>
            <w:tcBorders>
              <w:top w:val="nil" w:sz="6" w:space="0" w:color="auto"/>
              <w:left w:val="single" w:sz="4" w:space="0" w:color="000000"/>
              <w:right w:val="single" w:sz="4" w:space="0" w:color="000000"/>
            </w:tcBorders>
            <w:shd w:val="clear" w:color="auto" w:fill="D2D2D2"/>
          </w:tcPr>
          <w:p>
            <w:pPr/>
          </w:p>
        </w:tc>
        <w:tc>
          <w:tcPr>
            <w:tcW w:w="2131"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242"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r>
      <w:tr>
        <w:trPr>
          <w:trHeight w:val="550"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562"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194,060,355.62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92.03%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9,703,017.78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144,632,780.57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7,231,639.03</w:t>
            </w: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13,065,164.60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2,613,032.92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3,569,252.01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713,850.40</w:t>
            </w:r>
          </w:p>
        </w:tc>
      </w:tr>
      <w:tr>
        <w:trPr>
          <w:trHeight w:val="559"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2,570,640.00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1,285,320.01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1,169,186.00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0.78%</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584,593.00</w:t>
            </w: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1,106,186.00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0.52%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1,106,186.00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210,802,346.22</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14,707,556.71</w:t>
            </w:r>
          </w:p>
        </w:tc>
        <w:tc>
          <w:tcPr>
            <w:tcW w:w="2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149,371,218.58</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8,530,082.43</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组合中，采用余额百分比法计提坏账准备的应收账款</w:t>
      </w:r>
    </w:p>
    <w:p>
      <w:pPr>
        <w:spacing w:line="240" w:lineRule="auto" w:before="9"/>
        <w:rPr>
          <w:rFonts w:ascii="宋体" w:hAnsi="宋体" w:cs="宋体" w:eastAsia="宋体" w:hint="default"/>
          <w:sz w:val="20"/>
          <w:szCs w:val="20"/>
        </w:rPr>
      </w:pPr>
    </w:p>
    <w:p>
      <w:pPr>
        <w:pStyle w:val="BodyText"/>
        <w:spacing w:line="489" w:lineRule="auto" w:before="0"/>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489" w:lineRule="auto" w:before="83"/>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86"/>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558"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55" w:right="0"/>
              <w:jc w:val="left"/>
              <w:rPr>
                <w:rFonts w:ascii="宋体" w:hAnsi="宋体" w:cs="宋体" w:eastAsia="宋体" w:hint="default"/>
                <w:sz w:val="18"/>
                <w:szCs w:val="18"/>
              </w:rPr>
            </w:pPr>
            <w:r>
              <w:rPr>
                <w:rFonts w:ascii="宋体" w:hAnsi="宋体" w:cs="宋体" w:eastAsia="宋体" w:hint="default"/>
                <w:sz w:val="18"/>
                <w:szCs w:val="18"/>
              </w:rPr>
              <w:t>转回或收回前累计已计</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519"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期末单项金额重大或虽不重大但单独进行减值测试的应收账款坏账准备计提</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558"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line="240" w:lineRule="auto" w:before="6"/>
        <w:rPr>
          <w:rFonts w:ascii="宋体" w:hAnsi="宋体" w:cs="宋体" w:eastAsia="宋体" w:hint="default"/>
          <w:sz w:val="6"/>
          <w:szCs w:val="6"/>
        </w:rPr>
      </w:pPr>
    </w:p>
    <w:p>
      <w:pPr>
        <w:pStyle w:val="BodyText"/>
        <w:spacing w:line="240" w:lineRule="auto"/>
        <w:ind w:right="141"/>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20"/>
              <w:jc w:val="left"/>
              <w:rPr>
                <w:rFonts w:ascii="宋体" w:hAnsi="宋体" w:cs="宋体" w:eastAsia="宋体" w:hint="default"/>
                <w:sz w:val="18"/>
                <w:szCs w:val="18"/>
              </w:rPr>
            </w:pPr>
            <w:r>
              <w:rPr>
                <w:rFonts w:ascii="宋体" w:hAnsi="宋体" w:cs="宋体" w:eastAsia="宋体" w:hint="default"/>
                <w:sz w:val="18"/>
                <w:szCs w:val="18"/>
              </w:rPr>
              <w:t>洪泽县农村信用合 作社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8"/>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20"/>
              <w:jc w:val="left"/>
              <w:rPr>
                <w:rFonts w:ascii="宋体" w:hAnsi="宋体" w:cs="宋体" w:eastAsia="宋体" w:hint="default"/>
                <w:sz w:val="18"/>
                <w:szCs w:val="18"/>
              </w:rPr>
            </w:pPr>
            <w:r>
              <w:rPr>
                <w:rFonts w:ascii="宋体" w:hAnsi="宋体" w:cs="宋体" w:eastAsia="宋体" w:hint="default"/>
                <w:sz w:val="18"/>
                <w:szCs w:val="18"/>
              </w:rPr>
              <w:t>中国农业银行南通 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8"/>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1,580.00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应收账款核销说明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）本报告期应收账款中持有公司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558"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8"/>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101,956,920.86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48.37%</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8,485,002.60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81"/>
              <w:jc w:val="left"/>
              <w:rPr>
                <w:rFonts w:ascii="宋体" w:hAnsi="宋体" w:cs="宋体" w:eastAsia="宋体" w:hint="default"/>
                <w:sz w:val="18"/>
                <w:szCs w:val="18"/>
              </w:rPr>
            </w:pPr>
            <w:r>
              <w:rPr>
                <w:rFonts w:ascii="宋体" w:hAnsi="宋体" w:cs="宋体" w:eastAsia="宋体" w:hint="default"/>
                <w:sz w:val="18"/>
                <w:szCs w:val="18"/>
              </w:rPr>
              <w:t>通联支付网络服务股份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14,475,773.21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通联支付网络服务股份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522,660.00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各省邮政公司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7,925,129.33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深圳市瑞柏泰电子有限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6,152,117.35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145,678,603.35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69.12%</w:t>
            </w:r>
          </w:p>
        </w:tc>
      </w:tr>
    </w:tbl>
    <w:p>
      <w:pPr>
        <w:spacing w:line="240" w:lineRule="auto" w:before="7"/>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559"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7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5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02"/>
              <w:jc w:val="right"/>
              <w:rPr>
                <w:rFonts w:ascii="宋体" w:hAnsi="宋体" w:cs="宋体" w:eastAsia="宋体" w:hint="default"/>
                <w:sz w:val="18"/>
                <w:szCs w:val="18"/>
              </w:rPr>
            </w:pPr>
            <w:r>
              <w:rPr>
                <w:rFonts w:ascii="宋体" w:hAnsi="宋体" w:cs="宋体" w:eastAsia="宋体" w:hint="default"/>
                <w:sz w:val="18"/>
                <w:szCs w:val="18"/>
              </w:rPr>
              <w:t>广州市新国都公司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59,840.00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559"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59,840.00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spacing w:line="240" w:lineRule="auto" w:before="0"/>
        <w:ind w:right="141"/>
        <w:jc w:val="left"/>
      </w:pPr>
      <w:r>
        <w:rPr/>
        <w:t>不符合终止确认条件的应收账款的转移金额为元。</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76"/>
        <w:gridCol w:w="1449"/>
        <w:gridCol w:w="523"/>
        <w:gridCol w:w="1326"/>
        <w:gridCol w:w="523"/>
        <w:gridCol w:w="1328"/>
        <w:gridCol w:w="523"/>
        <w:gridCol w:w="1196"/>
        <w:gridCol w:w="526"/>
      </w:tblGrid>
      <w:tr>
        <w:trPr>
          <w:trHeight w:val="552" w:hRule="exact"/>
        </w:trPr>
        <w:tc>
          <w:tcPr>
            <w:tcW w:w="2176" w:type="dxa"/>
            <w:vMerge w:val="restart"/>
            <w:tcBorders>
              <w:top w:val="single" w:sz="4" w:space="0" w:color="000000"/>
              <w:left w:val="single" w:sz="4" w:space="0" w:color="000000"/>
              <w:right w:val="single" w:sz="4" w:space="0" w:color="000000"/>
            </w:tcBorders>
            <w:shd w:val="clear" w:color="auto" w:fill="D2D2D2"/>
          </w:tcPr>
          <w:p>
            <w:pPr/>
          </w:p>
        </w:tc>
        <w:tc>
          <w:tcPr>
            <w:tcW w:w="38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5"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0"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1"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235" w:hRule="exact"/>
        </w:trPr>
        <w:tc>
          <w:tcPr>
            <w:tcW w:w="2176" w:type="dxa"/>
            <w:vMerge/>
            <w:tcBorders>
              <w:left w:val="single" w:sz="4" w:space="0" w:color="000000"/>
              <w:bottom w:val="single" w:sz="4" w:space="0" w:color="FFFFFF"/>
              <w:right w:val="single" w:sz="4" w:space="0" w:color="000000"/>
            </w:tcBorders>
            <w:shd w:val="clear" w:color="auto" w:fill="D2D2D2"/>
          </w:tcPr>
          <w:p>
            <w:pPr/>
          </w:p>
        </w:tc>
        <w:tc>
          <w:tcPr>
            <w:tcW w:w="14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550" w:hRule="exact"/>
        </w:trPr>
        <w:tc>
          <w:tcPr>
            <w:tcW w:w="2176" w:type="dxa"/>
            <w:vMerge w:val="restart"/>
            <w:tcBorders>
              <w:top w:val="single" w:sz="4" w:space="0" w:color="FFFFFF"/>
              <w:left w:val="single" w:sz="4" w:space="0" w:color="000000"/>
              <w:right w:val="single" w:sz="4" w:space="0" w:color="000000"/>
            </w:tcBorders>
            <w:shd w:val="clear" w:color="auto" w:fill="D2D2D2"/>
          </w:tcPr>
          <w:p>
            <w:pPr/>
          </w:p>
        </w:tc>
        <w:tc>
          <w:tcPr>
            <w:tcW w:w="1449"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238"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16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1,852,543.52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2,087,518.60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1028"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6,829,510.79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650,109.28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7,439,462.34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602,375.38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w:t>
            </w:r>
          </w:p>
        </w:tc>
      </w:tr>
      <w:tr>
        <w:trPr>
          <w:trHeight w:val="102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6,829,510.79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76.64</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650,109.28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7,439,462.34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72.84</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602,375.38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w:t>
            </w:r>
          </w:p>
        </w:tc>
      </w:tr>
      <w:tr>
        <w:trPr>
          <w:trHeight w:val="149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160"/>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229,112.20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2.57%</w:t>
            </w:r>
          </w:p>
        </w:tc>
        <w:tc>
          <w:tcPr>
            <w:tcW w:w="13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686,159.00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8,911,166.51</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650,109.28</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10,213,139.94</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602,375.38</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518" w:lineRule="auto"/>
        <w:ind w:right="5634"/>
        <w:jc w:val="left"/>
      </w:pPr>
      <w:r>
        <w:rPr/>
        <w:t>其他应收款种类的说明 期末单项金额重大并单项计提坏账准备的其他应收款</w:t>
      </w:r>
    </w:p>
    <w:p>
      <w:pPr>
        <w:pStyle w:val="BodyText"/>
        <w:spacing w:line="489" w:lineRule="auto" w:before="62"/>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86"/>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16"/>
          <w:szCs w:val="1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2"/>
        <w:gridCol w:w="1805"/>
        <w:gridCol w:w="651"/>
        <w:gridCol w:w="1601"/>
        <w:gridCol w:w="1867"/>
        <w:gridCol w:w="654"/>
        <w:gridCol w:w="1731"/>
      </w:tblGrid>
      <w:tr>
        <w:trPr>
          <w:trHeight w:val="558" w:hRule="exact"/>
        </w:trPr>
        <w:tc>
          <w:tcPr>
            <w:tcW w:w="1262"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39" w:hRule="exact"/>
        </w:trPr>
        <w:tc>
          <w:tcPr>
            <w:tcW w:w="1262"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vMerge w:val="restart"/>
            <w:tcBorders>
              <w:top w:val="single" w:sz="4" w:space="0" w:color="000000"/>
              <w:left w:val="single" w:sz="4" w:space="0" w:color="000000"/>
              <w:right w:val="single" w:sz="4" w:space="0" w:color="000000"/>
            </w:tcBorders>
            <w:shd w:val="clear" w:color="auto" w:fill="D2D2D2"/>
          </w:tcPr>
          <w:p>
            <w:pPr/>
          </w:p>
        </w:tc>
        <w:tc>
          <w:tcPr>
            <w:tcW w:w="25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vMerge w:val="restart"/>
            <w:tcBorders>
              <w:top w:val="single" w:sz="4" w:space="0" w:color="000000"/>
              <w:left w:val="single" w:sz="4" w:space="0" w:color="000000"/>
              <w:right w:val="single" w:sz="4" w:space="0" w:color="000000"/>
            </w:tcBorders>
            <w:shd w:val="clear" w:color="auto" w:fill="D2D2D2"/>
          </w:tcPr>
          <w:p>
            <w:pPr/>
          </w:p>
        </w:tc>
      </w:tr>
      <w:tr>
        <w:trPr>
          <w:trHeight w:val="301" w:hRule="exact"/>
        </w:trPr>
        <w:tc>
          <w:tcPr>
            <w:tcW w:w="1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2521" w:type="dxa"/>
            <w:gridSpan w:val="2"/>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255" w:hRule="exact"/>
        </w:trPr>
        <w:tc>
          <w:tcPr>
            <w:tcW w:w="1262" w:type="dxa"/>
            <w:vMerge/>
            <w:tcBorders>
              <w:left w:val="single" w:sz="4" w:space="0" w:color="000000"/>
              <w:bottom w:val="single" w:sz="5"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6"/>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5"/>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6"/>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w:t>
            </w:r>
          </w:p>
        </w:tc>
        <w:tc>
          <w:tcPr>
            <w:tcW w:w="17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5"/>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72" w:hRule="exact"/>
        </w:trPr>
        <w:tc>
          <w:tcPr>
            <w:tcW w:w="1262" w:type="dxa"/>
            <w:vMerge w:val="restart"/>
            <w:tcBorders>
              <w:top w:val="single" w:sz="5" w:space="0" w:color="FFFFFF"/>
              <w:left w:val="single" w:sz="4" w:space="0" w:color="000000"/>
              <w:right w:val="single" w:sz="4" w:space="0" w:color="000000"/>
            </w:tcBorders>
            <w:shd w:val="clear" w:color="auto" w:fill="D2D2D2"/>
          </w:tcPr>
          <w:p>
            <w:pPr/>
          </w:p>
        </w:tc>
        <w:tc>
          <w:tcPr>
            <w:tcW w:w="1805"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262"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731" w:type="dxa"/>
            <w:vMerge w:val="restart"/>
            <w:tcBorders>
              <w:top w:val="nil" w:sz="6" w:space="0" w:color="auto"/>
              <w:left w:val="single" w:sz="4" w:space="0" w:color="000000"/>
              <w:right w:val="single" w:sz="4" w:space="0" w:color="000000"/>
            </w:tcBorders>
            <w:shd w:val="clear" w:color="auto" w:fill="D2D2D2"/>
          </w:tcPr>
          <w:p>
            <w:pPr/>
          </w:p>
        </w:tc>
      </w:tr>
      <w:tr>
        <w:trPr>
          <w:trHeight w:val="245" w:hRule="exact"/>
        </w:trPr>
        <w:tc>
          <w:tcPr>
            <w:tcW w:w="1262"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single" w:sz="4" w:space="0" w:color="000000"/>
              <w:right w:val="single" w:sz="4" w:space="0" w:color="000000"/>
            </w:tcBorders>
            <w:shd w:val="clear" w:color="auto" w:fill="D2D2D2"/>
          </w:tcPr>
          <w:p>
            <w:pPr/>
          </w:p>
        </w:tc>
      </w:tr>
      <w:tr>
        <w:trPr>
          <w:trHeight w:val="547"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562"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559"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5,987,122.66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67.18%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299,356.13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6,750,678.98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337,533.95</w:t>
            </w:r>
          </w:p>
        </w:tc>
      </w:tr>
      <w:tr>
        <w:trPr>
          <w:trHeight w:val="557"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500,559.72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100,111.94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467,427.41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93,485.48</w:t>
            </w:r>
          </w:p>
        </w:tc>
      </w:tr>
      <w:tr>
        <w:trPr>
          <w:trHeight w:val="559"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182,374.41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91,187.21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100,000.00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0.98%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557"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159,454.00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159,454.00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121,355.95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121,355.95</w:t>
            </w:r>
          </w:p>
        </w:tc>
      </w:tr>
      <w:tr>
        <w:trPr>
          <w:trHeight w:val="559"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6,829,510.79</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650,109.28</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7,439,462.34</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602,375.38</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组合中，采用余额百分比法计提坏账准备的其他应收款</w:t>
      </w:r>
    </w:p>
    <w:p>
      <w:pPr>
        <w:spacing w:line="240" w:lineRule="auto" w:before="9"/>
        <w:rPr>
          <w:rFonts w:ascii="宋体" w:hAnsi="宋体" w:cs="宋体" w:eastAsia="宋体" w:hint="default"/>
          <w:sz w:val="20"/>
          <w:szCs w:val="20"/>
        </w:rPr>
      </w:pPr>
    </w:p>
    <w:p>
      <w:pPr>
        <w:pStyle w:val="BodyText"/>
        <w:spacing w:line="489" w:lineRule="auto" w:before="0"/>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487" w:lineRule="auto" w:before="86"/>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88"/>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7"/>
        <w:spacing w:line="240" w:lineRule="auto"/>
        <w:ind w:right="141"/>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期末单项金额重大或虽不重大但单独进行减值测试的其他应收账款坏账准备计提</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558"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单项金额不重大但按信用风险特征组合后该组合的风险较大的其他应收款的说明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55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其他应收款核销说明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t>（</w:t>
      </w:r>
      <w:r>
        <w:rPr>
          <w:rFonts w:ascii="Times New Roman" w:hAnsi="Times New Roman" w:cs="Times New Roman" w:eastAsia="Times New Roman" w:hint="default"/>
        </w:rPr>
        <w:t>4</w:t>
      </w:r>
      <w:r>
        <w:rPr/>
        <w:t>）本报告期其他应收款中持有公司</w:t>
      </w:r>
      <w:r>
        <w:rPr>
          <w:spacing w:val="-53"/>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557"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81"/>
              <w:jc w:val="left"/>
              <w:rPr>
                <w:rFonts w:ascii="宋体" w:hAnsi="宋体" w:cs="宋体" w:eastAsia="宋体" w:hint="default"/>
                <w:sz w:val="18"/>
                <w:szCs w:val="18"/>
              </w:rPr>
            </w:pPr>
            <w:r>
              <w:rPr>
                <w:rFonts w:ascii="宋体" w:hAnsi="宋体" w:cs="宋体" w:eastAsia="宋体" w:hint="default"/>
                <w:sz w:val="18"/>
                <w:szCs w:val="18"/>
              </w:rPr>
              <w:t>苏州新国都电子技术有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1,852,543.52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20.79%</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1,159,920.00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13.02%</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81"/>
              <w:jc w:val="left"/>
              <w:rPr>
                <w:rFonts w:ascii="宋体" w:hAnsi="宋体" w:cs="宋体" w:eastAsia="宋体" w:hint="default"/>
                <w:sz w:val="18"/>
                <w:szCs w:val="18"/>
              </w:rPr>
            </w:pPr>
            <w:r>
              <w:rPr>
                <w:rFonts w:ascii="宋体" w:hAnsi="宋体" w:cs="宋体" w:eastAsia="宋体" w:hint="default"/>
                <w:sz w:val="18"/>
                <w:szCs w:val="18"/>
              </w:rPr>
              <w:t>深圳市赛百诺基因技术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392,768.00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李胜富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4,640,231.52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557"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559"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苏州新国都公司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1,852,543.52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20.79%</w:t>
            </w:r>
          </w:p>
        </w:tc>
      </w:tr>
      <w:tr>
        <w:trPr>
          <w:trHeight w:val="55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229,112.20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w:t>
            </w:r>
          </w:p>
        </w:tc>
      </w:tr>
      <w:tr>
        <w:trPr>
          <w:trHeight w:val="559"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2,081,655.72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23.36%</w:t>
            </w:r>
          </w:p>
        </w:tc>
      </w:tr>
    </w:tbl>
    <w:p>
      <w:pPr>
        <w:spacing w:line="240" w:lineRule="auto" w:before="7"/>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8</w:t>
      </w:r>
      <w:r>
        <w:rPr/>
        <w:t>）不符合终止确认条件的其他应收款项的转移金额为</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2898"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3"/>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3"/>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3"/>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49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39"/>
              <w:jc w:val="both"/>
              <w:rPr>
                <w:rFonts w:ascii="宋体" w:hAnsi="宋体" w:cs="宋体" w:eastAsia="宋体" w:hint="default"/>
                <w:sz w:val="18"/>
                <w:szCs w:val="18"/>
              </w:rPr>
            </w:pPr>
            <w:r>
              <w:rPr>
                <w:rFonts w:ascii="宋体" w:hAnsi="宋体" w:cs="宋体" w:eastAsia="宋体" w:hint="default"/>
                <w:sz w:val="18"/>
                <w:szCs w:val="18"/>
              </w:rPr>
              <w:t>深圳市易 联技术有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1"/>
              <w:ind w:left="24" w:right="39"/>
              <w:jc w:val="left"/>
              <w:rPr>
                <w:rFonts w:ascii="宋体" w:hAnsi="宋体" w:cs="宋体" w:eastAsia="宋体" w:hint="default"/>
                <w:sz w:val="18"/>
                <w:szCs w:val="18"/>
              </w:rPr>
            </w:pPr>
            <w:r>
              <w:rPr>
                <w:rFonts w:ascii="宋体" w:hAnsi="宋体" w:cs="宋体" w:eastAsia="宋体" w:hint="default"/>
                <w:sz w:val="18"/>
                <w:szCs w:val="18"/>
              </w:rPr>
              <w:t>南京新国 都公司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39"/>
              <w:jc w:val="left"/>
              <w:rPr>
                <w:rFonts w:ascii="宋体" w:hAnsi="宋体" w:cs="宋体" w:eastAsia="宋体" w:hint="default"/>
                <w:sz w:val="18"/>
                <w:szCs w:val="18"/>
              </w:rPr>
            </w:pPr>
            <w:r>
              <w:rPr>
                <w:rFonts w:ascii="宋体" w:hAnsi="宋体" w:cs="宋体" w:eastAsia="宋体" w:hint="default"/>
                <w:sz w:val="18"/>
                <w:szCs w:val="18"/>
              </w:rPr>
              <w:t>广州新国 都公司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苏州新国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263,060,0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236,060,0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263,060,0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51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都公司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39"/>
              <w:jc w:val="both"/>
              <w:rPr>
                <w:rFonts w:ascii="宋体" w:hAnsi="宋体" w:cs="宋体" w:eastAsia="宋体" w:hint="default"/>
                <w:sz w:val="18"/>
                <w:szCs w:val="18"/>
              </w:rPr>
            </w:pPr>
            <w:r>
              <w:rPr>
                <w:rFonts w:ascii="宋体" w:hAnsi="宋体" w:cs="宋体" w:eastAsia="宋体" w:hint="default"/>
                <w:sz w:val="18"/>
                <w:szCs w:val="18"/>
              </w:rPr>
              <w:t>肇庆市好 易联网络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1,250,624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3,254,181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630,781.5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3,884,962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Exadigm,</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393,431,8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74.65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156,254,1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81.45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239,812,0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396,066,2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12.95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长期股权投资的说明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557"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493,174,169.91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339,231,718.62</w:t>
            </w:r>
          </w:p>
        </w:tc>
      </w:tr>
      <w:tr>
        <w:trPr>
          <w:trHeight w:val="557"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759,150.00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9"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493,933,319.91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339,231,718.62</w:t>
            </w:r>
          </w:p>
        </w:tc>
      </w:tr>
      <w:tr>
        <w:trPr>
          <w:trHeight w:val="557"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409,214,224.92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223,696,714.28</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559"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银行卡电子支付终端</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493,174,169.91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408,373,590.72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339,231,718.62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223,696,714.28</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493,174,169.91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408,373,590.72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339,231,718.62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223,696,714.28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557"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474,486,507.75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405,116,475.77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322,561,999.74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219,785,145.66</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机出租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11,311,009.52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1,178,665.94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11,086,822.35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2,236,549.10</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136,752.14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44,394.00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273,504.27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94,336.00</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1,637,386.90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272,319.38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78,594.87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4,742,439.26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1,761,735.63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4,867,395.56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1,580,683.52</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860,074.34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363,401.83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493,174,169.91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408,373,590.72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339,231,718.62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223,696,714.28</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558"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191,457,211.52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169,256,454.70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139,806,747.94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102,803,574.32</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104,254,320.84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77,500,656.73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54,706,056.12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35,645,975.13</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83,682,375.09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68,498,263.61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76,313,695.91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44,721,002.43</w:t>
            </w:r>
          </w:p>
        </w:tc>
      </w:tr>
      <w:tr>
        <w:trPr>
          <w:trHeight w:val="560"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51,831,808.26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44,480,506.53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37,736,097.31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21,575,606.53</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22,288,249.36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17,893,358.88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11,621,998.11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7,532,397.80</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18,487,042.53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14,311,437.21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10,616,114.75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6,234,679.21</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15,908,391.73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12,873,609.78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7,249,288.65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4,759,717.86</w:t>
            </w:r>
          </w:p>
        </w:tc>
      </w:tr>
      <w:tr>
        <w:trPr>
          <w:trHeight w:val="55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5,264,770.58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3,559,303.28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1,181,719.83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423,761.00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560"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493,174,169.91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408,373,590.72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339,231,718.62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223,696,714.28</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102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占公司全部营业收入的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139,073,119.08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28.16%</w:t>
            </w:r>
          </w:p>
        </w:tc>
      </w:tr>
      <w:tr>
        <w:trPr>
          <w:trHeight w:val="5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艾体威尔电子技术（北京）有限公司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97,132,109.83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19.67%</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农村信用合作社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52,157,659.83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10.56%</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30,378,871.79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22,846,065.81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341,587,826.34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69.17%</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营业收入的说明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7"/>
        <w:spacing w:line="240" w:lineRule="auto"/>
        <w:ind w:right="141"/>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559"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557"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35,630,781.50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595,966.25</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55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557"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报告期被投资单位分配股利</w:t>
            </w:r>
          </w:p>
        </w:tc>
      </w:tr>
      <w:tr>
        <w:trPr>
          <w:trHeight w:val="559"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13" w:space="0" w:color="D2D2D2"/>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55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59"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肇庆市好易联网络有限公司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595,966.25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报告期被投资单位净利润增长所致</w:t>
            </w:r>
          </w:p>
        </w:tc>
      </w:tr>
      <w:tr>
        <w:trPr>
          <w:trHeight w:val="55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630,781.50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595,966.25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投资收益的说明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7"/>
        <w:spacing w:line="240" w:lineRule="auto"/>
        <w:ind w:right="141"/>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60"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19,208,250.48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37,753,847.23</w:t>
            </w:r>
          </w:p>
        </w:tc>
      </w:tr>
      <w:tr>
        <w:trPr>
          <w:trHeight w:val="559"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6,226,788.18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4,931,466.08</w:t>
            </w:r>
          </w:p>
        </w:tc>
      </w:tr>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3,236,672.81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3,699,425.37</w:t>
            </w:r>
          </w:p>
        </w:tc>
      </w:tr>
      <w:tr>
        <w:trPr>
          <w:trHeight w:val="559"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242,302.15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99,951.10</w:t>
            </w:r>
          </w:p>
        </w:tc>
      </w:tr>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601,878.82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1,579,273.13</w:t>
            </w:r>
          </w:p>
        </w:tc>
      </w:tr>
      <w:tr>
        <w:trPr>
          <w:trHeight w:val="102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8"/>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57,442.07</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-12,678,263.26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259,043.66</w:t>
            </w:r>
          </w:p>
        </w:tc>
      </w:tr>
      <w:tr>
        <w:trPr>
          <w:trHeight w:val="559"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-35,630,781.50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-595,966.25</w:t>
            </w:r>
          </w:p>
        </w:tc>
      </w:tr>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-1,368,781.23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-883,215.03</w:t>
            </w:r>
          </w:p>
        </w:tc>
      </w:tr>
      <w:tr>
        <w:trPr>
          <w:trHeight w:val="559"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-48,400,914.39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-58,220,465.60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-75,924,939.51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-112,913,890.06</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177,425,830.65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167,827,324.98</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32,995,485.27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43,536,794.61</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448,693,001.62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623,560,987.90</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623,560,987.90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715,590,749.97</w:t>
            </w:r>
          </w:p>
        </w:tc>
      </w:tr>
      <w:tr>
        <w:trPr>
          <w:trHeight w:val="55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-174,867,986.28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-92,029,762.07</w:t>
            </w:r>
          </w:p>
        </w:tc>
      </w:tr>
    </w:tbl>
    <w:p>
      <w:pPr>
        <w:spacing w:line="240" w:lineRule="auto" w:before="6"/>
        <w:rPr>
          <w:rFonts w:ascii="宋体" w:hAnsi="宋体" w:cs="宋体" w:eastAsia="宋体" w:hint="default"/>
          <w:sz w:val="25"/>
          <w:szCs w:val="25"/>
        </w:rPr>
      </w:pPr>
    </w:p>
    <w:p>
      <w:pPr>
        <w:pStyle w:val="Heading7"/>
        <w:spacing w:line="240" w:lineRule="auto" w:before="37"/>
        <w:ind w:right="141"/>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spacing w:line="240" w:lineRule="auto" w:before="0"/>
        <w:ind w:right="141"/>
        <w:jc w:val="left"/>
      </w:pPr>
      <w:r>
        <w:rPr/>
        <w:t>反向购买下以公允价值入账的资产、负债情况</w:t>
      </w:r>
    </w:p>
    <w:p>
      <w:pPr>
        <w:spacing w:line="240" w:lineRule="auto" w:before="6"/>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line="240" w:lineRule="auto" w:before="5"/>
        <w:rPr>
          <w:rFonts w:ascii="宋体" w:hAnsi="宋体" w:cs="宋体" w:eastAsia="宋体" w:hint="default"/>
          <w:sz w:val="6"/>
          <w:szCs w:val="6"/>
        </w:rPr>
      </w:pPr>
    </w:p>
    <w:p>
      <w:pPr>
        <w:pStyle w:val="BodyText"/>
        <w:spacing w:line="240" w:lineRule="auto"/>
        <w:ind w:right="141"/>
        <w:jc w:val="left"/>
      </w:pPr>
      <w:r>
        <w:rPr/>
        <w:t>反向购买形成长期股权投资的情况</w:t>
      </w:r>
    </w:p>
    <w:p>
      <w:pPr>
        <w:spacing w:line="240" w:lineRule="auto" w:before="4"/>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55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2"/>
        <w:rPr>
          <w:rFonts w:ascii="宋体" w:hAnsi="宋体" w:cs="宋体" w:eastAsia="宋体" w:hint="default"/>
          <w:sz w:val="23"/>
          <w:szCs w:val="23"/>
        </w:rPr>
      </w:pPr>
    </w:p>
    <w:p>
      <w:pPr>
        <w:pStyle w:val="Heading4"/>
        <w:spacing w:line="240" w:lineRule="auto" w:before="26"/>
        <w:ind w:right="141"/>
        <w:jc w:val="left"/>
        <w:rPr>
          <w:b w:val="0"/>
          <w:bCs w:val="0"/>
        </w:rPr>
      </w:pPr>
      <w:r>
        <w:rPr/>
        <w:t>十六、补充资料</w:t>
      </w:r>
      <w:r>
        <w:rPr>
          <w:b w:val="0"/>
          <w:bCs w:val="0"/>
        </w:rPr>
      </w:r>
    </w:p>
    <w:p>
      <w:pPr>
        <w:spacing w:line="240" w:lineRule="auto" w:before="0"/>
        <w:rPr>
          <w:rFonts w:ascii="宋体" w:hAnsi="宋体" w:cs="宋体" w:eastAsia="宋体" w:hint="default"/>
          <w:b/>
          <w:bCs/>
          <w:sz w:val="24"/>
          <w:szCs w:val="24"/>
        </w:rPr>
      </w:pPr>
    </w:p>
    <w:p>
      <w:pPr>
        <w:pStyle w:val="Heading7"/>
        <w:spacing w:line="240" w:lineRule="auto" w:before="172"/>
        <w:ind w:right="141"/>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51"/>
        <w:jc w:val="right"/>
      </w:pPr>
      <w:r>
        <w:rPr/>
        <w:t>单位：</w:t>
      </w:r>
      <w:r>
        <w:rPr>
          <w:spacing w:val="1"/>
        </w:rPr>
        <w:t> </w:t>
      </w:r>
      <w:r>
        <w:rPr/>
        <w:t>元</w:t>
      </w:r>
    </w:p>
    <w:p>
      <w:pPr>
        <w:spacing w:line="240" w:lineRule="auto" w:before="11"/>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263"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69"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63"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580"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0.53</w:t>
            </w:r>
          </w:p>
        </w:tc>
      </w:tr>
      <w:tr>
        <w:trPr>
          <w:trHeight w:val="1027"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80" w:header="745" w:top="1060" w:bottom="1160" w:left="980" w:right="980"/>
          <w:pgNumType w:start="20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7"/>
        <w:spacing w:line="240" w:lineRule="auto"/>
        <w:ind w:right="141"/>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5" w:type="dxa"/>
        <w:tblLayout w:type="fixed"/>
        <w:tblCellMar>
          <w:top w:w="0" w:type="dxa"/>
          <w:left w:w="0" w:type="dxa"/>
          <w:bottom w:w="0" w:type="dxa"/>
          <w:right w:w="0" w:type="dxa"/>
        </w:tblCellMar>
        <w:tblLook w:val="01E0"/>
      </w:tblPr>
      <w:tblGrid>
        <w:gridCol w:w="1728"/>
        <w:gridCol w:w="1702"/>
        <w:gridCol w:w="1702"/>
        <w:gridCol w:w="994"/>
        <w:gridCol w:w="2244"/>
      </w:tblGrid>
      <w:tr>
        <w:trPr>
          <w:trHeight w:val="979" w:hRule="exact"/>
        </w:trPr>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49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（或上期金额）</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30"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2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9"/>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06"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60,867,821.00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43,390,886.80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40.28%</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Times New Roman" w:hAnsi="Times New Roman" w:cs="Times New Roman" w:eastAsia="Times New Roman" w:hint="default"/>
                <w:sz w:val="18"/>
                <w:szCs w:val="18"/>
              </w:rPr>
              <w:t>POS</w:t>
            </w:r>
            <w:r>
              <w:rPr>
                <w:rFonts w:ascii="宋体" w:hAnsi="宋体" w:cs="宋体" w:eastAsia="宋体" w:hint="default"/>
                <w:sz w:val="18"/>
                <w:szCs w:val="18"/>
              </w:rPr>
              <w:t>销售增加所致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196,696,956.51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143,079,478.65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37.47%</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Times New Roman" w:hAnsi="Times New Roman" w:cs="Times New Roman" w:eastAsia="Times New Roman" w:hint="default"/>
                <w:sz w:val="18"/>
                <w:szCs w:val="18"/>
              </w:rPr>
              <w:t>POS</w:t>
            </w:r>
            <w:r>
              <w:rPr>
                <w:rFonts w:ascii="宋体" w:hAnsi="宋体" w:cs="宋体" w:eastAsia="宋体" w:hint="default"/>
                <w:sz w:val="18"/>
                <w:szCs w:val="18"/>
              </w:rPr>
              <w:t>销售增加所致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138,234,413.14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105,999,252.56</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30.41%</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本年采购原材料增加所致</w:t>
            </w:r>
          </w:p>
        </w:tc>
      </w:tr>
      <w:tr>
        <w:trPr>
          <w:trHeight w:val="506"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23,319,853.56</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未抵扣进项税重分类所致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7,006,212.95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3,254,181.45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115.30%</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0"/>
              <w:ind w:left="2" w:right="0"/>
              <w:jc w:val="left"/>
              <w:rPr>
                <w:rFonts w:ascii="宋体" w:hAnsi="宋体" w:cs="宋体" w:eastAsia="宋体" w:hint="default"/>
                <w:sz w:val="18"/>
                <w:szCs w:val="18"/>
              </w:rPr>
            </w:pPr>
            <w:r>
              <w:rPr>
                <w:rFonts w:ascii="宋体" w:hAnsi="宋体" w:cs="宋体" w:eastAsia="宋体" w:hint="default"/>
                <w:sz w:val="18"/>
                <w:szCs w:val="18"/>
              </w:rPr>
              <w:t>新增</w:t>
            </w:r>
            <w:r>
              <w:rPr>
                <w:rFonts w:ascii="Times New Roman" w:hAnsi="Times New Roman" w:cs="Times New Roman" w:eastAsia="Times New Roman" w:hint="default"/>
                <w:sz w:val="18"/>
                <w:szCs w:val="18"/>
              </w:rPr>
              <w:t>Exadigm,Inc.</w:t>
            </w:r>
            <w:r>
              <w:rPr>
                <w:rFonts w:ascii="宋体" w:hAnsi="宋体" w:cs="宋体" w:eastAsia="宋体" w:hint="default"/>
                <w:sz w:val="18"/>
                <w:szCs w:val="18"/>
              </w:rPr>
              <w:t>投资所致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21,624,244.20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11,758,942.97</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83.90%</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购买电子设备增加所致</w:t>
            </w:r>
          </w:p>
        </w:tc>
      </w:tr>
      <w:tr>
        <w:trPr>
          <w:trHeight w:val="506"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17,512,551.40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投资苏州电子研发项目所致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4,174,930.19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2,640,774.10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58.09%</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租用厂房装修费增加所致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65,310,843.82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41,511,155.04</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57.33%</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本年采购原材料增加所致</w:t>
            </w:r>
          </w:p>
        </w:tc>
      </w:tr>
      <w:tr>
        <w:trPr>
          <w:trHeight w:val="506"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53,356,142.23</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35,820,149.51</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48.96%</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本年采购原材料增加所致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15,987,908.63</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12,050,991.23</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32.67%</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本年奖金增加所致</w:t>
            </w:r>
          </w:p>
        </w:tc>
      </w:tr>
      <w:tr>
        <w:trPr>
          <w:trHeight w:val="977"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23,279,145.06</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11,465,194.19</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103.04%</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未交增值税及企业所得税所</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506"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3,290,478.55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5,024,229.19</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-34.51%</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应付保证金减少所致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9,450,000.00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5,750,000.00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64.35%</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本年收到政府补助增加所致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495,075,044.67</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341,596,897.96</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44.93%</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Times New Roman" w:hAnsi="Times New Roman" w:cs="Times New Roman" w:eastAsia="Times New Roman" w:hint="default"/>
                <w:sz w:val="18"/>
                <w:szCs w:val="18"/>
              </w:rPr>
              <w:t>POS</w:t>
            </w:r>
            <w:r>
              <w:rPr>
                <w:rFonts w:ascii="宋体" w:hAnsi="宋体" w:cs="宋体" w:eastAsia="宋体" w:hint="default"/>
                <w:sz w:val="18"/>
                <w:szCs w:val="18"/>
              </w:rPr>
              <w:t>销量增加所致</w:t>
            </w:r>
          </w:p>
        </w:tc>
      </w:tr>
      <w:tr>
        <w:trPr>
          <w:trHeight w:val="974"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294,528,706.61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160,292,089.18</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83.75%</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451" w:lineRule="auto" w:before="87"/>
              <w:ind w:left="2" w:right="5"/>
              <w:jc w:val="left"/>
              <w:rPr>
                <w:rFonts w:ascii="宋体" w:hAnsi="宋体" w:cs="宋体" w:eastAsia="宋体" w:hint="default"/>
                <w:sz w:val="18"/>
                <w:szCs w:val="18"/>
              </w:rPr>
            </w:pPr>
            <w:r>
              <w:rPr>
                <w:rFonts w:ascii="宋体" w:hAnsi="宋体" w:cs="宋体" w:eastAsia="宋体" w:hint="default"/>
                <w:spacing w:val="-7"/>
                <w:w w:val="99"/>
                <w:sz w:val="18"/>
                <w:szCs w:val="18"/>
              </w:rPr>
              <w:t>本年</w:t>
            </w:r>
            <w:r>
              <w:rPr>
                <w:rFonts w:ascii="Times New Roman" w:hAnsi="Times New Roman" w:cs="Times New Roman" w:eastAsia="Times New Roman" w:hint="default"/>
                <w:spacing w:val="-7"/>
                <w:w w:val="99"/>
                <w:sz w:val="18"/>
                <w:szCs w:val="18"/>
              </w:rPr>
              <w:t>POS</w:t>
            </w:r>
            <w:r>
              <w:rPr>
                <w:rFonts w:ascii="宋体" w:hAnsi="宋体" w:cs="宋体" w:eastAsia="宋体" w:hint="default"/>
                <w:spacing w:val="-7"/>
                <w:w w:val="99"/>
                <w:sz w:val="18"/>
                <w:szCs w:val="18"/>
              </w:rPr>
              <w:t>销量增加，结转成本</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93,999,504.84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66,023,224.05</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z w:val="18"/>
              </w:rPr>
              <w:t>42.37%</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0"/>
              <w:ind w:left="2" w:right="0"/>
              <w:jc w:val="left"/>
              <w:rPr>
                <w:rFonts w:ascii="宋体" w:hAnsi="宋体" w:cs="宋体" w:eastAsia="宋体" w:hint="default"/>
                <w:sz w:val="18"/>
                <w:szCs w:val="18"/>
              </w:rPr>
            </w:pPr>
            <w:r>
              <w:rPr>
                <w:rFonts w:ascii="宋体" w:hAnsi="宋体" w:cs="宋体" w:eastAsia="宋体" w:hint="default"/>
                <w:sz w:val="18"/>
                <w:szCs w:val="18"/>
              </w:rPr>
              <w:t>研发费用及工资增加所致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(19,561,957.96)</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(13,470,870.21)</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-45.22%</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定期存款利息收入增加所致</w:t>
            </w:r>
          </w:p>
        </w:tc>
      </w:tr>
      <w:tr>
        <w:trPr>
          <w:trHeight w:val="509" w:hRule="exact"/>
        </w:trPr>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499,587.72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93,831.67</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432.43%</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租用厂房违约金增加所致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417" w:right="2425"/>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6"/>
        <w:rPr>
          <w:rFonts w:ascii="宋体" w:hAnsi="宋体" w:cs="宋体" w:eastAsia="宋体" w:hint="default"/>
          <w:b/>
          <w:bCs/>
          <w:sz w:val="43"/>
          <w:szCs w:val="43"/>
        </w:rPr>
      </w:pPr>
    </w:p>
    <w:p>
      <w:pPr>
        <w:pStyle w:val="Heading2"/>
        <w:spacing w:line="240" w:lineRule="auto"/>
        <w:ind w:right="0"/>
        <w:jc w:val="left"/>
        <w:rPr>
          <w:b w:val="0"/>
          <w:bCs w:val="0"/>
        </w:rPr>
      </w:pPr>
      <w:r>
        <w:rPr>
          <w:spacing w:val="2"/>
        </w:rPr>
        <w:t>一、载有公司法定代表人、主管会计工作的公司负责人、公司会计机构负责人</w:t>
      </w:r>
      <w:r>
        <w:rPr>
          <w:b w:val="0"/>
          <w:bCs w:val="0"/>
          <w:spacing w:val="2"/>
        </w:rPr>
      </w:r>
    </w:p>
    <w:p>
      <w:pPr>
        <w:spacing w:line="240" w:lineRule="auto" w:before="9"/>
        <w:rPr>
          <w:rFonts w:ascii="宋体" w:hAnsi="宋体" w:cs="宋体" w:eastAsia="宋体" w:hint="default"/>
          <w:b/>
          <w:bCs/>
          <w:sz w:val="19"/>
          <w:szCs w:val="19"/>
        </w:rPr>
      </w:pPr>
    </w:p>
    <w:p>
      <w:pPr>
        <w:pStyle w:val="Heading2"/>
        <w:spacing w:line="408" w:lineRule="auto"/>
        <w:ind w:right="149"/>
        <w:jc w:val="left"/>
        <w:rPr>
          <w:b w:val="0"/>
          <w:bCs w:val="0"/>
        </w:rPr>
      </w:pPr>
      <w:r>
        <w:rPr/>
        <w:t>（会计主管人员）签名并盖章的财务报表。</w:t>
      </w:r>
      <w:r>
        <w:rPr>
          <w:w w:val="99"/>
        </w:rPr>
        <w:t> </w:t>
      </w:r>
      <w:r>
        <w:rPr/>
        <w:t>二、载有会计师事务所盖章、注册会计师签名并盖章的审计报告原件。</w:t>
      </w:r>
      <w:r>
        <w:rPr>
          <w:w w:val="99"/>
        </w:rPr>
        <w:t> </w:t>
      </w:r>
      <w:r>
        <w:rPr>
          <w:spacing w:val="2"/>
        </w:rPr>
        <w:t>三、报告期内在中国证监会指定网站上公开披露过的所有公司文件的正本及公</w:t>
      </w:r>
      <w:r>
        <w:rPr>
          <w:w w:val="99"/>
        </w:rPr>
        <w:t> </w:t>
      </w:r>
      <w:r>
        <w:rPr/>
        <w:t>告的原稿。</w:t>
      </w:r>
      <w:r>
        <w:rPr>
          <w:b w:val="0"/>
          <w:bCs w:val="0"/>
        </w:rPr>
      </w:r>
    </w:p>
    <w:p>
      <w:pPr>
        <w:pStyle w:val="Heading2"/>
        <w:spacing w:line="408" w:lineRule="auto" w:before="61"/>
        <w:ind w:right="3307"/>
        <w:jc w:val="left"/>
        <w:rPr>
          <w:b w:val="0"/>
          <w:bCs w:val="0"/>
        </w:rPr>
      </w:pPr>
      <w:r>
        <w:rPr/>
        <w:t>四、经公司法定代表人签名的</w:t>
      </w:r>
      <w:r>
        <w:rPr>
          <w:rFonts w:ascii="宋体" w:hAnsi="宋体" w:cs="宋体" w:eastAsia="宋体" w:hint="default"/>
        </w:rPr>
        <w:t>2012</w:t>
      </w:r>
      <w:r>
        <w:rPr/>
        <w:t>年度报告文本原件</w:t>
      </w:r>
      <w:r>
        <w:rPr>
          <w:w w:val="99"/>
        </w:rPr>
        <w:t> </w:t>
      </w:r>
      <w:r>
        <w:rPr/>
        <w:t>五、其他相关资料。</w:t>
      </w:r>
      <w:r>
        <w:rPr>
          <w:w w:val="99"/>
        </w:rPr>
        <w:t> </w:t>
      </w:r>
      <w:r>
        <w:rPr/>
        <w:t>以上备查文件的备置地点：公司董事会办公室</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25"/>
          <w:szCs w:val="25"/>
        </w:rPr>
      </w:pPr>
    </w:p>
    <w:p>
      <w:pPr>
        <w:pStyle w:val="Heading3"/>
        <w:tabs>
          <w:tab w:pos="7995" w:val="left" w:leader="none"/>
          <w:tab w:pos="9279" w:val="left" w:leader="none"/>
        </w:tabs>
        <w:spacing w:line="712" w:lineRule="auto"/>
        <w:ind w:right="647"/>
        <w:jc w:val="left"/>
        <w:rPr>
          <w:rFonts w:ascii="Times New Roman" w:hAnsi="Times New Roman" w:cs="Times New Roman" w:eastAsia="Times New Roman" w:hint="default"/>
        </w:rPr>
      </w:pPr>
      <w:r>
        <w:rPr/>
        <w:t>深圳市新国都技术股份有限公司董事会</w:t>
      </w:r>
      <w:r>
        <w:rPr>
          <w:w w:val="100"/>
        </w:rPr>
        <w:t> </w:t>
      </w:r>
      <w:r>
        <w:rPr/>
        <w:t>公司法定代表人：</w:t>
      </w:r>
      <w:r>
        <w:rPr>
          <w:spacing w:val="1"/>
        </w:rPr>
        <w:t> </w:t>
      </w:r>
      <w:r>
        <w:rPr/>
        <w:t>刘祥</w:t>
        <w:tab/>
      </w: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w w:val="24"/>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13"/>
          <w:szCs w:val="13"/>
        </w:rPr>
      </w:pPr>
    </w:p>
    <w:p>
      <w:pPr>
        <w:pStyle w:val="Heading3"/>
        <w:spacing w:line="240" w:lineRule="auto" w:before="14"/>
        <w:ind w:left="5614" w:right="141" w:firstLine="0"/>
        <w:jc w:val="left"/>
      </w:pPr>
      <w:r>
        <w:rPr/>
        <w:t>二〇一三年三月三十日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2881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287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287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92874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287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9286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286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928840" type="#_x0000_t202" filled="false" stroked="false">
          <v:textbox inset="0,0,0,0">
            <w:txbxContent>
              <w:p>
                <w:pPr>
                  <w:pStyle w:val="BodyText"/>
                  <w:spacing w:line="214" w:lineRule="exact" w:before="0"/>
                  <w:ind w:left="20" w:right="0"/>
                  <w:jc w:val="left"/>
                </w:pPr>
                <w:r>
                  <w:rPr/>
                  <w:t>深圳市新国都技术股份有限公司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4773" w:hanging="363"/>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spacing w:before="46"/>
      <w:ind w:left="152"/>
      <w:outlineLvl w:val="6"/>
    </w:pPr>
    <w:rPr>
      <w:rFonts w:ascii="宋体" w:hAnsi="宋体" w:eastAsia="宋体"/>
      <w:sz w:val="21"/>
      <w:szCs w:val="21"/>
    </w:rPr>
  </w:style>
  <w:style w:styleId="Heading7" w:type="paragraph">
    <w:name w:val="Heading 7"/>
    <w:basedOn w:val="Normal"/>
    <w:uiPriority w:val="1"/>
    <w:qFormat/>
    <w:pPr>
      <w:ind w:left="152"/>
      <w:outlineLvl w:val="7"/>
    </w:pPr>
    <w:rPr>
      <w:rFonts w:ascii="宋体" w:hAnsi="宋体" w:eastAsia="宋体"/>
      <w:b/>
      <w:bCs/>
      <w:sz w:val="20"/>
      <w:szCs w:val="20"/>
    </w:rPr>
  </w:style>
  <w:style w:styleId="Heading8" w:type="paragraph">
    <w:name w:val="Heading 8"/>
    <w:basedOn w:val="Normal"/>
    <w:uiPriority w:val="1"/>
    <w:qFormat/>
    <w:pPr>
      <w:ind w:left="573"/>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xinguodu.com/" TargetMode="External"/><Relationship Id="rId10" Type="http://schemas.openxmlformats.org/officeDocument/2006/relationships/hyperlink" Target="mailto:xgd-zqb@xinguodu.com" TargetMode="External"/><Relationship Id="rId11" Type="http://schemas.openxmlformats.org/officeDocument/2006/relationships/hyperlink" Target="mailto:zhaohui@xinguodu.com" TargetMode="External"/><Relationship Id="rId12" Type="http://schemas.openxmlformats.org/officeDocument/2006/relationships/hyperlink" Target="mailto:liyanfang@xinguodu.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2020-05-04T01:51:38Z</dcterms:created>
  <dcterms:modified xsi:type="dcterms:W3CDTF">2020-05-04T01:51:38Z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Creator">
    <vt:lpwstr>Microsoft® Office Word 2007</vt:lpwstr>
  </property>
  <property fmtid="{D5CDD505-2E9C-101B-9397-08002B2CF9AE}" pid="4" name="LastSaved">
    <vt:filetime>2020-05-03T00:00:00Z</vt:filetime>
  </property>
</Properties>
</file>